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60DC31">
      <w:pPr>
        <w:spacing w:before="240" w:beforeLines="100" w:after="120" w:afterLines="50" w:line="600" w:lineRule="exact"/>
        <w:jc w:val="center"/>
        <w:rPr>
          <w:rFonts w:hint="eastAsia" w:ascii="方正小标宋简体" w:hAnsi="宋体" w:eastAsia="方正小标宋简体"/>
          <w:color w:val="auto"/>
          <w:sz w:val="52"/>
          <w:szCs w:val="52"/>
          <w:highlight w:val="none"/>
        </w:rPr>
      </w:pPr>
    </w:p>
    <w:p w14:paraId="0EEC055E">
      <w:pPr>
        <w:spacing w:line="360" w:lineRule="auto"/>
        <w:jc w:val="center"/>
        <w:rPr>
          <w:rFonts w:hint="eastAsia" w:asciiTheme="majorEastAsia" w:hAnsiTheme="majorEastAsia" w:eastAsiaTheme="majorEastAsia" w:cstheme="majorEastAsia"/>
          <w:color w:val="auto"/>
          <w:sz w:val="52"/>
          <w:szCs w:val="52"/>
          <w:highlight w:val="none"/>
          <w:lang w:eastAsia="zh-CN"/>
        </w:rPr>
      </w:pPr>
      <w:r>
        <w:rPr>
          <w:rFonts w:hint="eastAsia" w:asciiTheme="majorEastAsia" w:hAnsiTheme="majorEastAsia" w:eastAsiaTheme="majorEastAsia" w:cstheme="majorEastAsia"/>
          <w:color w:val="auto"/>
          <w:sz w:val="52"/>
          <w:szCs w:val="52"/>
          <w:highlight w:val="none"/>
          <w:lang w:eastAsia="zh-CN"/>
        </w:rPr>
        <w:t>广西交投宏冠工程咨询有限公司</w:t>
      </w:r>
    </w:p>
    <w:p w14:paraId="0F969828">
      <w:pPr>
        <w:spacing w:line="360" w:lineRule="auto"/>
        <w:jc w:val="center"/>
        <w:rPr>
          <w:rFonts w:hint="eastAsia" w:ascii="方正小标宋简体" w:hAnsi="方正小标宋简体" w:eastAsia="方正小标宋简体" w:cs="方正小标宋简体"/>
          <w:b/>
          <w:color w:val="auto"/>
          <w:sz w:val="44"/>
          <w:szCs w:val="44"/>
          <w:highlight w:val="none"/>
        </w:rPr>
      </w:pPr>
    </w:p>
    <w:p w14:paraId="1F57E211">
      <w:pPr>
        <w:spacing w:line="360" w:lineRule="auto"/>
        <w:jc w:val="center"/>
        <w:rPr>
          <w:rFonts w:hint="eastAsia" w:ascii="方正小标宋简体" w:hAnsi="方正小标宋简体" w:eastAsia="方正小标宋简体" w:cs="方正小标宋简体"/>
          <w:b/>
          <w:color w:val="auto"/>
          <w:sz w:val="44"/>
          <w:szCs w:val="44"/>
          <w:highlight w:val="none"/>
        </w:rPr>
      </w:pPr>
    </w:p>
    <w:p w14:paraId="09886E1C">
      <w:pPr>
        <w:snapToGrid w:val="0"/>
        <w:spacing w:before="120" w:beforeLines="50" w:line="360" w:lineRule="auto"/>
        <w:jc w:val="center"/>
        <w:rPr>
          <w:rFonts w:hint="eastAsia" w:ascii="华文新魏" w:hAnsi="宋体" w:eastAsia="华文新魏"/>
          <w:color w:val="auto"/>
          <w:sz w:val="72"/>
          <w:szCs w:val="72"/>
          <w:highlight w:val="none"/>
        </w:rPr>
      </w:pPr>
      <w:r>
        <w:rPr>
          <w:rFonts w:hint="eastAsia" w:ascii="华文新魏" w:hAnsi="宋体" w:eastAsia="华文新魏"/>
          <w:color w:val="auto"/>
          <w:sz w:val="120"/>
          <w:szCs w:val="120"/>
          <w:highlight w:val="none"/>
        </w:rPr>
        <w:t>招 标 文 件</w:t>
      </w:r>
    </w:p>
    <w:p w14:paraId="51F4EA08">
      <w:pPr>
        <w:snapToGrid w:val="0"/>
        <w:spacing w:before="120" w:beforeLines="50" w:line="360" w:lineRule="auto"/>
        <w:jc w:val="center"/>
        <w:rPr>
          <w:rFonts w:hint="eastAsia" w:asciiTheme="majorEastAsia" w:hAnsiTheme="majorEastAsia" w:eastAsiaTheme="majorEastAsia" w:cstheme="majorEastAsia"/>
          <w:b/>
          <w:color w:val="auto"/>
          <w:sz w:val="48"/>
          <w:szCs w:val="48"/>
          <w:highlight w:val="none"/>
        </w:rPr>
      </w:pPr>
      <w:r>
        <w:rPr>
          <w:rFonts w:hint="eastAsia" w:asciiTheme="majorEastAsia" w:hAnsiTheme="majorEastAsia" w:eastAsiaTheme="majorEastAsia" w:cstheme="majorEastAsia"/>
          <w:b/>
          <w:color w:val="auto"/>
          <w:sz w:val="48"/>
          <w:szCs w:val="48"/>
          <w:highlight w:val="none"/>
        </w:rPr>
        <w:t>（全流程电子化采购）</w:t>
      </w:r>
    </w:p>
    <w:p w14:paraId="3BC32826">
      <w:pPr>
        <w:snapToGrid w:val="0"/>
        <w:spacing w:line="360" w:lineRule="auto"/>
        <w:rPr>
          <w:rFonts w:hint="eastAsia" w:ascii="仿宋_GB2312" w:hAnsi="宋体" w:eastAsia="仿宋_GB2312"/>
          <w:color w:val="auto"/>
          <w:sz w:val="30"/>
          <w:szCs w:val="72"/>
          <w:highlight w:val="none"/>
        </w:rPr>
      </w:pPr>
    </w:p>
    <w:p w14:paraId="48E7FB38">
      <w:pPr>
        <w:snapToGrid w:val="0"/>
        <w:spacing w:line="360" w:lineRule="auto"/>
        <w:ind w:left="1506" w:hanging="1506" w:hangingChars="500"/>
        <w:rPr>
          <w:rFonts w:hint="eastAsia" w:asciiTheme="majorEastAsia" w:hAnsiTheme="majorEastAsia" w:eastAsiaTheme="majorEastAsia" w:cstheme="majorEastAsia"/>
          <w:b/>
          <w:bCs/>
          <w:color w:val="auto"/>
          <w:w w:val="95"/>
          <w:sz w:val="30"/>
          <w:szCs w:val="30"/>
          <w:highlight w:val="none"/>
        </w:rPr>
      </w:pPr>
      <w:r>
        <w:rPr>
          <w:rFonts w:hint="eastAsia" w:asciiTheme="majorEastAsia" w:hAnsiTheme="majorEastAsia" w:eastAsiaTheme="majorEastAsia" w:cstheme="majorEastAsia"/>
          <w:b/>
          <w:bCs/>
          <w:color w:val="auto"/>
          <w:sz w:val="30"/>
          <w:szCs w:val="30"/>
          <w:highlight w:val="none"/>
        </w:rPr>
        <w:t>项目</w:t>
      </w:r>
      <w:r>
        <w:rPr>
          <w:rFonts w:hint="eastAsia" w:asciiTheme="majorEastAsia" w:hAnsiTheme="majorEastAsia" w:eastAsiaTheme="majorEastAsia" w:cstheme="majorEastAsia"/>
          <w:b/>
          <w:bCs/>
          <w:color w:val="auto"/>
          <w:w w:val="95"/>
          <w:sz w:val="30"/>
          <w:szCs w:val="30"/>
          <w:highlight w:val="none"/>
        </w:rPr>
        <w:t>名称</w:t>
      </w:r>
      <w:r>
        <w:rPr>
          <w:rFonts w:hint="eastAsia" w:asciiTheme="majorEastAsia" w:hAnsiTheme="majorEastAsia" w:eastAsiaTheme="majorEastAsia" w:cstheme="majorEastAsia"/>
          <w:b/>
          <w:bCs/>
          <w:color w:val="auto"/>
          <w:sz w:val="30"/>
          <w:szCs w:val="30"/>
          <w:highlight w:val="none"/>
        </w:rPr>
        <w:t>：广西壮族自治区桂东公路发展中心</w:t>
      </w:r>
      <w:r>
        <w:rPr>
          <w:rFonts w:hint="eastAsia" w:asciiTheme="majorEastAsia" w:hAnsiTheme="majorEastAsia" w:eastAsiaTheme="majorEastAsia" w:cstheme="majorEastAsia"/>
          <w:b/>
          <w:bCs/>
          <w:color w:val="auto"/>
          <w:sz w:val="30"/>
          <w:szCs w:val="30"/>
          <w:highlight w:val="none"/>
          <w:lang w:eastAsia="zh-CN"/>
        </w:rPr>
        <w:t>2026年</w:t>
      </w:r>
      <w:r>
        <w:rPr>
          <w:rFonts w:hint="eastAsia" w:asciiTheme="majorEastAsia" w:hAnsiTheme="majorEastAsia" w:eastAsiaTheme="majorEastAsia" w:cstheme="majorEastAsia"/>
          <w:b/>
          <w:bCs/>
          <w:color w:val="auto"/>
          <w:sz w:val="30"/>
          <w:szCs w:val="30"/>
          <w:highlight w:val="none"/>
        </w:rPr>
        <w:t>普通国省干道桥隧定期检测服务</w:t>
      </w:r>
    </w:p>
    <w:p w14:paraId="069D5CC7">
      <w:pPr>
        <w:snapToGrid w:val="0"/>
        <w:spacing w:line="360" w:lineRule="auto"/>
        <w:ind w:left="1506" w:hanging="1431" w:hangingChars="500"/>
        <w:rPr>
          <w:rFonts w:hint="eastAsia" w:asciiTheme="majorEastAsia" w:hAnsiTheme="majorEastAsia" w:eastAsiaTheme="majorEastAsia" w:cstheme="majorEastAsia"/>
          <w:b/>
          <w:bCs/>
          <w:color w:val="auto"/>
          <w:w w:val="95"/>
          <w:sz w:val="30"/>
          <w:szCs w:val="30"/>
          <w:highlight w:val="none"/>
        </w:rPr>
      </w:pPr>
      <w:r>
        <w:rPr>
          <w:rFonts w:hint="eastAsia" w:asciiTheme="majorEastAsia" w:hAnsiTheme="majorEastAsia" w:eastAsiaTheme="majorEastAsia" w:cstheme="majorEastAsia"/>
          <w:b/>
          <w:bCs/>
          <w:color w:val="auto"/>
          <w:w w:val="95"/>
          <w:sz w:val="30"/>
          <w:szCs w:val="30"/>
          <w:highlight w:val="none"/>
        </w:rPr>
        <w:t>项目编号：GXZC2026-G3-000314-GXJT</w:t>
      </w:r>
    </w:p>
    <w:p w14:paraId="5DFCF211">
      <w:pPr>
        <w:snapToGrid w:val="0"/>
        <w:spacing w:line="360" w:lineRule="auto"/>
        <w:ind w:left="1506" w:hanging="1431" w:hangingChars="500"/>
        <w:rPr>
          <w:rFonts w:hint="eastAsia" w:asciiTheme="majorEastAsia" w:hAnsiTheme="majorEastAsia" w:eastAsiaTheme="majorEastAsia" w:cstheme="majorEastAsia"/>
          <w:b/>
          <w:bCs/>
          <w:color w:val="auto"/>
          <w:w w:val="95"/>
          <w:sz w:val="30"/>
          <w:szCs w:val="30"/>
          <w:highlight w:val="none"/>
        </w:rPr>
      </w:pPr>
      <w:r>
        <w:rPr>
          <w:rFonts w:hint="eastAsia" w:asciiTheme="majorEastAsia" w:hAnsiTheme="majorEastAsia" w:eastAsiaTheme="majorEastAsia" w:cstheme="majorEastAsia"/>
          <w:b/>
          <w:bCs/>
          <w:color w:val="auto"/>
          <w:w w:val="95"/>
          <w:sz w:val="30"/>
          <w:szCs w:val="30"/>
          <w:highlight w:val="none"/>
        </w:rPr>
        <w:t>采 购 人：广西壮族自治区桂东公路发展中心</w:t>
      </w:r>
    </w:p>
    <w:p w14:paraId="4BDF63B8">
      <w:pPr>
        <w:snapToGrid w:val="0"/>
        <w:spacing w:line="360" w:lineRule="auto"/>
        <w:ind w:left="1506" w:hanging="1431" w:hangingChars="500"/>
        <w:rPr>
          <w:rFonts w:hint="eastAsia" w:ascii="仿宋_GB2312" w:hAnsi="宋体" w:eastAsia="仿宋_GB2312" w:cs="Courier New"/>
          <w:b/>
          <w:bCs/>
          <w:color w:val="auto"/>
          <w:w w:val="95"/>
          <w:sz w:val="30"/>
          <w:szCs w:val="30"/>
          <w:highlight w:val="none"/>
          <w:lang w:eastAsia="zh-CN"/>
        </w:rPr>
      </w:pPr>
      <w:r>
        <w:rPr>
          <w:rFonts w:hint="eastAsia" w:asciiTheme="majorEastAsia" w:hAnsiTheme="majorEastAsia" w:eastAsiaTheme="majorEastAsia" w:cstheme="majorEastAsia"/>
          <w:b/>
          <w:bCs/>
          <w:color w:val="auto"/>
          <w:w w:val="95"/>
          <w:sz w:val="30"/>
          <w:szCs w:val="30"/>
          <w:highlight w:val="none"/>
        </w:rPr>
        <w:t>采购代理机构：</w:t>
      </w:r>
      <w:r>
        <w:rPr>
          <w:rFonts w:hint="eastAsia" w:asciiTheme="majorEastAsia" w:hAnsiTheme="majorEastAsia" w:eastAsiaTheme="majorEastAsia" w:cstheme="majorEastAsia"/>
          <w:b/>
          <w:bCs/>
          <w:color w:val="auto"/>
          <w:w w:val="95"/>
          <w:sz w:val="30"/>
          <w:szCs w:val="30"/>
          <w:highlight w:val="none"/>
          <w:lang w:eastAsia="zh-CN"/>
        </w:rPr>
        <w:t>广西交投宏冠工程咨询有限公司</w:t>
      </w:r>
    </w:p>
    <w:p w14:paraId="5401791D">
      <w:pPr>
        <w:pStyle w:val="24"/>
        <w:snapToGrid w:val="0"/>
        <w:spacing w:line="360" w:lineRule="auto"/>
        <w:ind w:firstLine="1125" w:firstLineChars="393"/>
        <w:rPr>
          <w:rFonts w:hint="eastAsia" w:ascii="仿宋_GB2312" w:hAnsi="宋体" w:eastAsia="仿宋_GB2312"/>
          <w:b/>
          <w:bCs/>
          <w:color w:val="auto"/>
          <w:w w:val="95"/>
          <w:sz w:val="30"/>
          <w:szCs w:val="30"/>
          <w:highlight w:val="none"/>
        </w:rPr>
      </w:pPr>
    </w:p>
    <w:p w14:paraId="57901D42">
      <w:pPr>
        <w:pStyle w:val="24"/>
        <w:snapToGrid w:val="0"/>
        <w:spacing w:line="360" w:lineRule="auto"/>
        <w:jc w:val="center"/>
        <w:rPr>
          <w:rFonts w:hint="eastAsia" w:asciiTheme="majorEastAsia" w:hAnsiTheme="majorEastAsia" w:eastAsiaTheme="majorEastAsia" w:cstheme="majorEastAsia"/>
          <w:b/>
          <w:bCs/>
          <w:color w:val="auto"/>
          <w:w w:val="95"/>
          <w:sz w:val="30"/>
          <w:szCs w:val="30"/>
          <w:highlight w:val="none"/>
          <w:lang w:eastAsia="zh-CN"/>
        </w:rPr>
      </w:pPr>
      <w:r>
        <w:rPr>
          <w:rFonts w:hint="eastAsia" w:asciiTheme="majorEastAsia" w:hAnsiTheme="majorEastAsia" w:eastAsiaTheme="majorEastAsia" w:cstheme="majorEastAsia"/>
          <w:b/>
          <w:bCs/>
          <w:color w:val="auto"/>
          <w:w w:val="95"/>
          <w:sz w:val="30"/>
          <w:szCs w:val="30"/>
          <w:highlight w:val="none"/>
          <w:lang w:eastAsia="zh-CN"/>
        </w:rPr>
        <w:t>2</w:t>
      </w:r>
      <w:r>
        <w:rPr>
          <w:rFonts w:hint="eastAsia" w:asciiTheme="majorEastAsia" w:hAnsiTheme="majorEastAsia" w:eastAsiaTheme="majorEastAsia" w:cstheme="majorEastAsia"/>
          <w:b/>
          <w:bCs/>
          <w:color w:val="auto"/>
          <w:kern w:val="2"/>
          <w:sz w:val="30"/>
          <w:szCs w:val="30"/>
          <w:highlight w:val="none"/>
          <w:lang w:val="en-US" w:eastAsia="zh-CN" w:bidi="ar-SA"/>
        </w:rPr>
        <w:t>026年3月6日</w:t>
      </w:r>
    </w:p>
    <w:p w14:paraId="4EBF5101">
      <w:pPr>
        <w:spacing w:line="360" w:lineRule="auto"/>
        <w:jc w:val="center"/>
        <w:rPr>
          <w:rFonts w:hint="eastAsia" w:ascii="宋体" w:hAnsi="宋体"/>
          <w:b/>
          <w:color w:val="auto"/>
          <w:sz w:val="44"/>
          <w:szCs w:val="44"/>
          <w:highlight w:val="none"/>
        </w:rPr>
      </w:pPr>
      <w:r>
        <w:rPr>
          <w:rFonts w:hint="eastAsia" w:ascii="宋体" w:hAnsi="宋体"/>
          <w:b/>
          <w:color w:val="auto"/>
          <w:sz w:val="44"/>
          <w:szCs w:val="44"/>
          <w:highlight w:val="none"/>
        </w:rPr>
        <w:br w:type="page"/>
      </w:r>
      <w:r>
        <w:rPr>
          <w:rFonts w:hint="eastAsia" w:ascii="宋体" w:hAnsi="宋体"/>
          <w:b/>
          <w:color w:val="auto"/>
          <w:sz w:val="44"/>
          <w:szCs w:val="44"/>
          <w:highlight w:val="none"/>
        </w:rPr>
        <w:t>目  录</w:t>
      </w:r>
    </w:p>
    <w:p w14:paraId="1C938003">
      <w:pPr>
        <w:spacing w:line="400" w:lineRule="exact"/>
        <w:jc w:val="center"/>
        <w:rPr>
          <w:rFonts w:hint="eastAsia" w:ascii="宋体" w:hAnsi="宋体"/>
          <w:b/>
          <w:color w:val="auto"/>
          <w:sz w:val="44"/>
          <w:szCs w:val="44"/>
          <w:highlight w:val="none"/>
        </w:rPr>
      </w:pPr>
    </w:p>
    <w:p w14:paraId="61A2B51A">
      <w:pPr>
        <w:pStyle w:val="32"/>
        <w:tabs>
          <w:tab w:val="right" w:leader="dot" w:pos="8730"/>
          <w:tab w:val="clear" w:pos="8398"/>
        </w:tabs>
        <w:rPr>
          <w:rFonts w:hint="eastAsia"/>
          <w:color w:val="auto"/>
          <w:highlight w:val="none"/>
        </w:rPr>
      </w:pPr>
      <w:r>
        <w:rPr>
          <w:rFonts w:ascii="仿宋_GB2312" w:eastAsia="仿宋_GB2312"/>
          <w:b w:val="0"/>
          <w:color w:val="auto"/>
          <w:highlight w:val="none"/>
        </w:rPr>
        <w:fldChar w:fldCharType="begin"/>
      </w:r>
      <w:r>
        <w:rPr>
          <w:rFonts w:ascii="仿宋_GB2312" w:eastAsia="仿宋_GB2312"/>
          <w:b w:val="0"/>
          <w:color w:val="auto"/>
          <w:highlight w:val="none"/>
        </w:rPr>
        <w:instrText xml:space="preserve"> </w:instrText>
      </w:r>
      <w:r>
        <w:rPr>
          <w:rFonts w:hint="eastAsia" w:ascii="仿宋_GB2312" w:eastAsia="仿宋_GB2312"/>
          <w:b w:val="0"/>
          <w:color w:val="auto"/>
          <w:highlight w:val="none"/>
        </w:rPr>
        <w:instrText xml:space="preserve">TOC \o "1-2" \h \z \u</w:instrText>
      </w:r>
      <w:r>
        <w:rPr>
          <w:rFonts w:ascii="仿宋_GB2312" w:eastAsia="仿宋_GB2312"/>
          <w:b w:val="0"/>
          <w:color w:val="auto"/>
          <w:highlight w:val="none"/>
        </w:rPr>
        <w:instrText xml:space="preserve"> </w:instrText>
      </w:r>
      <w:r>
        <w:rPr>
          <w:rFonts w:ascii="仿宋_GB2312" w:eastAsia="仿宋_GB2312"/>
          <w:b w:val="0"/>
          <w:color w:val="auto"/>
          <w:highlight w:val="none"/>
        </w:rPr>
        <w:fldChar w:fldCharType="separate"/>
      </w:r>
      <w:r>
        <w:rPr>
          <w:color w:val="auto"/>
          <w:highlight w:val="none"/>
        </w:rPr>
        <w:fldChar w:fldCharType="begin"/>
      </w:r>
      <w:r>
        <w:rPr>
          <w:color w:val="auto"/>
          <w:highlight w:val="none"/>
        </w:rPr>
        <w:instrText xml:space="preserve"> HYPERLINK \l "_Toc26956" </w:instrText>
      </w:r>
      <w:r>
        <w:rPr>
          <w:color w:val="auto"/>
          <w:highlight w:val="none"/>
        </w:rPr>
        <w:fldChar w:fldCharType="separate"/>
      </w:r>
      <w:r>
        <w:rPr>
          <w:rFonts w:hint="eastAsia"/>
          <w:color w:val="auto"/>
          <w:highlight w:val="none"/>
        </w:rPr>
        <w:t>第一章  招标公告</w:t>
      </w:r>
      <w:r>
        <w:rPr>
          <w:color w:val="auto"/>
          <w:highlight w:val="none"/>
        </w:rPr>
        <w:tab/>
      </w:r>
      <w:r>
        <w:rPr>
          <w:color w:val="auto"/>
          <w:highlight w:val="none"/>
        </w:rPr>
        <w:fldChar w:fldCharType="begin"/>
      </w:r>
      <w:r>
        <w:rPr>
          <w:color w:val="auto"/>
          <w:highlight w:val="none"/>
        </w:rPr>
        <w:instrText xml:space="preserve"> PAGEREF _Toc26956 \h </w:instrText>
      </w:r>
      <w:r>
        <w:rPr>
          <w:color w:val="auto"/>
          <w:highlight w:val="none"/>
        </w:rPr>
        <w:fldChar w:fldCharType="separate"/>
      </w:r>
      <w:r>
        <w:rPr>
          <w:color w:val="auto"/>
          <w:highlight w:val="none"/>
        </w:rPr>
        <w:t>2</w:t>
      </w:r>
      <w:r>
        <w:rPr>
          <w:color w:val="auto"/>
          <w:highlight w:val="none"/>
        </w:rPr>
        <w:fldChar w:fldCharType="end"/>
      </w:r>
      <w:r>
        <w:rPr>
          <w:color w:val="auto"/>
          <w:highlight w:val="none"/>
        </w:rPr>
        <w:fldChar w:fldCharType="end"/>
      </w:r>
    </w:p>
    <w:p w14:paraId="3A0A8142">
      <w:pPr>
        <w:pStyle w:val="32"/>
        <w:tabs>
          <w:tab w:val="right" w:leader="dot" w:pos="8730"/>
          <w:tab w:val="clear" w:pos="8398"/>
        </w:tabs>
        <w:ind w:firstLine="241"/>
        <w:rPr>
          <w:rFonts w:hint="eastAsia"/>
          <w:color w:val="auto"/>
          <w:highlight w:val="none"/>
        </w:rPr>
      </w:pPr>
      <w:r>
        <w:rPr>
          <w:color w:val="auto"/>
          <w:highlight w:val="none"/>
        </w:rPr>
        <w:fldChar w:fldCharType="begin"/>
      </w:r>
      <w:r>
        <w:rPr>
          <w:color w:val="auto"/>
          <w:highlight w:val="none"/>
        </w:rPr>
        <w:instrText xml:space="preserve"> HYPERLINK \l "_Toc27979" </w:instrText>
      </w:r>
      <w:r>
        <w:rPr>
          <w:color w:val="auto"/>
          <w:highlight w:val="none"/>
        </w:rPr>
        <w:fldChar w:fldCharType="separate"/>
      </w:r>
      <w:r>
        <w:rPr>
          <w:rFonts w:hint="eastAsia"/>
          <w:color w:val="auto"/>
          <w:highlight w:val="none"/>
        </w:rPr>
        <w:t>第二章  采购需求</w:t>
      </w:r>
      <w:r>
        <w:rPr>
          <w:color w:val="auto"/>
          <w:highlight w:val="none"/>
        </w:rPr>
        <w:tab/>
      </w:r>
      <w:r>
        <w:rPr>
          <w:color w:val="auto"/>
          <w:highlight w:val="none"/>
        </w:rPr>
        <w:fldChar w:fldCharType="begin"/>
      </w:r>
      <w:r>
        <w:rPr>
          <w:color w:val="auto"/>
          <w:highlight w:val="none"/>
        </w:rPr>
        <w:instrText xml:space="preserve"> PAGEREF _Toc27979 \h </w:instrText>
      </w:r>
      <w:r>
        <w:rPr>
          <w:color w:val="auto"/>
          <w:highlight w:val="none"/>
        </w:rPr>
        <w:fldChar w:fldCharType="separate"/>
      </w:r>
      <w:r>
        <w:rPr>
          <w:color w:val="auto"/>
          <w:highlight w:val="none"/>
        </w:rPr>
        <w:t>5</w:t>
      </w:r>
      <w:r>
        <w:rPr>
          <w:color w:val="auto"/>
          <w:highlight w:val="none"/>
        </w:rPr>
        <w:fldChar w:fldCharType="end"/>
      </w:r>
      <w:r>
        <w:rPr>
          <w:color w:val="auto"/>
          <w:highlight w:val="none"/>
        </w:rPr>
        <w:fldChar w:fldCharType="end"/>
      </w:r>
    </w:p>
    <w:p w14:paraId="400DA083">
      <w:pPr>
        <w:pStyle w:val="32"/>
        <w:tabs>
          <w:tab w:val="right" w:leader="dot" w:pos="8730"/>
          <w:tab w:val="clear" w:pos="8398"/>
        </w:tabs>
        <w:ind w:firstLine="241"/>
        <w:rPr>
          <w:rFonts w:hint="eastAsia"/>
          <w:color w:val="auto"/>
          <w:highlight w:val="none"/>
        </w:rPr>
      </w:pPr>
      <w:r>
        <w:rPr>
          <w:color w:val="auto"/>
          <w:highlight w:val="none"/>
        </w:rPr>
        <w:fldChar w:fldCharType="begin"/>
      </w:r>
      <w:r>
        <w:rPr>
          <w:color w:val="auto"/>
          <w:highlight w:val="none"/>
        </w:rPr>
        <w:instrText xml:space="preserve"> HYPERLINK \l "_Toc25688" </w:instrText>
      </w:r>
      <w:r>
        <w:rPr>
          <w:color w:val="auto"/>
          <w:highlight w:val="none"/>
        </w:rPr>
        <w:fldChar w:fldCharType="separate"/>
      </w:r>
      <w:r>
        <w:rPr>
          <w:rFonts w:hint="eastAsia"/>
          <w:color w:val="auto"/>
          <w:highlight w:val="none"/>
        </w:rPr>
        <w:t>第三章  投标人须知</w:t>
      </w:r>
      <w:r>
        <w:rPr>
          <w:color w:val="auto"/>
          <w:highlight w:val="none"/>
        </w:rPr>
        <w:tab/>
      </w:r>
      <w:r>
        <w:rPr>
          <w:color w:val="auto"/>
          <w:highlight w:val="none"/>
        </w:rPr>
        <w:fldChar w:fldCharType="begin"/>
      </w:r>
      <w:r>
        <w:rPr>
          <w:color w:val="auto"/>
          <w:highlight w:val="none"/>
        </w:rPr>
        <w:instrText xml:space="preserve"> PAGEREF _Toc25688 \h </w:instrText>
      </w:r>
      <w:r>
        <w:rPr>
          <w:color w:val="auto"/>
          <w:highlight w:val="none"/>
        </w:rPr>
        <w:fldChar w:fldCharType="separate"/>
      </w:r>
      <w:r>
        <w:rPr>
          <w:color w:val="auto"/>
          <w:highlight w:val="none"/>
        </w:rPr>
        <w:t>27</w:t>
      </w:r>
      <w:r>
        <w:rPr>
          <w:color w:val="auto"/>
          <w:highlight w:val="none"/>
        </w:rPr>
        <w:fldChar w:fldCharType="end"/>
      </w:r>
      <w:r>
        <w:rPr>
          <w:color w:val="auto"/>
          <w:highlight w:val="none"/>
        </w:rPr>
        <w:fldChar w:fldCharType="end"/>
      </w:r>
    </w:p>
    <w:p w14:paraId="65D38BC4">
      <w:pPr>
        <w:pStyle w:val="32"/>
        <w:tabs>
          <w:tab w:val="right" w:leader="dot" w:pos="8730"/>
          <w:tab w:val="clear" w:pos="8398"/>
        </w:tabs>
        <w:ind w:firstLine="241"/>
        <w:rPr>
          <w:rFonts w:hint="eastAsia"/>
          <w:color w:val="auto"/>
          <w:highlight w:val="none"/>
        </w:rPr>
      </w:pPr>
      <w:r>
        <w:rPr>
          <w:color w:val="auto"/>
          <w:highlight w:val="none"/>
        </w:rPr>
        <w:fldChar w:fldCharType="begin"/>
      </w:r>
      <w:r>
        <w:rPr>
          <w:color w:val="auto"/>
          <w:highlight w:val="none"/>
        </w:rPr>
        <w:instrText xml:space="preserve"> HYPERLINK \l "_Toc15687" </w:instrText>
      </w:r>
      <w:r>
        <w:rPr>
          <w:color w:val="auto"/>
          <w:highlight w:val="none"/>
        </w:rPr>
        <w:fldChar w:fldCharType="separate"/>
      </w:r>
      <w:r>
        <w:rPr>
          <w:rFonts w:hint="eastAsia"/>
          <w:color w:val="auto"/>
          <w:highlight w:val="none"/>
        </w:rPr>
        <w:t>第四章  评标方法及评标标准</w:t>
      </w:r>
      <w:r>
        <w:rPr>
          <w:color w:val="auto"/>
          <w:highlight w:val="none"/>
        </w:rPr>
        <w:tab/>
      </w:r>
      <w:r>
        <w:rPr>
          <w:color w:val="auto"/>
          <w:highlight w:val="none"/>
        </w:rPr>
        <w:fldChar w:fldCharType="begin"/>
      </w:r>
      <w:r>
        <w:rPr>
          <w:color w:val="auto"/>
          <w:highlight w:val="none"/>
        </w:rPr>
        <w:instrText xml:space="preserve"> PAGEREF _Toc15687 \h </w:instrText>
      </w:r>
      <w:r>
        <w:rPr>
          <w:color w:val="auto"/>
          <w:highlight w:val="none"/>
        </w:rPr>
        <w:fldChar w:fldCharType="separate"/>
      </w:r>
      <w:r>
        <w:rPr>
          <w:color w:val="auto"/>
          <w:highlight w:val="none"/>
        </w:rPr>
        <w:t>49</w:t>
      </w:r>
      <w:r>
        <w:rPr>
          <w:color w:val="auto"/>
          <w:highlight w:val="none"/>
        </w:rPr>
        <w:fldChar w:fldCharType="end"/>
      </w:r>
      <w:r>
        <w:rPr>
          <w:color w:val="auto"/>
          <w:highlight w:val="none"/>
        </w:rPr>
        <w:fldChar w:fldCharType="end"/>
      </w:r>
    </w:p>
    <w:p w14:paraId="7FA5D7A9">
      <w:pPr>
        <w:pStyle w:val="32"/>
        <w:tabs>
          <w:tab w:val="right" w:leader="dot" w:pos="8730"/>
          <w:tab w:val="clear" w:pos="8398"/>
        </w:tabs>
        <w:ind w:firstLine="241"/>
        <w:rPr>
          <w:rFonts w:hint="eastAsia"/>
          <w:color w:val="auto"/>
          <w:highlight w:val="none"/>
        </w:rPr>
      </w:pPr>
      <w:r>
        <w:rPr>
          <w:color w:val="auto"/>
          <w:highlight w:val="none"/>
        </w:rPr>
        <w:fldChar w:fldCharType="begin"/>
      </w:r>
      <w:r>
        <w:rPr>
          <w:color w:val="auto"/>
          <w:highlight w:val="none"/>
        </w:rPr>
        <w:instrText xml:space="preserve"> HYPERLINK \l "_Toc25250" </w:instrText>
      </w:r>
      <w:r>
        <w:rPr>
          <w:color w:val="auto"/>
          <w:highlight w:val="none"/>
        </w:rPr>
        <w:fldChar w:fldCharType="separate"/>
      </w:r>
      <w:r>
        <w:rPr>
          <w:rFonts w:hint="eastAsia"/>
          <w:color w:val="auto"/>
          <w:highlight w:val="none"/>
        </w:rPr>
        <w:t>第五章  拟签订的合同文本</w:t>
      </w:r>
      <w:r>
        <w:rPr>
          <w:color w:val="auto"/>
          <w:highlight w:val="none"/>
        </w:rPr>
        <w:tab/>
      </w:r>
      <w:r>
        <w:rPr>
          <w:color w:val="auto"/>
          <w:highlight w:val="none"/>
        </w:rPr>
        <w:fldChar w:fldCharType="begin"/>
      </w:r>
      <w:r>
        <w:rPr>
          <w:color w:val="auto"/>
          <w:highlight w:val="none"/>
        </w:rPr>
        <w:instrText xml:space="preserve"> PAGEREF _Toc25250 \h </w:instrText>
      </w:r>
      <w:r>
        <w:rPr>
          <w:color w:val="auto"/>
          <w:highlight w:val="none"/>
        </w:rPr>
        <w:fldChar w:fldCharType="separate"/>
      </w:r>
      <w:r>
        <w:rPr>
          <w:color w:val="auto"/>
          <w:highlight w:val="none"/>
        </w:rPr>
        <w:t>58</w:t>
      </w:r>
      <w:r>
        <w:rPr>
          <w:color w:val="auto"/>
          <w:highlight w:val="none"/>
        </w:rPr>
        <w:fldChar w:fldCharType="end"/>
      </w:r>
      <w:r>
        <w:rPr>
          <w:color w:val="auto"/>
          <w:highlight w:val="none"/>
        </w:rPr>
        <w:fldChar w:fldCharType="end"/>
      </w:r>
    </w:p>
    <w:p w14:paraId="184F5918">
      <w:pPr>
        <w:pStyle w:val="32"/>
        <w:tabs>
          <w:tab w:val="right" w:leader="dot" w:pos="8730"/>
          <w:tab w:val="clear" w:pos="8398"/>
        </w:tabs>
        <w:ind w:firstLine="241"/>
        <w:rPr>
          <w:rFonts w:hint="eastAsia"/>
          <w:color w:val="auto"/>
          <w:highlight w:val="none"/>
        </w:rPr>
      </w:pPr>
      <w:r>
        <w:rPr>
          <w:color w:val="auto"/>
          <w:highlight w:val="none"/>
        </w:rPr>
        <w:fldChar w:fldCharType="begin"/>
      </w:r>
      <w:r>
        <w:rPr>
          <w:color w:val="auto"/>
          <w:highlight w:val="none"/>
        </w:rPr>
        <w:instrText xml:space="preserve"> HYPERLINK \l "_Toc25289" </w:instrText>
      </w:r>
      <w:r>
        <w:rPr>
          <w:color w:val="auto"/>
          <w:highlight w:val="none"/>
        </w:rPr>
        <w:fldChar w:fldCharType="separate"/>
      </w:r>
      <w:r>
        <w:rPr>
          <w:rFonts w:hint="eastAsia"/>
          <w:color w:val="auto"/>
          <w:highlight w:val="none"/>
        </w:rPr>
        <w:t>第六章</w:t>
      </w:r>
      <w:r>
        <w:rPr>
          <w:rFonts w:hint="eastAsia"/>
          <w:color w:val="auto"/>
          <w:highlight w:val="none"/>
          <w:lang w:val="en-US" w:eastAsia="zh-CN"/>
        </w:rPr>
        <w:t xml:space="preserve">  </w:t>
      </w:r>
      <w:r>
        <w:rPr>
          <w:rFonts w:hint="eastAsia"/>
          <w:color w:val="auto"/>
          <w:highlight w:val="none"/>
        </w:rPr>
        <w:t>投标文件格式</w:t>
      </w:r>
      <w:r>
        <w:rPr>
          <w:color w:val="auto"/>
          <w:highlight w:val="none"/>
        </w:rPr>
        <w:tab/>
      </w:r>
      <w:r>
        <w:rPr>
          <w:color w:val="auto"/>
          <w:highlight w:val="none"/>
        </w:rPr>
        <w:fldChar w:fldCharType="begin"/>
      </w:r>
      <w:r>
        <w:rPr>
          <w:color w:val="auto"/>
          <w:highlight w:val="none"/>
        </w:rPr>
        <w:instrText xml:space="preserve"> PAGEREF _Toc25289 \h </w:instrText>
      </w:r>
      <w:r>
        <w:rPr>
          <w:color w:val="auto"/>
          <w:highlight w:val="none"/>
        </w:rPr>
        <w:fldChar w:fldCharType="separate"/>
      </w:r>
      <w:r>
        <w:rPr>
          <w:color w:val="auto"/>
          <w:highlight w:val="none"/>
        </w:rPr>
        <w:t>72</w:t>
      </w:r>
      <w:r>
        <w:rPr>
          <w:color w:val="auto"/>
          <w:highlight w:val="none"/>
        </w:rPr>
        <w:fldChar w:fldCharType="end"/>
      </w:r>
      <w:r>
        <w:rPr>
          <w:color w:val="auto"/>
          <w:highlight w:val="none"/>
        </w:rPr>
        <w:fldChar w:fldCharType="end"/>
      </w:r>
    </w:p>
    <w:p w14:paraId="3719BA5F">
      <w:pPr>
        <w:tabs>
          <w:tab w:val="right" w:leader="dot" w:pos="8789"/>
        </w:tabs>
        <w:snapToGrid w:val="0"/>
        <w:spacing w:line="500" w:lineRule="atLeast"/>
        <w:rPr>
          <w:rFonts w:hint="eastAsia" w:ascii="仿宋_GB2312" w:hAnsi="宋体" w:eastAsia="仿宋_GB2312"/>
          <w:color w:val="auto"/>
          <w:sz w:val="24"/>
          <w:highlight w:val="none"/>
        </w:rPr>
      </w:pPr>
      <w:r>
        <w:rPr>
          <w:rFonts w:ascii="仿宋_GB2312" w:hAnsi="宋体" w:eastAsia="仿宋_GB2312"/>
          <w:color w:val="auto"/>
          <w:highlight w:val="none"/>
        </w:rPr>
        <w:fldChar w:fldCharType="end"/>
      </w:r>
    </w:p>
    <w:p w14:paraId="710FA161">
      <w:pPr>
        <w:spacing w:before="120" w:beforeLines="50" w:line="480" w:lineRule="exact"/>
        <w:rPr>
          <w:rFonts w:hint="eastAsia" w:ascii="仿宋_GB2312" w:hAnsi="宋体" w:eastAsia="仿宋_GB2312"/>
          <w:color w:val="auto"/>
          <w:sz w:val="30"/>
          <w:highlight w:val="none"/>
        </w:rPr>
      </w:pPr>
    </w:p>
    <w:p w14:paraId="7FAF0264">
      <w:pPr>
        <w:rPr>
          <w:color w:val="auto"/>
          <w:highlight w:val="none"/>
        </w:rPr>
      </w:pPr>
    </w:p>
    <w:p w14:paraId="77FBB5C7">
      <w:pPr>
        <w:spacing w:before="120" w:beforeLines="50" w:line="480" w:lineRule="exact"/>
        <w:rPr>
          <w:rFonts w:hint="eastAsia" w:ascii="仿宋_GB2312" w:hAnsi="宋体" w:eastAsia="仿宋_GB2312"/>
          <w:color w:val="auto"/>
          <w:sz w:val="30"/>
          <w:highlight w:val="none"/>
        </w:rPr>
      </w:pPr>
    </w:p>
    <w:p w14:paraId="0E799273">
      <w:pPr>
        <w:spacing w:before="120" w:beforeLines="50" w:line="480" w:lineRule="exact"/>
        <w:rPr>
          <w:rFonts w:hint="eastAsia" w:ascii="仿宋_GB2312" w:hAnsi="宋体" w:eastAsia="仿宋_GB2312"/>
          <w:color w:val="auto"/>
          <w:sz w:val="30"/>
          <w:highlight w:val="none"/>
        </w:rPr>
      </w:pPr>
    </w:p>
    <w:p w14:paraId="68F402B1">
      <w:pPr>
        <w:pStyle w:val="16"/>
        <w:rPr>
          <w:rFonts w:hint="eastAsia" w:ascii="宋体" w:hAnsi="宋体" w:cs="宋体"/>
          <w:b/>
          <w:bCs/>
          <w:color w:val="auto"/>
          <w:highlight w:val="none"/>
        </w:rPr>
      </w:pPr>
      <w:bookmarkStart w:id="0" w:name="_Toc254970489"/>
      <w:bookmarkStart w:id="1" w:name="_Toc254970630"/>
    </w:p>
    <w:p w14:paraId="741833FD">
      <w:pPr>
        <w:pStyle w:val="3"/>
        <w:keepNext w:val="0"/>
        <w:keepLines w:val="0"/>
        <w:tabs>
          <w:tab w:val="left" w:pos="0"/>
          <w:tab w:val="left" w:pos="3165"/>
          <w:tab w:val="center" w:pos="4153"/>
        </w:tabs>
        <w:autoSpaceDE w:val="0"/>
        <w:autoSpaceDN w:val="0"/>
        <w:adjustRightInd w:val="0"/>
        <w:spacing w:before="0" w:after="0" w:line="360" w:lineRule="auto"/>
        <w:jc w:val="center"/>
        <w:rPr>
          <w:color w:val="auto"/>
          <w:highlight w:val="none"/>
        </w:rPr>
      </w:pPr>
      <w:r>
        <w:rPr>
          <w:rFonts w:ascii="宋体" w:hAnsi="宋体" w:cs="宋体"/>
          <w:b w:val="0"/>
          <w:bCs w:val="0"/>
          <w:color w:val="auto"/>
          <w:highlight w:val="none"/>
        </w:rPr>
        <w:br w:type="page"/>
      </w:r>
      <w:bookmarkStart w:id="2" w:name="_Toc26956"/>
      <w:r>
        <w:rPr>
          <w:rFonts w:hint="eastAsia"/>
          <w:color w:val="auto"/>
          <w:highlight w:val="none"/>
        </w:rPr>
        <w:t>第一章</w:t>
      </w:r>
      <w:bookmarkEnd w:id="0"/>
      <w:bookmarkEnd w:id="1"/>
      <w:bookmarkStart w:id="3" w:name="_Toc35393789"/>
      <w:bookmarkStart w:id="4" w:name="_Toc28359001"/>
      <w:r>
        <w:rPr>
          <w:rFonts w:hint="eastAsia"/>
          <w:color w:val="auto"/>
          <w:highlight w:val="none"/>
        </w:rPr>
        <w:t xml:space="preserve"> 招标公告</w:t>
      </w:r>
      <w:bookmarkEnd w:id="2"/>
      <w:bookmarkEnd w:id="3"/>
      <w:bookmarkEnd w:id="4"/>
    </w:p>
    <w:p w14:paraId="5F8F5C22">
      <w:pPr>
        <w:spacing w:line="360" w:lineRule="auto"/>
        <w:rPr>
          <w:rFonts w:hint="eastAsia" w:ascii="宋体" w:hAnsi="宋体"/>
          <w:color w:val="auto"/>
          <w:szCs w:val="21"/>
          <w:highlight w:val="none"/>
        </w:rPr>
      </w:pPr>
    </w:p>
    <w:p w14:paraId="19CE5B7F">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项目概况</w:t>
      </w:r>
    </w:p>
    <w:p w14:paraId="1C98D421">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u w:val="single"/>
        </w:rPr>
        <w:t>广西壮族自治区桂东公路发展中心</w:t>
      </w:r>
      <w:r>
        <w:rPr>
          <w:rFonts w:hint="eastAsia" w:ascii="宋体" w:hAnsi="宋体"/>
          <w:color w:val="auto"/>
          <w:szCs w:val="21"/>
          <w:highlight w:val="none"/>
          <w:u w:val="single"/>
          <w:lang w:eastAsia="zh-CN"/>
        </w:rPr>
        <w:t>2026年</w:t>
      </w:r>
      <w:r>
        <w:rPr>
          <w:rFonts w:hint="eastAsia" w:ascii="宋体" w:hAnsi="宋体"/>
          <w:color w:val="auto"/>
          <w:szCs w:val="21"/>
          <w:highlight w:val="none"/>
          <w:u w:val="single"/>
        </w:rPr>
        <w:t>普通国省干道桥隧定期检测服务</w:t>
      </w:r>
      <w:r>
        <w:rPr>
          <w:rFonts w:hint="eastAsia" w:ascii="宋体" w:hAnsi="宋体"/>
          <w:color w:val="auto"/>
          <w:szCs w:val="21"/>
          <w:highlight w:val="none"/>
        </w:rPr>
        <w:t>招标项目的潜在投标人应在广西政府采购云平台（https://www.gcy.zfcg.gxzf.gov.cn/）获取（下载）招标文件，并于</w:t>
      </w:r>
      <w:r>
        <w:rPr>
          <w:rFonts w:hint="eastAsia" w:ascii="宋体" w:hAnsi="宋体"/>
          <w:color w:val="auto"/>
          <w:szCs w:val="21"/>
          <w:highlight w:val="none"/>
          <w:u w:val="single"/>
          <w:lang w:eastAsia="zh-CN"/>
        </w:rPr>
        <w:t>2026年</w:t>
      </w:r>
      <w:r>
        <w:rPr>
          <w:rFonts w:hint="eastAsia" w:ascii="宋体" w:hAnsi="宋体"/>
          <w:bCs/>
          <w:color w:val="auto"/>
          <w:szCs w:val="21"/>
          <w:highlight w:val="none"/>
          <w:u w:val="single"/>
          <w:lang w:val="en-US" w:eastAsia="zh-CN"/>
        </w:rPr>
        <w:t>3</w:t>
      </w:r>
      <w:r>
        <w:rPr>
          <w:rFonts w:hint="eastAsia" w:ascii="宋体" w:hAnsi="宋体"/>
          <w:bCs/>
          <w:color w:val="auto"/>
          <w:szCs w:val="21"/>
          <w:highlight w:val="none"/>
          <w:u w:val="single"/>
        </w:rPr>
        <w:t>月</w:t>
      </w:r>
      <w:r>
        <w:rPr>
          <w:rFonts w:hint="eastAsia" w:ascii="宋体" w:hAnsi="宋体"/>
          <w:bCs/>
          <w:color w:val="auto"/>
          <w:szCs w:val="21"/>
          <w:highlight w:val="none"/>
          <w:u w:val="single"/>
          <w:lang w:val="en-US" w:eastAsia="zh-CN"/>
        </w:rPr>
        <w:t>27</w:t>
      </w:r>
      <w:r>
        <w:rPr>
          <w:rFonts w:hint="eastAsia" w:ascii="宋体" w:hAnsi="宋体"/>
          <w:bCs/>
          <w:color w:val="auto"/>
          <w:szCs w:val="21"/>
          <w:highlight w:val="none"/>
          <w:u w:val="single"/>
        </w:rPr>
        <w:t>日09时30分（</w:t>
      </w:r>
      <w:r>
        <w:rPr>
          <w:rFonts w:hint="eastAsia" w:ascii="宋体" w:hAnsi="宋体"/>
          <w:bCs/>
          <w:color w:val="auto"/>
          <w:szCs w:val="21"/>
          <w:highlight w:val="none"/>
        </w:rPr>
        <w:t>北京时间）前按要求递交（上传）投标</w:t>
      </w:r>
      <w:r>
        <w:rPr>
          <w:rFonts w:ascii="宋体" w:hAnsi="宋体"/>
          <w:bCs/>
          <w:color w:val="auto"/>
          <w:szCs w:val="21"/>
          <w:highlight w:val="none"/>
        </w:rPr>
        <w:t>文件</w:t>
      </w:r>
      <w:r>
        <w:rPr>
          <w:rFonts w:hint="eastAsia" w:ascii="宋体" w:hAnsi="宋体"/>
          <w:color w:val="auto"/>
          <w:szCs w:val="21"/>
          <w:highlight w:val="none"/>
        </w:rPr>
        <w:t>。</w:t>
      </w:r>
    </w:p>
    <w:p w14:paraId="2E0ECA49">
      <w:pPr>
        <w:spacing w:line="360" w:lineRule="auto"/>
        <w:rPr>
          <w:rFonts w:hint="eastAsia" w:ascii="宋体" w:hAnsi="宋体"/>
          <w:color w:val="auto"/>
          <w:szCs w:val="21"/>
          <w:highlight w:val="none"/>
        </w:rPr>
      </w:pPr>
    </w:p>
    <w:p w14:paraId="08731343">
      <w:pPr>
        <w:spacing w:line="360" w:lineRule="auto"/>
        <w:rPr>
          <w:rFonts w:hint="eastAsia" w:ascii="黑体" w:hAnsi="黑体" w:eastAsia="黑体"/>
          <w:b/>
          <w:bCs/>
          <w:color w:val="auto"/>
          <w:sz w:val="24"/>
          <w:highlight w:val="none"/>
        </w:rPr>
      </w:pPr>
      <w:bookmarkStart w:id="5" w:name="_Toc28359002"/>
      <w:bookmarkStart w:id="6" w:name="_Toc35393621"/>
      <w:bookmarkStart w:id="7" w:name="_Toc28359079"/>
      <w:bookmarkStart w:id="8" w:name="_Toc35393790"/>
      <w:bookmarkStart w:id="9" w:name="_Hlk24379207"/>
      <w:r>
        <w:rPr>
          <w:rFonts w:hint="eastAsia" w:ascii="黑体" w:hAnsi="黑体" w:eastAsia="黑体"/>
          <w:b/>
          <w:bCs/>
          <w:color w:val="auto"/>
          <w:sz w:val="24"/>
          <w:highlight w:val="none"/>
        </w:rPr>
        <w:t>一、项目基本情况</w:t>
      </w:r>
      <w:bookmarkEnd w:id="5"/>
      <w:bookmarkEnd w:id="6"/>
      <w:bookmarkEnd w:id="7"/>
      <w:bookmarkEnd w:id="8"/>
    </w:p>
    <w:bookmarkEnd w:id="9"/>
    <w:p w14:paraId="41B6A26B">
      <w:pPr>
        <w:spacing w:line="360" w:lineRule="auto"/>
        <w:ind w:firstLine="420" w:firstLineChars="200"/>
        <w:rPr>
          <w:rFonts w:hint="eastAsia" w:ascii="宋体" w:hAnsi="宋体"/>
          <w:color w:val="auto"/>
          <w:szCs w:val="21"/>
          <w:highlight w:val="none"/>
          <w:lang w:eastAsia="zh-CN"/>
        </w:rPr>
      </w:pPr>
      <w:r>
        <w:rPr>
          <w:rFonts w:hint="eastAsia" w:ascii="宋体" w:hAnsi="宋体"/>
          <w:color w:val="auto"/>
          <w:szCs w:val="21"/>
          <w:highlight w:val="none"/>
        </w:rPr>
        <w:t>项目编号：GXZC2026-G3-000314-GXJT</w:t>
      </w:r>
    </w:p>
    <w:p w14:paraId="1681BBBD">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项目名称：广西壮族自治区桂东公路发展中心</w:t>
      </w:r>
      <w:r>
        <w:rPr>
          <w:rFonts w:hint="eastAsia" w:ascii="宋体" w:hAnsi="宋体"/>
          <w:color w:val="auto"/>
          <w:szCs w:val="21"/>
          <w:highlight w:val="none"/>
          <w:lang w:eastAsia="zh-CN"/>
        </w:rPr>
        <w:t>2026年</w:t>
      </w:r>
      <w:r>
        <w:rPr>
          <w:rFonts w:hint="eastAsia" w:ascii="宋体" w:hAnsi="宋体"/>
          <w:color w:val="auto"/>
          <w:szCs w:val="21"/>
          <w:highlight w:val="none"/>
        </w:rPr>
        <w:t>普通国省干道桥隧定期检测服务</w:t>
      </w:r>
    </w:p>
    <w:p w14:paraId="0A0C0579">
      <w:pPr>
        <w:spacing w:line="360" w:lineRule="auto"/>
        <w:ind w:firstLine="420" w:firstLineChars="200"/>
        <w:rPr>
          <w:rFonts w:hint="eastAsia" w:ascii="宋体" w:hAnsi="宋体" w:eastAsia="宋体"/>
          <w:color w:val="auto"/>
          <w:szCs w:val="21"/>
          <w:highlight w:val="none"/>
          <w:u w:val="single"/>
          <w:lang w:eastAsia="zh-CN"/>
        </w:rPr>
      </w:pPr>
      <w:r>
        <w:rPr>
          <w:rFonts w:hint="eastAsia"/>
          <w:color w:val="auto"/>
          <w:highlight w:val="none"/>
        </w:rPr>
        <w:t>预算总金额（元）</w:t>
      </w:r>
      <w:r>
        <w:rPr>
          <w:rFonts w:hint="eastAsia" w:ascii="宋体" w:hAnsi="宋体"/>
          <w:color w:val="auto"/>
          <w:szCs w:val="21"/>
          <w:highlight w:val="none"/>
        </w:rPr>
        <w:t>：</w:t>
      </w:r>
      <w:r>
        <w:rPr>
          <w:rFonts w:hint="eastAsia" w:ascii="宋体" w:hAnsi="宋体"/>
          <w:color w:val="auto"/>
          <w:szCs w:val="21"/>
          <w:highlight w:val="none"/>
          <w:lang w:eastAsia="zh-CN"/>
        </w:rPr>
        <w:t>3509896.00</w:t>
      </w:r>
    </w:p>
    <w:p w14:paraId="0A3AB532">
      <w:pPr>
        <w:spacing w:line="360" w:lineRule="auto"/>
        <w:ind w:firstLine="420" w:firstLineChars="200"/>
        <w:rPr>
          <w:rFonts w:hint="eastAsia" w:ascii="宋体" w:hAnsi="宋体" w:eastAsia="宋体"/>
          <w:color w:val="auto"/>
          <w:szCs w:val="21"/>
          <w:highlight w:val="none"/>
          <w:u w:val="single"/>
          <w:lang w:eastAsia="zh-CN"/>
        </w:rPr>
      </w:pPr>
      <w:r>
        <w:rPr>
          <w:rFonts w:hint="eastAsia" w:ascii="宋体" w:hAnsi="宋体"/>
          <w:color w:val="auto"/>
          <w:szCs w:val="21"/>
          <w:highlight w:val="none"/>
        </w:rPr>
        <w:t>最高限价（</w:t>
      </w:r>
      <w:r>
        <w:rPr>
          <w:rFonts w:hint="eastAsia"/>
          <w:color w:val="auto"/>
          <w:highlight w:val="none"/>
        </w:rPr>
        <w:t>元</w:t>
      </w:r>
      <w:r>
        <w:rPr>
          <w:rFonts w:hint="eastAsia" w:ascii="宋体" w:hAnsi="宋体"/>
          <w:color w:val="auto"/>
          <w:szCs w:val="21"/>
          <w:highlight w:val="none"/>
        </w:rPr>
        <w:t>）：</w:t>
      </w:r>
      <w:r>
        <w:rPr>
          <w:rFonts w:hint="eastAsia" w:ascii="宋体" w:hAnsi="宋体"/>
          <w:color w:val="auto"/>
          <w:szCs w:val="21"/>
          <w:highlight w:val="none"/>
          <w:lang w:eastAsia="zh-CN"/>
        </w:rPr>
        <w:t>3509896.00</w:t>
      </w:r>
    </w:p>
    <w:p w14:paraId="09460886">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采购需求：</w:t>
      </w:r>
      <w:r>
        <w:rPr>
          <w:rFonts w:ascii="宋体" w:hAnsi="宋体"/>
          <w:color w:val="auto"/>
          <w:szCs w:val="21"/>
          <w:highlight w:val="none"/>
        </w:rPr>
        <w:t xml:space="preserve"> </w:t>
      </w:r>
    </w:p>
    <w:tbl>
      <w:tblPr>
        <w:tblStyle w:val="47"/>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14"/>
        <w:gridCol w:w="2400"/>
        <w:gridCol w:w="900"/>
        <w:gridCol w:w="4941"/>
      </w:tblGrid>
      <w:tr w14:paraId="468FEB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55" w:type="dxa"/>
            <w:gridSpan w:val="4"/>
            <w:tcBorders>
              <w:top w:val="single" w:color="auto" w:sz="4" w:space="0"/>
              <w:left w:val="single" w:color="auto" w:sz="4" w:space="0"/>
              <w:bottom w:val="single" w:color="auto" w:sz="4" w:space="0"/>
              <w:right w:val="single" w:color="auto" w:sz="4" w:space="0"/>
            </w:tcBorders>
            <w:vAlign w:val="center"/>
          </w:tcPr>
          <w:p w14:paraId="5EC1A97C">
            <w:pPr>
              <w:spacing w:line="360" w:lineRule="auto"/>
              <w:ind w:firstLine="420" w:firstLineChars="200"/>
              <w:rPr>
                <w:rFonts w:hint="eastAsia" w:ascii="宋体" w:hAnsi="宋体"/>
                <w:color w:val="auto"/>
                <w:szCs w:val="21"/>
                <w:highlight w:val="none"/>
              </w:rPr>
            </w:pPr>
            <w:r>
              <w:rPr>
                <w:rFonts w:ascii="宋体" w:hAnsi="宋体"/>
                <w:color w:val="auto"/>
                <w:szCs w:val="21"/>
                <w:highlight w:val="none"/>
                <w:u w:val="single"/>
              </w:rPr>
              <w:t xml:space="preserve"> </w:t>
            </w:r>
            <w:r>
              <w:rPr>
                <w:rFonts w:hint="eastAsia" w:ascii="宋体" w:hAnsi="宋体"/>
                <w:color w:val="auto"/>
                <w:szCs w:val="21"/>
                <w:highlight w:val="none"/>
                <w:u w:val="single"/>
              </w:rPr>
              <w:t>1</w:t>
            </w:r>
            <w:r>
              <w:rPr>
                <w:rFonts w:ascii="宋体" w:hAnsi="宋体"/>
                <w:color w:val="auto"/>
                <w:szCs w:val="21"/>
                <w:highlight w:val="none"/>
                <w:u w:val="single"/>
              </w:rPr>
              <w:t xml:space="preserve"> </w:t>
            </w:r>
            <w:r>
              <w:rPr>
                <w:rFonts w:hint="eastAsia" w:ascii="宋体" w:hAnsi="宋体"/>
                <w:color w:val="auto"/>
                <w:szCs w:val="21"/>
                <w:highlight w:val="none"/>
              </w:rPr>
              <w:t>分标</w:t>
            </w:r>
          </w:p>
        </w:tc>
      </w:tr>
      <w:tr w14:paraId="254C8E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14" w:type="dxa"/>
            <w:tcBorders>
              <w:top w:val="single" w:color="auto" w:sz="4" w:space="0"/>
              <w:left w:val="single" w:color="auto" w:sz="4" w:space="0"/>
              <w:bottom w:val="single" w:color="auto" w:sz="4" w:space="0"/>
              <w:right w:val="single" w:color="auto" w:sz="4" w:space="0"/>
            </w:tcBorders>
            <w:vAlign w:val="center"/>
          </w:tcPr>
          <w:p w14:paraId="1A529404">
            <w:pPr>
              <w:snapToGrid w:val="0"/>
              <w:spacing w:line="360" w:lineRule="auto"/>
              <w:jc w:val="center"/>
              <w:rPr>
                <w:rFonts w:hint="eastAsia" w:ascii="宋体" w:hAnsi="宋体"/>
                <w:color w:val="auto"/>
                <w:szCs w:val="21"/>
                <w:highlight w:val="none"/>
              </w:rPr>
            </w:pPr>
            <w:r>
              <w:rPr>
                <w:rFonts w:hint="eastAsia" w:ascii="宋体" w:hAnsi="宋体"/>
                <w:color w:val="auto"/>
                <w:szCs w:val="21"/>
                <w:highlight w:val="none"/>
              </w:rPr>
              <w:t>序号</w:t>
            </w:r>
          </w:p>
        </w:tc>
        <w:tc>
          <w:tcPr>
            <w:tcW w:w="2400" w:type="dxa"/>
            <w:tcBorders>
              <w:top w:val="single" w:color="auto" w:sz="4" w:space="0"/>
              <w:left w:val="single" w:color="auto" w:sz="4" w:space="0"/>
              <w:bottom w:val="single" w:color="auto" w:sz="4" w:space="0"/>
              <w:right w:val="single" w:color="auto" w:sz="4" w:space="0"/>
            </w:tcBorders>
            <w:vAlign w:val="center"/>
          </w:tcPr>
          <w:p w14:paraId="6D050A55">
            <w:pPr>
              <w:snapToGrid w:val="0"/>
              <w:spacing w:line="360" w:lineRule="auto"/>
              <w:jc w:val="center"/>
              <w:rPr>
                <w:rFonts w:hint="eastAsia" w:ascii="宋体" w:hAnsi="宋体"/>
                <w:color w:val="auto"/>
                <w:szCs w:val="21"/>
                <w:highlight w:val="none"/>
              </w:rPr>
            </w:pPr>
            <w:r>
              <w:rPr>
                <w:rFonts w:hint="eastAsia" w:ascii="宋体" w:hAnsi="宋体"/>
                <w:color w:val="auto"/>
                <w:szCs w:val="21"/>
                <w:highlight w:val="none"/>
              </w:rPr>
              <w:t>标的的名称</w:t>
            </w:r>
          </w:p>
        </w:tc>
        <w:tc>
          <w:tcPr>
            <w:tcW w:w="900" w:type="dxa"/>
            <w:tcBorders>
              <w:top w:val="single" w:color="auto" w:sz="4" w:space="0"/>
              <w:left w:val="single" w:color="auto" w:sz="4" w:space="0"/>
              <w:bottom w:val="single" w:color="auto" w:sz="4" w:space="0"/>
              <w:right w:val="single" w:color="auto" w:sz="4" w:space="0"/>
            </w:tcBorders>
            <w:vAlign w:val="center"/>
          </w:tcPr>
          <w:p w14:paraId="756A5783">
            <w:pPr>
              <w:snapToGrid w:val="0"/>
              <w:spacing w:line="360" w:lineRule="auto"/>
              <w:jc w:val="center"/>
              <w:rPr>
                <w:rFonts w:hint="eastAsia" w:ascii="宋体" w:hAnsi="宋体"/>
                <w:color w:val="auto"/>
                <w:szCs w:val="21"/>
                <w:highlight w:val="none"/>
              </w:rPr>
            </w:pPr>
            <w:r>
              <w:rPr>
                <w:rFonts w:hint="eastAsia" w:ascii="宋体" w:hAnsi="宋体"/>
                <w:color w:val="auto"/>
                <w:szCs w:val="21"/>
                <w:highlight w:val="none"/>
              </w:rPr>
              <w:t>数量及</w:t>
            </w:r>
          </w:p>
          <w:p w14:paraId="0BAC2784">
            <w:pPr>
              <w:snapToGrid w:val="0"/>
              <w:spacing w:line="360" w:lineRule="auto"/>
              <w:jc w:val="center"/>
              <w:rPr>
                <w:rFonts w:hint="eastAsia" w:ascii="宋体" w:hAnsi="宋体"/>
                <w:color w:val="auto"/>
                <w:szCs w:val="21"/>
                <w:highlight w:val="none"/>
              </w:rPr>
            </w:pPr>
            <w:r>
              <w:rPr>
                <w:rFonts w:hint="eastAsia" w:ascii="宋体" w:hAnsi="宋体"/>
                <w:color w:val="auto"/>
                <w:szCs w:val="21"/>
                <w:highlight w:val="none"/>
              </w:rPr>
              <w:t>单位</w:t>
            </w:r>
          </w:p>
        </w:tc>
        <w:tc>
          <w:tcPr>
            <w:tcW w:w="4941" w:type="dxa"/>
            <w:tcBorders>
              <w:top w:val="single" w:color="auto" w:sz="4" w:space="0"/>
              <w:left w:val="single" w:color="auto" w:sz="4" w:space="0"/>
              <w:bottom w:val="single" w:color="auto" w:sz="4" w:space="0"/>
              <w:right w:val="single" w:color="auto" w:sz="4" w:space="0"/>
            </w:tcBorders>
            <w:vAlign w:val="center"/>
          </w:tcPr>
          <w:p w14:paraId="6674AE38">
            <w:pPr>
              <w:snapToGrid w:val="0"/>
              <w:spacing w:line="360" w:lineRule="auto"/>
              <w:jc w:val="center"/>
              <w:rPr>
                <w:rFonts w:hint="eastAsia" w:ascii="宋体" w:hAnsi="宋体"/>
                <w:color w:val="auto"/>
                <w:szCs w:val="21"/>
                <w:highlight w:val="none"/>
              </w:rPr>
            </w:pPr>
            <w:r>
              <w:rPr>
                <w:rFonts w:hint="eastAsia" w:ascii="宋体" w:hAnsi="宋体"/>
                <w:color w:val="auto"/>
                <w:szCs w:val="21"/>
                <w:highlight w:val="none"/>
              </w:rPr>
              <w:t>简要技术需求或者服务要求</w:t>
            </w:r>
          </w:p>
        </w:tc>
      </w:tr>
      <w:tr w14:paraId="1404B9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14" w:type="dxa"/>
            <w:tcBorders>
              <w:top w:val="single" w:color="auto" w:sz="4" w:space="0"/>
              <w:left w:val="single" w:color="auto" w:sz="4" w:space="0"/>
              <w:bottom w:val="single" w:color="auto" w:sz="4" w:space="0"/>
              <w:right w:val="single" w:color="auto" w:sz="4" w:space="0"/>
            </w:tcBorders>
            <w:vAlign w:val="center"/>
          </w:tcPr>
          <w:p w14:paraId="04F773E0">
            <w:pPr>
              <w:snapToGrid w:val="0"/>
              <w:spacing w:line="360" w:lineRule="auto"/>
              <w:jc w:val="center"/>
              <w:rPr>
                <w:rFonts w:hint="eastAsia" w:ascii="宋体" w:hAnsi="宋体"/>
                <w:color w:val="auto"/>
                <w:szCs w:val="21"/>
                <w:highlight w:val="none"/>
              </w:rPr>
            </w:pPr>
            <w:r>
              <w:rPr>
                <w:rFonts w:hint="eastAsia" w:ascii="宋体" w:hAnsi="宋体"/>
                <w:color w:val="auto"/>
                <w:szCs w:val="21"/>
                <w:highlight w:val="none"/>
              </w:rPr>
              <w:t>01</w:t>
            </w:r>
          </w:p>
        </w:tc>
        <w:tc>
          <w:tcPr>
            <w:tcW w:w="2400" w:type="dxa"/>
            <w:tcBorders>
              <w:top w:val="single" w:color="auto" w:sz="4" w:space="0"/>
              <w:left w:val="single" w:color="auto" w:sz="4" w:space="0"/>
              <w:bottom w:val="single" w:color="auto" w:sz="4" w:space="0"/>
              <w:right w:val="single" w:color="auto" w:sz="4" w:space="0"/>
            </w:tcBorders>
            <w:vAlign w:val="center"/>
          </w:tcPr>
          <w:p w14:paraId="242500D7">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广西壮族自治区桂东公路发展中心</w:t>
            </w:r>
            <w:r>
              <w:rPr>
                <w:rFonts w:hint="eastAsia" w:ascii="宋体" w:hAnsi="宋体"/>
                <w:color w:val="auto"/>
                <w:szCs w:val="21"/>
                <w:highlight w:val="none"/>
                <w:lang w:eastAsia="zh-CN"/>
              </w:rPr>
              <w:t>2026年</w:t>
            </w:r>
            <w:r>
              <w:rPr>
                <w:rFonts w:hint="eastAsia" w:ascii="宋体" w:hAnsi="宋体"/>
                <w:color w:val="auto"/>
                <w:szCs w:val="21"/>
                <w:highlight w:val="none"/>
              </w:rPr>
              <w:t>普通国省干道桥隧定期检测服务</w:t>
            </w:r>
          </w:p>
        </w:tc>
        <w:tc>
          <w:tcPr>
            <w:tcW w:w="900" w:type="dxa"/>
            <w:tcBorders>
              <w:top w:val="single" w:color="auto" w:sz="4" w:space="0"/>
              <w:left w:val="single" w:color="auto" w:sz="4" w:space="0"/>
              <w:bottom w:val="single" w:color="auto" w:sz="4" w:space="0"/>
              <w:right w:val="single" w:color="auto" w:sz="4" w:space="0"/>
            </w:tcBorders>
            <w:vAlign w:val="center"/>
          </w:tcPr>
          <w:p w14:paraId="3A9DEEE1">
            <w:pPr>
              <w:snapToGrid w:val="0"/>
              <w:spacing w:line="360" w:lineRule="auto"/>
              <w:jc w:val="center"/>
              <w:rPr>
                <w:rFonts w:hint="eastAsia" w:ascii="宋体" w:hAnsi="宋体"/>
                <w:color w:val="auto"/>
                <w:szCs w:val="21"/>
                <w:highlight w:val="none"/>
              </w:rPr>
            </w:pPr>
            <w:r>
              <w:rPr>
                <w:rFonts w:hint="eastAsia" w:ascii="宋体" w:hAnsi="宋体"/>
                <w:color w:val="auto"/>
                <w:szCs w:val="21"/>
                <w:highlight w:val="none"/>
              </w:rPr>
              <w:t>1项</w:t>
            </w:r>
          </w:p>
        </w:tc>
        <w:tc>
          <w:tcPr>
            <w:tcW w:w="4941" w:type="dxa"/>
            <w:tcBorders>
              <w:top w:val="single" w:color="auto" w:sz="4" w:space="0"/>
              <w:left w:val="single" w:color="auto" w:sz="4" w:space="0"/>
              <w:bottom w:val="single" w:color="auto" w:sz="4" w:space="0"/>
              <w:right w:val="single" w:color="auto" w:sz="4" w:space="0"/>
            </w:tcBorders>
            <w:vAlign w:val="center"/>
          </w:tcPr>
          <w:p w14:paraId="57E1FF1C">
            <w:pPr>
              <w:snapToGrid w:val="0"/>
              <w:spacing w:line="360" w:lineRule="auto"/>
              <w:rPr>
                <w:rFonts w:hint="eastAsia" w:ascii="宋体" w:hAnsi="宋体"/>
                <w:color w:val="auto"/>
                <w:szCs w:val="21"/>
                <w:highlight w:val="none"/>
              </w:rPr>
            </w:pPr>
            <w:r>
              <w:rPr>
                <w:rFonts w:hint="eastAsia" w:ascii="宋体" w:hAnsi="宋体"/>
                <w:color w:val="auto"/>
                <w:szCs w:val="21"/>
                <w:highlight w:val="none"/>
                <w:lang w:eastAsia="zh-CN"/>
              </w:rPr>
              <w:t>本项目对采购人管养的桥梁和隧道进行定期检测，服务年度为2026年。管养辖区分为：蒙山、藤县、苍梧、岑溪、八步、钟山、富川、昭平辖区管养桥梁、隧道。</w:t>
            </w:r>
            <w:r>
              <w:rPr>
                <w:rFonts w:hint="eastAsia" w:ascii="宋体" w:hAnsi="宋体"/>
                <w:color w:val="auto"/>
                <w:szCs w:val="21"/>
                <w:highlight w:val="none"/>
              </w:rPr>
              <w:t>具体详见采购需求。</w:t>
            </w:r>
          </w:p>
        </w:tc>
      </w:tr>
    </w:tbl>
    <w:p w14:paraId="143C066F">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合同履行期限：自采购人通知开展工作之日后90个日历日内(不包括公路主管部门、机构通知停工、封路的时间等)完成本项目约定的各项工作任务，并向采购人提供符合要求的检测报告、针对存在的质量问题提出建议性的处治意见</w:t>
      </w:r>
      <w:r>
        <w:rPr>
          <w:rFonts w:hint="eastAsia" w:ascii="宋体" w:hAnsi="宋体" w:cs="宋体"/>
          <w:color w:val="auto"/>
          <w:szCs w:val="21"/>
          <w:highlight w:val="none"/>
        </w:rPr>
        <w:t>。提交服务成果后的1年内，应对项目范围内的桥梁、隧道的维护管理提供技术咨询服务。</w:t>
      </w:r>
    </w:p>
    <w:p w14:paraId="5DCF9A94">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本项目不接受联合体投标。</w:t>
      </w:r>
    </w:p>
    <w:p w14:paraId="0069F9D5">
      <w:pPr>
        <w:spacing w:line="360" w:lineRule="auto"/>
        <w:rPr>
          <w:rFonts w:hint="eastAsia" w:ascii="黑体" w:hAnsi="黑体" w:eastAsia="黑体"/>
          <w:b/>
          <w:bCs/>
          <w:color w:val="auto"/>
          <w:sz w:val="24"/>
          <w:highlight w:val="none"/>
        </w:rPr>
      </w:pPr>
      <w:bookmarkStart w:id="10" w:name="_Toc35393791"/>
      <w:bookmarkStart w:id="11" w:name="_Toc28359080"/>
      <w:bookmarkStart w:id="12" w:name="_Toc35393622"/>
      <w:bookmarkStart w:id="13" w:name="_Toc28359003"/>
      <w:r>
        <w:rPr>
          <w:rFonts w:hint="eastAsia" w:ascii="黑体" w:hAnsi="黑体" w:eastAsia="黑体"/>
          <w:b/>
          <w:bCs/>
          <w:color w:val="auto"/>
          <w:sz w:val="24"/>
          <w:highlight w:val="none"/>
        </w:rPr>
        <w:t>二、申请人的资格要求：</w:t>
      </w:r>
      <w:bookmarkEnd w:id="10"/>
      <w:bookmarkEnd w:id="11"/>
      <w:bookmarkEnd w:id="12"/>
      <w:bookmarkEnd w:id="13"/>
    </w:p>
    <w:p w14:paraId="7CA22097">
      <w:pPr>
        <w:spacing w:line="360" w:lineRule="auto"/>
        <w:ind w:firstLine="420" w:firstLineChars="200"/>
        <w:rPr>
          <w:rFonts w:hint="eastAsia" w:ascii="宋体" w:hAnsi="宋体"/>
          <w:color w:val="auto"/>
          <w:szCs w:val="21"/>
          <w:highlight w:val="none"/>
        </w:rPr>
      </w:pPr>
      <w:bookmarkStart w:id="14" w:name="_Hlk51746371"/>
      <w:bookmarkStart w:id="15" w:name="_Toc35393792"/>
      <w:bookmarkStart w:id="16" w:name="_Toc35393623"/>
      <w:bookmarkStart w:id="17" w:name="_Toc28359081"/>
      <w:bookmarkStart w:id="18" w:name="_Toc28359004"/>
      <w:r>
        <w:rPr>
          <w:rFonts w:hint="eastAsia" w:ascii="宋体" w:hAnsi="宋体"/>
          <w:color w:val="auto"/>
          <w:szCs w:val="21"/>
          <w:highlight w:val="none"/>
        </w:rPr>
        <w:t>1.满足《中华人民共和国政府采购法》第二十二条规定；</w:t>
      </w:r>
    </w:p>
    <w:p w14:paraId="72C9343E">
      <w:pPr>
        <w:spacing w:line="360" w:lineRule="auto"/>
        <w:ind w:firstLine="420" w:firstLineChars="200"/>
        <w:rPr>
          <w:rFonts w:hint="eastAsia"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.落实政府采购政策需满足的资格要求：无。</w:t>
      </w:r>
    </w:p>
    <w:p w14:paraId="2BE632A0">
      <w:pPr>
        <w:spacing w:line="360" w:lineRule="auto"/>
        <w:ind w:firstLine="420" w:firstLineChars="200"/>
        <w:rPr>
          <w:rFonts w:hint="eastAsia" w:ascii="宋体" w:hAnsi="宋体"/>
          <w:color w:val="auto"/>
          <w:szCs w:val="21"/>
          <w:highlight w:val="none"/>
          <w:u w:val="single"/>
        </w:rPr>
      </w:pPr>
      <w:r>
        <w:rPr>
          <w:rFonts w:hint="eastAsia" w:ascii="宋体" w:hAnsi="宋体"/>
          <w:color w:val="auto"/>
          <w:szCs w:val="21"/>
          <w:highlight w:val="none"/>
        </w:rPr>
        <w:t>3.本项目的特定资格要求：具有有效的省级及以上交通行政主管部门颁发的公路工程综合甲级或公路工程甲级或桥梁隧道工程专项检测资质，并同时具备有效的计量认证证书（CMA），证书附表须涵盖本项目所有检测参数</w:t>
      </w:r>
      <w:r>
        <w:rPr>
          <w:rFonts w:hint="eastAsia"/>
          <w:color w:val="auto"/>
          <w:highlight w:val="none"/>
        </w:rPr>
        <w:t>。</w:t>
      </w:r>
    </w:p>
    <w:bookmarkEnd w:id="14"/>
    <w:p w14:paraId="3930E098">
      <w:pPr>
        <w:spacing w:line="360" w:lineRule="auto"/>
        <w:rPr>
          <w:rFonts w:hint="eastAsia" w:ascii="黑体" w:hAnsi="黑体" w:eastAsia="黑体"/>
          <w:b/>
          <w:bCs/>
          <w:color w:val="auto"/>
          <w:sz w:val="24"/>
          <w:highlight w:val="none"/>
        </w:rPr>
      </w:pPr>
      <w:r>
        <w:rPr>
          <w:rFonts w:hint="eastAsia" w:ascii="黑体" w:hAnsi="黑体" w:eastAsia="黑体"/>
          <w:b/>
          <w:bCs/>
          <w:color w:val="auto"/>
          <w:sz w:val="24"/>
          <w:highlight w:val="none"/>
        </w:rPr>
        <w:t>三、获取招标文件</w:t>
      </w:r>
      <w:bookmarkEnd w:id="15"/>
      <w:bookmarkEnd w:id="16"/>
      <w:bookmarkEnd w:id="17"/>
      <w:bookmarkEnd w:id="18"/>
    </w:p>
    <w:p w14:paraId="2324F11A">
      <w:pPr>
        <w:spacing w:line="360" w:lineRule="auto"/>
        <w:ind w:firstLine="54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时间：</w:t>
      </w:r>
      <w:r>
        <w:rPr>
          <w:rFonts w:hint="eastAsia" w:ascii="宋体" w:hAnsi="宋体" w:cs="宋体"/>
          <w:bCs/>
          <w:color w:val="auto"/>
          <w:kern w:val="0"/>
          <w:szCs w:val="21"/>
          <w:highlight w:val="none"/>
          <w:lang w:eastAsia="zh-CN"/>
        </w:rPr>
        <w:t>2026年</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lang w:val="en-US" w:eastAsia="zh-CN"/>
        </w:rPr>
        <w:t>6</w:t>
      </w:r>
      <w:r>
        <w:rPr>
          <w:rFonts w:hint="eastAsia" w:ascii="宋体" w:hAnsi="宋体" w:cs="宋体"/>
          <w:bCs/>
          <w:color w:val="auto"/>
          <w:kern w:val="0"/>
          <w:szCs w:val="21"/>
          <w:highlight w:val="none"/>
        </w:rPr>
        <w:t>日至</w:t>
      </w:r>
      <w:r>
        <w:rPr>
          <w:rFonts w:hint="eastAsia" w:ascii="宋体" w:hAnsi="宋体" w:cs="宋体"/>
          <w:bCs/>
          <w:color w:val="auto"/>
          <w:kern w:val="0"/>
          <w:szCs w:val="21"/>
          <w:highlight w:val="none"/>
          <w:lang w:eastAsia="zh-CN"/>
        </w:rPr>
        <w:t>2026年</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lang w:val="en-US" w:eastAsia="zh-CN"/>
        </w:rPr>
        <w:t>13</w:t>
      </w:r>
      <w:r>
        <w:rPr>
          <w:rFonts w:hint="eastAsia" w:ascii="宋体" w:hAnsi="宋体" w:cs="宋体"/>
          <w:bCs/>
          <w:color w:val="auto"/>
          <w:kern w:val="0"/>
          <w:szCs w:val="21"/>
          <w:highlight w:val="none"/>
        </w:rPr>
        <w:t>日，每天上午</w:t>
      </w:r>
      <w:r>
        <w:rPr>
          <w:rFonts w:hint="eastAsia" w:ascii="宋体" w:hAnsi="宋体" w:cs="宋体"/>
          <w:bCs/>
          <w:color w:val="auto"/>
          <w:kern w:val="0"/>
          <w:szCs w:val="21"/>
          <w:highlight w:val="none"/>
          <w:lang w:val="en-US" w:eastAsia="zh-CN"/>
        </w:rPr>
        <w:t>00</w:t>
      </w:r>
      <w:r>
        <w:rPr>
          <w:rFonts w:hint="eastAsia" w:ascii="宋体" w:hAnsi="宋体" w:cs="宋体"/>
          <w:bCs/>
          <w:color w:val="auto"/>
          <w:kern w:val="0"/>
          <w:szCs w:val="21"/>
          <w:highlight w:val="none"/>
        </w:rPr>
        <w:t>:00至</w:t>
      </w:r>
      <w:r>
        <w:rPr>
          <w:rFonts w:hint="eastAsia" w:ascii="宋体" w:hAnsi="宋体" w:cs="宋体"/>
          <w:bCs/>
          <w:color w:val="auto"/>
          <w:kern w:val="0"/>
          <w:szCs w:val="21"/>
          <w:highlight w:val="none"/>
          <w:lang w:val="en-US" w:eastAsia="zh-CN"/>
        </w:rPr>
        <w:t>11</w:t>
      </w:r>
      <w:r>
        <w:rPr>
          <w:rFonts w:hint="eastAsia" w:ascii="宋体" w:hAnsi="宋体" w:cs="宋体"/>
          <w:bCs/>
          <w:color w:val="auto"/>
          <w:kern w:val="0"/>
          <w:szCs w:val="21"/>
          <w:highlight w:val="none"/>
        </w:rPr>
        <w:t>：</w:t>
      </w:r>
      <w:r>
        <w:rPr>
          <w:rFonts w:hint="eastAsia" w:ascii="宋体" w:hAnsi="宋体" w:cs="宋体"/>
          <w:bCs/>
          <w:color w:val="auto"/>
          <w:kern w:val="0"/>
          <w:szCs w:val="21"/>
          <w:highlight w:val="none"/>
          <w:lang w:val="en-US" w:eastAsia="zh-CN"/>
        </w:rPr>
        <w:t>59</w:t>
      </w:r>
      <w:r>
        <w:rPr>
          <w:rFonts w:hint="eastAsia" w:ascii="宋体" w:hAnsi="宋体" w:cs="宋体"/>
          <w:bCs/>
          <w:color w:val="auto"/>
          <w:kern w:val="0"/>
          <w:szCs w:val="21"/>
          <w:highlight w:val="none"/>
        </w:rPr>
        <w:t>，下午</w:t>
      </w:r>
      <w:r>
        <w:rPr>
          <w:rFonts w:hint="eastAsia" w:ascii="宋体" w:hAnsi="宋体" w:cs="宋体"/>
          <w:bCs/>
          <w:color w:val="auto"/>
          <w:kern w:val="0"/>
          <w:szCs w:val="21"/>
          <w:highlight w:val="none"/>
          <w:lang w:val="en-US" w:eastAsia="zh-CN"/>
        </w:rPr>
        <w:t>12</w:t>
      </w:r>
      <w:r>
        <w:rPr>
          <w:rFonts w:hint="eastAsia" w:ascii="宋体" w:hAnsi="宋体" w:cs="宋体"/>
          <w:bCs/>
          <w:color w:val="auto"/>
          <w:kern w:val="0"/>
          <w:szCs w:val="21"/>
          <w:highlight w:val="none"/>
        </w:rPr>
        <w:t>:00至</w:t>
      </w:r>
      <w:r>
        <w:rPr>
          <w:rFonts w:hint="eastAsia" w:ascii="宋体" w:hAnsi="宋体" w:cs="宋体"/>
          <w:bCs/>
          <w:color w:val="auto"/>
          <w:kern w:val="0"/>
          <w:szCs w:val="21"/>
          <w:highlight w:val="none"/>
          <w:lang w:val="en-US" w:eastAsia="zh-CN"/>
        </w:rPr>
        <w:t>23</w:t>
      </w:r>
      <w:r>
        <w:rPr>
          <w:rFonts w:hint="eastAsia" w:ascii="宋体" w:hAnsi="宋体" w:cs="宋体"/>
          <w:bCs/>
          <w:color w:val="auto"/>
          <w:kern w:val="0"/>
          <w:szCs w:val="21"/>
          <w:highlight w:val="none"/>
        </w:rPr>
        <w:t>:</w:t>
      </w:r>
      <w:r>
        <w:rPr>
          <w:rFonts w:hint="eastAsia" w:ascii="宋体" w:hAnsi="宋体" w:cs="宋体"/>
          <w:bCs/>
          <w:color w:val="auto"/>
          <w:kern w:val="0"/>
          <w:szCs w:val="21"/>
          <w:highlight w:val="none"/>
          <w:lang w:val="en-US" w:eastAsia="zh-CN"/>
        </w:rPr>
        <w:t>59</w:t>
      </w:r>
      <w:r>
        <w:rPr>
          <w:rFonts w:hint="eastAsia" w:ascii="宋体" w:hAnsi="宋体" w:cs="宋体"/>
          <w:bCs/>
          <w:color w:val="auto"/>
          <w:kern w:val="0"/>
          <w:szCs w:val="21"/>
          <w:highlight w:val="none"/>
        </w:rPr>
        <w:t>（北京时间）。</w:t>
      </w:r>
    </w:p>
    <w:p w14:paraId="5B4229AB">
      <w:pPr>
        <w:spacing w:line="360" w:lineRule="auto"/>
        <w:ind w:firstLine="54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地点：广西政府采购云平台（https://www.gcy.zfcg.gxzf.gov.cn/）</w:t>
      </w:r>
    </w:p>
    <w:p w14:paraId="144559F1">
      <w:pPr>
        <w:spacing w:line="360" w:lineRule="auto"/>
        <w:ind w:firstLine="54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方式：网上下载。本项目不提供纸质文件，潜在供应商需在广西政府采购云平台（https://www.gcy.zfcg.gxzf.gov.cn/）-进入“项目采购”应用，在获取采购文件菜单中选择项目，获取招标文件。电子投标文件制作需要基于广西政府采购云平台获取的招标文件编制，通过其他方式获取招标文件的，将有可能导致供应商无法在“广西政府采购云平台编制及上传投标文件。</w:t>
      </w:r>
    </w:p>
    <w:p w14:paraId="43983DB4">
      <w:pPr>
        <w:spacing w:line="360" w:lineRule="auto"/>
        <w:ind w:firstLine="540"/>
        <w:rPr>
          <w:rFonts w:hint="eastAsia" w:ascii="宋体" w:hAnsi="宋体" w:cs="宋体"/>
          <w:color w:val="auto"/>
          <w:szCs w:val="21"/>
          <w:highlight w:val="none"/>
        </w:rPr>
      </w:pPr>
      <w:r>
        <w:rPr>
          <w:rFonts w:hint="eastAsia" w:ascii="宋体" w:hAnsi="宋体" w:cs="宋体"/>
          <w:bCs/>
          <w:color w:val="auto"/>
          <w:kern w:val="0"/>
          <w:szCs w:val="21"/>
          <w:highlight w:val="none"/>
        </w:rPr>
        <w:t>售价：</w:t>
      </w:r>
      <w:r>
        <w:rPr>
          <w:rFonts w:hint="eastAsia" w:ascii="宋体" w:hAnsi="宋体" w:cs="宋体"/>
          <w:iCs/>
          <w:color w:val="auto"/>
          <w:szCs w:val="21"/>
          <w:highlight w:val="none"/>
          <w:u w:val="single"/>
        </w:rPr>
        <w:t>0</w:t>
      </w:r>
      <w:r>
        <w:rPr>
          <w:rFonts w:hint="eastAsia" w:ascii="宋体" w:hAnsi="宋体" w:cs="宋体"/>
          <w:color w:val="auto"/>
          <w:szCs w:val="21"/>
          <w:highlight w:val="none"/>
        </w:rPr>
        <w:t>元</w:t>
      </w:r>
    </w:p>
    <w:p w14:paraId="42840359">
      <w:pPr>
        <w:spacing w:line="360" w:lineRule="auto"/>
        <w:rPr>
          <w:rFonts w:hint="eastAsia" w:ascii="黑体" w:hAnsi="黑体" w:eastAsia="黑体"/>
          <w:b/>
          <w:bCs/>
          <w:color w:val="auto"/>
          <w:sz w:val="24"/>
          <w:highlight w:val="none"/>
        </w:rPr>
      </w:pPr>
      <w:bookmarkStart w:id="19" w:name="_Toc28359005"/>
      <w:bookmarkStart w:id="20" w:name="_Toc28359082"/>
      <w:bookmarkStart w:id="21" w:name="_Toc35393624"/>
      <w:bookmarkStart w:id="22" w:name="_Toc35393793"/>
      <w:r>
        <w:rPr>
          <w:rFonts w:hint="eastAsia" w:ascii="黑体" w:hAnsi="黑体" w:eastAsia="黑体"/>
          <w:b/>
          <w:bCs/>
          <w:color w:val="auto"/>
          <w:sz w:val="24"/>
          <w:highlight w:val="none"/>
        </w:rPr>
        <w:t>四、提交投标文件</w:t>
      </w:r>
      <w:bookmarkEnd w:id="19"/>
      <w:bookmarkEnd w:id="20"/>
      <w:r>
        <w:rPr>
          <w:rFonts w:hint="eastAsia" w:ascii="黑体" w:hAnsi="黑体" w:eastAsia="黑体"/>
          <w:b/>
          <w:bCs/>
          <w:color w:val="auto"/>
          <w:sz w:val="24"/>
          <w:highlight w:val="none"/>
        </w:rPr>
        <w:t>截止时间、开标时间和地点</w:t>
      </w:r>
      <w:bookmarkEnd w:id="21"/>
      <w:bookmarkEnd w:id="22"/>
    </w:p>
    <w:p w14:paraId="5D8148D1">
      <w:pPr>
        <w:spacing w:line="360" w:lineRule="auto"/>
        <w:ind w:firstLine="420" w:firstLineChars="200"/>
        <w:rPr>
          <w:rFonts w:hint="eastAsia" w:ascii="宋体" w:hAnsi="宋体" w:cs="宋体"/>
          <w:color w:val="auto"/>
          <w:szCs w:val="21"/>
          <w:highlight w:val="none"/>
          <w:u w:val="single"/>
        </w:rPr>
      </w:pPr>
      <w:bookmarkStart w:id="23" w:name="_Toc35393625"/>
      <w:bookmarkStart w:id="24" w:name="_Toc28359007"/>
      <w:bookmarkStart w:id="25" w:name="_Toc28359084"/>
      <w:bookmarkStart w:id="26" w:name="_Toc35393794"/>
      <w:r>
        <w:rPr>
          <w:rFonts w:hint="eastAsia" w:ascii="宋体" w:hAnsi="宋体"/>
          <w:bCs/>
          <w:color w:val="auto"/>
          <w:szCs w:val="21"/>
          <w:highlight w:val="none"/>
          <w:u w:val="single"/>
          <w:lang w:eastAsia="zh-CN"/>
        </w:rPr>
        <w:t>提交投标文件截止时间：2026年</w:t>
      </w:r>
      <w:r>
        <w:rPr>
          <w:rFonts w:hint="eastAsia" w:ascii="宋体" w:hAnsi="宋体"/>
          <w:bCs/>
          <w:color w:val="auto"/>
          <w:szCs w:val="21"/>
          <w:highlight w:val="none"/>
          <w:u w:val="single"/>
          <w:lang w:val="en-US" w:eastAsia="zh-CN"/>
        </w:rPr>
        <w:t>3</w:t>
      </w:r>
      <w:r>
        <w:rPr>
          <w:rFonts w:hint="eastAsia" w:ascii="宋体" w:hAnsi="宋体"/>
          <w:bCs/>
          <w:color w:val="auto"/>
          <w:szCs w:val="21"/>
          <w:highlight w:val="none"/>
          <w:u w:val="single"/>
        </w:rPr>
        <w:t>月</w:t>
      </w:r>
      <w:r>
        <w:rPr>
          <w:rFonts w:hint="eastAsia" w:ascii="宋体" w:hAnsi="宋体"/>
          <w:bCs/>
          <w:color w:val="auto"/>
          <w:szCs w:val="21"/>
          <w:highlight w:val="none"/>
          <w:u w:val="single"/>
          <w:lang w:val="en-US" w:eastAsia="zh-CN"/>
        </w:rPr>
        <w:t>27</w:t>
      </w:r>
      <w:r>
        <w:rPr>
          <w:rFonts w:hint="eastAsia" w:ascii="宋体" w:hAnsi="宋体"/>
          <w:bCs/>
          <w:color w:val="auto"/>
          <w:szCs w:val="21"/>
          <w:highlight w:val="none"/>
          <w:u w:val="single"/>
        </w:rPr>
        <w:t>日09时30分</w:t>
      </w:r>
      <w:r>
        <w:rPr>
          <w:rFonts w:hint="eastAsia" w:ascii="宋体" w:hAnsi="宋体"/>
          <w:bCs/>
          <w:color w:val="auto"/>
          <w:szCs w:val="21"/>
          <w:highlight w:val="none"/>
        </w:rPr>
        <w:t>（北京时间）</w:t>
      </w:r>
    </w:p>
    <w:p w14:paraId="43D371D0">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投标</w:t>
      </w:r>
      <w:r>
        <w:rPr>
          <w:rFonts w:hint="eastAsia" w:ascii="宋体" w:hAnsi="宋体"/>
          <w:color w:val="auto"/>
          <w:szCs w:val="21"/>
          <w:highlight w:val="none"/>
        </w:rPr>
        <w:t>地点：广西政府采购云平台（https://www.gcy.zfcg.gxzf.gov.cn/）</w:t>
      </w:r>
    </w:p>
    <w:p w14:paraId="21C20404">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开标时间</w:t>
      </w:r>
      <w:r>
        <w:rPr>
          <w:rFonts w:hint="eastAsia" w:ascii="宋体" w:hAnsi="宋体"/>
          <w:color w:val="auto"/>
          <w:szCs w:val="21"/>
          <w:highlight w:val="none"/>
        </w:rPr>
        <w:t>：2026年</w:t>
      </w:r>
      <w:r>
        <w:rPr>
          <w:rFonts w:hint="eastAsia" w:ascii="宋体" w:hAnsi="宋体"/>
          <w:color w:val="auto"/>
          <w:szCs w:val="21"/>
          <w:highlight w:val="none"/>
          <w:lang w:val="en-US" w:eastAsia="zh-CN"/>
        </w:rPr>
        <w:t>3</w:t>
      </w:r>
      <w:r>
        <w:rPr>
          <w:rFonts w:hint="eastAsia" w:ascii="宋体" w:hAnsi="宋体"/>
          <w:color w:val="auto"/>
          <w:szCs w:val="21"/>
          <w:highlight w:val="none"/>
        </w:rPr>
        <w:t>月</w:t>
      </w:r>
      <w:r>
        <w:rPr>
          <w:rFonts w:hint="eastAsia" w:ascii="宋体" w:hAnsi="宋体"/>
          <w:color w:val="auto"/>
          <w:szCs w:val="21"/>
          <w:highlight w:val="none"/>
          <w:lang w:val="en-US" w:eastAsia="zh-CN"/>
        </w:rPr>
        <w:t>27</w:t>
      </w:r>
      <w:r>
        <w:rPr>
          <w:rFonts w:hint="eastAsia" w:ascii="宋体" w:hAnsi="宋体"/>
          <w:color w:val="auto"/>
          <w:szCs w:val="21"/>
          <w:highlight w:val="none"/>
        </w:rPr>
        <w:t>日09时30分</w:t>
      </w:r>
    </w:p>
    <w:p w14:paraId="2B20E3EC">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开标地点：广西政府采购云平台电子开标大厅</w:t>
      </w:r>
    </w:p>
    <w:p w14:paraId="27D49FBD">
      <w:pPr>
        <w:spacing w:line="360" w:lineRule="auto"/>
        <w:rPr>
          <w:rFonts w:hint="eastAsia" w:ascii="黑体" w:hAnsi="黑体" w:eastAsia="黑体"/>
          <w:b/>
          <w:bCs/>
          <w:color w:val="auto"/>
          <w:sz w:val="24"/>
          <w:highlight w:val="none"/>
        </w:rPr>
      </w:pPr>
      <w:r>
        <w:rPr>
          <w:rFonts w:hint="eastAsia" w:ascii="黑体" w:hAnsi="黑体" w:eastAsia="黑体"/>
          <w:b/>
          <w:bCs/>
          <w:color w:val="auto"/>
          <w:sz w:val="24"/>
          <w:highlight w:val="none"/>
        </w:rPr>
        <w:t>五、公告期限</w:t>
      </w:r>
      <w:bookmarkEnd w:id="23"/>
      <w:bookmarkEnd w:id="24"/>
      <w:bookmarkEnd w:id="25"/>
      <w:bookmarkEnd w:id="26"/>
    </w:p>
    <w:p w14:paraId="2300E8AF">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自本公告发布之日起5个工作日。</w:t>
      </w:r>
    </w:p>
    <w:p w14:paraId="74EB3EF0">
      <w:pPr>
        <w:spacing w:line="360" w:lineRule="auto"/>
        <w:rPr>
          <w:rFonts w:hint="eastAsia" w:ascii="黑体" w:hAnsi="黑体" w:eastAsia="黑体"/>
          <w:b/>
          <w:bCs/>
          <w:color w:val="auto"/>
          <w:sz w:val="24"/>
          <w:highlight w:val="none"/>
        </w:rPr>
      </w:pPr>
      <w:bookmarkStart w:id="27" w:name="_Toc35393795"/>
      <w:bookmarkStart w:id="28" w:name="_Toc35393626"/>
      <w:r>
        <w:rPr>
          <w:rFonts w:hint="eastAsia" w:ascii="黑体" w:hAnsi="黑体" w:eastAsia="黑体"/>
          <w:b/>
          <w:bCs/>
          <w:color w:val="auto"/>
          <w:sz w:val="24"/>
          <w:highlight w:val="none"/>
        </w:rPr>
        <w:t>六、其他补充事宜</w:t>
      </w:r>
      <w:bookmarkEnd w:id="27"/>
      <w:bookmarkEnd w:id="28"/>
    </w:p>
    <w:p w14:paraId="7FDA7452">
      <w:pPr>
        <w:spacing w:line="360" w:lineRule="auto"/>
        <w:ind w:firstLine="420" w:firstLineChars="200"/>
        <w:rPr>
          <w:rFonts w:hint="eastAsia" w:ascii="宋体" w:hAnsi="宋体" w:cs="宋体"/>
          <w:color w:val="auto"/>
          <w:kern w:val="0"/>
          <w:szCs w:val="21"/>
          <w:highlight w:val="none"/>
        </w:rPr>
      </w:pPr>
      <w:bookmarkStart w:id="29" w:name="_Hlk37429595"/>
      <w:bookmarkStart w:id="30" w:name="_Hlk37429585"/>
      <w:bookmarkStart w:id="31" w:name="_Toc35393796"/>
      <w:bookmarkStart w:id="32" w:name="_Toc28359008"/>
      <w:bookmarkStart w:id="33" w:name="_Toc28359085"/>
      <w:bookmarkStart w:id="34" w:name="_Toc35393627"/>
      <w:r>
        <w:rPr>
          <w:rFonts w:hint="eastAsia" w:ascii="宋体" w:hAnsi="宋体" w:cs="宋体"/>
          <w:color w:val="auto"/>
          <w:kern w:val="0"/>
          <w:szCs w:val="21"/>
          <w:highlight w:val="none"/>
        </w:rPr>
        <w:t>1.网上查询地址</w:t>
      </w:r>
    </w:p>
    <w:p w14:paraId="7AAD66CC">
      <w:pPr>
        <w:spacing w:line="360" w:lineRule="auto"/>
        <w:ind w:left="210" w:leftChars="100" w:firstLine="424" w:firstLineChars="202"/>
        <w:rPr>
          <w:rStyle w:val="55"/>
          <w:rFonts w:hint="eastAsia" w:ascii="宋体" w:hAnsi="宋体" w:eastAsia="宋体" w:cs="宋体"/>
          <w:iCs/>
          <w:color w:val="auto"/>
          <w:kern w:val="0"/>
          <w:szCs w:val="21"/>
          <w:highlight w:val="none"/>
          <w:u w:val="none"/>
        </w:rPr>
      </w:pPr>
      <w:r>
        <w:rPr>
          <w:rFonts w:ascii="宋体" w:hAnsi="宋体" w:cs="宋体"/>
          <w:iCs/>
          <w:color w:val="auto"/>
          <w:kern w:val="0"/>
          <w:szCs w:val="21"/>
          <w:highlight w:val="none"/>
        </w:rPr>
        <w:t>http：</w:t>
      </w:r>
      <w:r>
        <w:rPr>
          <w:rFonts w:hint="eastAsia" w:ascii="宋体" w:hAnsi="宋体" w:cs="宋体"/>
          <w:iCs/>
          <w:color w:val="auto"/>
          <w:kern w:val="0"/>
          <w:szCs w:val="21"/>
          <w:highlight w:val="none"/>
        </w:rPr>
        <w:t>//</w:t>
      </w:r>
      <w:r>
        <w:rPr>
          <w:color w:val="auto"/>
          <w:highlight w:val="none"/>
        </w:rPr>
        <w:fldChar w:fldCharType="begin"/>
      </w:r>
      <w:r>
        <w:rPr>
          <w:color w:val="auto"/>
          <w:highlight w:val="none"/>
        </w:rPr>
        <w:instrText xml:space="preserve"> HYPERLINK "http://www.ccgp.gov.cn（中国政府采购网）、zfcg.gxzf.gov.cn（广西壮族自治区政府采购网）" </w:instrText>
      </w:r>
      <w:r>
        <w:rPr>
          <w:color w:val="auto"/>
          <w:highlight w:val="none"/>
        </w:rPr>
        <w:fldChar w:fldCharType="separate"/>
      </w:r>
      <w:r>
        <w:rPr>
          <w:rStyle w:val="55"/>
          <w:rFonts w:hint="eastAsia" w:ascii="宋体" w:hAnsi="宋体" w:cs="宋体"/>
          <w:iCs/>
          <w:color w:val="auto"/>
          <w:kern w:val="0"/>
          <w:szCs w:val="21"/>
          <w:highlight w:val="none"/>
          <w:u w:val="none"/>
        </w:rPr>
        <w:t>www.ccgp.gov.cn（中国政府采购网）、</w:t>
      </w:r>
      <w:r>
        <w:rPr>
          <w:rFonts w:ascii="宋体" w:hAnsi="宋体" w:cs="宋体"/>
          <w:iCs/>
          <w:color w:val="auto"/>
          <w:kern w:val="0"/>
          <w:szCs w:val="21"/>
          <w:highlight w:val="none"/>
        </w:rPr>
        <w:t>http：</w:t>
      </w:r>
      <w:r>
        <w:rPr>
          <w:rFonts w:hint="eastAsia" w:ascii="宋体" w:hAnsi="宋体" w:cs="宋体"/>
          <w:iCs/>
          <w:color w:val="auto"/>
          <w:kern w:val="0"/>
          <w:szCs w:val="21"/>
          <w:highlight w:val="none"/>
        </w:rPr>
        <w:t>//</w:t>
      </w:r>
      <w:r>
        <w:rPr>
          <w:rStyle w:val="55"/>
          <w:rFonts w:hint="eastAsia" w:ascii="宋体" w:hAnsi="宋体" w:cs="宋体"/>
          <w:iCs/>
          <w:color w:val="auto"/>
          <w:kern w:val="0"/>
          <w:szCs w:val="21"/>
          <w:highlight w:val="none"/>
          <w:u w:val="none"/>
        </w:rPr>
        <w:t>zfcg.gxzf.gov.cn（广西壮族自治区政府采购网）</w:t>
      </w:r>
      <w:r>
        <w:rPr>
          <w:rStyle w:val="55"/>
          <w:rFonts w:hint="eastAsia" w:ascii="宋体" w:hAnsi="宋体" w:cs="宋体"/>
          <w:iCs/>
          <w:color w:val="auto"/>
          <w:kern w:val="0"/>
          <w:szCs w:val="21"/>
          <w:highlight w:val="none"/>
          <w:u w:val="none"/>
        </w:rPr>
        <w:fldChar w:fldCharType="end"/>
      </w:r>
      <w:r>
        <w:rPr>
          <w:rFonts w:hint="eastAsia" w:ascii="宋体" w:hAnsi="宋体" w:cs="宋体"/>
          <w:iCs/>
          <w:color w:val="auto"/>
          <w:kern w:val="0"/>
          <w:szCs w:val="21"/>
          <w:highlight w:val="none"/>
        </w:rPr>
        <w:t>、</w:t>
      </w:r>
      <w:r>
        <w:rPr>
          <w:rFonts w:hint="eastAsia" w:ascii="宋体" w:hAnsi="宋体" w:cs="宋体"/>
          <w:color w:val="auto"/>
          <w:kern w:val="0"/>
          <w:szCs w:val="21"/>
          <w:highlight w:val="none"/>
        </w:rPr>
        <w:t>http://gxggzy.g</w:t>
      </w:r>
      <w:r>
        <w:rPr>
          <w:rStyle w:val="55"/>
          <w:rFonts w:hint="eastAsia" w:ascii="宋体" w:hAnsi="宋体" w:eastAsia="宋体" w:cs="宋体"/>
          <w:iCs/>
          <w:color w:val="auto"/>
          <w:kern w:val="0"/>
          <w:szCs w:val="21"/>
          <w:highlight w:val="none"/>
          <w:u w:val="none"/>
        </w:rPr>
        <w:t>xzf.gov.cn（广西壮族自治区公共资源交易中心）、http://jthg.zcjb.com.cn（</w:t>
      </w:r>
      <w:r>
        <w:rPr>
          <w:rStyle w:val="55"/>
          <w:rFonts w:hint="eastAsia" w:ascii="宋体" w:hAnsi="宋体" w:eastAsia="宋体" w:cs="宋体"/>
          <w:iCs/>
          <w:color w:val="auto"/>
          <w:kern w:val="0"/>
          <w:szCs w:val="21"/>
          <w:highlight w:val="none"/>
          <w:u w:val="none"/>
          <w:lang w:eastAsia="zh-CN"/>
        </w:rPr>
        <w:t>广西交投宏冠电子招标投标交易平台</w:t>
      </w:r>
      <w:r>
        <w:rPr>
          <w:rStyle w:val="55"/>
          <w:rFonts w:hint="eastAsia" w:ascii="宋体" w:hAnsi="宋体" w:eastAsia="宋体" w:cs="宋体"/>
          <w:iCs/>
          <w:color w:val="auto"/>
          <w:kern w:val="0"/>
          <w:szCs w:val="21"/>
          <w:highlight w:val="none"/>
          <w:u w:val="none"/>
        </w:rPr>
        <w:t>）。</w:t>
      </w:r>
    </w:p>
    <w:bookmarkEnd w:id="29"/>
    <w:bookmarkEnd w:id="30"/>
    <w:p w14:paraId="694D876F">
      <w:pPr>
        <w:spacing w:line="360" w:lineRule="auto"/>
        <w:ind w:firstLine="424" w:firstLineChars="202"/>
        <w:rPr>
          <w:rFonts w:hint="eastAsia" w:ascii="宋体" w:hAnsi="宋体" w:cs="宋体"/>
          <w:iCs/>
          <w:color w:val="auto"/>
          <w:kern w:val="0"/>
          <w:szCs w:val="21"/>
          <w:highlight w:val="none"/>
        </w:rPr>
      </w:pPr>
      <w:bookmarkStart w:id="35" w:name="_Hlk37429674"/>
      <w:r>
        <w:rPr>
          <w:rFonts w:hint="eastAsia" w:ascii="宋体" w:hAnsi="宋体"/>
          <w:iCs/>
          <w:color w:val="auto"/>
          <w:szCs w:val="21"/>
          <w:highlight w:val="none"/>
        </w:rPr>
        <w:t>2</w:t>
      </w:r>
      <w:r>
        <w:rPr>
          <w:rFonts w:ascii="宋体" w:hAnsi="宋体"/>
          <w:iCs/>
          <w:color w:val="auto"/>
          <w:szCs w:val="21"/>
          <w:highlight w:val="none"/>
        </w:rPr>
        <w:t>.</w:t>
      </w:r>
      <w:r>
        <w:rPr>
          <w:rFonts w:hint="eastAsia" w:ascii="宋体" w:hAnsi="宋体" w:cs="宋体"/>
          <w:iCs/>
          <w:color w:val="auto"/>
          <w:kern w:val="0"/>
          <w:szCs w:val="21"/>
          <w:highlight w:val="none"/>
        </w:rPr>
        <w:t>本项目需要落实的政府采购政策</w:t>
      </w:r>
    </w:p>
    <w:p w14:paraId="5E5199BE">
      <w:pPr>
        <w:spacing w:line="360" w:lineRule="auto"/>
        <w:ind w:firstLine="420" w:firstLineChars="200"/>
        <w:rPr>
          <w:rFonts w:hint="eastAsia" w:ascii="宋体" w:hAnsi="宋体" w:cs="宋体"/>
          <w:iCs/>
          <w:color w:val="auto"/>
          <w:kern w:val="0"/>
          <w:szCs w:val="21"/>
          <w:highlight w:val="none"/>
        </w:rPr>
      </w:pPr>
      <w:r>
        <w:rPr>
          <w:rFonts w:hint="eastAsia" w:ascii="宋体" w:hAnsi="宋体" w:cs="宋体"/>
          <w:iCs/>
          <w:color w:val="auto"/>
          <w:kern w:val="0"/>
          <w:szCs w:val="21"/>
          <w:highlight w:val="none"/>
        </w:rPr>
        <w:t>（1）政府采购促进中小企业发展。</w:t>
      </w:r>
    </w:p>
    <w:p w14:paraId="7B8407DB">
      <w:pPr>
        <w:spacing w:line="360" w:lineRule="auto"/>
        <w:ind w:firstLine="420" w:firstLineChars="200"/>
        <w:rPr>
          <w:rFonts w:hint="eastAsia" w:ascii="宋体" w:hAnsi="宋体" w:cs="宋体"/>
          <w:iCs/>
          <w:color w:val="auto"/>
          <w:kern w:val="0"/>
          <w:szCs w:val="21"/>
          <w:highlight w:val="none"/>
        </w:rPr>
      </w:pPr>
      <w:r>
        <w:rPr>
          <w:rFonts w:hint="eastAsia" w:ascii="宋体" w:hAnsi="宋体" w:cs="宋体"/>
          <w:iCs/>
          <w:color w:val="auto"/>
          <w:kern w:val="0"/>
          <w:szCs w:val="21"/>
          <w:highlight w:val="none"/>
        </w:rPr>
        <w:t>（2）政府采购支持采用本国产品的政策。</w:t>
      </w:r>
    </w:p>
    <w:p w14:paraId="132E43BD">
      <w:pPr>
        <w:spacing w:line="360" w:lineRule="auto"/>
        <w:ind w:firstLine="420" w:firstLineChars="200"/>
        <w:rPr>
          <w:rFonts w:hint="eastAsia" w:ascii="宋体" w:hAnsi="宋体" w:cs="宋体"/>
          <w:iCs/>
          <w:color w:val="auto"/>
          <w:kern w:val="0"/>
          <w:szCs w:val="21"/>
          <w:highlight w:val="none"/>
        </w:rPr>
      </w:pPr>
      <w:r>
        <w:rPr>
          <w:rFonts w:hint="eastAsia" w:ascii="宋体" w:hAnsi="宋体" w:cs="宋体"/>
          <w:iCs/>
          <w:color w:val="auto"/>
          <w:kern w:val="0"/>
          <w:szCs w:val="21"/>
          <w:highlight w:val="none"/>
        </w:rPr>
        <w:t>（3）强制采购节能产品；优先采购节能产品、环境标志产品。</w:t>
      </w:r>
    </w:p>
    <w:p w14:paraId="70E961C7">
      <w:pPr>
        <w:spacing w:line="360" w:lineRule="auto"/>
        <w:ind w:firstLine="420" w:firstLineChars="200"/>
        <w:rPr>
          <w:rFonts w:hint="eastAsia" w:ascii="宋体" w:hAnsi="宋体" w:cs="宋体"/>
          <w:iCs/>
          <w:color w:val="auto"/>
          <w:kern w:val="0"/>
          <w:szCs w:val="21"/>
          <w:highlight w:val="none"/>
        </w:rPr>
      </w:pPr>
      <w:r>
        <w:rPr>
          <w:rFonts w:hint="eastAsia" w:ascii="宋体" w:hAnsi="宋体" w:cs="宋体"/>
          <w:iCs/>
          <w:color w:val="auto"/>
          <w:kern w:val="0"/>
          <w:szCs w:val="21"/>
          <w:highlight w:val="none"/>
        </w:rPr>
        <w:t>（4）政府采购促进残疾人就业政策。</w:t>
      </w:r>
    </w:p>
    <w:p w14:paraId="4459115E">
      <w:pPr>
        <w:spacing w:line="360" w:lineRule="auto"/>
        <w:ind w:firstLine="420" w:firstLineChars="200"/>
        <w:rPr>
          <w:rFonts w:hint="eastAsia" w:ascii="宋体" w:hAnsi="宋体" w:cs="宋体"/>
          <w:iCs/>
          <w:color w:val="auto"/>
          <w:kern w:val="0"/>
          <w:szCs w:val="21"/>
          <w:highlight w:val="none"/>
        </w:rPr>
      </w:pPr>
      <w:r>
        <w:rPr>
          <w:rFonts w:hint="eastAsia" w:ascii="宋体" w:hAnsi="宋体" w:cs="宋体"/>
          <w:iCs/>
          <w:color w:val="auto"/>
          <w:kern w:val="0"/>
          <w:szCs w:val="21"/>
          <w:highlight w:val="none"/>
        </w:rPr>
        <w:t>（5）政府采购支持监狱企业发展。</w:t>
      </w:r>
    </w:p>
    <w:bookmarkEnd w:id="35"/>
    <w:p w14:paraId="27FC2994">
      <w:pPr>
        <w:widowControl/>
        <w:spacing w:line="360" w:lineRule="auto"/>
        <w:ind w:firstLine="420" w:firstLineChars="200"/>
        <w:jc w:val="left"/>
        <w:rPr>
          <w:rFonts w:hint="eastAsia" w:ascii="宋体" w:hAnsi="宋体"/>
          <w:color w:val="auto"/>
          <w:szCs w:val="21"/>
          <w:highlight w:val="none"/>
        </w:rPr>
      </w:pPr>
      <w:r>
        <w:rPr>
          <w:rFonts w:hint="eastAsia" w:ascii="宋体" w:hAnsi="宋体" w:cs="宋体"/>
          <w:color w:val="auto"/>
          <w:kern w:val="0"/>
          <w:szCs w:val="21"/>
          <w:highlight w:val="none"/>
        </w:rPr>
        <w:t>3.投标人</w:t>
      </w:r>
      <w:r>
        <w:rPr>
          <w:rFonts w:hint="eastAsia" w:ascii="宋体" w:hAnsi="宋体"/>
          <w:color w:val="auto"/>
          <w:szCs w:val="21"/>
          <w:highlight w:val="none"/>
        </w:rPr>
        <w:t>投标注意事项</w:t>
      </w:r>
    </w:p>
    <w:p w14:paraId="0FD3D1DC">
      <w:pPr>
        <w:spacing w:line="360" w:lineRule="auto"/>
        <w:ind w:firstLine="424" w:firstLineChars="202"/>
        <w:rPr>
          <w:rFonts w:hint="eastAsia" w:ascii="宋体" w:hAnsi="宋体" w:cs="宋体"/>
          <w:b/>
          <w:bCs/>
          <w:iCs/>
          <w:color w:val="auto"/>
          <w:kern w:val="0"/>
          <w:szCs w:val="21"/>
          <w:highlight w:val="none"/>
        </w:rPr>
      </w:pPr>
      <w:r>
        <w:rPr>
          <w:rFonts w:hint="eastAsia" w:ascii="宋体" w:hAnsi="宋体" w:cs="宋体"/>
          <w:iCs/>
          <w:color w:val="auto"/>
          <w:kern w:val="0"/>
          <w:szCs w:val="21"/>
          <w:highlight w:val="none"/>
        </w:rPr>
        <w:t>（1）本项目为全流程电子化采购项目，通过广西政府采购云平台（https://www.gcy.zfcg.gxzf.gov.cn/）实行在线电子投标，投标人应按照本项目招标文件和广西政府采购云平台的要求编制、加密后在投标截止时间前通过网络上传至广西政府采购云平台（加密的电子投标文件是指后缀名为“jmbs”的文件），投标人在广西政府采购云平台提交电子投标文件时，请填写参加远程开标活动经办人联系方式。投</w:t>
      </w:r>
      <w:r>
        <w:rPr>
          <w:rFonts w:hint="eastAsia" w:ascii="宋体" w:hAnsi="宋体" w:cs="宋体"/>
          <w:b/>
          <w:bCs/>
          <w:iCs/>
          <w:color w:val="auto"/>
          <w:kern w:val="0"/>
          <w:szCs w:val="21"/>
          <w:highlight w:val="none"/>
        </w:rPr>
        <w:t>标人登录广西政府采购云平台，依次进入“服务中心-项目采购-操作流程-电子招投标-政府采购项目电子交易管理操作指南-供应商”查看电子投标具体操作流程。</w:t>
      </w:r>
    </w:p>
    <w:p w14:paraId="4C269626">
      <w:pPr>
        <w:spacing w:line="360" w:lineRule="auto"/>
        <w:ind w:firstLine="424" w:firstLineChars="202"/>
        <w:rPr>
          <w:rFonts w:hint="eastAsia" w:ascii="宋体" w:hAnsi="宋体" w:cs="宋体"/>
          <w:iCs/>
          <w:color w:val="auto"/>
          <w:kern w:val="0"/>
          <w:szCs w:val="21"/>
          <w:highlight w:val="none"/>
        </w:rPr>
      </w:pPr>
      <w:r>
        <w:rPr>
          <w:rFonts w:hint="eastAsia" w:ascii="宋体" w:hAnsi="宋体" w:cs="宋体"/>
          <w:iCs/>
          <w:color w:val="auto"/>
          <w:kern w:val="0"/>
          <w:szCs w:val="21"/>
          <w:highlight w:val="none"/>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下载专区”或者登录广西政府采购云平台，依次进入“服务中心-入驻与配置”中查看CA数字证书办理操作流程。如在操作过程中遇到问题或者需要技术支持，</w:t>
      </w:r>
      <w:r>
        <w:rPr>
          <w:rFonts w:hint="eastAsia" w:ascii="宋体" w:hAnsi="宋体" w:cs="宋体"/>
          <w:b/>
          <w:bCs/>
          <w:iCs/>
          <w:color w:val="auto"/>
          <w:kern w:val="0"/>
          <w:szCs w:val="21"/>
          <w:highlight w:val="none"/>
        </w:rPr>
        <w:t>请致电客服热线：</w:t>
      </w:r>
      <w:r>
        <w:rPr>
          <w:rFonts w:hint="eastAsia" w:ascii="宋体" w:hAnsi="宋体" w:cs="宋体"/>
          <w:b/>
          <w:bCs/>
          <w:color w:val="auto"/>
          <w:kern w:val="0"/>
          <w:szCs w:val="21"/>
          <w:highlight w:val="none"/>
        </w:rPr>
        <w:t>95763或者</w:t>
      </w:r>
      <w:r>
        <w:rPr>
          <w:rFonts w:hint="eastAsia" w:ascii="宋体" w:hAnsi="宋体" w:cs="宋体"/>
          <w:b/>
          <w:bCs/>
          <w:iCs/>
          <w:color w:val="auto"/>
          <w:kern w:val="0"/>
          <w:szCs w:val="21"/>
          <w:highlight w:val="none"/>
        </w:rPr>
        <w:t>0771-3381253</w:t>
      </w:r>
      <w:r>
        <w:rPr>
          <w:rFonts w:hint="eastAsia" w:ascii="宋体" w:hAnsi="宋体" w:cs="宋体"/>
          <w:iCs/>
          <w:color w:val="auto"/>
          <w:kern w:val="0"/>
          <w:szCs w:val="21"/>
          <w:highlight w:val="none"/>
        </w:rPr>
        <w:t>）。</w:t>
      </w:r>
    </w:p>
    <w:p w14:paraId="7F5B169A">
      <w:pPr>
        <w:spacing w:line="360" w:lineRule="auto"/>
        <w:ind w:firstLine="426" w:firstLineChars="202"/>
        <w:rPr>
          <w:rFonts w:hint="eastAsia" w:ascii="宋体" w:hAnsi="宋体" w:cs="宋体"/>
          <w:b/>
          <w:bCs/>
          <w:iCs/>
          <w:color w:val="auto"/>
          <w:kern w:val="0"/>
          <w:szCs w:val="21"/>
          <w:highlight w:val="none"/>
        </w:rPr>
      </w:pPr>
      <w:r>
        <w:rPr>
          <w:rFonts w:hint="eastAsia" w:ascii="宋体" w:hAnsi="宋体" w:cs="宋体"/>
          <w:b/>
          <w:bCs/>
          <w:iCs/>
          <w:color w:val="auto"/>
          <w:kern w:val="0"/>
          <w:szCs w:val="21"/>
          <w:highlight w:val="none"/>
        </w:rPr>
        <w:t>（3）CA证书在线解密：投标人投标时，需凭制作投标文件时用来加密的有效数字证书（CA认证）登录广西政府采购云平台电子开标大厅现场按规定时间对加密的投标文件进行解密，否则后果自负。</w:t>
      </w:r>
    </w:p>
    <w:p w14:paraId="647F1A3D">
      <w:pPr>
        <w:spacing w:line="360" w:lineRule="auto"/>
        <w:ind w:firstLine="424" w:firstLineChars="202"/>
        <w:rPr>
          <w:rFonts w:hint="eastAsia" w:ascii="宋体" w:hAnsi="宋体" w:cs="宋体"/>
          <w:color w:val="auto"/>
          <w:kern w:val="0"/>
          <w:szCs w:val="21"/>
          <w:highlight w:val="none"/>
        </w:rPr>
      </w:pPr>
      <w:r>
        <w:rPr>
          <w:rFonts w:hint="eastAsia" w:ascii="宋体" w:hAnsi="宋体" w:cs="宋体"/>
          <w:iCs/>
          <w:color w:val="auto"/>
          <w:kern w:val="0"/>
          <w:szCs w:val="21"/>
          <w:highlight w:val="none"/>
        </w:rPr>
        <w:t>注：1）为确保网上操作合法、有效和安全，请投标人确保在电子投标过程中能够对相关数据电文进行加密和使用电子签章，妥善保管CA数字证书并使用有效的CA数字证书参与整个招标活动。2）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广西政府采购云平台将予以拒收。</w:t>
      </w:r>
    </w:p>
    <w:p w14:paraId="7B1E7F95">
      <w:pPr>
        <w:spacing w:line="360" w:lineRule="auto"/>
        <w:rPr>
          <w:rFonts w:hint="eastAsia" w:ascii="黑体" w:hAnsi="黑体" w:eastAsia="黑体"/>
          <w:b/>
          <w:bCs/>
          <w:color w:val="auto"/>
          <w:sz w:val="24"/>
          <w:highlight w:val="none"/>
        </w:rPr>
      </w:pPr>
      <w:r>
        <w:rPr>
          <w:rFonts w:hint="eastAsia" w:ascii="黑体" w:hAnsi="黑体" w:eastAsia="黑体"/>
          <w:b/>
          <w:bCs/>
          <w:color w:val="auto"/>
          <w:sz w:val="24"/>
          <w:highlight w:val="none"/>
        </w:rPr>
        <w:t>七、对本次招标提出询问，请按</w:t>
      </w:r>
      <w:r>
        <w:rPr>
          <w:rFonts w:ascii="黑体" w:hAnsi="黑体" w:eastAsia="黑体"/>
          <w:b/>
          <w:bCs/>
          <w:color w:val="auto"/>
          <w:sz w:val="24"/>
          <w:highlight w:val="none"/>
        </w:rPr>
        <w:t>以下方式</w:t>
      </w:r>
      <w:r>
        <w:rPr>
          <w:rFonts w:hint="eastAsia" w:ascii="黑体" w:hAnsi="黑体" w:eastAsia="黑体"/>
          <w:b/>
          <w:bCs/>
          <w:color w:val="auto"/>
          <w:sz w:val="24"/>
          <w:highlight w:val="none"/>
        </w:rPr>
        <w:t>联系。</w:t>
      </w:r>
      <w:bookmarkEnd w:id="31"/>
      <w:bookmarkEnd w:id="32"/>
      <w:bookmarkEnd w:id="33"/>
      <w:bookmarkEnd w:id="34"/>
    </w:p>
    <w:p w14:paraId="5C1166C5">
      <w:pPr>
        <w:spacing w:line="360" w:lineRule="auto"/>
        <w:ind w:firstLine="424" w:firstLineChars="202"/>
        <w:jc w:val="left"/>
        <w:rPr>
          <w:rFonts w:hint="eastAsia" w:ascii="宋体" w:hAnsi="宋体"/>
          <w:color w:val="auto"/>
          <w:szCs w:val="21"/>
          <w:highlight w:val="none"/>
        </w:rPr>
      </w:pPr>
      <w:r>
        <w:rPr>
          <w:rFonts w:hint="eastAsia" w:ascii="宋体" w:hAnsi="宋体" w:cs="宋体"/>
          <w:color w:val="auto"/>
          <w:szCs w:val="21"/>
          <w:highlight w:val="none"/>
        </w:rPr>
        <w:t>1.采购人信息</w:t>
      </w:r>
    </w:p>
    <w:p w14:paraId="22A08649">
      <w:pPr>
        <w:spacing w:line="360" w:lineRule="auto"/>
        <w:ind w:firstLine="424" w:firstLineChars="202"/>
        <w:jc w:val="left"/>
        <w:rPr>
          <w:rFonts w:hint="eastAsia" w:ascii="宋体" w:hAnsi="宋体"/>
          <w:color w:val="auto"/>
          <w:szCs w:val="21"/>
          <w:highlight w:val="none"/>
        </w:rPr>
      </w:pPr>
      <w:bookmarkStart w:id="36" w:name="_Toc28359009"/>
      <w:bookmarkStart w:id="37" w:name="_Toc28359086"/>
      <w:r>
        <w:rPr>
          <w:rFonts w:hint="eastAsia" w:ascii="宋体" w:hAnsi="宋体"/>
          <w:color w:val="auto"/>
          <w:szCs w:val="21"/>
          <w:highlight w:val="none"/>
        </w:rPr>
        <w:t>名 称：广西壮族自治区桂东公路发展中心</w:t>
      </w:r>
    </w:p>
    <w:p w14:paraId="034C5585">
      <w:pPr>
        <w:spacing w:line="360" w:lineRule="auto"/>
        <w:ind w:firstLine="424" w:firstLineChars="202"/>
        <w:jc w:val="left"/>
        <w:rPr>
          <w:rFonts w:hint="eastAsia" w:ascii="宋体" w:hAnsi="宋体"/>
          <w:color w:val="auto"/>
          <w:szCs w:val="21"/>
          <w:highlight w:val="none"/>
        </w:rPr>
      </w:pPr>
      <w:r>
        <w:rPr>
          <w:rFonts w:hint="eastAsia" w:ascii="宋体" w:hAnsi="宋体"/>
          <w:color w:val="auto"/>
          <w:szCs w:val="21"/>
          <w:highlight w:val="none"/>
        </w:rPr>
        <w:t>地址：梧州市万秀区桂林路冷水冲11号</w:t>
      </w:r>
    </w:p>
    <w:p w14:paraId="22798F3B">
      <w:pPr>
        <w:spacing w:line="360" w:lineRule="auto"/>
        <w:ind w:firstLine="424" w:firstLineChars="202"/>
        <w:jc w:val="left"/>
        <w:rPr>
          <w:rFonts w:hint="default" w:ascii="宋体" w:hAnsi="宋体" w:eastAsia="宋体"/>
          <w:color w:val="auto"/>
          <w:szCs w:val="21"/>
          <w:highlight w:val="none"/>
          <w:lang w:val="en-US" w:eastAsia="zh-CN"/>
        </w:rPr>
      </w:pPr>
      <w:r>
        <w:rPr>
          <w:rFonts w:hint="eastAsia" w:ascii="宋体" w:hAnsi="宋体"/>
          <w:color w:val="auto"/>
          <w:szCs w:val="21"/>
          <w:highlight w:val="none"/>
        </w:rPr>
        <w:t>联系方式:</w:t>
      </w:r>
      <w:r>
        <w:rPr>
          <w:rFonts w:hint="eastAsia" w:ascii="宋体" w:hAnsi="宋体"/>
          <w:color w:val="auto"/>
          <w:szCs w:val="21"/>
          <w:highlight w:val="none"/>
          <w:lang w:eastAsia="zh-CN"/>
        </w:rPr>
        <w:t>韦工</w:t>
      </w:r>
      <w:r>
        <w:rPr>
          <w:rFonts w:hint="eastAsia" w:ascii="宋体" w:hAnsi="宋体"/>
          <w:color w:val="auto"/>
          <w:szCs w:val="21"/>
          <w:highlight w:val="none"/>
        </w:rPr>
        <w:t>，0774-</w:t>
      </w:r>
      <w:r>
        <w:rPr>
          <w:rFonts w:hint="eastAsia" w:ascii="宋体" w:hAnsi="宋体"/>
          <w:color w:val="auto"/>
          <w:szCs w:val="21"/>
          <w:highlight w:val="none"/>
          <w:lang w:val="en-US" w:eastAsia="zh-CN"/>
        </w:rPr>
        <w:t>2027181</w:t>
      </w:r>
    </w:p>
    <w:p w14:paraId="2C78A1F4">
      <w:pPr>
        <w:spacing w:line="360" w:lineRule="auto"/>
        <w:ind w:firstLine="424" w:firstLineChars="202"/>
        <w:jc w:val="left"/>
        <w:rPr>
          <w:rFonts w:hint="eastAsia" w:ascii="宋体" w:hAnsi="宋体"/>
          <w:color w:val="auto"/>
          <w:szCs w:val="21"/>
          <w:highlight w:val="none"/>
        </w:rPr>
      </w:pPr>
      <w:r>
        <w:rPr>
          <w:rFonts w:hint="eastAsia" w:ascii="宋体" w:hAnsi="宋体" w:cs="宋体"/>
          <w:color w:val="auto"/>
          <w:szCs w:val="21"/>
          <w:highlight w:val="none"/>
        </w:rPr>
        <w:t>2.采购代理机构信息</w:t>
      </w:r>
      <w:bookmarkEnd w:id="36"/>
      <w:bookmarkEnd w:id="37"/>
    </w:p>
    <w:p w14:paraId="2AE9DE1D">
      <w:pPr>
        <w:spacing w:line="360" w:lineRule="auto"/>
        <w:ind w:firstLine="424" w:firstLineChars="202"/>
        <w:rPr>
          <w:rFonts w:hint="eastAsia" w:ascii="宋体" w:hAnsi="宋体"/>
          <w:color w:val="auto"/>
          <w:szCs w:val="21"/>
          <w:highlight w:val="none"/>
        </w:rPr>
      </w:pPr>
      <w:bookmarkStart w:id="38" w:name="_Toc28359010"/>
      <w:bookmarkStart w:id="39" w:name="_Toc28359087"/>
      <w:r>
        <w:rPr>
          <w:rFonts w:hint="eastAsia" w:ascii="宋体" w:hAnsi="宋体"/>
          <w:color w:val="auto"/>
          <w:szCs w:val="21"/>
          <w:highlight w:val="none"/>
        </w:rPr>
        <w:t>名 称：</w:t>
      </w:r>
      <w:r>
        <w:rPr>
          <w:rFonts w:hint="eastAsia" w:ascii="宋体" w:hAnsi="宋体"/>
          <w:color w:val="auto"/>
          <w:szCs w:val="21"/>
          <w:highlight w:val="none"/>
          <w:lang w:eastAsia="zh-CN"/>
        </w:rPr>
        <w:t>广西交投宏冠工程咨询有限公司</w:t>
      </w:r>
    </w:p>
    <w:p w14:paraId="68FADB85">
      <w:pPr>
        <w:spacing w:line="360" w:lineRule="auto"/>
        <w:ind w:firstLine="424" w:firstLineChars="202"/>
        <w:rPr>
          <w:rFonts w:hint="eastAsia" w:ascii="宋体" w:hAnsi="宋体" w:eastAsia="宋体"/>
          <w:color w:val="auto"/>
          <w:szCs w:val="21"/>
          <w:highlight w:val="none"/>
          <w:lang w:eastAsia="zh-CN"/>
        </w:rPr>
      </w:pPr>
      <w:r>
        <w:rPr>
          <w:rFonts w:hint="eastAsia" w:ascii="宋体" w:hAnsi="宋体"/>
          <w:color w:val="auto"/>
          <w:szCs w:val="21"/>
          <w:highlight w:val="none"/>
        </w:rPr>
        <w:t>地</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址：</w:t>
      </w:r>
      <w:r>
        <w:rPr>
          <w:rFonts w:hint="eastAsia" w:ascii="宋体" w:hAnsi="宋体"/>
          <w:color w:val="auto"/>
          <w:szCs w:val="21"/>
          <w:highlight w:val="none"/>
          <w:lang w:eastAsia="zh-CN"/>
        </w:rPr>
        <w:t>广西南宁市青秀区合作路6号五洲国际D栋商铺3楼D312室</w:t>
      </w:r>
    </w:p>
    <w:p w14:paraId="7AC4671D">
      <w:pPr>
        <w:spacing w:line="360" w:lineRule="auto"/>
        <w:ind w:firstLine="424" w:firstLineChars="202"/>
        <w:rPr>
          <w:rFonts w:hint="eastAsia" w:ascii="宋体" w:hAnsi="宋体" w:eastAsia="宋体"/>
          <w:color w:val="auto"/>
          <w:szCs w:val="21"/>
          <w:highlight w:val="none"/>
          <w:lang w:eastAsia="zh-CN"/>
        </w:rPr>
      </w:pPr>
      <w:r>
        <w:rPr>
          <w:rFonts w:hint="eastAsia" w:ascii="宋体" w:hAnsi="宋体"/>
          <w:color w:val="auto"/>
          <w:szCs w:val="21"/>
          <w:highlight w:val="none"/>
        </w:rPr>
        <w:t>联系方式：</w:t>
      </w:r>
      <w:r>
        <w:rPr>
          <w:rFonts w:hint="eastAsia" w:ascii="宋体" w:hAnsi="宋体"/>
          <w:color w:val="auto"/>
          <w:szCs w:val="21"/>
          <w:highlight w:val="none"/>
          <w:lang w:eastAsia="zh-CN"/>
        </w:rPr>
        <w:t>江泰彦、冼凌晨</w:t>
      </w:r>
      <w:r>
        <w:rPr>
          <w:rFonts w:hint="eastAsia" w:ascii="宋体" w:hAnsi="宋体"/>
          <w:color w:val="auto"/>
          <w:szCs w:val="21"/>
          <w:highlight w:val="none"/>
        </w:rPr>
        <w:t>，</w:t>
      </w:r>
      <w:r>
        <w:rPr>
          <w:rFonts w:hint="eastAsia" w:ascii="宋体" w:hAnsi="宋体"/>
          <w:color w:val="auto"/>
          <w:szCs w:val="21"/>
          <w:highlight w:val="none"/>
          <w:lang w:eastAsia="zh-CN"/>
        </w:rPr>
        <w:t>0771-4793126</w:t>
      </w:r>
    </w:p>
    <w:p w14:paraId="5BB4AFA8">
      <w:pPr>
        <w:spacing w:line="360" w:lineRule="auto"/>
        <w:ind w:firstLine="424" w:firstLineChars="202"/>
        <w:rPr>
          <w:rFonts w:hint="eastAsia" w:ascii="宋体" w:hAnsi="宋体"/>
          <w:color w:val="auto"/>
          <w:szCs w:val="21"/>
          <w:highlight w:val="none"/>
        </w:rPr>
      </w:pPr>
      <w:r>
        <w:rPr>
          <w:rFonts w:hint="eastAsia" w:ascii="宋体" w:hAnsi="宋体" w:cs="宋体"/>
          <w:color w:val="auto"/>
          <w:szCs w:val="21"/>
          <w:highlight w:val="none"/>
        </w:rPr>
        <w:t>3.项目</w:t>
      </w:r>
      <w:r>
        <w:rPr>
          <w:rFonts w:ascii="宋体" w:hAnsi="宋体" w:cs="宋体"/>
          <w:color w:val="auto"/>
          <w:szCs w:val="21"/>
          <w:highlight w:val="none"/>
        </w:rPr>
        <w:t>联系方式</w:t>
      </w:r>
      <w:bookmarkEnd w:id="38"/>
      <w:bookmarkEnd w:id="39"/>
    </w:p>
    <w:p w14:paraId="3DC39E11">
      <w:pPr>
        <w:pStyle w:val="24"/>
        <w:spacing w:line="360" w:lineRule="auto"/>
        <w:ind w:firstLine="424" w:firstLineChars="202"/>
        <w:rPr>
          <w:rFonts w:hint="eastAsia" w:hAnsi="宋体" w:eastAsia="宋体"/>
          <w:color w:val="auto"/>
          <w:sz w:val="21"/>
          <w:highlight w:val="none"/>
          <w:lang w:eastAsia="zh-CN"/>
        </w:rPr>
      </w:pPr>
      <w:r>
        <w:rPr>
          <w:rFonts w:hint="eastAsia" w:hAnsi="宋体"/>
          <w:color w:val="auto"/>
          <w:sz w:val="21"/>
          <w:highlight w:val="none"/>
        </w:rPr>
        <w:t>项目联系人：</w:t>
      </w:r>
      <w:r>
        <w:rPr>
          <w:rFonts w:hint="eastAsia" w:hAnsi="宋体"/>
          <w:color w:val="auto"/>
          <w:sz w:val="21"/>
          <w:highlight w:val="none"/>
          <w:lang w:eastAsia="zh-CN"/>
        </w:rPr>
        <w:t>江泰彦、冼凌晨</w:t>
      </w:r>
    </w:p>
    <w:p w14:paraId="1493CA72">
      <w:pPr>
        <w:spacing w:line="360" w:lineRule="auto"/>
        <w:ind w:firstLine="424" w:firstLineChars="202"/>
        <w:rPr>
          <w:rFonts w:hint="eastAsia" w:ascii="宋体" w:hAnsi="宋体" w:eastAsia="宋体"/>
          <w:color w:val="auto"/>
          <w:szCs w:val="21"/>
          <w:highlight w:val="none"/>
          <w:lang w:eastAsia="zh-CN"/>
        </w:rPr>
      </w:pPr>
      <w:r>
        <w:rPr>
          <w:rFonts w:hint="eastAsia" w:ascii="宋体" w:hAnsi="宋体"/>
          <w:color w:val="auto"/>
          <w:szCs w:val="21"/>
          <w:highlight w:val="none"/>
        </w:rPr>
        <w:t>电</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话：</w:t>
      </w:r>
      <w:r>
        <w:rPr>
          <w:rFonts w:hint="eastAsia" w:ascii="宋体" w:hAnsi="宋体"/>
          <w:color w:val="auto"/>
          <w:szCs w:val="21"/>
          <w:highlight w:val="none"/>
          <w:lang w:eastAsia="zh-CN"/>
        </w:rPr>
        <w:t>0771-4793126</w:t>
      </w:r>
    </w:p>
    <w:p w14:paraId="04CA29D8">
      <w:pPr>
        <w:spacing w:line="360" w:lineRule="auto"/>
        <w:ind w:firstLine="424" w:firstLineChars="202"/>
        <w:rPr>
          <w:color w:val="auto"/>
          <w:highlight w:val="none"/>
        </w:rPr>
      </w:pPr>
    </w:p>
    <w:p w14:paraId="5AB4004F">
      <w:pPr>
        <w:pStyle w:val="3"/>
        <w:keepNext w:val="0"/>
        <w:keepLines w:val="0"/>
        <w:tabs>
          <w:tab w:val="left" w:pos="0"/>
          <w:tab w:val="left" w:pos="3165"/>
          <w:tab w:val="center" w:pos="4153"/>
        </w:tabs>
        <w:autoSpaceDE w:val="0"/>
        <w:autoSpaceDN w:val="0"/>
        <w:adjustRightInd w:val="0"/>
        <w:spacing w:before="0" w:after="0" w:line="360" w:lineRule="auto"/>
        <w:jc w:val="center"/>
        <w:rPr>
          <w:color w:val="auto"/>
          <w:highlight w:val="none"/>
        </w:rPr>
      </w:pPr>
      <w:r>
        <w:rPr>
          <w:rFonts w:ascii="仿宋_GB2312" w:hAnsi="宋体" w:eastAsia="仿宋_GB2312"/>
          <w:color w:val="auto"/>
          <w:sz w:val="24"/>
          <w:szCs w:val="20"/>
          <w:highlight w:val="none"/>
        </w:rPr>
        <w:br w:type="page"/>
      </w:r>
      <w:bookmarkStart w:id="40" w:name="_Toc27979"/>
      <w:r>
        <w:rPr>
          <w:rFonts w:hint="eastAsia"/>
          <w:color w:val="auto"/>
          <w:highlight w:val="none"/>
        </w:rPr>
        <w:t>第二章  采购需求</w:t>
      </w:r>
      <w:bookmarkEnd w:id="40"/>
    </w:p>
    <w:p w14:paraId="467CC36C">
      <w:pPr>
        <w:spacing w:line="360" w:lineRule="auto"/>
        <w:jc w:val="left"/>
        <w:rPr>
          <w:rFonts w:hint="eastAsia" w:ascii="宋体" w:hAnsi="宋体" w:cs="宋体"/>
          <w:color w:val="auto"/>
          <w:szCs w:val="21"/>
          <w:highlight w:val="none"/>
        </w:rPr>
      </w:pPr>
      <w:bookmarkStart w:id="41" w:name="_Toc254970631"/>
      <w:bookmarkStart w:id="42" w:name="_Toc254970490"/>
    </w:p>
    <w:p w14:paraId="4880F989">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p w14:paraId="4C15DF30">
      <w:pPr>
        <w:spacing w:line="360" w:lineRule="auto"/>
        <w:ind w:firstLine="480" w:firstLineChars="200"/>
        <w:jc w:val="left"/>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1. 为落实政府采购政策需满足的要求</w:t>
      </w:r>
    </w:p>
    <w:p w14:paraId="42E50A66">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本招标文件所称中小企业必须符合《政府采购促进中小企业发展管理办法》（财库〔2020〕46号）的规定。</w:t>
      </w:r>
    </w:p>
    <w:p w14:paraId="3F9B3DD9">
      <w:pPr>
        <w:spacing w:line="360" w:lineRule="auto"/>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2.“实质性要求”是指招标文件中已经指明不满足则投标无效的条款，或者不能负偏离的条款，或者采购需求中带“▲”的条款。</w:t>
      </w:r>
    </w:p>
    <w:p w14:paraId="2D29B574">
      <w:pPr>
        <w:spacing w:line="360" w:lineRule="auto"/>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3.采购需求中出现的品牌、型号或者生产厂家仅起参考作用，不属于指定品牌、型号或者生产厂家的情形。投标人可参照或者选用其他相当的品牌、型号或者生产厂家替代。</w:t>
      </w:r>
    </w:p>
    <w:p w14:paraId="00A9794C">
      <w:pPr>
        <w:spacing w:line="360" w:lineRule="auto"/>
        <w:ind w:firstLine="484" w:firstLineChars="202"/>
        <w:jc w:val="left"/>
        <w:rPr>
          <w:rStyle w:val="56"/>
          <w:rFonts w:ascii="Times New Roman" w:hAnsi="Times New Roman" w:eastAsia="宋体" w:cs="Times New Roman"/>
          <w:color w:val="auto"/>
          <w:sz w:val="24"/>
          <w:szCs w:val="24"/>
          <w:highlight w:val="none"/>
        </w:rPr>
      </w:pPr>
      <w:r>
        <w:rPr>
          <w:rFonts w:hint="eastAsia" w:ascii="宋体" w:hAnsi="宋体" w:eastAsia="宋体" w:cs="宋体"/>
          <w:color w:val="auto"/>
          <w:sz w:val="24"/>
          <w:szCs w:val="24"/>
          <w:highlight w:val="none"/>
        </w:rPr>
        <w:t>4. 投标人应根据自身实际情况如实响应招标文件</w:t>
      </w:r>
      <w:r>
        <w:rPr>
          <w:rFonts w:hint="eastAsia" w:ascii="宋体" w:hAnsi="宋体" w:eastAsia="宋体" w:cs="Times New Roman"/>
          <w:color w:val="auto"/>
          <w:sz w:val="24"/>
          <w:szCs w:val="24"/>
          <w:highlight w:val="none"/>
        </w:rPr>
        <w:t>，对招标文件提出的要求和条件作出明确响应，</w:t>
      </w:r>
      <w:r>
        <w:rPr>
          <w:rFonts w:hint="eastAsia" w:ascii="宋体" w:hAnsi="宋体" w:eastAsia="宋体" w:cs="Times New Roman"/>
          <w:b/>
          <w:bCs/>
          <w:color w:val="auto"/>
          <w:sz w:val="24"/>
          <w:szCs w:val="24"/>
          <w:highlight w:val="none"/>
        </w:rPr>
        <w:t>否则将作无效响应处理</w:t>
      </w:r>
      <w:r>
        <w:rPr>
          <w:rFonts w:hint="eastAsia" w:ascii="宋体" w:hAnsi="宋体" w:eastAsia="宋体" w:cs="Times New Roman"/>
          <w:color w:val="auto"/>
          <w:sz w:val="24"/>
          <w:szCs w:val="24"/>
          <w:highlight w:val="none"/>
        </w:rPr>
        <w:t>。</w:t>
      </w:r>
      <w:r>
        <w:rPr>
          <w:rFonts w:hint="eastAsia" w:ascii="Times New Roman" w:hAnsi="Times New Roman" w:eastAsia="宋体" w:cs="Times New Roman"/>
          <w:color w:val="auto"/>
          <w:sz w:val="24"/>
          <w:szCs w:val="24"/>
          <w:highlight w:val="none"/>
        </w:rPr>
        <w:t>对于重要技术条款或技术参数应当在投标文件中提供技术支持资料，技术支持资料以招标文件中规定的形式为准，</w:t>
      </w:r>
      <w:r>
        <w:rPr>
          <w:rFonts w:hint="eastAsia" w:ascii="Times New Roman" w:hAnsi="Times New Roman" w:eastAsia="宋体" w:cs="Times New Roman"/>
          <w:b/>
          <w:bCs/>
          <w:color w:val="auto"/>
          <w:sz w:val="24"/>
          <w:szCs w:val="24"/>
          <w:highlight w:val="none"/>
        </w:rPr>
        <w:t>否则将视为无效技术支持资料</w:t>
      </w:r>
      <w:r>
        <w:rPr>
          <w:rFonts w:hint="eastAsia" w:ascii="Times New Roman" w:hAnsi="Times New Roman" w:eastAsia="宋体" w:cs="Times New Roman"/>
          <w:color w:val="auto"/>
          <w:sz w:val="24"/>
          <w:szCs w:val="24"/>
          <w:highlight w:val="none"/>
        </w:rPr>
        <w:t>。</w:t>
      </w:r>
    </w:p>
    <w:p w14:paraId="75633BB7">
      <w:pPr>
        <w:spacing w:line="360" w:lineRule="auto"/>
        <w:ind w:firstLine="352" w:firstLineChars="147"/>
        <w:jc w:val="left"/>
        <w:rPr>
          <w:rFonts w:ascii="Times New Roman" w:hAnsi="Times New Roman" w:eastAsia="宋体" w:cs="Times New Roman"/>
          <w:color w:val="auto"/>
          <w:sz w:val="24"/>
          <w:szCs w:val="24"/>
          <w:highlight w:val="none"/>
        </w:rPr>
      </w:pPr>
      <w:r>
        <w:rPr>
          <w:rFonts w:hint="eastAsia" w:ascii="宋体" w:hAnsi="宋体" w:eastAsia="宋体" w:cs="宋体"/>
          <w:color w:val="auto"/>
          <w:sz w:val="24"/>
          <w:szCs w:val="24"/>
          <w:highlight w:val="none"/>
        </w:rPr>
        <w:t>5</w:t>
      </w:r>
      <w:r>
        <w:rPr>
          <w:rFonts w:ascii="宋体" w:hAnsi="宋体" w:eastAsia="宋体" w:cs="宋体"/>
          <w:color w:val="auto"/>
          <w:sz w:val="24"/>
          <w:szCs w:val="24"/>
          <w:highlight w:val="none"/>
        </w:rPr>
        <w:t>.</w:t>
      </w:r>
      <w:r>
        <w:rPr>
          <w:rFonts w:hint="eastAsia" w:ascii="Times New Roman" w:hAnsi="Times New Roman" w:eastAsia="宋体" w:cs="Times New Roman"/>
          <w:color w:val="auto"/>
          <w:sz w:val="24"/>
          <w:szCs w:val="24"/>
          <w:highlight w:val="none"/>
        </w:rPr>
        <w:t>投标人</w:t>
      </w:r>
      <w:r>
        <w:rPr>
          <w:rFonts w:ascii="Times New Roman" w:hAnsi="Times New Roman" w:eastAsia="宋体" w:cs="Times New Roman"/>
          <w:color w:val="auto"/>
          <w:sz w:val="24"/>
          <w:szCs w:val="24"/>
          <w:highlight w:val="none"/>
        </w:rPr>
        <w:t>必须自行为其</w:t>
      </w:r>
      <w:r>
        <w:rPr>
          <w:rFonts w:hint="eastAsia" w:ascii="Times New Roman" w:hAnsi="Times New Roman" w:eastAsia="宋体" w:cs="Times New Roman"/>
          <w:color w:val="auto"/>
          <w:sz w:val="24"/>
          <w:szCs w:val="24"/>
          <w:highlight w:val="none"/>
        </w:rPr>
        <w:t>投标</w:t>
      </w:r>
      <w:r>
        <w:rPr>
          <w:rFonts w:ascii="Times New Roman" w:hAnsi="Times New Roman" w:eastAsia="宋体" w:cs="Times New Roman"/>
          <w:color w:val="auto"/>
          <w:sz w:val="24"/>
          <w:szCs w:val="24"/>
          <w:highlight w:val="none"/>
        </w:rPr>
        <w:t>产品侵犯</w:t>
      </w:r>
      <w:r>
        <w:rPr>
          <w:rFonts w:hint="eastAsia" w:ascii="Times New Roman" w:hAnsi="Times New Roman" w:eastAsia="宋体" w:cs="Times New Roman"/>
          <w:color w:val="auto"/>
          <w:sz w:val="24"/>
          <w:szCs w:val="24"/>
          <w:highlight w:val="none"/>
        </w:rPr>
        <w:t>他人的知识产权或者专利成果的行为</w:t>
      </w:r>
      <w:r>
        <w:rPr>
          <w:rFonts w:ascii="Times New Roman" w:hAnsi="Times New Roman" w:eastAsia="宋体" w:cs="Times New Roman"/>
          <w:color w:val="auto"/>
          <w:sz w:val="24"/>
          <w:szCs w:val="24"/>
          <w:highlight w:val="none"/>
        </w:rPr>
        <w:t>承担相应法律责任</w:t>
      </w:r>
      <w:r>
        <w:rPr>
          <w:rFonts w:hint="eastAsia" w:ascii="Times New Roman" w:hAnsi="Times New Roman" w:eastAsia="宋体" w:cs="Times New Roman"/>
          <w:color w:val="auto"/>
          <w:sz w:val="24"/>
          <w:szCs w:val="24"/>
          <w:highlight w:val="none"/>
        </w:rPr>
        <w:t>。</w:t>
      </w:r>
    </w:p>
    <w:p w14:paraId="4232C6AC">
      <w:pPr>
        <w:spacing w:line="360" w:lineRule="auto"/>
        <w:ind w:firstLine="352" w:firstLineChars="147"/>
        <w:jc w:val="left"/>
        <w:rPr>
          <w:rFonts w:ascii="Times New Roman" w:hAnsi="Times New Roman" w:eastAsia="宋体" w:cs="Times New Roman"/>
          <w:color w:val="auto"/>
          <w:sz w:val="24"/>
          <w:szCs w:val="24"/>
          <w:highlight w:val="none"/>
        </w:rPr>
      </w:pPr>
      <w:r>
        <w:rPr>
          <w:rFonts w:hint="eastAsia" w:ascii="宋体" w:hAnsi="宋体" w:eastAsia="宋体" w:cs="宋体"/>
          <w:color w:val="auto"/>
          <w:sz w:val="24"/>
          <w:szCs w:val="24"/>
          <w:highlight w:val="none"/>
        </w:rPr>
        <w:t>6.所属行业依照</w:t>
      </w:r>
      <w:r>
        <w:rPr>
          <w:rFonts w:hint="eastAsia" w:ascii="Times New Roman" w:hAnsi="Times New Roman" w:eastAsia="宋体" w:cs="Times New Roman"/>
          <w:color w:val="auto"/>
          <w:sz w:val="24"/>
          <w:szCs w:val="24"/>
          <w:highlight w:val="none"/>
        </w:rPr>
        <w:t>《中小企业划型标准规定》（工信部联企业〔2011〕300号）及《国民经济行业分类》（GB/T4754-2017）的有关规定执行。本项目标的所属行业均为</w:t>
      </w:r>
      <w:r>
        <w:rPr>
          <w:rFonts w:hint="eastAsia" w:ascii="Times New Roman" w:hAnsi="Times New Roman" w:eastAsia="宋体" w:cs="Times New Roman"/>
          <w:b/>
          <w:bCs/>
          <w:color w:val="auto"/>
          <w:sz w:val="24"/>
          <w:szCs w:val="24"/>
          <w:highlight w:val="none"/>
        </w:rPr>
        <w:t>“其他未列明行业”</w:t>
      </w:r>
      <w:r>
        <w:rPr>
          <w:rFonts w:hint="eastAsia" w:ascii="Times New Roman" w:hAnsi="Times New Roman" w:eastAsia="宋体" w:cs="Times New Roman"/>
          <w:color w:val="auto"/>
          <w:sz w:val="24"/>
          <w:szCs w:val="24"/>
          <w:highlight w:val="none"/>
        </w:rPr>
        <w:t>。</w:t>
      </w:r>
    </w:p>
    <w:p w14:paraId="368FD51C">
      <w:pPr>
        <w:spacing w:line="360" w:lineRule="auto"/>
        <w:ind w:firstLine="308" w:firstLineChars="147"/>
        <w:jc w:val="left"/>
        <w:rPr>
          <w:rFonts w:hint="eastAsia" w:ascii="宋体" w:hAnsi="宋体" w:eastAsia="宋体" w:cs="Arial"/>
          <w:bCs/>
          <w:color w:val="auto"/>
          <w:szCs w:val="21"/>
          <w:highlight w:val="none"/>
          <w:u w:val="single"/>
        </w:rPr>
      </w:pPr>
      <w:r>
        <w:rPr>
          <w:rFonts w:hint="eastAsia" w:ascii="宋体" w:hAnsi="宋体" w:eastAsia="宋体" w:cs="Arial"/>
          <w:bCs/>
          <w:color w:val="auto"/>
          <w:szCs w:val="21"/>
          <w:highlight w:val="none"/>
          <w:u w:val="single"/>
        </w:rPr>
        <w:br w:type="page"/>
      </w:r>
    </w:p>
    <w:p w14:paraId="2C8E589E">
      <w:pPr>
        <w:keepNext/>
        <w:keepLines/>
        <w:widowControl w:val="0"/>
        <w:spacing w:before="120" w:after="120" w:line="334" w:lineRule="auto"/>
        <w:jc w:val="both"/>
        <w:outlineLvl w:val="2"/>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▲一、技术要求</w:t>
      </w:r>
    </w:p>
    <w:p w14:paraId="7ACAD414">
      <w:pPr>
        <w:spacing w:line="324"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1.项目概况：本项目对采购人管养的桥梁和隧道进行定期检测，服务年度为202</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年。管养辖区分为：蒙山、藤县、苍梧、岑溪、八步、钟山、富川、昭平辖区管养桥梁、隧道。</w:t>
      </w:r>
    </w:p>
    <w:p w14:paraId="4A9EE5B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2.采购范围和内容</w:t>
      </w:r>
    </w:p>
    <w:p w14:paraId="1341EE7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2.1采购范围：项目</w:t>
      </w:r>
      <w:r>
        <w:rPr>
          <w:rFonts w:hint="eastAsia" w:ascii="宋体" w:hAnsi="宋体" w:eastAsia="宋体" w:cs="宋体"/>
          <w:color w:val="auto"/>
          <w:sz w:val="24"/>
          <w:highlight w:val="none"/>
          <w:lang w:eastAsia="zh-CN"/>
        </w:rPr>
        <w:t>内容</w:t>
      </w:r>
      <w:r>
        <w:rPr>
          <w:rFonts w:hint="eastAsia" w:ascii="宋体" w:hAnsi="宋体" w:eastAsia="宋体" w:cs="宋体"/>
          <w:color w:val="auto"/>
          <w:sz w:val="24"/>
          <w:highlight w:val="none"/>
        </w:rPr>
        <w:t>包括桥梁外观检查及技术状况评定，永久观测点测设，水中结构检查，桥梁结构荷载</w:t>
      </w:r>
      <w:r>
        <w:rPr>
          <w:rFonts w:hint="eastAsia" w:ascii="宋体" w:hAnsi="宋体" w:eastAsia="宋体" w:cs="宋体"/>
          <w:color w:val="auto"/>
          <w:sz w:val="24"/>
          <w:highlight w:val="none"/>
          <w:lang w:eastAsia="zh-CN"/>
        </w:rPr>
        <w:t>验</w:t>
      </w:r>
      <w:r>
        <w:rPr>
          <w:rFonts w:hint="eastAsia" w:ascii="宋体" w:hAnsi="宋体" w:eastAsia="宋体" w:cs="宋体"/>
          <w:color w:val="auto"/>
          <w:sz w:val="24"/>
          <w:highlight w:val="none"/>
        </w:rPr>
        <w:t>算和通行评价</w:t>
      </w:r>
      <w:r>
        <w:rPr>
          <w:rFonts w:hint="eastAsia" w:ascii="宋体" w:hAnsi="宋体" w:eastAsia="宋体" w:cs="宋体"/>
          <w:color w:val="auto"/>
          <w:sz w:val="24"/>
          <w:highlight w:val="none"/>
          <w:lang w:eastAsia="zh-CN"/>
        </w:rPr>
        <w:t>，设立桥梁防洪标识</w:t>
      </w:r>
      <w:r>
        <w:rPr>
          <w:rFonts w:hint="eastAsia" w:ascii="宋体" w:hAnsi="宋体" w:eastAsia="宋体" w:cs="宋体"/>
          <w:color w:val="auto"/>
          <w:sz w:val="24"/>
          <w:highlight w:val="none"/>
        </w:rPr>
        <w:t>。隧道土建结构、机电设施、其他工程设施检查及技术状况评定</w:t>
      </w:r>
      <w:r>
        <w:rPr>
          <w:rFonts w:hint="eastAsia" w:ascii="宋体" w:hAnsi="宋体" w:eastAsia="宋体" w:cs="宋体"/>
          <w:color w:val="auto"/>
          <w:sz w:val="24"/>
          <w:highlight w:val="none"/>
          <w:lang w:val="en-US" w:eastAsia="zh-CN"/>
        </w:rPr>
        <w:t>，西江大桥、大风坳隧道施工后评估报告</w:t>
      </w:r>
      <w:r>
        <w:rPr>
          <w:rFonts w:hint="eastAsia" w:ascii="宋体" w:hAnsi="宋体" w:eastAsia="宋体" w:cs="宋体"/>
          <w:color w:val="auto"/>
          <w:sz w:val="24"/>
          <w:highlight w:val="none"/>
        </w:rPr>
        <w:t>编制</w:t>
      </w:r>
      <w:r>
        <w:rPr>
          <w:rFonts w:hint="eastAsia" w:ascii="宋体" w:hAnsi="宋体" w:eastAsia="宋体" w:cs="宋体"/>
          <w:color w:val="auto"/>
          <w:sz w:val="24"/>
          <w:highlight w:val="none"/>
          <w:lang w:eastAsia="zh-CN"/>
        </w:rPr>
        <w:t>，桥梁、隧道检查总报告编制，桥梁、隧道科学决策报告编制和收集整理提供国评所需相关资料给业主</w:t>
      </w:r>
      <w:r>
        <w:rPr>
          <w:rFonts w:hint="eastAsia" w:ascii="宋体" w:hAnsi="宋体" w:eastAsia="宋体" w:cs="宋体"/>
          <w:color w:val="auto"/>
          <w:sz w:val="24"/>
          <w:highlight w:val="none"/>
        </w:rPr>
        <w:t>等</w:t>
      </w:r>
      <w:r>
        <w:rPr>
          <w:rFonts w:hint="eastAsia" w:ascii="宋体" w:hAnsi="宋体" w:eastAsia="宋体" w:cs="宋体"/>
          <w:color w:val="auto"/>
          <w:sz w:val="24"/>
          <w:highlight w:val="none"/>
          <w:lang w:eastAsia="zh-CN"/>
        </w:rPr>
        <w:t>工作</w:t>
      </w:r>
      <w:r>
        <w:rPr>
          <w:rFonts w:hint="eastAsia" w:ascii="宋体" w:hAnsi="宋体" w:eastAsia="宋体" w:cs="宋体"/>
          <w:color w:val="auto"/>
          <w:sz w:val="24"/>
          <w:highlight w:val="none"/>
        </w:rPr>
        <w:t>。</w:t>
      </w:r>
    </w:p>
    <w:p w14:paraId="3D38064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桥梁</w:t>
      </w:r>
      <w:r>
        <w:rPr>
          <w:rFonts w:hint="eastAsia" w:ascii="宋体" w:hAnsi="宋体" w:eastAsia="宋体" w:cs="宋体"/>
          <w:color w:val="auto"/>
          <w:sz w:val="24"/>
          <w:highlight w:val="none"/>
          <w:lang w:val="en-US" w:eastAsia="zh-CN"/>
        </w:rPr>
        <w:t>340</w:t>
      </w:r>
      <w:r>
        <w:rPr>
          <w:rFonts w:hint="eastAsia" w:ascii="宋体" w:hAnsi="宋体" w:eastAsia="宋体" w:cs="宋体"/>
          <w:color w:val="auto"/>
          <w:sz w:val="24"/>
          <w:highlight w:val="none"/>
        </w:rPr>
        <w:t>座、隧道</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座，主要工程数量如下：</w:t>
      </w:r>
    </w:p>
    <w:tbl>
      <w:tblPr>
        <w:tblStyle w:val="47"/>
        <w:tblW w:w="8820" w:type="dxa"/>
        <w:tblInd w:w="0" w:type="dxa"/>
        <w:tblLayout w:type="fixed"/>
        <w:tblCellMar>
          <w:top w:w="0" w:type="dxa"/>
          <w:left w:w="108" w:type="dxa"/>
          <w:bottom w:w="0" w:type="dxa"/>
          <w:right w:w="108" w:type="dxa"/>
        </w:tblCellMar>
      </w:tblPr>
      <w:tblGrid>
        <w:gridCol w:w="790"/>
        <w:gridCol w:w="2961"/>
        <w:gridCol w:w="1481"/>
        <w:gridCol w:w="1209"/>
        <w:gridCol w:w="896"/>
        <w:gridCol w:w="1483"/>
      </w:tblGrid>
      <w:tr w14:paraId="714AC5E0">
        <w:tblPrEx>
          <w:tblCellMar>
            <w:top w:w="0" w:type="dxa"/>
            <w:left w:w="108" w:type="dxa"/>
            <w:bottom w:w="0" w:type="dxa"/>
            <w:right w:w="108" w:type="dxa"/>
          </w:tblCellMar>
        </w:tblPrEx>
        <w:trPr>
          <w:trHeight w:val="850" w:hRule="exact"/>
        </w:trPr>
        <w:tc>
          <w:tcPr>
            <w:tcW w:w="790" w:type="dxa"/>
            <w:tcBorders>
              <w:top w:val="single" w:color="000000" w:sz="4" w:space="0"/>
              <w:left w:val="single" w:color="000000" w:sz="4" w:space="0"/>
              <w:bottom w:val="single" w:color="000000" w:sz="4" w:space="0"/>
              <w:right w:val="single" w:color="000000" w:sz="4" w:space="0"/>
            </w:tcBorders>
            <w:noWrap w:val="0"/>
            <w:vAlign w:val="center"/>
          </w:tcPr>
          <w:p w14:paraId="5C0FC306">
            <w:pPr>
              <w:widowControl/>
              <w:jc w:val="center"/>
              <w:textAlignment w:val="center"/>
              <w:rPr>
                <w:rFonts w:hint="eastAsia"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序号</w:t>
            </w:r>
          </w:p>
        </w:tc>
        <w:tc>
          <w:tcPr>
            <w:tcW w:w="2961" w:type="dxa"/>
            <w:tcBorders>
              <w:top w:val="single" w:color="000000" w:sz="4" w:space="0"/>
              <w:left w:val="single" w:color="000000" w:sz="4" w:space="0"/>
              <w:bottom w:val="single" w:color="000000" w:sz="4" w:space="0"/>
              <w:right w:val="single" w:color="000000" w:sz="4" w:space="0"/>
            </w:tcBorders>
            <w:noWrap w:val="0"/>
            <w:vAlign w:val="center"/>
          </w:tcPr>
          <w:p w14:paraId="31A174E2">
            <w:pPr>
              <w:widowControl/>
              <w:jc w:val="center"/>
              <w:textAlignment w:val="center"/>
              <w:rPr>
                <w:rFonts w:hint="eastAsia"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检测项目</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26497542">
            <w:pPr>
              <w:widowControl/>
              <w:jc w:val="center"/>
              <w:textAlignment w:val="center"/>
              <w:rPr>
                <w:rFonts w:hint="eastAsia"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检测内容</w:t>
            </w:r>
          </w:p>
        </w:tc>
        <w:tc>
          <w:tcPr>
            <w:tcW w:w="1209" w:type="dxa"/>
            <w:tcBorders>
              <w:top w:val="single" w:color="000000" w:sz="4" w:space="0"/>
              <w:left w:val="single" w:color="000000" w:sz="4" w:space="0"/>
              <w:bottom w:val="single" w:color="000000" w:sz="4" w:space="0"/>
              <w:right w:val="single" w:color="000000" w:sz="4" w:space="0"/>
            </w:tcBorders>
            <w:noWrap w:val="0"/>
            <w:vAlign w:val="center"/>
          </w:tcPr>
          <w:p w14:paraId="03D6B3F4">
            <w:pPr>
              <w:widowControl/>
              <w:jc w:val="center"/>
              <w:textAlignment w:val="center"/>
              <w:rPr>
                <w:rFonts w:hint="eastAsia"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数量</w:t>
            </w:r>
          </w:p>
        </w:tc>
        <w:tc>
          <w:tcPr>
            <w:tcW w:w="896" w:type="dxa"/>
            <w:tcBorders>
              <w:top w:val="single" w:color="000000" w:sz="4" w:space="0"/>
              <w:left w:val="single" w:color="000000" w:sz="4" w:space="0"/>
              <w:bottom w:val="single" w:color="000000" w:sz="4" w:space="0"/>
              <w:right w:val="single" w:color="000000" w:sz="4" w:space="0"/>
            </w:tcBorders>
            <w:noWrap w:val="0"/>
            <w:vAlign w:val="center"/>
          </w:tcPr>
          <w:p w14:paraId="552435D9">
            <w:pPr>
              <w:widowControl/>
              <w:jc w:val="center"/>
              <w:textAlignment w:val="center"/>
              <w:rPr>
                <w:rFonts w:hint="eastAsia"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单位</w:t>
            </w:r>
          </w:p>
        </w:tc>
        <w:tc>
          <w:tcPr>
            <w:tcW w:w="1483" w:type="dxa"/>
            <w:tcBorders>
              <w:top w:val="single" w:color="000000" w:sz="4" w:space="0"/>
              <w:left w:val="single" w:color="000000" w:sz="4" w:space="0"/>
              <w:bottom w:val="single" w:color="000000" w:sz="4" w:space="0"/>
              <w:right w:val="single" w:color="000000" w:sz="4" w:space="0"/>
            </w:tcBorders>
            <w:noWrap w:val="0"/>
            <w:vAlign w:val="center"/>
          </w:tcPr>
          <w:p w14:paraId="30019E3E">
            <w:pPr>
              <w:widowControl/>
              <w:jc w:val="center"/>
              <w:textAlignment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最高投标限价</w:t>
            </w:r>
          </w:p>
          <w:p w14:paraId="16F63E7F">
            <w:pPr>
              <w:widowControl/>
              <w:jc w:val="center"/>
              <w:textAlignment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（万元）</w:t>
            </w:r>
          </w:p>
        </w:tc>
      </w:tr>
      <w:tr w14:paraId="19FB52C0">
        <w:tblPrEx>
          <w:tblCellMar>
            <w:top w:w="0" w:type="dxa"/>
            <w:left w:w="108" w:type="dxa"/>
            <w:bottom w:w="0" w:type="dxa"/>
            <w:right w:w="108" w:type="dxa"/>
          </w:tblCellMar>
        </w:tblPrEx>
        <w:trPr>
          <w:trHeight w:val="660" w:hRule="exact"/>
        </w:trPr>
        <w:tc>
          <w:tcPr>
            <w:tcW w:w="790" w:type="dxa"/>
            <w:tcBorders>
              <w:top w:val="single" w:color="000000" w:sz="4" w:space="0"/>
              <w:left w:val="single" w:color="000000" w:sz="4" w:space="0"/>
              <w:bottom w:val="single" w:color="000000" w:sz="4" w:space="0"/>
              <w:right w:val="single" w:color="000000" w:sz="4" w:space="0"/>
            </w:tcBorders>
            <w:noWrap w:val="0"/>
            <w:vAlign w:val="center"/>
          </w:tcPr>
          <w:p w14:paraId="0C21B69E">
            <w:pPr>
              <w:widowControl/>
              <w:jc w:val="center"/>
              <w:textAlignment w:val="center"/>
              <w:rPr>
                <w:rFonts w:hint="eastAsia"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（一）</w:t>
            </w:r>
          </w:p>
        </w:tc>
        <w:tc>
          <w:tcPr>
            <w:tcW w:w="2961" w:type="dxa"/>
            <w:tcBorders>
              <w:top w:val="single" w:color="000000" w:sz="4" w:space="0"/>
              <w:left w:val="single" w:color="000000" w:sz="4" w:space="0"/>
              <w:bottom w:val="single" w:color="000000" w:sz="4" w:space="0"/>
              <w:right w:val="single" w:color="000000" w:sz="4" w:space="0"/>
            </w:tcBorders>
            <w:noWrap w:val="0"/>
            <w:vAlign w:val="center"/>
          </w:tcPr>
          <w:p w14:paraId="1E7EB685">
            <w:pPr>
              <w:widowControl/>
              <w:jc w:val="center"/>
              <w:textAlignment w:val="center"/>
              <w:rPr>
                <w:rFonts w:hint="eastAsia"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桥梁检测</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7E82475F">
            <w:pPr>
              <w:jc w:val="center"/>
              <w:rPr>
                <w:rFonts w:hint="eastAsia" w:ascii="宋体" w:hAnsi="宋体" w:eastAsia="宋体" w:cs="宋体"/>
                <w:b/>
                <w:bCs/>
                <w:color w:val="auto"/>
                <w:szCs w:val="21"/>
                <w:highlight w:val="none"/>
              </w:rPr>
            </w:pPr>
          </w:p>
        </w:tc>
        <w:tc>
          <w:tcPr>
            <w:tcW w:w="1209" w:type="dxa"/>
            <w:tcBorders>
              <w:top w:val="single" w:color="000000" w:sz="4" w:space="0"/>
              <w:left w:val="single" w:color="000000" w:sz="4" w:space="0"/>
              <w:bottom w:val="single" w:color="000000" w:sz="4" w:space="0"/>
              <w:right w:val="single" w:color="000000" w:sz="4" w:space="0"/>
            </w:tcBorders>
            <w:noWrap w:val="0"/>
            <w:vAlign w:val="center"/>
          </w:tcPr>
          <w:p w14:paraId="2FCDB852">
            <w:pPr>
              <w:jc w:val="center"/>
              <w:rPr>
                <w:rFonts w:hint="eastAsia" w:ascii="宋体" w:hAnsi="宋体" w:eastAsia="宋体" w:cs="宋体"/>
                <w:b/>
                <w:bCs/>
                <w:color w:val="auto"/>
                <w:szCs w:val="21"/>
                <w:highlight w:val="none"/>
              </w:rPr>
            </w:pPr>
          </w:p>
        </w:tc>
        <w:tc>
          <w:tcPr>
            <w:tcW w:w="896" w:type="dxa"/>
            <w:tcBorders>
              <w:top w:val="single" w:color="000000" w:sz="4" w:space="0"/>
              <w:left w:val="single" w:color="000000" w:sz="4" w:space="0"/>
              <w:bottom w:val="single" w:color="000000" w:sz="4" w:space="0"/>
              <w:right w:val="single" w:color="000000" w:sz="4" w:space="0"/>
            </w:tcBorders>
            <w:noWrap w:val="0"/>
            <w:vAlign w:val="center"/>
          </w:tcPr>
          <w:p w14:paraId="4D85DFDE">
            <w:pPr>
              <w:jc w:val="center"/>
              <w:rPr>
                <w:rFonts w:hint="eastAsia" w:ascii="宋体" w:hAnsi="宋体" w:eastAsia="宋体" w:cs="宋体"/>
                <w:b/>
                <w:bCs/>
                <w:color w:val="auto"/>
                <w:szCs w:val="21"/>
                <w:highlight w:val="none"/>
              </w:rPr>
            </w:pPr>
          </w:p>
        </w:tc>
        <w:tc>
          <w:tcPr>
            <w:tcW w:w="1483" w:type="dxa"/>
            <w:vMerge w:val="restart"/>
            <w:tcBorders>
              <w:top w:val="single" w:color="000000" w:sz="4" w:space="0"/>
              <w:left w:val="single" w:color="000000" w:sz="4" w:space="0"/>
              <w:right w:val="single" w:color="000000" w:sz="4" w:space="0"/>
            </w:tcBorders>
            <w:noWrap w:val="0"/>
            <w:vAlign w:val="center"/>
          </w:tcPr>
          <w:p w14:paraId="0FE8A3CA">
            <w:pPr>
              <w:jc w:val="center"/>
              <w:rPr>
                <w:rFonts w:hint="default"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350.9896</w:t>
            </w:r>
          </w:p>
        </w:tc>
      </w:tr>
      <w:tr w14:paraId="59D9A11A">
        <w:tblPrEx>
          <w:tblCellMar>
            <w:top w:w="0" w:type="dxa"/>
            <w:left w:w="108" w:type="dxa"/>
            <w:bottom w:w="0" w:type="dxa"/>
            <w:right w:w="108" w:type="dxa"/>
          </w:tblCellMar>
        </w:tblPrEx>
        <w:trPr>
          <w:trHeight w:val="850" w:hRule="exact"/>
        </w:trPr>
        <w:tc>
          <w:tcPr>
            <w:tcW w:w="790" w:type="dxa"/>
            <w:vMerge w:val="restart"/>
            <w:tcBorders>
              <w:top w:val="single" w:color="000000" w:sz="4" w:space="0"/>
              <w:left w:val="single" w:color="000000" w:sz="4" w:space="0"/>
              <w:bottom w:val="single" w:color="000000" w:sz="4" w:space="0"/>
              <w:right w:val="single" w:color="000000" w:sz="4" w:space="0"/>
            </w:tcBorders>
            <w:noWrap w:val="0"/>
            <w:vAlign w:val="center"/>
          </w:tcPr>
          <w:p w14:paraId="009D5F92">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A1</w:t>
            </w:r>
          </w:p>
        </w:tc>
        <w:tc>
          <w:tcPr>
            <w:tcW w:w="2961" w:type="dxa"/>
            <w:vMerge w:val="restart"/>
            <w:tcBorders>
              <w:top w:val="single" w:color="000000" w:sz="4" w:space="0"/>
              <w:left w:val="single" w:color="000000" w:sz="4" w:space="0"/>
              <w:bottom w:val="single" w:color="000000" w:sz="4" w:space="0"/>
              <w:right w:val="single" w:color="000000" w:sz="4" w:space="0"/>
            </w:tcBorders>
            <w:noWrap w:val="0"/>
            <w:vAlign w:val="center"/>
          </w:tcPr>
          <w:p w14:paraId="6CEEBD08">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桥梁外观</w:t>
            </w:r>
            <w:r>
              <w:rPr>
                <w:rFonts w:hint="eastAsia" w:ascii="宋体" w:hAnsi="宋体" w:eastAsia="宋体" w:cs="宋体"/>
                <w:color w:val="auto"/>
                <w:kern w:val="0"/>
                <w:szCs w:val="21"/>
                <w:highlight w:val="none"/>
                <w:lang w:eastAsia="zh-CN" w:bidi="ar"/>
              </w:rPr>
              <w:t>检测</w:t>
            </w:r>
            <w:r>
              <w:rPr>
                <w:rFonts w:hint="eastAsia" w:ascii="宋体" w:hAnsi="宋体" w:eastAsia="宋体" w:cs="宋体"/>
                <w:color w:val="auto"/>
                <w:kern w:val="0"/>
                <w:szCs w:val="21"/>
                <w:highlight w:val="none"/>
                <w:lang w:bidi="ar"/>
              </w:rPr>
              <w:t>及技术状况评定</w:t>
            </w:r>
            <w:r>
              <w:rPr>
                <w:rFonts w:hint="eastAsia" w:ascii="宋体" w:hAnsi="宋体" w:eastAsia="宋体" w:cs="宋体"/>
                <w:color w:val="auto"/>
                <w:kern w:val="0"/>
                <w:szCs w:val="21"/>
                <w:highlight w:val="none"/>
                <w:lang w:eastAsia="zh-CN" w:bidi="ar"/>
              </w:rPr>
              <w:t>、编制</w:t>
            </w:r>
            <w:r>
              <w:rPr>
                <w:rFonts w:hint="eastAsia" w:ascii="宋体" w:hAnsi="宋体" w:eastAsia="宋体" w:cs="宋体"/>
                <w:color w:val="auto"/>
                <w:sz w:val="21"/>
                <w:szCs w:val="21"/>
                <w:highlight w:val="none"/>
              </w:rPr>
              <w:t>桥梁结构荷载</w:t>
            </w:r>
            <w:r>
              <w:rPr>
                <w:rFonts w:hint="eastAsia" w:ascii="宋体" w:hAnsi="宋体" w:eastAsia="宋体" w:cs="宋体"/>
                <w:color w:val="auto"/>
                <w:sz w:val="21"/>
                <w:szCs w:val="21"/>
                <w:highlight w:val="none"/>
                <w:lang w:eastAsia="zh-CN"/>
              </w:rPr>
              <w:t>验</w:t>
            </w:r>
            <w:r>
              <w:rPr>
                <w:rFonts w:hint="eastAsia" w:ascii="宋体" w:hAnsi="宋体" w:eastAsia="宋体" w:cs="宋体"/>
                <w:color w:val="auto"/>
                <w:sz w:val="21"/>
                <w:szCs w:val="21"/>
                <w:highlight w:val="none"/>
              </w:rPr>
              <w:t>算和通行评价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Cs w:val="21"/>
                <w:highlight w:val="none"/>
                <w:lang w:eastAsia="zh-CN" w:bidi="ar"/>
              </w:rPr>
              <w:t>定检桥梁总报告和科学决策报告</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1A827864">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梁桥</w:t>
            </w:r>
          </w:p>
        </w:tc>
        <w:tc>
          <w:tcPr>
            <w:tcW w:w="1209" w:type="dxa"/>
            <w:tcBorders>
              <w:top w:val="single" w:color="000000" w:sz="4" w:space="0"/>
              <w:left w:val="single" w:color="000000" w:sz="4" w:space="0"/>
              <w:bottom w:val="single" w:color="000000" w:sz="4" w:space="0"/>
              <w:right w:val="single" w:color="000000" w:sz="4" w:space="0"/>
            </w:tcBorders>
            <w:noWrap w:val="0"/>
            <w:vAlign w:val="center"/>
          </w:tcPr>
          <w:p w14:paraId="6D156B7B">
            <w:pPr>
              <w:widowControl/>
              <w:jc w:val="center"/>
              <w:textAlignment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18097.74</w:t>
            </w:r>
          </w:p>
        </w:tc>
        <w:tc>
          <w:tcPr>
            <w:tcW w:w="896" w:type="dxa"/>
            <w:tcBorders>
              <w:top w:val="single" w:color="000000" w:sz="4" w:space="0"/>
              <w:left w:val="single" w:color="000000" w:sz="4" w:space="0"/>
              <w:bottom w:val="single" w:color="000000" w:sz="4" w:space="0"/>
              <w:right w:val="single" w:color="000000" w:sz="4" w:space="0"/>
            </w:tcBorders>
            <w:noWrap w:val="0"/>
            <w:vAlign w:val="center"/>
          </w:tcPr>
          <w:p w14:paraId="5757F5BD">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米</w:t>
            </w:r>
          </w:p>
        </w:tc>
        <w:tc>
          <w:tcPr>
            <w:tcW w:w="1483" w:type="dxa"/>
            <w:vMerge w:val="continue"/>
            <w:tcBorders>
              <w:left w:val="single" w:color="000000" w:sz="4" w:space="0"/>
              <w:right w:val="single" w:color="000000" w:sz="4" w:space="0"/>
            </w:tcBorders>
            <w:noWrap w:val="0"/>
            <w:vAlign w:val="center"/>
          </w:tcPr>
          <w:p w14:paraId="3A6494D8">
            <w:pPr>
              <w:widowControl/>
              <w:jc w:val="left"/>
              <w:textAlignment w:val="center"/>
              <w:rPr>
                <w:rFonts w:hint="eastAsia" w:ascii="宋体" w:hAnsi="宋体" w:eastAsia="宋体" w:cs="宋体"/>
                <w:color w:val="auto"/>
                <w:szCs w:val="21"/>
                <w:highlight w:val="none"/>
              </w:rPr>
            </w:pPr>
          </w:p>
        </w:tc>
      </w:tr>
      <w:tr w14:paraId="4FE56167">
        <w:tblPrEx>
          <w:tblCellMar>
            <w:top w:w="0" w:type="dxa"/>
            <w:left w:w="108" w:type="dxa"/>
            <w:bottom w:w="0" w:type="dxa"/>
            <w:right w:w="108" w:type="dxa"/>
          </w:tblCellMar>
        </w:tblPrEx>
        <w:trPr>
          <w:trHeight w:val="850" w:hRule="exact"/>
        </w:trPr>
        <w:tc>
          <w:tcPr>
            <w:tcW w:w="7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C62ED2">
            <w:pPr>
              <w:jc w:val="center"/>
              <w:rPr>
                <w:rFonts w:hint="eastAsia" w:ascii="宋体" w:hAnsi="宋体" w:eastAsia="宋体" w:cs="宋体"/>
                <w:color w:val="auto"/>
                <w:szCs w:val="21"/>
                <w:highlight w:val="none"/>
              </w:rPr>
            </w:pPr>
          </w:p>
        </w:tc>
        <w:tc>
          <w:tcPr>
            <w:tcW w:w="29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8E223C">
            <w:pPr>
              <w:jc w:val="center"/>
              <w:rPr>
                <w:rFonts w:hint="eastAsia" w:ascii="宋体" w:hAnsi="宋体" w:eastAsia="宋体" w:cs="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14EDB933">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拱桥</w:t>
            </w:r>
          </w:p>
        </w:tc>
        <w:tc>
          <w:tcPr>
            <w:tcW w:w="1209" w:type="dxa"/>
            <w:tcBorders>
              <w:top w:val="single" w:color="000000" w:sz="4" w:space="0"/>
              <w:left w:val="single" w:color="000000" w:sz="4" w:space="0"/>
              <w:bottom w:val="single" w:color="000000" w:sz="4" w:space="0"/>
              <w:right w:val="single" w:color="000000" w:sz="4" w:space="0"/>
            </w:tcBorders>
            <w:noWrap w:val="0"/>
            <w:vAlign w:val="center"/>
          </w:tcPr>
          <w:p w14:paraId="49931C88">
            <w:pPr>
              <w:widowControl/>
              <w:jc w:val="center"/>
              <w:textAlignment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3223.06</w:t>
            </w:r>
          </w:p>
        </w:tc>
        <w:tc>
          <w:tcPr>
            <w:tcW w:w="896" w:type="dxa"/>
            <w:tcBorders>
              <w:top w:val="single" w:color="000000" w:sz="4" w:space="0"/>
              <w:left w:val="single" w:color="000000" w:sz="4" w:space="0"/>
              <w:bottom w:val="single" w:color="000000" w:sz="4" w:space="0"/>
              <w:right w:val="single" w:color="000000" w:sz="4" w:space="0"/>
            </w:tcBorders>
            <w:noWrap w:val="0"/>
            <w:vAlign w:val="center"/>
          </w:tcPr>
          <w:p w14:paraId="70A46F8C">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米</w:t>
            </w:r>
          </w:p>
        </w:tc>
        <w:tc>
          <w:tcPr>
            <w:tcW w:w="1483" w:type="dxa"/>
            <w:vMerge w:val="continue"/>
            <w:tcBorders>
              <w:left w:val="single" w:color="000000" w:sz="4" w:space="0"/>
              <w:right w:val="single" w:color="000000" w:sz="4" w:space="0"/>
            </w:tcBorders>
            <w:noWrap w:val="0"/>
            <w:vAlign w:val="center"/>
          </w:tcPr>
          <w:p w14:paraId="762CFD09">
            <w:pPr>
              <w:widowControl/>
              <w:jc w:val="left"/>
              <w:textAlignment w:val="center"/>
              <w:rPr>
                <w:rFonts w:hint="eastAsia" w:ascii="宋体" w:hAnsi="宋体" w:eastAsia="宋体" w:cs="宋体"/>
                <w:color w:val="auto"/>
                <w:szCs w:val="21"/>
                <w:highlight w:val="none"/>
              </w:rPr>
            </w:pPr>
          </w:p>
        </w:tc>
      </w:tr>
      <w:tr w14:paraId="5FB9308F">
        <w:tblPrEx>
          <w:tblCellMar>
            <w:top w:w="0" w:type="dxa"/>
            <w:left w:w="108" w:type="dxa"/>
            <w:bottom w:w="0" w:type="dxa"/>
            <w:right w:w="108" w:type="dxa"/>
          </w:tblCellMar>
        </w:tblPrEx>
        <w:trPr>
          <w:trHeight w:val="850" w:hRule="exact"/>
        </w:trPr>
        <w:tc>
          <w:tcPr>
            <w:tcW w:w="790" w:type="dxa"/>
            <w:tcBorders>
              <w:top w:val="single" w:color="000000" w:sz="4" w:space="0"/>
              <w:left w:val="single" w:color="000000" w:sz="4" w:space="0"/>
              <w:bottom w:val="single" w:color="000000" w:sz="4" w:space="0"/>
              <w:right w:val="single" w:color="000000" w:sz="4" w:space="0"/>
            </w:tcBorders>
            <w:noWrap w:val="0"/>
            <w:vAlign w:val="center"/>
          </w:tcPr>
          <w:p w14:paraId="7B7988E9">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A2</w:t>
            </w:r>
          </w:p>
        </w:tc>
        <w:tc>
          <w:tcPr>
            <w:tcW w:w="2961" w:type="dxa"/>
            <w:tcBorders>
              <w:top w:val="single" w:color="000000" w:sz="4" w:space="0"/>
              <w:left w:val="single" w:color="000000" w:sz="4" w:space="0"/>
              <w:bottom w:val="single" w:color="000000" w:sz="4" w:space="0"/>
              <w:right w:val="single" w:color="000000" w:sz="4" w:space="0"/>
            </w:tcBorders>
            <w:noWrap w:val="0"/>
            <w:vAlign w:val="center"/>
          </w:tcPr>
          <w:p w14:paraId="5A9FECFE">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永久观测点测设</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7E8C5FA3">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单孔跨径不小于60m桥梁</w:t>
            </w:r>
          </w:p>
        </w:tc>
        <w:tc>
          <w:tcPr>
            <w:tcW w:w="1209" w:type="dxa"/>
            <w:tcBorders>
              <w:top w:val="single" w:color="000000" w:sz="4" w:space="0"/>
              <w:left w:val="single" w:color="000000" w:sz="4" w:space="0"/>
              <w:bottom w:val="single" w:color="000000" w:sz="4" w:space="0"/>
              <w:right w:val="single" w:color="000000" w:sz="4" w:space="0"/>
            </w:tcBorders>
            <w:noWrap w:val="0"/>
            <w:vAlign w:val="center"/>
          </w:tcPr>
          <w:p w14:paraId="5CDC2E6C">
            <w:pPr>
              <w:widowControl/>
              <w:jc w:val="center"/>
              <w:textAlignment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1363</w:t>
            </w:r>
          </w:p>
        </w:tc>
        <w:tc>
          <w:tcPr>
            <w:tcW w:w="896" w:type="dxa"/>
            <w:tcBorders>
              <w:top w:val="single" w:color="000000" w:sz="4" w:space="0"/>
              <w:left w:val="single" w:color="000000" w:sz="4" w:space="0"/>
              <w:bottom w:val="single" w:color="000000" w:sz="4" w:space="0"/>
              <w:right w:val="single" w:color="000000" w:sz="4" w:space="0"/>
            </w:tcBorders>
            <w:noWrap w:val="0"/>
            <w:vAlign w:val="center"/>
          </w:tcPr>
          <w:p w14:paraId="386E6D21">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点</w:t>
            </w:r>
          </w:p>
        </w:tc>
        <w:tc>
          <w:tcPr>
            <w:tcW w:w="1483" w:type="dxa"/>
            <w:vMerge w:val="continue"/>
            <w:tcBorders>
              <w:left w:val="single" w:color="000000" w:sz="4" w:space="0"/>
              <w:right w:val="single" w:color="000000" w:sz="4" w:space="0"/>
            </w:tcBorders>
            <w:noWrap w:val="0"/>
            <w:vAlign w:val="center"/>
          </w:tcPr>
          <w:p w14:paraId="1289568E">
            <w:pPr>
              <w:widowControl/>
              <w:jc w:val="left"/>
              <w:textAlignment w:val="center"/>
              <w:rPr>
                <w:rFonts w:hint="eastAsia" w:ascii="宋体" w:hAnsi="宋体" w:eastAsia="宋体" w:cs="宋体"/>
                <w:color w:val="auto"/>
                <w:szCs w:val="21"/>
                <w:highlight w:val="none"/>
              </w:rPr>
            </w:pPr>
          </w:p>
        </w:tc>
      </w:tr>
      <w:tr w14:paraId="600449CB">
        <w:tblPrEx>
          <w:tblCellMar>
            <w:top w:w="0" w:type="dxa"/>
            <w:left w:w="108" w:type="dxa"/>
            <w:bottom w:w="0" w:type="dxa"/>
            <w:right w:w="108" w:type="dxa"/>
          </w:tblCellMar>
        </w:tblPrEx>
        <w:trPr>
          <w:trHeight w:val="850" w:hRule="exact"/>
        </w:trPr>
        <w:tc>
          <w:tcPr>
            <w:tcW w:w="790" w:type="dxa"/>
            <w:tcBorders>
              <w:top w:val="single" w:color="000000" w:sz="4" w:space="0"/>
              <w:left w:val="single" w:color="000000" w:sz="4" w:space="0"/>
              <w:bottom w:val="single" w:color="000000" w:sz="4" w:space="0"/>
              <w:right w:val="single" w:color="000000" w:sz="4" w:space="0"/>
            </w:tcBorders>
            <w:noWrap w:val="0"/>
            <w:vAlign w:val="center"/>
          </w:tcPr>
          <w:p w14:paraId="53ADE290">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A3</w:t>
            </w:r>
          </w:p>
        </w:tc>
        <w:tc>
          <w:tcPr>
            <w:tcW w:w="2961" w:type="dxa"/>
            <w:tcBorders>
              <w:top w:val="single" w:color="000000" w:sz="4" w:space="0"/>
              <w:left w:val="single" w:color="000000" w:sz="4" w:space="0"/>
              <w:bottom w:val="single" w:color="000000" w:sz="4" w:space="0"/>
              <w:right w:val="single" w:color="000000" w:sz="4" w:space="0"/>
            </w:tcBorders>
            <w:noWrap w:val="0"/>
            <w:vAlign w:val="center"/>
          </w:tcPr>
          <w:p w14:paraId="24230619">
            <w:pPr>
              <w:widowControl/>
              <w:jc w:val="center"/>
              <w:textAlignment w:val="center"/>
              <w:rPr>
                <w:rFonts w:hint="eastAsia" w:ascii="宋体" w:hAnsi="宋体" w:eastAsia="宋体" w:cs="宋体"/>
                <w:color w:val="auto"/>
                <w:szCs w:val="21"/>
                <w:highlight w:val="none"/>
                <w:lang w:eastAsia="zh-CN"/>
              </w:rPr>
            </w:pPr>
            <w:r>
              <w:rPr>
                <w:rFonts w:hint="eastAsia" w:ascii="宋体" w:hAnsi="宋体" w:eastAsia="宋体" w:cs="宋体"/>
                <w:color w:val="auto"/>
                <w:kern w:val="0"/>
                <w:szCs w:val="21"/>
                <w:highlight w:val="none"/>
                <w:lang w:bidi="ar"/>
              </w:rPr>
              <w:t>水中结构</w:t>
            </w:r>
            <w:r>
              <w:rPr>
                <w:rFonts w:hint="eastAsia" w:ascii="宋体" w:hAnsi="宋体" w:eastAsia="宋体" w:cs="宋体"/>
                <w:color w:val="auto"/>
                <w:kern w:val="0"/>
                <w:szCs w:val="21"/>
                <w:highlight w:val="none"/>
                <w:lang w:eastAsia="zh-CN" w:bidi="ar"/>
              </w:rPr>
              <w:t>检查</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350D3F3C">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水中墩、台</w:t>
            </w:r>
          </w:p>
        </w:tc>
        <w:tc>
          <w:tcPr>
            <w:tcW w:w="1209" w:type="dxa"/>
            <w:tcBorders>
              <w:top w:val="single" w:color="000000" w:sz="4" w:space="0"/>
              <w:left w:val="single" w:color="000000" w:sz="4" w:space="0"/>
              <w:bottom w:val="single" w:color="000000" w:sz="4" w:space="0"/>
              <w:right w:val="single" w:color="000000" w:sz="4" w:space="0"/>
            </w:tcBorders>
            <w:noWrap w:val="0"/>
            <w:vAlign w:val="center"/>
          </w:tcPr>
          <w:p w14:paraId="317CAF1E">
            <w:pPr>
              <w:widowControl/>
              <w:jc w:val="center"/>
              <w:textAlignment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61</w:t>
            </w:r>
          </w:p>
        </w:tc>
        <w:tc>
          <w:tcPr>
            <w:tcW w:w="896" w:type="dxa"/>
            <w:tcBorders>
              <w:top w:val="single" w:color="000000" w:sz="4" w:space="0"/>
              <w:left w:val="single" w:color="000000" w:sz="4" w:space="0"/>
              <w:bottom w:val="single" w:color="000000" w:sz="4" w:space="0"/>
              <w:right w:val="single" w:color="000000" w:sz="4" w:space="0"/>
            </w:tcBorders>
            <w:noWrap w:val="0"/>
            <w:vAlign w:val="center"/>
          </w:tcPr>
          <w:p w14:paraId="2EC6ADC4">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483" w:type="dxa"/>
            <w:vMerge w:val="continue"/>
            <w:tcBorders>
              <w:left w:val="single" w:color="000000" w:sz="4" w:space="0"/>
              <w:right w:val="single" w:color="000000" w:sz="4" w:space="0"/>
            </w:tcBorders>
            <w:noWrap w:val="0"/>
            <w:vAlign w:val="center"/>
          </w:tcPr>
          <w:p w14:paraId="0736AEDD">
            <w:pPr>
              <w:widowControl/>
              <w:jc w:val="left"/>
              <w:textAlignment w:val="center"/>
              <w:rPr>
                <w:rFonts w:hint="eastAsia" w:ascii="宋体" w:hAnsi="宋体" w:eastAsia="宋体" w:cs="宋体"/>
                <w:color w:val="auto"/>
                <w:szCs w:val="21"/>
                <w:highlight w:val="none"/>
              </w:rPr>
            </w:pPr>
          </w:p>
        </w:tc>
      </w:tr>
      <w:tr w14:paraId="5998BE33">
        <w:tblPrEx>
          <w:tblCellMar>
            <w:top w:w="0" w:type="dxa"/>
            <w:left w:w="108" w:type="dxa"/>
            <w:bottom w:w="0" w:type="dxa"/>
            <w:right w:w="108" w:type="dxa"/>
          </w:tblCellMar>
        </w:tblPrEx>
        <w:trPr>
          <w:trHeight w:val="850" w:hRule="exact"/>
        </w:trPr>
        <w:tc>
          <w:tcPr>
            <w:tcW w:w="790" w:type="dxa"/>
            <w:tcBorders>
              <w:top w:val="single" w:color="000000" w:sz="4" w:space="0"/>
              <w:left w:val="single" w:color="000000" w:sz="4" w:space="0"/>
              <w:bottom w:val="single" w:color="000000" w:sz="4" w:space="0"/>
              <w:right w:val="single" w:color="000000" w:sz="4" w:space="0"/>
            </w:tcBorders>
            <w:noWrap w:val="0"/>
            <w:vAlign w:val="center"/>
          </w:tcPr>
          <w:p w14:paraId="4C1900D5">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Cs w:val="21"/>
                <w:highlight w:val="none"/>
                <w:lang w:bidi="ar"/>
              </w:rPr>
              <w:t>A</w:t>
            </w:r>
            <w:r>
              <w:rPr>
                <w:rFonts w:hint="eastAsia" w:ascii="宋体" w:hAnsi="宋体" w:eastAsia="宋体" w:cs="宋体"/>
                <w:color w:val="auto"/>
                <w:kern w:val="0"/>
                <w:szCs w:val="21"/>
                <w:highlight w:val="none"/>
                <w:lang w:val="en-US" w:eastAsia="zh-CN" w:bidi="ar"/>
              </w:rPr>
              <w:t>4</w:t>
            </w:r>
          </w:p>
        </w:tc>
        <w:tc>
          <w:tcPr>
            <w:tcW w:w="2961" w:type="dxa"/>
            <w:tcBorders>
              <w:top w:val="single" w:color="000000" w:sz="4" w:space="0"/>
              <w:left w:val="single" w:color="000000" w:sz="4" w:space="0"/>
              <w:bottom w:val="single" w:color="000000" w:sz="4" w:space="0"/>
              <w:right w:val="single" w:color="000000" w:sz="4" w:space="0"/>
            </w:tcBorders>
            <w:noWrap w:val="0"/>
            <w:vAlign w:val="center"/>
          </w:tcPr>
          <w:p w14:paraId="5E226943">
            <w:pPr>
              <w:keepNext w:val="0"/>
              <w:keepLines w:val="0"/>
              <w:widowControl/>
              <w:suppressLineNumbers w:val="0"/>
              <w:jc w:val="center"/>
              <w:textAlignment w:val="center"/>
              <w:rPr>
                <w:rFonts w:hint="eastAsia" w:ascii="Times New Roman" w:hAnsi="Times New Roman" w:eastAsia="宋体" w:cs="Times New Roman"/>
                <w:i w:val="0"/>
                <w:iCs w:val="0"/>
                <w:color w:val="auto"/>
                <w:kern w:val="2"/>
                <w:sz w:val="21"/>
                <w:szCs w:val="21"/>
                <w:highlight w:val="none"/>
                <w:u w:val="none"/>
                <w:lang w:val="en-US" w:eastAsia="zh-CN" w:bidi="ar-SA"/>
              </w:rPr>
            </w:pPr>
            <w:r>
              <w:rPr>
                <w:rFonts w:hint="eastAsia" w:ascii="Times New Roman" w:hAnsi="Times New Roman" w:eastAsia="宋体" w:cs="Times New Roman"/>
                <w:i w:val="0"/>
                <w:iCs w:val="0"/>
                <w:color w:val="auto"/>
                <w:sz w:val="21"/>
                <w:szCs w:val="21"/>
                <w:highlight w:val="none"/>
                <w:u w:val="none"/>
                <w:lang w:eastAsia="zh-CN"/>
              </w:rPr>
              <w:t>设置涉水桥梁防洪标识，编制涉水桥梁防洪标识设置报告</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0F5C3F74">
            <w:pPr>
              <w:keepNext w:val="0"/>
              <w:keepLines w:val="0"/>
              <w:widowControl/>
              <w:suppressLineNumbers w:val="0"/>
              <w:jc w:val="center"/>
              <w:textAlignment w:val="center"/>
              <w:rPr>
                <w:rFonts w:hint="eastAsia" w:ascii="Times New Roman" w:hAnsi="Times New Roman" w:eastAsia="宋体" w:cs="Times New Roman"/>
                <w:i w:val="0"/>
                <w:iCs w:val="0"/>
                <w:color w:val="auto"/>
                <w:kern w:val="2"/>
                <w:sz w:val="21"/>
                <w:szCs w:val="21"/>
                <w:highlight w:val="none"/>
                <w:u w:val="none"/>
                <w:lang w:val="en-US" w:eastAsia="zh-CN" w:bidi="ar-SA"/>
              </w:rPr>
            </w:pPr>
            <w:r>
              <w:rPr>
                <w:rFonts w:hint="eastAsia" w:ascii="Times New Roman" w:hAnsi="Times New Roman" w:eastAsia="宋体" w:cs="Times New Roman"/>
                <w:i w:val="0"/>
                <w:iCs w:val="0"/>
                <w:color w:val="auto"/>
                <w:kern w:val="0"/>
                <w:sz w:val="21"/>
                <w:szCs w:val="21"/>
                <w:highlight w:val="none"/>
                <w:u w:val="none"/>
                <w:lang w:val="en-US" w:eastAsia="zh-CN" w:bidi="ar"/>
              </w:rPr>
              <w:t>涉水</w:t>
            </w:r>
            <w:r>
              <w:rPr>
                <w:rFonts w:hint="default" w:ascii="Times New Roman" w:hAnsi="Times New Roman" w:eastAsia="宋体" w:cs="Times New Roman"/>
                <w:i w:val="0"/>
                <w:iCs w:val="0"/>
                <w:color w:val="auto"/>
                <w:kern w:val="0"/>
                <w:sz w:val="21"/>
                <w:szCs w:val="21"/>
                <w:highlight w:val="none"/>
                <w:u w:val="none"/>
                <w:lang w:val="en-US" w:eastAsia="zh-CN" w:bidi="ar"/>
              </w:rPr>
              <w:t>桥</w:t>
            </w:r>
            <w:r>
              <w:rPr>
                <w:rFonts w:hint="eastAsia" w:ascii="Times New Roman" w:hAnsi="Times New Roman" w:eastAsia="宋体" w:cs="Times New Roman"/>
                <w:i w:val="0"/>
                <w:iCs w:val="0"/>
                <w:color w:val="auto"/>
                <w:kern w:val="0"/>
                <w:sz w:val="21"/>
                <w:szCs w:val="21"/>
                <w:highlight w:val="none"/>
                <w:u w:val="none"/>
                <w:lang w:val="en-US" w:eastAsia="zh-CN" w:bidi="ar"/>
              </w:rPr>
              <w:t>梁</w:t>
            </w:r>
          </w:p>
        </w:tc>
        <w:tc>
          <w:tcPr>
            <w:tcW w:w="1209" w:type="dxa"/>
            <w:tcBorders>
              <w:top w:val="single" w:color="000000" w:sz="4" w:space="0"/>
              <w:left w:val="single" w:color="000000" w:sz="4" w:space="0"/>
              <w:bottom w:val="single" w:color="000000" w:sz="4" w:space="0"/>
              <w:right w:val="single" w:color="000000" w:sz="4" w:space="0"/>
            </w:tcBorders>
            <w:noWrap w:val="0"/>
            <w:vAlign w:val="center"/>
          </w:tcPr>
          <w:p w14:paraId="50F12F6A">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eastAsia" w:ascii="Times New Roman" w:hAnsi="Times New Roman" w:eastAsia="宋体" w:cs="Times New Roman"/>
                <w:i w:val="0"/>
                <w:iCs w:val="0"/>
                <w:color w:val="auto"/>
                <w:kern w:val="2"/>
                <w:sz w:val="21"/>
                <w:szCs w:val="21"/>
                <w:highlight w:val="none"/>
                <w:u w:val="none"/>
                <w:lang w:val="en-US" w:eastAsia="zh-CN" w:bidi="ar-SA"/>
              </w:rPr>
              <w:t>371</w:t>
            </w:r>
          </w:p>
        </w:tc>
        <w:tc>
          <w:tcPr>
            <w:tcW w:w="896" w:type="dxa"/>
            <w:tcBorders>
              <w:top w:val="single" w:color="000000" w:sz="4" w:space="0"/>
              <w:left w:val="single" w:color="000000" w:sz="4" w:space="0"/>
              <w:bottom w:val="single" w:color="000000" w:sz="4" w:space="0"/>
              <w:right w:val="single" w:color="000000" w:sz="4" w:space="0"/>
            </w:tcBorders>
            <w:noWrap w:val="0"/>
            <w:vAlign w:val="center"/>
          </w:tcPr>
          <w:p w14:paraId="670D5C97">
            <w:pPr>
              <w:keepNext w:val="0"/>
              <w:keepLines w:val="0"/>
              <w:widowControl/>
              <w:suppressLineNumbers w:val="0"/>
              <w:jc w:val="center"/>
              <w:textAlignment w:val="center"/>
              <w:rPr>
                <w:rFonts w:hint="eastAsia"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座</w:t>
            </w:r>
          </w:p>
        </w:tc>
        <w:tc>
          <w:tcPr>
            <w:tcW w:w="1483" w:type="dxa"/>
            <w:vMerge w:val="continue"/>
            <w:tcBorders>
              <w:left w:val="single" w:color="000000" w:sz="4" w:space="0"/>
              <w:right w:val="single" w:color="000000" w:sz="4" w:space="0"/>
            </w:tcBorders>
            <w:noWrap w:val="0"/>
            <w:vAlign w:val="center"/>
          </w:tcPr>
          <w:p w14:paraId="3B2672FB">
            <w:pPr>
              <w:widowControl/>
              <w:textAlignment w:val="center"/>
              <w:rPr>
                <w:rFonts w:hint="eastAsia" w:ascii="宋体" w:hAnsi="宋体" w:eastAsia="宋体" w:cs="宋体"/>
                <w:color w:val="auto"/>
                <w:szCs w:val="21"/>
                <w:highlight w:val="none"/>
              </w:rPr>
            </w:pPr>
          </w:p>
        </w:tc>
      </w:tr>
      <w:tr w14:paraId="5FE4AA56">
        <w:tblPrEx>
          <w:tblCellMar>
            <w:top w:w="0" w:type="dxa"/>
            <w:left w:w="108" w:type="dxa"/>
            <w:bottom w:w="0" w:type="dxa"/>
            <w:right w:w="108" w:type="dxa"/>
          </w:tblCellMar>
        </w:tblPrEx>
        <w:trPr>
          <w:trHeight w:val="850" w:hRule="exact"/>
        </w:trPr>
        <w:tc>
          <w:tcPr>
            <w:tcW w:w="790" w:type="dxa"/>
            <w:tcBorders>
              <w:top w:val="single" w:color="000000" w:sz="4" w:space="0"/>
              <w:left w:val="single" w:color="000000" w:sz="4" w:space="0"/>
              <w:bottom w:val="single" w:color="000000" w:sz="4" w:space="0"/>
              <w:right w:val="single" w:color="000000" w:sz="4" w:space="0"/>
            </w:tcBorders>
            <w:noWrap w:val="0"/>
            <w:vAlign w:val="center"/>
          </w:tcPr>
          <w:p w14:paraId="04F51A93">
            <w:pPr>
              <w:widowControl/>
              <w:jc w:val="center"/>
              <w:textAlignment w:val="center"/>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bidi="ar"/>
              </w:rPr>
              <w:t>A</w:t>
            </w:r>
            <w:r>
              <w:rPr>
                <w:rFonts w:hint="eastAsia" w:ascii="宋体" w:hAnsi="宋体" w:eastAsia="宋体" w:cs="宋体"/>
                <w:color w:val="auto"/>
                <w:kern w:val="0"/>
                <w:szCs w:val="21"/>
                <w:highlight w:val="none"/>
                <w:lang w:val="en-US" w:eastAsia="zh-CN" w:bidi="ar"/>
              </w:rPr>
              <w:t>5</w:t>
            </w:r>
          </w:p>
        </w:tc>
        <w:tc>
          <w:tcPr>
            <w:tcW w:w="2961" w:type="dxa"/>
            <w:tcBorders>
              <w:top w:val="single" w:color="000000" w:sz="4" w:space="0"/>
              <w:left w:val="single" w:color="000000" w:sz="4" w:space="0"/>
              <w:bottom w:val="single" w:color="000000" w:sz="4" w:space="0"/>
              <w:right w:val="single" w:color="000000" w:sz="4" w:space="0"/>
            </w:tcBorders>
            <w:noWrap w:val="0"/>
            <w:vAlign w:val="center"/>
          </w:tcPr>
          <w:p w14:paraId="7E7C2A48">
            <w:pPr>
              <w:widowControl/>
              <w:jc w:val="center"/>
              <w:textAlignment w:val="center"/>
              <w:rPr>
                <w:rFonts w:hint="eastAsia" w:ascii="宋体" w:hAnsi="宋体" w:eastAsia="宋体" w:cs="宋体"/>
                <w:color w:val="auto"/>
                <w:szCs w:val="21"/>
                <w:highlight w:val="none"/>
                <w:lang w:eastAsia="zh-CN"/>
              </w:rPr>
            </w:pPr>
            <w:r>
              <w:rPr>
                <w:rFonts w:hint="eastAsia" w:ascii="宋体" w:hAnsi="宋体" w:eastAsia="宋体" w:cs="宋体"/>
                <w:color w:val="auto"/>
                <w:kern w:val="0"/>
                <w:szCs w:val="21"/>
                <w:highlight w:val="none"/>
                <w:lang w:bidi="ar"/>
              </w:rPr>
              <w:t>编制</w:t>
            </w:r>
            <w:r>
              <w:rPr>
                <w:rFonts w:hint="eastAsia" w:ascii="宋体" w:hAnsi="宋体" w:eastAsia="宋体" w:cs="宋体"/>
                <w:color w:val="auto"/>
                <w:kern w:val="0"/>
                <w:szCs w:val="21"/>
                <w:highlight w:val="none"/>
                <w:lang w:eastAsia="zh-CN" w:bidi="ar"/>
              </w:rPr>
              <w:t>西江大桥运营后评估报告</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1D9F2EAA">
            <w:pPr>
              <w:widowControl/>
              <w:jc w:val="center"/>
              <w:textAlignment w:val="center"/>
              <w:rPr>
                <w:rFonts w:hint="eastAsia" w:ascii="宋体" w:hAnsi="宋体" w:eastAsia="宋体" w:cs="宋体"/>
                <w:color w:val="auto"/>
                <w:szCs w:val="21"/>
                <w:highlight w:val="none"/>
                <w:lang w:eastAsia="zh-CN"/>
              </w:rPr>
            </w:pPr>
            <w:r>
              <w:rPr>
                <w:rFonts w:hint="eastAsia" w:ascii="宋体" w:hAnsi="宋体" w:eastAsia="宋体" w:cs="宋体"/>
                <w:color w:val="auto"/>
                <w:kern w:val="0"/>
                <w:szCs w:val="21"/>
                <w:highlight w:val="none"/>
                <w:lang w:eastAsia="zh-CN" w:bidi="ar"/>
              </w:rPr>
              <w:t>西江大桥</w:t>
            </w:r>
          </w:p>
        </w:tc>
        <w:tc>
          <w:tcPr>
            <w:tcW w:w="1209" w:type="dxa"/>
            <w:tcBorders>
              <w:top w:val="single" w:color="000000" w:sz="4" w:space="0"/>
              <w:left w:val="single" w:color="000000" w:sz="4" w:space="0"/>
              <w:bottom w:val="single" w:color="000000" w:sz="4" w:space="0"/>
              <w:right w:val="single" w:color="000000" w:sz="4" w:space="0"/>
            </w:tcBorders>
            <w:noWrap w:val="0"/>
            <w:vAlign w:val="center"/>
          </w:tcPr>
          <w:p w14:paraId="069045D4">
            <w:pPr>
              <w:widowControl/>
              <w:jc w:val="center"/>
              <w:textAlignment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w:t>
            </w:r>
          </w:p>
        </w:tc>
        <w:tc>
          <w:tcPr>
            <w:tcW w:w="896" w:type="dxa"/>
            <w:tcBorders>
              <w:top w:val="single" w:color="000000" w:sz="4" w:space="0"/>
              <w:left w:val="single" w:color="000000" w:sz="4" w:space="0"/>
              <w:bottom w:val="single" w:color="000000" w:sz="4" w:space="0"/>
              <w:right w:val="single" w:color="000000" w:sz="4" w:space="0"/>
            </w:tcBorders>
            <w:noWrap w:val="0"/>
            <w:vAlign w:val="center"/>
          </w:tcPr>
          <w:p w14:paraId="518B6CD8">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座</w:t>
            </w:r>
          </w:p>
        </w:tc>
        <w:tc>
          <w:tcPr>
            <w:tcW w:w="1483" w:type="dxa"/>
            <w:vMerge w:val="continue"/>
            <w:tcBorders>
              <w:left w:val="single" w:color="000000" w:sz="4" w:space="0"/>
              <w:right w:val="single" w:color="000000" w:sz="4" w:space="0"/>
            </w:tcBorders>
            <w:noWrap w:val="0"/>
            <w:vAlign w:val="center"/>
          </w:tcPr>
          <w:p w14:paraId="0D6472E0">
            <w:pPr>
              <w:widowControl/>
              <w:textAlignment w:val="center"/>
              <w:rPr>
                <w:rFonts w:hint="eastAsia" w:ascii="宋体" w:hAnsi="宋体" w:eastAsia="宋体" w:cs="宋体"/>
                <w:color w:val="auto"/>
                <w:szCs w:val="21"/>
                <w:highlight w:val="none"/>
              </w:rPr>
            </w:pPr>
          </w:p>
        </w:tc>
      </w:tr>
      <w:tr w14:paraId="3E420733">
        <w:tblPrEx>
          <w:tblCellMar>
            <w:top w:w="0" w:type="dxa"/>
            <w:left w:w="108" w:type="dxa"/>
            <w:bottom w:w="0" w:type="dxa"/>
            <w:right w:w="108" w:type="dxa"/>
          </w:tblCellMar>
        </w:tblPrEx>
        <w:trPr>
          <w:trHeight w:val="682" w:hRule="exact"/>
        </w:trPr>
        <w:tc>
          <w:tcPr>
            <w:tcW w:w="790" w:type="dxa"/>
            <w:tcBorders>
              <w:top w:val="single" w:color="000000" w:sz="4" w:space="0"/>
              <w:left w:val="single" w:color="000000" w:sz="4" w:space="0"/>
              <w:bottom w:val="single" w:color="000000" w:sz="4" w:space="0"/>
              <w:right w:val="single" w:color="000000" w:sz="4" w:space="0"/>
            </w:tcBorders>
            <w:noWrap w:val="0"/>
            <w:vAlign w:val="center"/>
          </w:tcPr>
          <w:p w14:paraId="1FBC172B">
            <w:pPr>
              <w:widowControl/>
              <w:jc w:val="center"/>
              <w:textAlignment w:val="center"/>
              <w:rPr>
                <w:rFonts w:hint="eastAsia"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（二）</w:t>
            </w:r>
          </w:p>
        </w:tc>
        <w:tc>
          <w:tcPr>
            <w:tcW w:w="2961" w:type="dxa"/>
            <w:tcBorders>
              <w:top w:val="single" w:color="000000" w:sz="4" w:space="0"/>
              <w:left w:val="single" w:color="000000" w:sz="4" w:space="0"/>
              <w:bottom w:val="single" w:color="000000" w:sz="4" w:space="0"/>
              <w:right w:val="single" w:color="000000" w:sz="4" w:space="0"/>
            </w:tcBorders>
            <w:noWrap w:val="0"/>
            <w:vAlign w:val="center"/>
          </w:tcPr>
          <w:p w14:paraId="5F20A471">
            <w:pPr>
              <w:widowControl/>
              <w:jc w:val="center"/>
              <w:textAlignment w:val="center"/>
              <w:rPr>
                <w:rFonts w:hint="eastAsia"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隧道检测</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6655C114">
            <w:pPr>
              <w:jc w:val="center"/>
              <w:rPr>
                <w:rFonts w:hint="eastAsia" w:ascii="宋体" w:hAnsi="宋体" w:eastAsia="宋体" w:cs="宋体"/>
                <w:b/>
                <w:bCs/>
                <w:color w:val="auto"/>
                <w:szCs w:val="21"/>
                <w:highlight w:val="none"/>
              </w:rPr>
            </w:pPr>
          </w:p>
        </w:tc>
        <w:tc>
          <w:tcPr>
            <w:tcW w:w="1209" w:type="dxa"/>
            <w:tcBorders>
              <w:top w:val="single" w:color="000000" w:sz="4" w:space="0"/>
              <w:left w:val="single" w:color="000000" w:sz="4" w:space="0"/>
              <w:bottom w:val="single" w:color="000000" w:sz="4" w:space="0"/>
              <w:right w:val="single" w:color="000000" w:sz="4" w:space="0"/>
            </w:tcBorders>
            <w:noWrap w:val="0"/>
            <w:vAlign w:val="center"/>
          </w:tcPr>
          <w:p w14:paraId="61C56B57">
            <w:pPr>
              <w:jc w:val="center"/>
              <w:rPr>
                <w:rFonts w:hint="eastAsia" w:ascii="宋体" w:hAnsi="宋体" w:eastAsia="宋体" w:cs="宋体"/>
                <w:b/>
                <w:bCs/>
                <w:color w:val="auto"/>
                <w:szCs w:val="21"/>
                <w:highlight w:val="none"/>
              </w:rPr>
            </w:pPr>
          </w:p>
        </w:tc>
        <w:tc>
          <w:tcPr>
            <w:tcW w:w="896" w:type="dxa"/>
            <w:tcBorders>
              <w:top w:val="single" w:color="000000" w:sz="4" w:space="0"/>
              <w:left w:val="single" w:color="000000" w:sz="4" w:space="0"/>
              <w:bottom w:val="single" w:color="000000" w:sz="4" w:space="0"/>
              <w:right w:val="single" w:color="000000" w:sz="4" w:space="0"/>
            </w:tcBorders>
            <w:noWrap w:val="0"/>
            <w:vAlign w:val="center"/>
          </w:tcPr>
          <w:p w14:paraId="388FC609">
            <w:pPr>
              <w:jc w:val="center"/>
              <w:rPr>
                <w:rFonts w:hint="eastAsia" w:ascii="宋体" w:hAnsi="宋体" w:eastAsia="宋体" w:cs="宋体"/>
                <w:b/>
                <w:bCs/>
                <w:color w:val="auto"/>
                <w:szCs w:val="21"/>
                <w:highlight w:val="none"/>
              </w:rPr>
            </w:pPr>
          </w:p>
        </w:tc>
        <w:tc>
          <w:tcPr>
            <w:tcW w:w="1483" w:type="dxa"/>
            <w:vMerge w:val="continue"/>
            <w:tcBorders>
              <w:left w:val="single" w:color="000000" w:sz="4" w:space="0"/>
              <w:right w:val="single" w:color="000000" w:sz="4" w:space="0"/>
            </w:tcBorders>
            <w:noWrap w:val="0"/>
            <w:vAlign w:val="center"/>
          </w:tcPr>
          <w:p w14:paraId="3B18F50E">
            <w:pPr>
              <w:jc w:val="left"/>
              <w:rPr>
                <w:rFonts w:hint="eastAsia" w:ascii="宋体" w:hAnsi="宋体" w:eastAsia="宋体" w:cs="宋体"/>
                <w:b/>
                <w:bCs/>
                <w:color w:val="auto"/>
                <w:szCs w:val="21"/>
                <w:highlight w:val="none"/>
              </w:rPr>
            </w:pPr>
          </w:p>
        </w:tc>
      </w:tr>
      <w:tr w14:paraId="5E2CA752">
        <w:tblPrEx>
          <w:tblCellMar>
            <w:top w:w="0" w:type="dxa"/>
            <w:left w:w="108" w:type="dxa"/>
            <w:bottom w:w="0" w:type="dxa"/>
            <w:right w:w="108" w:type="dxa"/>
          </w:tblCellMar>
        </w:tblPrEx>
        <w:trPr>
          <w:trHeight w:val="1006" w:hRule="exact"/>
        </w:trPr>
        <w:tc>
          <w:tcPr>
            <w:tcW w:w="790" w:type="dxa"/>
            <w:tcBorders>
              <w:top w:val="single" w:color="000000" w:sz="4" w:space="0"/>
              <w:left w:val="single" w:color="000000" w:sz="4" w:space="0"/>
              <w:bottom w:val="single" w:color="000000" w:sz="4" w:space="0"/>
              <w:right w:val="single" w:color="000000" w:sz="4" w:space="0"/>
            </w:tcBorders>
            <w:noWrap w:val="0"/>
            <w:vAlign w:val="center"/>
          </w:tcPr>
          <w:p w14:paraId="4A97CFA1">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B1</w:t>
            </w:r>
          </w:p>
        </w:tc>
        <w:tc>
          <w:tcPr>
            <w:tcW w:w="2961" w:type="dxa"/>
            <w:tcBorders>
              <w:top w:val="single" w:color="000000" w:sz="4" w:space="0"/>
              <w:left w:val="single" w:color="000000" w:sz="4" w:space="0"/>
              <w:bottom w:val="single" w:color="000000" w:sz="4" w:space="0"/>
              <w:right w:val="single" w:color="000000" w:sz="4" w:space="0"/>
            </w:tcBorders>
            <w:noWrap w:val="0"/>
            <w:vAlign w:val="center"/>
          </w:tcPr>
          <w:p w14:paraId="30E7590E">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土建结构、机电设施、其他工程设施</w:t>
            </w:r>
            <w:r>
              <w:rPr>
                <w:rFonts w:hint="eastAsia" w:ascii="宋体" w:hAnsi="宋体" w:eastAsia="宋体" w:cs="宋体"/>
                <w:color w:val="auto"/>
                <w:kern w:val="0"/>
                <w:szCs w:val="21"/>
                <w:highlight w:val="none"/>
                <w:lang w:eastAsia="zh-CN" w:bidi="ar"/>
              </w:rPr>
              <w:t>检测</w:t>
            </w:r>
            <w:r>
              <w:rPr>
                <w:rFonts w:hint="eastAsia" w:ascii="宋体" w:hAnsi="宋体" w:eastAsia="宋体" w:cs="宋体"/>
                <w:color w:val="auto"/>
                <w:kern w:val="0"/>
                <w:szCs w:val="21"/>
                <w:highlight w:val="none"/>
                <w:lang w:bidi="ar"/>
              </w:rPr>
              <w:t>及技术状况评定</w:t>
            </w:r>
            <w:r>
              <w:rPr>
                <w:rFonts w:hint="eastAsia" w:ascii="宋体" w:hAnsi="宋体" w:eastAsia="宋体" w:cs="宋体"/>
                <w:color w:val="auto"/>
                <w:kern w:val="0"/>
                <w:szCs w:val="21"/>
                <w:highlight w:val="none"/>
                <w:lang w:eastAsia="zh-CN" w:bidi="ar"/>
              </w:rPr>
              <w:t>、编制定检隧道科学决策报告</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0DA5C497">
            <w:pPr>
              <w:widowControl/>
              <w:jc w:val="center"/>
              <w:textAlignment w:val="center"/>
              <w:rPr>
                <w:rFonts w:hint="eastAsia" w:ascii="宋体" w:hAnsi="宋体" w:eastAsia="宋体" w:cs="宋体"/>
                <w:color w:val="auto"/>
                <w:szCs w:val="21"/>
                <w:highlight w:val="none"/>
                <w:lang w:eastAsia="zh-CN"/>
              </w:rPr>
            </w:pPr>
            <w:r>
              <w:rPr>
                <w:rFonts w:hint="eastAsia" w:ascii="宋体" w:hAnsi="宋体" w:eastAsia="宋体" w:cs="宋体"/>
                <w:color w:val="auto"/>
                <w:kern w:val="0"/>
                <w:szCs w:val="21"/>
                <w:highlight w:val="none"/>
                <w:lang w:eastAsia="zh-CN" w:bidi="ar"/>
              </w:rPr>
              <w:t>定检隧道</w:t>
            </w:r>
          </w:p>
        </w:tc>
        <w:tc>
          <w:tcPr>
            <w:tcW w:w="1209" w:type="dxa"/>
            <w:tcBorders>
              <w:top w:val="single" w:color="000000" w:sz="4" w:space="0"/>
              <w:left w:val="single" w:color="000000" w:sz="4" w:space="0"/>
              <w:bottom w:val="single" w:color="000000" w:sz="4" w:space="0"/>
              <w:right w:val="single" w:color="000000" w:sz="4" w:space="0"/>
            </w:tcBorders>
            <w:noWrap w:val="0"/>
            <w:vAlign w:val="center"/>
          </w:tcPr>
          <w:p w14:paraId="4125B5DD">
            <w:pPr>
              <w:widowControl/>
              <w:jc w:val="center"/>
              <w:textAlignment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87555.70</w:t>
            </w:r>
          </w:p>
        </w:tc>
        <w:tc>
          <w:tcPr>
            <w:tcW w:w="896" w:type="dxa"/>
            <w:tcBorders>
              <w:top w:val="single" w:color="000000" w:sz="4" w:space="0"/>
              <w:left w:val="single" w:color="000000" w:sz="4" w:space="0"/>
              <w:bottom w:val="single" w:color="000000" w:sz="4" w:space="0"/>
              <w:right w:val="single" w:color="000000" w:sz="4" w:space="0"/>
            </w:tcBorders>
            <w:noWrap w:val="0"/>
            <w:vAlign w:val="center"/>
          </w:tcPr>
          <w:p w14:paraId="27973087">
            <w:pPr>
              <w:widowControl/>
              <w:jc w:val="center"/>
              <w:textAlignment w:val="center"/>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eastAsia="zh-CN" w:bidi="ar"/>
              </w:rPr>
              <w:t>平方</w:t>
            </w:r>
            <w:r>
              <w:rPr>
                <w:rFonts w:hint="eastAsia" w:ascii="宋体" w:hAnsi="宋体" w:eastAsia="宋体" w:cs="宋体"/>
                <w:color w:val="auto"/>
                <w:kern w:val="0"/>
                <w:szCs w:val="21"/>
                <w:highlight w:val="none"/>
                <w:lang w:bidi="ar"/>
              </w:rPr>
              <w:t>米</w:t>
            </w:r>
          </w:p>
        </w:tc>
        <w:tc>
          <w:tcPr>
            <w:tcW w:w="1483" w:type="dxa"/>
            <w:vMerge w:val="continue"/>
            <w:tcBorders>
              <w:left w:val="single" w:color="000000" w:sz="4" w:space="0"/>
              <w:right w:val="single" w:color="000000" w:sz="4" w:space="0"/>
            </w:tcBorders>
            <w:noWrap w:val="0"/>
            <w:vAlign w:val="center"/>
          </w:tcPr>
          <w:p w14:paraId="6C86E843">
            <w:pPr>
              <w:widowControl/>
              <w:jc w:val="left"/>
              <w:textAlignment w:val="center"/>
              <w:rPr>
                <w:rFonts w:hint="eastAsia" w:ascii="宋体" w:hAnsi="宋体" w:eastAsia="宋体" w:cs="宋体"/>
                <w:color w:val="auto"/>
                <w:szCs w:val="21"/>
                <w:highlight w:val="none"/>
              </w:rPr>
            </w:pPr>
          </w:p>
        </w:tc>
      </w:tr>
      <w:tr w14:paraId="4433AB43">
        <w:tblPrEx>
          <w:tblCellMar>
            <w:top w:w="0" w:type="dxa"/>
            <w:left w:w="108" w:type="dxa"/>
            <w:bottom w:w="0" w:type="dxa"/>
            <w:right w:w="108" w:type="dxa"/>
          </w:tblCellMar>
        </w:tblPrEx>
        <w:trPr>
          <w:trHeight w:val="850" w:hRule="exact"/>
        </w:trPr>
        <w:tc>
          <w:tcPr>
            <w:tcW w:w="790" w:type="dxa"/>
            <w:tcBorders>
              <w:top w:val="single" w:color="000000" w:sz="4" w:space="0"/>
              <w:left w:val="single" w:color="000000" w:sz="4" w:space="0"/>
              <w:bottom w:val="single" w:color="000000" w:sz="4" w:space="0"/>
              <w:right w:val="single" w:color="000000" w:sz="4" w:space="0"/>
            </w:tcBorders>
            <w:noWrap w:val="0"/>
            <w:vAlign w:val="center"/>
          </w:tcPr>
          <w:p w14:paraId="14A455F8">
            <w:pPr>
              <w:widowControl/>
              <w:jc w:val="center"/>
              <w:textAlignment w:val="center"/>
              <w:rPr>
                <w:rFonts w:hint="eastAsia" w:ascii="宋体" w:hAnsi="宋体" w:eastAsia="宋体" w:cs="宋体"/>
                <w:color w:val="auto"/>
                <w:szCs w:val="21"/>
                <w:highlight w:val="none"/>
                <w:lang w:eastAsia="zh-CN"/>
              </w:rPr>
            </w:pPr>
            <w:r>
              <w:rPr>
                <w:rFonts w:hint="eastAsia" w:ascii="宋体" w:hAnsi="宋体" w:eastAsia="宋体" w:cs="宋体"/>
                <w:color w:val="auto"/>
                <w:kern w:val="0"/>
                <w:szCs w:val="21"/>
                <w:highlight w:val="none"/>
                <w:lang w:bidi="ar"/>
              </w:rPr>
              <w:t>B</w:t>
            </w:r>
            <w:r>
              <w:rPr>
                <w:rFonts w:hint="eastAsia" w:ascii="宋体" w:hAnsi="宋体" w:eastAsia="宋体" w:cs="宋体"/>
                <w:color w:val="auto"/>
                <w:kern w:val="0"/>
                <w:szCs w:val="21"/>
                <w:highlight w:val="none"/>
                <w:lang w:val="en-US" w:eastAsia="zh-CN" w:bidi="ar"/>
              </w:rPr>
              <w:t>2</w:t>
            </w:r>
          </w:p>
        </w:tc>
        <w:tc>
          <w:tcPr>
            <w:tcW w:w="2961" w:type="dxa"/>
            <w:tcBorders>
              <w:top w:val="single" w:color="000000" w:sz="4" w:space="0"/>
              <w:left w:val="single" w:color="000000" w:sz="4" w:space="0"/>
              <w:bottom w:val="single" w:color="000000" w:sz="4" w:space="0"/>
              <w:right w:val="single" w:color="000000" w:sz="4" w:space="0"/>
            </w:tcBorders>
            <w:noWrap w:val="0"/>
            <w:vAlign w:val="center"/>
          </w:tcPr>
          <w:p w14:paraId="246998F9">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编制</w:t>
            </w:r>
            <w:r>
              <w:rPr>
                <w:rFonts w:hint="eastAsia" w:ascii="宋体" w:hAnsi="宋体" w:eastAsia="宋体" w:cs="宋体"/>
                <w:color w:val="auto"/>
                <w:kern w:val="0"/>
                <w:szCs w:val="21"/>
                <w:highlight w:val="none"/>
                <w:lang w:eastAsia="zh-CN" w:bidi="ar"/>
              </w:rPr>
              <w:t>大风坳</w:t>
            </w:r>
            <w:r>
              <w:rPr>
                <w:rFonts w:hint="eastAsia" w:ascii="宋体" w:hAnsi="宋体" w:eastAsia="宋体" w:cs="宋体"/>
                <w:color w:val="auto"/>
                <w:kern w:val="0"/>
                <w:szCs w:val="21"/>
                <w:highlight w:val="none"/>
                <w:lang w:bidi="ar"/>
              </w:rPr>
              <w:t>隧道</w:t>
            </w:r>
            <w:r>
              <w:rPr>
                <w:rFonts w:hint="eastAsia" w:ascii="宋体" w:hAnsi="宋体" w:eastAsia="宋体" w:cs="宋体"/>
                <w:color w:val="auto"/>
                <w:kern w:val="0"/>
                <w:szCs w:val="21"/>
                <w:highlight w:val="none"/>
                <w:lang w:eastAsia="zh-CN" w:bidi="ar"/>
              </w:rPr>
              <w:t>运营后评估报告</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1F8125B8">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bidi="ar"/>
              </w:rPr>
              <w:t>大风坳</w:t>
            </w:r>
            <w:r>
              <w:rPr>
                <w:rFonts w:hint="eastAsia" w:ascii="宋体" w:hAnsi="宋体" w:eastAsia="宋体" w:cs="宋体"/>
                <w:color w:val="auto"/>
                <w:kern w:val="0"/>
                <w:szCs w:val="21"/>
                <w:highlight w:val="none"/>
                <w:lang w:bidi="ar"/>
              </w:rPr>
              <w:t>隧道</w:t>
            </w:r>
          </w:p>
        </w:tc>
        <w:tc>
          <w:tcPr>
            <w:tcW w:w="1209" w:type="dxa"/>
            <w:tcBorders>
              <w:top w:val="single" w:color="000000" w:sz="4" w:space="0"/>
              <w:left w:val="single" w:color="000000" w:sz="4" w:space="0"/>
              <w:bottom w:val="single" w:color="000000" w:sz="4" w:space="0"/>
              <w:right w:val="single" w:color="000000" w:sz="4" w:space="0"/>
            </w:tcBorders>
            <w:noWrap/>
            <w:vAlign w:val="center"/>
          </w:tcPr>
          <w:p w14:paraId="493576CB">
            <w:pPr>
              <w:widowControl/>
              <w:jc w:val="center"/>
              <w:textAlignment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w:t>
            </w:r>
          </w:p>
        </w:tc>
        <w:tc>
          <w:tcPr>
            <w:tcW w:w="896" w:type="dxa"/>
            <w:tcBorders>
              <w:top w:val="single" w:color="000000" w:sz="4" w:space="0"/>
              <w:left w:val="single" w:color="000000" w:sz="4" w:space="0"/>
              <w:bottom w:val="single" w:color="000000" w:sz="4" w:space="0"/>
              <w:right w:val="single" w:color="000000" w:sz="4" w:space="0"/>
            </w:tcBorders>
            <w:noWrap/>
            <w:vAlign w:val="center"/>
          </w:tcPr>
          <w:p w14:paraId="659B6362">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座</w:t>
            </w:r>
          </w:p>
        </w:tc>
        <w:tc>
          <w:tcPr>
            <w:tcW w:w="1483" w:type="dxa"/>
            <w:vMerge w:val="continue"/>
            <w:tcBorders>
              <w:left w:val="single" w:color="000000" w:sz="4" w:space="0"/>
              <w:bottom w:val="single" w:color="000000" w:sz="4" w:space="0"/>
              <w:right w:val="single" w:color="000000" w:sz="4" w:space="0"/>
            </w:tcBorders>
            <w:noWrap w:val="0"/>
            <w:vAlign w:val="center"/>
          </w:tcPr>
          <w:p w14:paraId="14BA68F5">
            <w:pPr>
              <w:widowControl/>
              <w:textAlignment w:val="center"/>
              <w:rPr>
                <w:rFonts w:hint="eastAsia" w:ascii="宋体" w:hAnsi="宋体" w:eastAsia="宋体" w:cs="宋体"/>
                <w:color w:val="auto"/>
                <w:szCs w:val="21"/>
                <w:highlight w:val="none"/>
              </w:rPr>
            </w:pPr>
          </w:p>
        </w:tc>
      </w:tr>
    </w:tbl>
    <w:p w14:paraId="77473723">
      <w:pPr>
        <w:spacing w:line="360" w:lineRule="auto"/>
        <w:ind w:firstLine="480" w:firstLineChars="200"/>
        <w:rPr>
          <w:rFonts w:hint="eastAsia" w:ascii="宋体" w:hAnsi="宋体" w:eastAsia="宋体" w:cs="宋体"/>
          <w:color w:val="auto"/>
          <w:sz w:val="24"/>
          <w:highlight w:val="none"/>
        </w:rPr>
      </w:pPr>
    </w:p>
    <w:p w14:paraId="3FC10FB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2.2符合现行国家、交通运输部、广西壮族自治区现行有关试验规范、规程、质量检验评定、桥梁、隧道定期检测等相关法规、文件要求，对采购人管养的桥梁和隧道进行定期检测，主要工作内容是：</w:t>
      </w:r>
    </w:p>
    <w:p w14:paraId="301CB554">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（1）桥梁检查评定</w:t>
      </w:r>
      <w:r>
        <w:rPr>
          <w:rFonts w:hint="eastAsia" w:ascii="宋体" w:hAnsi="宋体" w:eastAsia="宋体" w:cs="宋体"/>
          <w:color w:val="auto"/>
          <w:sz w:val="24"/>
          <w:highlight w:val="none"/>
          <w:lang w:eastAsia="zh-CN"/>
        </w:rPr>
        <w:t>和编制报告</w:t>
      </w:r>
      <w:r>
        <w:rPr>
          <w:rFonts w:hint="eastAsia" w:ascii="宋体" w:hAnsi="宋体" w:eastAsia="宋体" w:cs="宋体"/>
          <w:color w:val="auto"/>
          <w:sz w:val="24"/>
          <w:highlight w:val="none"/>
        </w:rPr>
        <w:t>：桥梁检查的内容包括对外观病害、桥梁水中结构病害检查，并和上一次定期检查数据进行对比，对桥梁进行总体技术状况评定</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如为混凝土梁桥，需按《公路桥涵养护规范》（JTG 5120-2021）第3.5.5条进行混凝土碳化深度及钢筋锈蚀检测。对进行外观检查及技术状况评定的桥梁，编制定检桥梁</w:t>
      </w:r>
      <w:r>
        <w:rPr>
          <w:rFonts w:hint="eastAsia" w:ascii="宋体" w:hAnsi="宋体" w:eastAsia="宋体" w:cs="宋体"/>
          <w:color w:val="auto"/>
          <w:sz w:val="24"/>
          <w:highlight w:val="none"/>
          <w:lang w:eastAsia="zh-CN"/>
        </w:rPr>
        <w:t>总报告和</w:t>
      </w:r>
      <w:r>
        <w:rPr>
          <w:rFonts w:hint="eastAsia" w:ascii="宋体" w:hAnsi="宋体" w:eastAsia="宋体" w:cs="宋体"/>
          <w:color w:val="auto"/>
          <w:sz w:val="24"/>
          <w:highlight w:val="none"/>
        </w:rPr>
        <w:t>科学决策报告</w:t>
      </w:r>
      <w:r>
        <w:rPr>
          <w:rFonts w:hint="eastAsia" w:ascii="宋体" w:hAnsi="宋体" w:eastAsia="宋体" w:cs="宋体"/>
          <w:color w:val="auto"/>
          <w:sz w:val="24"/>
          <w:highlight w:val="none"/>
          <w:lang w:eastAsia="zh-CN"/>
        </w:rPr>
        <w:t>。</w:t>
      </w:r>
    </w:p>
    <w:p w14:paraId="014BC5B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桥梁永久观测点测设：对单孔跨径≥60米的桥梁或检测中若发现结构存在异常变形的桥梁进行永久观测点复核、测量，并和上一次观测数据进行对比，为桥梁运营过程中的变形分析提供数据资料，保障桥梁安全运营。</w:t>
      </w:r>
    </w:p>
    <w:p w14:paraId="6174A61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（3）桥梁结构荷载验算和编制报告</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对进行桥梁外观检查及技术状况评定的桥梁，依据《公路桥梁承载能力检测评定规程》（JTG/T J21-2011）等相关要求对桥梁结构的承载能力进行验算。每座桥梁依据《公路桥涵设计通用规范》中荷载等级对应的车辆荷载车型，对其轴重按比例增减，计算通行的最高载重。在通行评价报告中需要明确承载能力验算结果及最高载重，编制通行评价报告</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在报告中提供承载能力计算及最高载重计算相关资料。</w:t>
      </w:r>
    </w:p>
    <w:p w14:paraId="1B56377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eastAsia="zh-CN"/>
        </w:rPr>
        <w:t>设置涉水桥梁防洪标识和编制报告：按照交办公路函〔2025〕531号文附件</w:t>
      </w:r>
      <w:r>
        <w:rPr>
          <w:rFonts w:hint="eastAsia" w:ascii="宋体" w:hAnsi="宋体" w:eastAsia="宋体" w:cs="宋体"/>
          <w:color w:val="auto"/>
          <w:sz w:val="24"/>
          <w:highlight w:val="none"/>
          <w:lang w:val="en-US" w:eastAsia="zh-CN"/>
        </w:rPr>
        <w:t>5-2</w:t>
      </w:r>
      <w:r>
        <w:rPr>
          <w:rFonts w:hint="eastAsia" w:ascii="宋体" w:hAnsi="宋体" w:eastAsia="宋体" w:cs="宋体"/>
          <w:color w:val="auto"/>
          <w:sz w:val="24"/>
          <w:highlight w:val="none"/>
          <w:lang w:eastAsia="zh-CN"/>
        </w:rPr>
        <w:t>要求计算涉水桥梁历史最大洪水位、安全运行基准水位和设防警戒水位，复核已设置标识的涉水桥梁的防洪标识是否符合交办公路函〔2025〕531号文附件</w:t>
      </w:r>
      <w:r>
        <w:rPr>
          <w:rFonts w:hint="eastAsia" w:ascii="宋体" w:hAnsi="宋体" w:eastAsia="宋体" w:cs="宋体"/>
          <w:color w:val="auto"/>
          <w:sz w:val="24"/>
          <w:highlight w:val="none"/>
          <w:lang w:val="en-US" w:eastAsia="zh-CN"/>
        </w:rPr>
        <w:t>5-2</w:t>
      </w:r>
      <w:r>
        <w:rPr>
          <w:rFonts w:hint="eastAsia" w:ascii="宋体" w:hAnsi="宋体" w:eastAsia="宋体" w:cs="宋体"/>
          <w:color w:val="auto"/>
          <w:sz w:val="24"/>
          <w:highlight w:val="none"/>
          <w:lang w:eastAsia="zh-CN"/>
        </w:rPr>
        <w:t>要求，对不合格的防洪标识由供应商重新设置符合要求的钢质防洪标识，并编制涉水桥梁防洪标识设置报告</w:t>
      </w:r>
      <w:r>
        <w:rPr>
          <w:rFonts w:hint="eastAsia" w:ascii="宋体" w:hAnsi="宋体" w:eastAsia="宋体" w:cs="宋体"/>
          <w:color w:val="auto"/>
          <w:sz w:val="24"/>
          <w:highlight w:val="none"/>
        </w:rPr>
        <w:t>。</w:t>
      </w:r>
    </w:p>
    <w:p w14:paraId="5A80609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）编制西江大桥</w:t>
      </w:r>
      <w:r>
        <w:rPr>
          <w:rFonts w:hint="eastAsia" w:ascii="宋体" w:hAnsi="宋体" w:eastAsia="宋体" w:cs="宋体"/>
          <w:color w:val="auto"/>
          <w:sz w:val="24"/>
          <w:highlight w:val="none"/>
          <w:lang w:eastAsia="zh-CN"/>
        </w:rPr>
        <w:t>运营</w:t>
      </w:r>
      <w:r>
        <w:rPr>
          <w:rFonts w:hint="eastAsia" w:ascii="宋体" w:hAnsi="宋体" w:eastAsia="宋体" w:cs="宋体"/>
          <w:color w:val="auto"/>
          <w:sz w:val="24"/>
          <w:highlight w:val="none"/>
        </w:rPr>
        <w:t>后评估报告</w:t>
      </w:r>
      <w:r>
        <w:rPr>
          <w:rFonts w:hint="eastAsia" w:ascii="宋体" w:hAnsi="宋体" w:eastAsia="宋体" w:cs="宋体"/>
          <w:color w:val="auto"/>
          <w:sz w:val="24"/>
          <w:highlight w:val="none"/>
          <w:lang w:eastAsia="zh-CN"/>
        </w:rPr>
        <w:t>（特大桥）</w:t>
      </w:r>
      <w:r>
        <w:rPr>
          <w:rFonts w:hint="eastAsia" w:ascii="宋体" w:hAnsi="宋体" w:eastAsia="宋体" w:cs="宋体"/>
          <w:color w:val="auto"/>
          <w:sz w:val="24"/>
          <w:highlight w:val="none"/>
        </w:rPr>
        <w:t>。</w:t>
      </w:r>
    </w:p>
    <w:p w14:paraId="3C1AA04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）隧道检查</w:t>
      </w:r>
      <w:r>
        <w:rPr>
          <w:rFonts w:hint="eastAsia" w:ascii="宋体" w:hAnsi="宋体" w:eastAsia="宋体" w:cs="宋体"/>
          <w:color w:val="auto"/>
          <w:sz w:val="24"/>
          <w:highlight w:val="none"/>
          <w:lang w:eastAsia="zh-CN"/>
        </w:rPr>
        <w:t>评定和编制报告</w:t>
      </w:r>
      <w:r>
        <w:rPr>
          <w:rFonts w:hint="eastAsia" w:ascii="宋体" w:hAnsi="宋体" w:eastAsia="宋体" w:cs="宋体"/>
          <w:color w:val="auto"/>
          <w:sz w:val="24"/>
          <w:highlight w:val="none"/>
        </w:rPr>
        <w:t>：隧道检查的内容包括对隧道土建结构、机电设施、其他工程设施进行检查，并和上一次定期检查数据进行对比，对隧道总体技术状况进行评定。对进行外观检查及技术状况评定的</w:t>
      </w:r>
      <w:r>
        <w:rPr>
          <w:rFonts w:hint="eastAsia" w:ascii="宋体" w:hAnsi="宋体" w:eastAsia="宋体" w:cs="宋体"/>
          <w:color w:val="auto"/>
          <w:sz w:val="24"/>
          <w:highlight w:val="none"/>
          <w:lang w:eastAsia="zh-CN"/>
        </w:rPr>
        <w:t>隧道</w:t>
      </w:r>
      <w:r>
        <w:rPr>
          <w:rFonts w:hint="eastAsia" w:ascii="宋体" w:hAnsi="宋体" w:eastAsia="宋体" w:cs="宋体"/>
          <w:color w:val="auto"/>
          <w:sz w:val="24"/>
          <w:highlight w:val="none"/>
        </w:rPr>
        <w:t>，编制定检</w:t>
      </w:r>
      <w:r>
        <w:rPr>
          <w:rFonts w:hint="eastAsia" w:ascii="宋体" w:hAnsi="宋体" w:eastAsia="宋体" w:cs="宋体"/>
          <w:color w:val="auto"/>
          <w:sz w:val="24"/>
          <w:highlight w:val="none"/>
          <w:lang w:eastAsia="zh-CN"/>
        </w:rPr>
        <w:t>隧道总报告和</w:t>
      </w:r>
      <w:r>
        <w:rPr>
          <w:rFonts w:hint="eastAsia" w:ascii="宋体" w:hAnsi="宋体" w:eastAsia="宋体" w:cs="宋体"/>
          <w:color w:val="auto"/>
          <w:sz w:val="24"/>
          <w:highlight w:val="none"/>
        </w:rPr>
        <w:t>科学决策报告</w:t>
      </w:r>
      <w:r>
        <w:rPr>
          <w:rFonts w:hint="eastAsia" w:ascii="宋体" w:hAnsi="宋体" w:eastAsia="宋体" w:cs="宋体"/>
          <w:color w:val="auto"/>
          <w:sz w:val="24"/>
          <w:highlight w:val="none"/>
          <w:lang w:eastAsia="zh-CN"/>
        </w:rPr>
        <w:t>。</w:t>
      </w:r>
    </w:p>
    <w:p w14:paraId="033FA70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编制大风坳隧道运营后评估报告（长隧道）</w:t>
      </w:r>
      <w:r>
        <w:rPr>
          <w:rFonts w:hint="eastAsia" w:ascii="宋体" w:hAnsi="宋体" w:eastAsia="宋体" w:cs="宋体"/>
          <w:color w:val="auto"/>
          <w:sz w:val="24"/>
          <w:highlight w:val="none"/>
        </w:rPr>
        <w:t>。</w:t>
      </w:r>
    </w:p>
    <w:p w14:paraId="1E01C48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）桥梁</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隧道技术状况评定要求应严格按照现行《公路桥梁技术状况评定标准》（JTG/T H21-2011）、《公路技术状况评定标准》（JTG 5210—2018）、《公路隧道养护技术规范》（JTG H12—2015）、《国家公路网重点桥梁和隧道监测评价规程》（T/CECS G:E41-04—2019）等标准规范进行评定。</w:t>
      </w:r>
    </w:p>
    <w:p w14:paraId="3D5DBCC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）根据检查结果整理检查材料，根据检查情况提出维修方案，对存在的桥梁、隧道病害提出维修或加固的建议，方案中要注明小修、中修、大修等类别。</w:t>
      </w:r>
    </w:p>
    <w:p w14:paraId="3E26E82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（10）协助采购人配合国家公路网重点桥梁和隧道监测检查</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期间</w:t>
      </w:r>
      <w:r>
        <w:rPr>
          <w:rFonts w:hint="eastAsia" w:ascii="宋体" w:hAnsi="宋体" w:eastAsia="宋体" w:cs="宋体"/>
          <w:color w:val="auto"/>
          <w:sz w:val="24"/>
          <w:highlight w:val="none"/>
          <w:lang w:eastAsia="zh-CN"/>
        </w:rPr>
        <w:t>供应商须做好提供合规</w:t>
      </w:r>
      <w:r>
        <w:rPr>
          <w:rFonts w:hint="eastAsia" w:ascii="宋体" w:hAnsi="宋体" w:eastAsia="宋体" w:cs="宋体"/>
          <w:color w:val="auto"/>
          <w:sz w:val="24"/>
          <w:highlight w:val="none"/>
        </w:rPr>
        <w:t>检测报告、</w:t>
      </w:r>
      <w:r>
        <w:rPr>
          <w:rFonts w:hint="eastAsia" w:ascii="宋体" w:hAnsi="宋体" w:eastAsia="宋体" w:cs="宋体"/>
          <w:color w:val="auto"/>
          <w:sz w:val="24"/>
          <w:highlight w:val="none"/>
          <w:lang w:eastAsia="zh-CN"/>
        </w:rPr>
        <w:t>配合</w:t>
      </w:r>
      <w:r>
        <w:rPr>
          <w:rFonts w:hint="eastAsia" w:ascii="宋体" w:hAnsi="宋体" w:eastAsia="宋体" w:cs="宋体"/>
          <w:color w:val="auto"/>
          <w:sz w:val="24"/>
          <w:highlight w:val="none"/>
        </w:rPr>
        <w:t>现场检测等相关工作要求。组织安排或聘请熟悉国家公路网重点桥梁和隧道监测业务的专家指导采购人做好迎检相关工作。</w:t>
      </w:r>
    </w:p>
    <w:p w14:paraId="3AA7410A">
      <w:pPr>
        <w:spacing w:line="324"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2.3服务期限：自采购人通知开展工作之日后90个日历日内(不包括公路主管部门、机构通知停工、封路的时间等)完成本项目约定的各项工作任务，并向采购人提供符合要求的检测报告、针对存在的质量问题提出建议性的处治意见。提交服务成果后的1年内，应对项目范围内的桥梁、隧道的维护管理提供技术咨询服务。</w:t>
      </w:r>
    </w:p>
    <w:p w14:paraId="75D42E5B">
      <w:pPr>
        <w:spacing w:line="324"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2.4成果要求：</w:t>
      </w:r>
    </w:p>
    <w:p w14:paraId="05CC8443">
      <w:pPr>
        <w:spacing w:line="324"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eastAsia="zh-CN"/>
        </w:rPr>
        <w:t>采购桥梁（隧道）需提供盖章</w:t>
      </w:r>
      <w:r>
        <w:rPr>
          <w:rFonts w:hint="eastAsia" w:ascii="宋体" w:hAnsi="宋体" w:eastAsia="宋体" w:cs="宋体"/>
          <w:color w:val="auto"/>
          <w:sz w:val="24"/>
          <w:highlight w:val="none"/>
        </w:rPr>
        <w:t>纸质版</w:t>
      </w:r>
      <w:r>
        <w:rPr>
          <w:rFonts w:hint="eastAsia" w:ascii="宋体" w:hAnsi="宋体" w:eastAsia="宋体" w:cs="宋体"/>
          <w:color w:val="auto"/>
          <w:sz w:val="24"/>
          <w:highlight w:val="none"/>
          <w:lang w:eastAsia="zh-CN"/>
        </w:rPr>
        <w:t>和电子版报告，</w:t>
      </w:r>
      <w:r>
        <w:rPr>
          <w:rFonts w:hint="eastAsia" w:ascii="宋体" w:hAnsi="宋体" w:eastAsia="宋体" w:cs="宋体"/>
          <w:color w:val="auto"/>
          <w:sz w:val="24"/>
          <w:highlight w:val="none"/>
        </w:rPr>
        <w:t>每座桥梁</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隧道</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提交一式四份检测报告</w:t>
      </w:r>
      <w:r>
        <w:rPr>
          <w:rFonts w:hint="eastAsia" w:ascii="宋体" w:hAnsi="宋体" w:eastAsia="宋体" w:cs="宋体"/>
          <w:color w:val="auto"/>
          <w:sz w:val="24"/>
          <w:highlight w:val="none"/>
          <w:lang w:eastAsia="zh-CN"/>
        </w:rPr>
        <w:t>、水下结构检查报告和</w:t>
      </w:r>
      <w:r>
        <w:rPr>
          <w:rFonts w:hint="eastAsia" w:ascii="宋体" w:hAnsi="宋体" w:eastAsia="宋体" w:cs="宋体"/>
          <w:color w:val="auto"/>
          <w:sz w:val="24"/>
          <w:highlight w:val="none"/>
        </w:rPr>
        <w:t>桥梁结构荷载验算</w:t>
      </w:r>
      <w:r>
        <w:rPr>
          <w:rFonts w:hint="eastAsia" w:ascii="宋体" w:hAnsi="宋体" w:eastAsia="宋体" w:cs="宋体"/>
          <w:color w:val="auto"/>
          <w:sz w:val="24"/>
          <w:highlight w:val="none"/>
          <w:lang w:eastAsia="zh-CN"/>
        </w:rPr>
        <w:t>报告</w:t>
      </w:r>
      <w:r>
        <w:rPr>
          <w:rFonts w:hint="eastAsia" w:ascii="宋体" w:hAnsi="宋体" w:eastAsia="宋体" w:cs="宋体"/>
          <w:color w:val="auto"/>
          <w:sz w:val="24"/>
          <w:highlight w:val="none"/>
        </w:rPr>
        <w:t>，各出具四份桥梁</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隧道</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定期检测总报告</w:t>
      </w:r>
      <w:r>
        <w:rPr>
          <w:rFonts w:hint="eastAsia" w:ascii="宋体" w:hAnsi="宋体" w:eastAsia="宋体" w:cs="宋体"/>
          <w:color w:val="auto"/>
          <w:sz w:val="24"/>
          <w:highlight w:val="none"/>
          <w:lang w:eastAsia="zh-CN"/>
        </w:rPr>
        <w:t>和</w:t>
      </w:r>
      <w:r>
        <w:rPr>
          <w:rFonts w:hint="eastAsia" w:ascii="宋体" w:hAnsi="宋体" w:eastAsia="宋体" w:cs="宋体"/>
          <w:color w:val="auto"/>
          <w:sz w:val="24"/>
          <w:highlight w:val="none"/>
        </w:rPr>
        <w:t>桂东公路发展中心202</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年-202</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年桥梁</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隧道</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养护科学决策报告。桥梁检测报告内容包括：桥梁基本状况卡片、桥梁定期检查记录表、桥梁技术状况评定表、典型缺损和病害的照片、结构线形测量、裂缝分布图、概况三张总体照片、主要病害原因分析、病害对比分析、桥梁的技术状况评定等级、结论与建议、良好构件现状照片、构件扣分明细。隧道定期检查应包括内容：概况和总体照片、隧道定期检查记录、隧道技术状况评定、典型缺损和病害的照片、病害汇总表、隧道病害展布图、机电现场检验数据表、主要病害原因分析、病害对比分析、隧道技术状况评定等级、结论与建议、扣分明细。</w:t>
      </w:r>
    </w:p>
    <w:p w14:paraId="27CA1CEE">
      <w:pPr>
        <w:spacing w:line="324"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kern w:val="0"/>
          <w:sz w:val="24"/>
          <w:highlight w:val="none"/>
        </w:rPr>
        <w:t>将检测发现的病害录入相关的桥梁、隧道管理系统，按相关要求录入完善桥梁、隧道基础数据库信息，同时将检测报告PDF版（红章）上传相应系统；</w:t>
      </w:r>
    </w:p>
    <w:p w14:paraId="5E117BD6">
      <w:pPr>
        <w:spacing w:line="324"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（3）提交检测报告盖章电子版一份及相关资料。</w:t>
      </w:r>
    </w:p>
    <w:p w14:paraId="5FB2FB8C">
      <w:pPr>
        <w:spacing w:line="324" w:lineRule="auto"/>
        <w:ind w:firstLine="480" w:firstLineChars="200"/>
        <w:rPr>
          <w:rFonts w:hint="eastAsia" w:eastAsia="宋体"/>
          <w:color w:val="auto"/>
          <w:highlight w:val="none"/>
          <w:lang w:val="en-US"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4）检测、评定文件中选用的国家标准图、部标准图及地方标准图由中标人负责解决。</w:t>
      </w:r>
    </w:p>
    <w:p w14:paraId="78CE668C">
      <w:pPr>
        <w:spacing w:line="324"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3.检测单位试验检测技术规范</w:t>
      </w:r>
    </w:p>
    <w:p w14:paraId="055AF5A9">
      <w:pPr>
        <w:spacing w:line="324"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检测单位试验检测工作采用现行的国家、交通运输部、广西壮族自治区颁布的公路建设标准、法规、规范、规程、办法、文件等。</w:t>
      </w:r>
    </w:p>
    <w:p w14:paraId="18E8B6C5">
      <w:pPr>
        <w:spacing w:line="324"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4.检测依据</w:t>
      </w:r>
    </w:p>
    <w:p w14:paraId="65924EEE">
      <w:pPr>
        <w:spacing w:line="324"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符合现行国家、交通运输部、广西壮族自治区现行有关试验规范、规程、质量检验评定、桥梁、隧道定期检测等相关法规、文件要求，如下列文件要求：</w:t>
      </w:r>
    </w:p>
    <w:p w14:paraId="535CF60D">
      <w:pPr>
        <w:spacing w:line="324"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（1）《公路工程技术标准》（JTG B01-2014）； </w:t>
      </w:r>
    </w:p>
    <w:p w14:paraId="5C34F88F">
      <w:pPr>
        <w:spacing w:line="324"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（2）《公路钢筋混凝土及预应力混凝土桥涵设计规范》（JTG 3362-2018）； </w:t>
      </w:r>
    </w:p>
    <w:p w14:paraId="0F5CC7F7">
      <w:pPr>
        <w:spacing w:line="324"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（3）《公路桥梁技术状况评定标准》（JTG /T H21-2011）；</w:t>
      </w:r>
    </w:p>
    <w:p w14:paraId="0A694A5B">
      <w:pPr>
        <w:spacing w:line="324"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（4）《公路技术状况评定标准》（ JTG 5210-2018）；</w:t>
      </w:r>
    </w:p>
    <w:p w14:paraId="1E1FF879">
      <w:pPr>
        <w:spacing w:line="324"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（5）《公路养护技术</w:t>
      </w:r>
      <w:r>
        <w:rPr>
          <w:rFonts w:hint="eastAsia" w:ascii="宋体" w:hAnsi="宋体" w:eastAsia="宋体" w:cs="宋体"/>
          <w:color w:val="auto"/>
          <w:sz w:val="24"/>
          <w:highlight w:val="none"/>
          <w:lang w:eastAsia="zh-CN"/>
        </w:rPr>
        <w:t>标准</w:t>
      </w:r>
      <w:r>
        <w:rPr>
          <w:rFonts w:hint="eastAsia" w:ascii="宋体" w:hAnsi="宋体" w:eastAsia="宋体" w:cs="宋体"/>
          <w:color w:val="auto"/>
          <w:sz w:val="24"/>
          <w:highlight w:val="none"/>
        </w:rPr>
        <w:t>》（JTG 5110-2023）；</w:t>
      </w:r>
    </w:p>
    <w:p w14:paraId="2AE97279">
      <w:pPr>
        <w:spacing w:line="324"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（6）《公路桥涵养护规范》（JTG 5120-2021）；</w:t>
      </w:r>
    </w:p>
    <w:p w14:paraId="44807751">
      <w:pPr>
        <w:spacing w:line="324"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（7）《公路沥青路面养护技术规范》（ JTG 5142-2019）；</w:t>
      </w:r>
    </w:p>
    <w:p w14:paraId="64C75E4F">
      <w:pPr>
        <w:spacing w:line="324"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（8）《公路隧道养护技术规范》（JTG H12－2015）；</w:t>
      </w:r>
    </w:p>
    <w:p w14:paraId="3C6B0043">
      <w:pPr>
        <w:spacing w:line="324"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（9）《公路隧道施工技术规范》（JTG/T 3660-2020）；</w:t>
      </w:r>
    </w:p>
    <w:p w14:paraId="3E90E64F">
      <w:pPr>
        <w:spacing w:line="324"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（10）《隧道环境检测设备》（GB/T 26944-2011）；</w:t>
      </w:r>
    </w:p>
    <w:p w14:paraId="3C9E0D61">
      <w:pPr>
        <w:spacing w:line="324"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（11）《公路隧道照明设计细则》（JTG/T D70/2-01-2014）；</w:t>
      </w:r>
    </w:p>
    <w:p w14:paraId="6EC59CA5">
      <w:pPr>
        <w:spacing w:line="324"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（12）《工程测量标准》（GB 50026-2020）；</w:t>
      </w:r>
    </w:p>
    <w:p w14:paraId="55618043">
      <w:pPr>
        <w:spacing w:line="324"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（13）《国家公路网重点桥梁和隧道监测评价规程》（T/CECS G:E41-04—2019）等有关国家、行业技术规范合同要求。</w:t>
      </w:r>
    </w:p>
    <w:p w14:paraId="74628F6A">
      <w:pPr>
        <w:spacing w:line="324" w:lineRule="auto"/>
        <w:ind w:firstLine="720" w:firstLineChars="300"/>
        <w:rPr>
          <w:rFonts w:hint="eastAsia" w:ascii="宋体" w:hAnsi="宋体" w:eastAsia="宋体" w:cs="宋体"/>
          <w:color w:val="auto"/>
          <w:sz w:val="24"/>
          <w:highlight w:val="none"/>
        </w:rPr>
      </w:pPr>
      <w:r>
        <w:rPr>
          <w:rFonts w:hint="eastAsia" w:ascii="宋体" w:hAnsi="宋体" w:eastAsia="宋体" w:cs="宋体"/>
          <w:color w:val="auto"/>
          <w:sz w:val="24"/>
          <w:highlight w:val="none"/>
        </w:rPr>
        <w:t>以上有最新文件时按最新文件要求执行。</w:t>
      </w:r>
    </w:p>
    <w:p w14:paraId="763E86D0">
      <w:pPr>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5.</w:t>
      </w:r>
      <w:r>
        <w:rPr>
          <w:rFonts w:hint="eastAsia" w:ascii="宋体" w:hAnsi="宋体" w:eastAsia="宋体" w:cs="宋体"/>
          <w:color w:val="auto"/>
          <w:kern w:val="0"/>
          <w:sz w:val="24"/>
          <w:highlight w:val="none"/>
        </w:rPr>
        <w:t>检测质量要求</w:t>
      </w:r>
    </w:p>
    <w:p w14:paraId="5CE73DC1">
      <w:pPr>
        <w:spacing w:line="360" w:lineRule="auto"/>
        <w:ind w:firstLine="488" w:firstLineChars="200"/>
        <w:jc w:val="left"/>
        <w:rPr>
          <w:color w:val="auto"/>
          <w:highlight w:val="none"/>
        </w:rPr>
      </w:pPr>
      <w:r>
        <w:rPr>
          <w:rFonts w:hint="eastAsia" w:ascii="宋体" w:hAnsi="宋体" w:eastAsia="宋体" w:cs="宋体"/>
          <w:color w:val="auto"/>
          <w:spacing w:val="2"/>
          <w:sz w:val="24"/>
          <w:highlight w:val="none"/>
        </w:rPr>
        <w:t>全面、真实反映本项目约定检测的桥梁、隧道的实际工作状态，判断桥梁、隧道的</w:t>
      </w:r>
      <w:r>
        <w:rPr>
          <w:rFonts w:hint="eastAsia" w:ascii="宋体" w:hAnsi="宋体" w:eastAsia="宋体" w:cs="宋体"/>
          <w:color w:val="auto"/>
          <w:spacing w:val="-2"/>
          <w:sz w:val="24"/>
          <w:highlight w:val="none"/>
        </w:rPr>
        <w:t>整体结构的安全稳定性，依据检测情况作出科学评定及建议意见。按</w:t>
      </w:r>
      <w:r>
        <w:rPr>
          <w:rFonts w:hint="eastAsia" w:ascii="宋体" w:hAnsi="宋体" w:eastAsia="宋体" w:cs="宋体"/>
          <w:color w:val="auto"/>
          <w:spacing w:val="-2"/>
          <w:sz w:val="24"/>
          <w:highlight w:val="none"/>
          <w:lang w:eastAsia="zh-CN"/>
        </w:rPr>
        <w:t>交通运输部</w:t>
      </w:r>
      <w:r>
        <w:rPr>
          <w:rFonts w:hint="eastAsia" w:ascii="宋体" w:hAnsi="宋体" w:eastAsia="宋体" w:cs="宋体"/>
          <w:color w:val="auto"/>
          <w:spacing w:val="-2"/>
          <w:sz w:val="24"/>
          <w:highlight w:val="none"/>
        </w:rPr>
        <w:t>现行的</w:t>
      </w:r>
      <w:r>
        <w:rPr>
          <w:rFonts w:hint="eastAsia" w:ascii="宋体" w:hAnsi="宋体" w:eastAsia="宋体" w:cs="宋体"/>
          <w:color w:val="auto"/>
          <w:spacing w:val="-4"/>
          <w:sz w:val="24"/>
          <w:highlight w:val="none"/>
        </w:rPr>
        <w:t>相关技</w:t>
      </w:r>
      <w:r>
        <w:rPr>
          <w:rFonts w:hint="eastAsia" w:ascii="宋体" w:hAnsi="宋体" w:eastAsia="宋体" w:cs="宋体"/>
          <w:color w:val="auto"/>
          <w:spacing w:val="-3"/>
          <w:sz w:val="24"/>
          <w:highlight w:val="none"/>
        </w:rPr>
        <w:t>术</w:t>
      </w:r>
      <w:r>
        <w:rPr>
          <w:rFonts w:hint="eastAsia" w:ascii="宋体" w:hAnsi="宋体" w:eastAsia="宋体" w:cs="宋体"/>
          <w:color w:val="auto"/>
          <w:spacing w:val="-2"/>
          <w:sz w:val="24"/>
          <w:highlight w:val="none"/>
        </w:rPr>
        <w:t>规范、标准及试验规程等进行检测、计算和评定，并确保检测工作不对桥梁、隧道的结构安全产生损</w:t>
      </w:r>
      <w:r>
        <w:rPr>
          <w:rFonts w:hint="eastAsia" w:ascii="宋体" w:hAnsi="宋体" w:eastAsia="宋体" w:cs="宋体"/>
          <w:color w:val="auto"/>
          <w:spacing w:val="-10"/>
          <w:sz w:val="24"/>
          <w:highlight w:val="none"/>
        </w:rPr>
        <w:t>伤</w:t>
      </w:r>
      <w:r>
        <w:rPr>
          <w:rFonts w:hint="eastAsia" w:ascii="宋体" w:hAnsi="宋体" w:eastAsia="宋体" w:cs="宋体"/>
          <w:color w:val="auto"/>
          <w:spacing w:val="-9"/>
          <w:sz w:val="24"/>
          <w:highlight w:val="none"/>
        </w:rPr>
        <w:t>。</w:t>
      </w:r>
    </w:p>
    <w:p w14:paraId="1F703F88">
      <w:pPr>
        <w:pStyle w:val="5"/>
        <w:spacing w:before="120" w:after="120" w:line="334"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▲二、项目团队及设备要求</w:t>
      </w:r>
    </w:p>
    <w:p w14:paraId="3041FC74">
      <w:pPr>
        <w:spacing w:line="360" w:lineRule="auto"/>
        <w:outlineLvl w:val="0"/>
        <w:rPr>
          <w:rFonts w:hint="eastAsia" w:ascii="宋体" w:hAnsi="宋体"/>
          <w:color w:val="auto"/>
          <w:sz w:val="24"/>
          <w:highlight w:val="none"/>
        </w:rPr>
      </w:pPr>
      <w:r>
        <w:rPr>
          <w:rFonts w:hint="eastAsia" w:ascii="宋体" w:hAnsi="宋体"/>
          <w:color w:val="auto"/>
          <w:sz w:val="24"/>
          <w:highlight w:val="none"/>
        </w:rPr>
        <w:t>（1）人员要求</w:t>
      </w:r>
    </w:p>
    <w:tbl>
      <w:tblPr>
        <w:tblStyle w:val="47"/>
        <w:tblW w:w="95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806"/>
        <w:gridCol w:w="1418"/>
        <w:gridCol w:w="2835"/>
        <w:gridCol w:w="3309"/>
        <w:gridCol w:w="1180"/>
      </w:tblGrid>
      <w:tr w14:paraId="36A05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13" w:hRule="atLeast"/>
          <w:jc w:val="center"/>
        </w:trPr>
        <w:tc>
          <w:tcPr>
            <w:tcW w:w="806" w:type="dxa"/>
            <w:vAlign w:val="center"/>
          </w:tcPr>
          <w:p w14:paraId="6E7EC2E2">
            <w:pPr>
              <w:spacing w:line="360" w:lineRule="auto"/>
              <w:jc w:val="center"/>
              <w:rPr>
                <w:rFonts w:hint="eastAsia" w:ascii="宋体" w:hAnsi="宋体"/>
                <w:b/>
                <w:bCs/>
                <w:color w:val="auto"/>
                <w:szCs w:val="21"/>
                <w:highlight w:val="none"/>
              </w:rPr>
            </w:pPr>
            <w:bookmarkStart w:id="43" w:name="_Toc333494523"/>
            <w:bookmarkEnd w:id="43"/>
            <w:r>
              <w:rPr>
                <w:rFonts w:hint="eastAsia" w:ascii="宋体" w:hAnsi="宋体"/>
                <w:b/>
                <w:bCs/>
                <w:color w:val="auto"/>
                <w:szCs w:val="21"/>
                <w:highlight w:val="none"/>
              </w:rPr>
              <w:t>序号</w:t>
            </w:r>
          </w:p>
        </w:tc>
        <w:tc>
          <w:tcPr>
            <w:tcW w:w="1418" w:type="dxa"/>
            <w:vAlign w:val="center"/>
          </w:tcPr>
          <w:p w14:paraId="100742A7">
            <w:pPr>
              <w:spacing w:line="360" w:lineRule="auto"/>
              <w:jc w:val="center"/>
              <w:rPr>
                <w:rFonts w:hint="eastAsia" w:ascii="宋体" w:hAnsi="宋体"/>
                <w:b/>
                <w:bCs/>
                <w:color w:val="auto"/>
                <w:szCs w:val="21"/>
                <w:highlight w:val="none"/>
              </w:rPr>
            </w:pPr>
            <w:r>
              <w:rPr>
                <w:rFonts w:hint="eastAsia" w:ascii="宋体" w:hAnsi="宋体"/>
                <w:b/>
                <w:bCs/>
                <w:color w:val="auto"/>
                <w:szCs w:val="21"/>
                <w:highlight w:val="none"/>
              </w:rPr>
              <w:t>拟任职务</w:t>
            </w:r>
          </w:p>
        </w:tc>
        <w:tc>
          <w:tcPr>
            <w:tcW w:w="2835" w:type="dxa"/>
            <w:vAlign w:val="center"/>
          </w:tcPr>
          <w:p w14:paraId="0194BF89">
            <w:pPr>
              <w:spacing w:line="360" w:lineRule="auto"/>
              <w:jc w:val="center"/>
              <w:rPr>
                <w:rFonts w:hint="eastAsia" w:ascii="宋体" w:hAnsi="宋体"/>
                <w:b/>
                <w:bCs/>
                <w:color w:val="auto"/>
                <w:szCs w:val="21"/>
                <w:highlight w:val="none"/>
              </w:rPr>
            </w:pPr>
            <w:r>
              <w:rPr>
                <w:rFonts w:hint="eastAsia" w:ascii="宋体" w:hAnsi="宋体"/>
                <w:b/>
                <w:bCs/>
                <w:color w:val="auto"/>
                <w:szCs w:val="21"/>
                <w:highlight w:val="none"/>
              </w:rPr>
              <w:t>相关证书</w:t>
            </w:r>
          </w:p>
        </w:tc>
        <w:tc>
          <w:tcPr>
            <w:tcW w:w="3309" w:type="dxa"/>
            <w:vAlign w:val="center"/>
          </w:tcPr>
          <w:p w14:paraId="4284AD75">
            <w:pPr>
              <w:spacing w:line="360" w:lineRule="auto"/>
              <w:jc w:val="center"/>
              <w:rPr>
                <w:rFonts w:hint="eastAsia" w:ascii="宋体" w:hAnsi="宋体"/>
                <w:b/>
                <w:bCs/>
                <w:color w:val="auto"/>
                <w:szCs w:val="21"/>
                <w:highlight w:val="none"/>
              </w:rPr>
            </w:pPr>
            <w:r>
              <w:rPr>
                <w:rFonts w:hint="eastAsia" w:ascii="宋体" w:hAnsi="宋体"/>
                <w:b/>
                <w:bCs/>
                <w:color w:val="auto"/>
                <w:szCs w:val="21"/>
                <w:highlight w:val="none"/>
              </w:rPr>
              <w:t>检测经验</w:t>
            </w:r>
          </w:p>
        </w:tc>
        <w:tc>
          <w:tcPr>
            <w:tcW w:w="1180" w:type="dxa"/>
            <w:vAlign w:val="center"/>
          </w:tcPr>
          <w:p w14:paraId="76FF2E4E">
            <w:pPr>
              <w:spacing w:line="360" w:lineRule="auto"/>
              <w:rPr>
                <w:rFonts w:hint="eastAsia" w:ascii="宋体" w:hAnsi="宋体"/>
                <w:b/>
                <w:bCs/>
                <w:color w:val="auto"/>
                <w:szCs w:val="21"/>
                <w:highlight w:val="none"/>
              </w:rPr>
            </w:pPr>
            <w:r>
              <w:rPr>
                <w:rFonts w:hint="eastAsia" w:ascii="宋体" w:hAnsi="宋体"/>
                <w:b/>
                <w:bCs/>
                <w:color w:val="auto"/>
                <w:szCs w:val="21"/>
                <w:highlight w:val="none"/>
              </w:rPr>
              <w:t>在职或聘用</w:t>
            </w:r>
          </w:p>
        </w:tc>
      </w:tr>
      <w:tr w14:paraId="7755C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749" w:hRule="atLeast"/>
          <w:jc w:val="center"/>
        </w:trPr>
        <w:tc>
          <w:tcPr>
            <w:tcW w:w="806" w:type="dxa"/>
            <w:vAlign w:val="center"/>
          </w:tcPr>
          <w:p w14:paraId="3F8DF048">
            <w:pPr>
              <w:spacing w:line="360" w:lineRule="auto"/>
              <w:jc w:val="center"/>
              <w:rPr>
                <w:rFonts w:hint="eastAsia" w:ascii="宋体" w:hAnsi="宋体"/>
                <w:color w:val="auto"/>
                <w:szCs w:val="21"/>
                <w:highlight w:val="none"/>
              </w:rPr>
            </w:pPr>
            <w:r>
              <w:rPr>
                <w:rFonts w:hint="eastAsia" w:ascii="宋体" w:hAnsi="宋体"/>
                <w:color w:val="auto"/>
                <w:szCs w:val="21"/>
                <w:highlight w:val="none"/>
              </w:rPr>
              <w:t>1</w:t>
            </w:r>
          </w:p>
        </w:tc>
        <w:tc>
          <w:tcPr>
            <w:tcW w:w="1418" w:type="dxa"/>
            <w:vAlign w:val="center"/>
          </w:tcPr>
          <w:p w14:paraId="4347CA2E">
            <w:pPr>
              <w:spacing w:line="360" w:lineRule="auto"/>
              <w:jc w:val="center"/>
              <w:rPr>
                <w:rFonts w:hint="eastAsia" w:ascii="宋体" w:hAnsi="宋体"/>
                <w:color w:val="auto"/>
                <w:szCs w:val="21"/>
                <w:highlight w:val="none"/>
              </w:rPr>
            </w:pPr>
            <w:r>
              <w:rPr>
                <w:rFonts w:hint="eastAsia" w:ascii="宋体" w:hAnsi="宋体"/>
                <w:color w:val="auto"/>
                <w:szCs w:val="21"/>
                <w:highlight w:val="none"/>
              </w:rPr>
              <w:t>项目负责人</w:t>
            </w:r>
          </w:p>
        </w:tc>
        <w:tc>
          <w:tcPr>
            <w:tcW w:w="2835" w:type="dxa"/>
            <w:vAlign w:val="center"/>
          </w:tcPr>
          <w:p w14:paraId="34242040">
            <w:pPr>
              <w:spacing w:line="360" w:lineRule="auto"/>
              <w:jc w:val="both"/>
              <w:rPr>
                <w:rFonts w:hint="eastAsia" w:ascii="宋体" w:hAnsi="宋体"/>
                <w:color w:val="auto"/>
                <w:szCs w:val="21"/>
                <w:highlight w:val="none"/>
              </w:rPr>
            </w:pPr>
            <w:r>
              <w:rPr>
                <w:rFonts w:hint="eastAsia" w:ascii="宋体" w:hAnsi="宋体"/>
                <w:color w:val="auto"/>
                <w:szCs w:val="21"/>
                <w:highlight w:val="none"/>
              </w:rPr>
              <w:t>具备现行有效的交通行政主管部门颁发的公路水运工程试验检测师证书（专业：桥梁隧道工程）</w:t>
            </w:r>
          </w:p>
        </w:tc>
        <w:tc>
          <w:tcPr>
            <w:tcW w:w="3309" w:type="dxa"/>
            <w:vAlign w:val="center"/>
          </w:tcPr>
          <w:p w14:paraId="68F61369">
            <w:pPr>
              <w:spacing w:line="360" w:lineRule="auto"/>
              <w:jc w:val="both"/>
              <w:rPr>
                <w:rFonts w:hint="eastAsia" w:ascii="宋体" w:hAnsi="宋体"/>
                <w:color w:val="auto"/>
                <w:highlight w:val="none"/>
              </w:rPr>
            </w:pPr>
            <w:r>
              <w:rPr>
                <w:rFonts w:hint="eastAsia" w:ascii="宋体" w:hAnsi="宋体"/>
                <w:color w:val="auto"/>
                <w:szCs w:val="21"/>
                <w:highlight w:val="none"/>
              </w:rPr>
              <w:t>具有同类工程检测经验3年及以上，至少担任过1个桥梁或隧道检测工程项目的项目负责人或技术负责人，要求人数为1人。</w:t>
            </w:r>
          </w:p>
        </w:tc>
        <w:tc>
          <w:tcPr>
            <w:tcW w:w="1180" w:type="dxa"/>
            <w:vAlign w:val="center"/>
          </w:tcPr>
          <w:p w14:paraId="43538D05">
            <w:pPr>
              <w:spacing w:line="360" w:lineRule="auto"/>
              <w:jc w:val="center"/>
              <w:rPr>
                <w:rFonts w:hint="eastAsia" w:ascii="宋体" w:hAnsi="宋体"/>
                <w:color w:val="auto"/>
                <w:szCs w:val="21"/>
                <w:highlight w:val="none"/>
              </w:rPr>
            </w:pPr>
            <w:r>
              <w:rPr>
                <w:rFonts w:hint="eastAsia" w:ascii="宋体" w:hAnsi="宋体"/>
                <w:color w:val="auto"/>
                <w:szCs w:val="21"/>
                <w:highlight w:val="none"/>
              </w:rPr>
              <w:t>在职</w:t>
            </w:r>
          </w:p>
        </w:tc>
      </w:tr>
      <w:tr w14:paraId="1FA64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97" w:hRule="atLeast"/>
          <w:jc w:val="center"/>
        </w:trPr>
        <w:tc>
          <w:tcPr>
            <w:tcW w:w="806" w:type="dxa"/>
            <w:vAlign w:val="center"/>
          </w:tcPr>
          <w:p w14:paraId="30883F56">
            <w:pPr>
              <w:spacing w:line="360" w:lineRule="auto"/>
              <w:jc w:val="center"/>
              <w:rPr>
                <w:rFonts w:hint="eastAsia" w:ascii="宋体" w:hAnsi="宋体"/>
                <w:color w:val="auto"/>
                <w:szCs w:val="21"/>
                <w:highlight w:val="none"/>
              </w:rPr>
            </w:pPr>
            <w:r>
              <w:rPr>
                <w:rFonts w:hint="eastAsia" w:ascii="宋体" w:hAnsi="宋体"/>
                <w:color w:val="auto"/>
                <w:szCs w:val="21"/>
                <w:highlight w:val="none"/>
              </w:rPr>
              <w:t>2</w:t>
            </w:r>
          </w:p>
        </w:tc>
        <w:tc>
          <w:tcPr>
            <w:tcW w:w="1418" w:type="dxa"/>
            <w:vAlign w:val="center"/>
          </w:tcPr>
          <w:p w14:paraId="75F297FC">
            <w:pPr>
              <w:spacing w:line="360" w:lineRule="auto"/>
              <w:jc w:val="center"/>
              <w:rPr>
                <w:rFonts w:hint="eastAsia" w:ascii="宋体" w:hAnsi="宋体"/>
                <w:color w:val="auto"/>
                <w:szCs w:val="21"/>
                <w:highlight w:val="none"/>
              </w:rPr>
            </w:pPr>
            <w:r>
              <w:rPr>
                <w:rFonts w:hint="eastAsia" w:ascii="宋体" w:hAnsi="宋体"/>
                <w:color w:val="auto"/>
                <w:szCs w:val="21"/>
                <w:highlight w:val="none"/>
              </w:rPr>
              <w:t>技术负责人</w:t>
            </w:r>
          </w:p>
        </w:tc>
        <w:tc>
          <w:tcPr>
            <w:tcW w:w="2835" w:type="dxa"/>
            <w:vAlign w:val="center"/>
          </w:tcPr>
          <w:p w14:paraId="76BDA544">
            <w:pPr>
              <w:spacing w:line="360" w:lineRule="auto"/>
              <w:jc w:val="both"/>
              <w:rPr>
                <w:rFonts w:hint="eastAsia" w:ascii="宋体" w:hAnsi="宋体"/>
                <w:color w:val="auto"/>
                <w:szCs w:val="21"/>
                <w:highlight w:val="none"/>
              </w:rPr>
            </w:pPr>
            <w:r>
              <w:rPr>
                <w:rFonts w:hint="eastAsia" w:ascii="宋体" w:hAnsi="宋体"/>
                <w:color w:val="auto"/>
                <w:szCs w:val="21"/>
                <w:highlight w:val="none"/>
              </w:rPr>
              <w:t>具备现行有效的交通行政主管部门颁发的公路水运工程试验检测师证书（专业</w:t>
            </w:r>
            <w:r>
              <w:rPr>
                <w:rFonts w:hint="eastAsia" w:ascii="宋体" w:hAnsi="宋体"/>
                <w:color w:val="auto"/>
                <w:szCs w:val="21"/>
                <w:highlight w:val="none"/>
                <w:lang w:eastAsia="zh-CN"/>
              </w:rPr>
              <w:t>：</w:t>
            </w:r>
            <w:r>
              <w:rPr>
                <w:rFonts w:hint="eastAsia" w:ascii="宋体" w:hAnsi="宋体"/>
                <w:color w:val="auto"/>
                <w:szCs w:val="21"/>
                <w:highlight w:val="none"/>
              </w:rPr>
              <w:t>桥梁隧道工程）</w:t>
            </w:r>
          </w:p>
        </w:tc>
        <w:tc>
          <w:tcPr>
            <w:tcW w:w="3309" w:type="dxa"/>
            <w:vAlign w:val="center"/>
          </w:tcPr>
          <w:p w14:paraId="647A1252">
            <w:pPr>
              <w:spacing w:line="360" w:lineRule="auto"/>
              <w:jc w:val="both"/>
              <w:rPr>
                <w:rFonts w:hint="eastAsia" w:ascii="宋体" w:hAnsi="宋体"/>
                <w:color w:val="auto"/>
                <w:szCs w:val="21"/>
                <w:highlight w:val="none"/>
              </w:rPr>
            </w:pPr>
            <w:r>
              <w:rPr>
                <w:rFonts w:hint="eastAsia" w:ascii="宋体" w:hAnsi="宋体"/>
                <w:color w:val="auto"/>
                <w:szCs w:val="21"/>
                <w:highlight w:val="none"/>
              </w:rPr>
              <w:t>具有同类工程检测经验3年及以上，至少担任过1个桥梁或隧道检测工程项目的项目负责人或技术负责人，要求人数为1人。</w:t>
            </w:r>
          </w:p>
        </w:tc>
        <w:tc>
          <w:tcPr>
            <w:tcW w:w="1180" w:type="dxa"/>
            <w:vAlign w:val="center"/>
          </w:tcPr>
          <w:p w14:paraId="3A1DADEE">
            <w:pPr>
              <w:spacing w:line="360" w:lineRule="auto"/>
              <w:jc w:val="center"/>
              <w:rPr>
                <w:rFonts w:hint="eastAsia" w:ascii="宋体" w:hAnsi="宋体"/>
                <w:color w:val="auto"/>
                <w:szCs w:val="21"/>
                <w:highlight w:val="none"/>
              </w:rPr>
            </w:pPr>
            <w:r>
              <w:rPr>
                <w:rFonts w:hint="eastAsia" w:ascii="宋体" w:hAnsi="宋体"/>
                <w:color w:val="auto"/>
                <w:szCs w:val="21"/>
                <w:highlight w:val="none"/>
              </w:rPr>
              <w:t>在职</w:t>
            </w:r>
          </w:p>
        </w:tc>
      </w:tr>
      <w:tr w14:paraId="0CB2C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661" w:hRule="atLeast"/>
          <w:jc w:val="center"/>
        </w:trPr>
        <w:tc>
          <w:tcPr>
            <w:tcW w:w="806" w:type="dxa"/>
            <w:vAlign w:val="center"/>
          </w:tcPr>
          <w:p w14:paraId="498A64D9">
            <w:pPr>
              <w:spacing w:line="360" w:lineRule="auto"/>
              <w:jc w:val="center"/>
              <w:rPr>
                <w:rFonts w:hint="eastAsia" w:ascii="宋体" w:hAnsi="宋体"/>
                <w:color w:val="auto"/>
                <w:szCs w:val="21"/>
                <w:highlight w:val="none"/>
              </w:rPr>
            </w:pPr>
            <w:r>
              <w:rPr>
                <w:rFonts w:hint="eastAsia" w:ascii="宋体" w:hAnsi="宋体"/>
                <w:color w:val="auto"/>
                <w:szCs w:val="21"/>
                <w:highlight w:val="none"/>
              </w:rPr>
              <w:t>3</w:t>
            </w:r>
          </w:p>
        </w:tc>
        <w:tc>
          <w:tcPr>
            <w:tcW w:w="1418" w:type="dxa"/>
            <w:vAlign w:val="center"/>
          </w:tcPr>
          <w:p w14:paraId="5D4BA88E">
            <w:pPr>
              <w:spacing w:line="360" w:lineRule="auto"/>
              <w:jc w:val="center"/>
              <w:rPr>
                <w:rFonts w:hint="eastAsia" w:ascii="宋体" w:hAnsi="宋体"/>
                <w:color w:val="auto"/>
                <w:szCs w:val="21"/>
                <w:highlight w:val="none"/>
              </w:rPr>
            </w:pPr>
            <w:r>
              <w:rPr>
                <w:rFonts w:hint="eastAsia" w:ascii="宋体" w:hAnsi="宋体"/>
                <w:color w:val="auto"/>
                <w:szCs w:val="21"/>
                <w:highlight w:val="none"/>
              </w:rPr>
              <w:t>检测工程师</w:t>
            </w:r>
          </w:p>
        </w:tc>
        <w:tc>
          <w:tcPr>
            <w:tcW w:w="2835" w:type="dxa"/>
            <w:vAlign w:val="center"/>
          </w:tcPr>
          <w:p w14:paraId="3A8E339E">
            <w:pPr>
              <w:spacing w:line="360" w:lineRule="auto"/>
              <w:jc w:val="both"/>
              <w:rPr>
                <w:rFonts w:hint="eastAsia" w:ascii="宋体" w:hAnsi="宋体"/>
                <w:color w:val="auto"/>
                <w:szCs w:val="21"/>
                <w:highlight w:val="none"/>
              </w:rPr>
            </w:pPr>
            <w:r>
              <w:rPr>
                <w:rFonts w:hint="eastAsia" w:ascii="宋体" w:hAnsi="宋体"/>
                <w:color w:val="auto"/>
                <w:szCs w:val="21"/>
                <w:highlight w:val="none"/>
              </w:rPr>
              <w:t>具备现行有效的交通行政主管部门颁发的公路水运工程试验检测师证书</w:t>
            </w:r>
          </w:p>
        </w:tc>
        <w:tc>
          <w:tcPr>
            <w:tcW w:w="3309" w:type="dxa"/>
            <w:vAlign w:val="center"/>
          </w:tcPr>
          <w:p w14:paraId="7C5EFAAE">
            <w:pPr>
              <w:spacing w:line="360" w:lineRule="auto"/>
              <w:jc w:val="both"/>
              <w:rPr>
                <w:rFonts w:hint="eastAsia" w:ascii="宋体" w:hAnsi="宋体"/>
                <w:color w:val="auto"/>
                <w:szCs w:val="21"/>
                <w:highlight w:val="none"/>
              </w:rPr>
            </w:pPr>
            <w:r>
              <w:rPr>
                <w:rFonts w:hint="eastAsia" w:ascii="宋体" w:hAnsi="宋体"/>
                <w:color w:val="auto"/>
                <w:szCs w:val="21"/>
                <w:highlight w:val="none"/>
              </w:rPr>
              <w:t>至少参与过1个桥梁或隧道检测工程项目，要求人数为3人。</w:t>
            </w:r>
          </w:p>
        </w:tc>
        <w:tc>
          <w:tcPr>
            <w:tcW w:w="1180" w:type="dxa"/>
            <w:vAlign w:val="center"/>
          </w:tcPr>
          <w:p w14:paraId="62C3CD96">
            <w:pPr>
              <w:spacing w:line="360" w:lineRule="auto"/>
              <w:jc w:val="center"/>
              <w:rPr>
                <w:rFonts w:hint="eastAsia" w:ascii="宋体" w:hAnsi="宋体"/>
                <w:color w:val="auto"/>
                <w:szCs w:val="21"/>
                <w:highlight w:val="none"/>
              </w:rPr>
            </w:pPr>
            <w:r>
              <w:rPr>
                <w:rFonts w:hint="eastAsia" w:ascii="宋体" w:hAnsi="宋体"/>
                <w:color w:val="auto"/>
                <w:szCs w:val="21"/>
                <w:highlight w:val="none"/>
              </w:rPr>
              <w:t>在职</w:t>
            </w:r>
          </w:p>
        </w:tc>
      </w:tr>
      <w:tr w14:paraId="5469A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440" w:hRule="atLeast"/>
          <w:jc w:val="center"/>
        </w:trPr>
        <w:tc>
          <w:tcPr>
            <w:tcW w:w="806" w:type="dxa"/>
            <w:vAlign w:val="center"/>
          </w:tcPr>
          <w:p w14:paraId="42A445BE">
            <w:pPr>
              <w:spacing w:line="360" w:lineRule="auto"/>
              <w:jc w:val="center"/>
              <w:rPr>
                <w:rFonts w:hint="eastAsia" w:ascii="宋体" w:hAnsi="宋体"/>
                <w:color w:val="auto"/>
                <w:szCs w:val="21"/>
                <w:highlight w:val="none"/>
              </w:rPr>
            </w:pPr>
            <w:r>
              <w:rPr>
                <w:rFonts w:hint="eastAsia" w:ascii="宋体" w:hAnsi="宋体"/>
                <w:color w:val="auto"/>
                <w:szCs w:val="21"/>
                <w:highlight w:val="none"/>
              </w:rPr>
              <w:t>4</w:t>
            </w:r>
          </w:p>
        </w:tc>
        <w:tc>
          <w:tcPr>
            <w:tcW w:w="1418" w:type="dxa"/>
            <w:vAlign w:val="center"/>
          </w:tcPr>
          <w:p w14:paraId="33145015">
            <w:pPr>
              <w:spacing w:line="360" w:lineRule="auto"/>
              <w:jc w:val="center"/>
              <w:rPr>
                <w:rFonts w:hint="eastAsia" w:ascii="宋体" w:hAnsi="宋体"/>
                <w:color w:val="auto"/>
                <w:szCs w:val="21"/>
                <w:highlight w:val="none"/>
              </w:rPr>
            </w:pPr>
            <w:r>
              <w:rPr>
                <w:rFonts w:hint="eastAsia" w:ascii="宋体" w:hAnsi="宋体"/>
                <w:color w:val="auto"/>
                <w:szCs w:val="21"/>
                <w:highlight w:val="none"/>
              </w:rPr>
              <w:t>检测员</w:t>
            </w:r>
          </w:p>
        </w:tc>
        <w:tc>
          <w:tcPr>
            <w:tcW w:w="2835" w:type="dxa"/>
            <w:vAlign w:val="center"/>
          </w:tcPr>
          <w:p w14:paraId="2D51091A">
            <w:pPr>
              <w:spacing w:line="360" w:lineRule="auto"/>
              <w:jc w:val="both"/>
              <w:rPr>
                <w:rFonts w:hint="eastAsia" w:ascii="宋体" w:hAnsi="宋体"/>
                <w:color w:val="auto"/>
                <w:szCs w:val="21"/>
                <w:highlight w:val="none"/>
              </w:rPr>
            </w:pPr>
            <w:r>
              <w:rPr>
                <w:rFonts w:hint="eastAsia" w:ascii="宋体" w:hAnsi="宋体"/>
                <w:color w:val="auto"/>
                <w:szCs w:val="21"/>
                <w:highlight w:val="none"/>
              </w:rPr>
              <w:t>具备现行有效的交通行政主管部门颁发的公路水运工程试验检测师证书或公路水运工程助理试验检测师证书或试验检测员证书</w:t>
            </w:r>
          </w:p>
        </w:tc>
        <w:tc>
          <w:tcPr>
            <w:tcW w:w="3309" w:type="dxa"/>
            <w:vAlign w:val="center"/>
          </w:tcPr>
          <w:p w14:paraId="18D6EB43">
            <w:pPr>
              <w:spacing w:line="360" w:lineRule="auto"/>
              <w:jc w:val="both"/>
              <w:rPr>
                <w:rFonts w:hint="eastAsia" w:ascii="宋体" w:hAnsi="宋体"/>
                <w:color w:val="auto"/>
                <w:szCs w:val="21"/>
                <w:highlight w:val="none"/>
              </w:rPr>
            </w:pPr>
            <w:r>
              <w:rPr>
                <w:rFonts w:hint="eastAsia" w:ascii="宋体" w:hAnsi="宋体"/>
                <w:color w:val="auto"/>
                <w:szCs w:val="21"/>
                <w:highlight w:val="none"/>
              </w:rPr>
              <w:t>至少参与过1个桥梁或隧道检测工程项目，要求人数为</w:t>
            </w:r>
            <w:r>
              <w:rPr>
                <w:rFonts w:ascii="宋体" w:hAnsi="宋体"/>
                <w:color w:val="auto"/>
                <w:szCs w:val="21"/>
                <w:highlight w:val="none"/>
              </w:rPr>
              <w:t>3</w:t>
            </w:r>
            <w:r>
              <w:rPr>
                <w:rFonts w:hint="eastAsia" w:ascii="宋体" w:hAnsi="宋体"/>
                <w:color w:val="auto"/>
                <w:szCs w:val="21"/>
                <w:highlight w:val="none"/>
              </w:rPr>
              <w:t>人。</w:t>
            </w:r>
          </w:p>
        </w:tc>
        <w:tc>
          <w:tcPr>
            <w:tcW w:w="1180" w:type="dxa"/>
            <w:vAlign w:val="center"/>
          </w:tcPr>
          <w:p w14:paraId="080C2164">
            <w:pPr>
              <w:spacing w:line="360" w:lineRule="auto"/>
              <w:jc w:val="center"/>
              <w:rPr>
                <w:rFonts w:hint="eastAsia" w:ascii="宋体" w:hAnsi="宋体"/>
                <w:color w:val="auto"/>
                <w:szCs w:val="21"/>
                <w:highlight w:val="none"/>
              </w:rPr>
            </w:pPr>
            <w:r>
              <w:rPr>
                <w:rFonts w:hint="eastAsia" w:ascii="宋体" w:hAnsi="宋体"/>
                <w:color w:val="auto"/>
                <w:szCs w:val="21"/>
                <w:highlight w:val="none"/>
              </w:rPr>
              <w:t>在职</w:t>
            </w:r>
          </w:p>
        </w:tc>
      </w:tr>
      <w:tr w14:paraId="1338D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97" w:hRule="atLeast"/>
          <w:jc w:val="center"/>
        </w:trPr>
        <w:tc>
          <w:tcPr>
            <w:tcW w:w="9548" w:type="dxa"/>
            <w:gridSpan w:val="5"/>
            <w:vAlign w:val="center"/>
          </w:tcPr>
          <w:p w14:paraId="7453B54D">
            <w:pPr>
              <w:spacing w:line="360" w:lineRule="auto"/>
              <w:rPr>
                <w:rFonts w:hint="eastAsia" w:ascii="宋体" w:hAnsi="宋体"/>
                <w:b/>
                <w:bCs/>
                <w:color w:val="auto"/>
                <w:szCs w:val="28"/>
                <w:highlight w:val="none"/>
              </w:rPr>
            </w:pPr>
            <w:r>
              <w:rPr>
                <w:rFonts w:hint="eastAsia" w:ascii="宋体" w:hAnsi="宋体"/>
                <w:b/>
                <w:bCs/>
                <w:color w:val="auto"/>
                <w:szCs w:val="21"/>
                <w:highlight w:val="none"/>
              </w:rPr>
              <w:t>注：1.</w:t>
            </w:r>
            <w:r>
              <w:rPr>
                <w:rFonts w:hint="eastAsia" w:ascii="宋体" w:hAnsi="宋体"/>
                <w:b/>
                <w:bCs/>
                <w:color w:val="auto"/>
                <w:szCs w:val="28"/>
                <w:highlight w:val="none"/>
              </w:rPr>
              <w:t>须在投标文件中提供上述人员相关证书复印件；</w:t>
            </w:r>
          </w:p>
          <w:p w14:paraId="4A5F300D">
            <w:pPr>
              <w:numPr>
                <w:ilvl w:val="0"/>
                <w:numId w:val="0"/>
              </w:numPr>
              <w:spacing w:line="360" w:lineRule="auto"/>
              <w:ind w:left="421" w:leftChars="0" w:firstLine="0" w:firstLineChars="0"/>
              <w:rPr>
                <w:rFonts w:hint="eastAsia" w:ascii="宋体" w:hAnsi="宋体"/>
                <w:b/>
                <w:bCs/>
                <w:color w:val="auto"/>
                <w:szCs w:val="28"/>
                <w:highlight w:val="none"/>
              </w:rPr>
            </w:pPr>
            <w:r>
              <w:rPr>
                <w:rFonts w:hint="default" w:ascii="宋体" w:hAnsi="宋体" w:eastAsia="宋体" w:cs="Times New Roman"/>
                <w:b/>
                <w:bCs/>
                <w:color w:val="auto"/>
                <w:kern w:val="2"/>
                <w:sz w:val="21"/>
                <w:szCs w:val="28"/>
                <w:highlight w:val="none"/>
                <w:lang w:val="en-US" w:eastAsia="zh-CN" w:bidi="ar-SA"/>
              </w:rPr>
              <w:t>2.</w:t>
            </w:r>
            <w:r>
              <w:rPr>
                <w:rFonts w:hint="eastAsia" w:ascii="宋体" w:hAnsi="宋体"/>
                <w:b/>
                <w:bCs/>
                <w:color w:val="auto"/>
                <w:szCs w:val="28"/>
                <w:highlight w:val="none"/>
              </w:rPr>
              <w:t>类似检测经验以公路水运工程质量检测管理信息系统（https://www.ttiis.cn）中从事检测工作年限的查询信息打印件为准</w:t>
            </w:r>
            <w:r>
              <w:rPr>
                <w:rFonts w:hint="eastAsia" w:ascii="宋体" w:hAnsi="宋体"/>
                <w:b/>
                <w:bCs/>
                <w:color w:val="auto"/>
                <w:szCs w:val="28"/>
                <w:highlight w:val="none"/>
                <w:lang w:eastAsia="zh-CN"/>
              </w:rPr>
              <w:t>；参与项目的经验须提供相关证明材料。</w:t>
            </w:r>
          </w:p>
          <w:p w14:paraId="40C33DE9">
            <w:pPr>
              <w:numPr>
                <w:ilvl w:val="0"/>
                <w:numId w:val="0"/>
              </w:numPr>
              <w:spacing w:line="360" w:lineRule="auto"/>
              <w:ind w:left="421" w:leftChars="0" w:firstLine="0" w:firstLineChars="0"/>
              <w:rPr>
                <w:rFonts w:hint="eastAsia" w:ascii="宋体" w:hAnsi="宋体"/>
                <w:b/>
                <w:bCs/>
                <w:color w:val="auto"/>
                <w:szCs w:val="28"/>
                <w:highlight w:val="none"/>
              </w:rPr>
            </w:pPr>
            <w:r>
              <w:rPr>
                <w:rFonts w:hint="default" w:ascii="宋体" w:hAnsi="宋体" w:eastAsia="宋体" w:cs="Times New Roman"/>
                <w:b/>
                <w:bCs/>
                <w:color w:val="auto"/>
                <w:kern w:val="2"/>
                <w:sz w:val="21"/>
                <w:szCs w:val="28"/>
                <w:highlight w:val="none"/>
                <w:lang w:val="en-US" w:eastAsia="zh-CN" w:bidi="ar-SA"/>
              </w:rPr>
              <w:t>3.</w:t>
            </w:r>
            <w:r>
              <w:rPr>
                <w:rFonts w:ascii="宋体" w:hAnsi="宋体"/>
                <w:b/>
                <w:bCs/>
                <w:color w:val="auto"/>
                <w:szCs w:val="28"/>
                <w:highlight w:val="none"/>
              </w:rPr>
              <w:t>检测工程师、检测员所持公路水运工程试验检测师证的专业合计，应分别涵盖桥梁、隧道、机电工程专业，各检测人员按持证专业负责本项目相应的检测工作，不能开展超出资格证书中规定范围的试验检测活动。若以上人员的公路水运工程试验检测师证所注明的专业不能涵盖以上要求的专业，则应增加相应专业的试验检测人员以全部涵盖所要求的专业。</w:t>
            </w:r>
          </w:p>
          <w:p w14:paraId="1D2AEFA9">
            <w:pPr>
              <w:numPr>
                <w:ilvl w:val="0"/>
                <w:numId w:val="0"/>
              </w:numPr>
              <w:spacing w:line="360" w:lineRule="auto"/>
              <w:ind w:left="421" w:leftChars="0" w:firstLine="0" w:firstLineChars="0"/>
              <w:rPr>
                <w:color w:val="auto"/>
                <w:highlight w:val="none"/>
              </w:rPr>
            </w:pPr>
            <w:r>
              <w:rPr>
                <w:rFonts w:hint="default" w:ascii="Times New Roman" w:hAnsi="Times New Roman" w:eastAsia="宋体" w:cs="Times New Roman"/>
                <w:b/>
                <w:bCs/>
                <w:color w:val="auto"/>
                <w:kern w:val="2"/>
                <w:sz w:val="21"/>
                <w:szCs w:val="24"/>
                <w:highlight w:val="none"/>
                <w:lang w:val="en-US" w:eastAsia="zh-CN" w:bidi="ar-SA"/>
              </w:rPr>
              <w:t>4.</w:t>
            </w:r>
            <w:r>
              <w:rPr>
                <w:rFonts w:hint="eastAsia" w:ascii="宋体" w:hAnsi="宋体"/>
                <w:b/>
                <w:bCs/>
                <w:color w:val="auto"/>
                <w:szCs w:val="28"/>
                <w:highlight w:val="none"/>
              </w:rPr>
              <w:t>2017年及往后颁发的公路水运工程试验检测师证书：道路工程=公路+材料、桥梁隧道工程=桥梁+隧道、交通工程=交通安全设施+机电工程。</w:t>
            </w:r>
          </w:p>
        </w:tc>
      </w:tr>
    </w:tbl>
    <w:p w14:paraId="075B8E11">
      <w:pPr>
        <w:spacing w:line="360" w:lineRule="auto"/>
        <w:outlineLvl w:val="9"/>
        <w:rPr>
          <w:rFonts w:hint="eastAsia" w:ascii="宋体" w:hAnsi="宋体"/>
          <w:color w:val="auto"/>
          <w:szCs w:val="21"/>
          <w:highlight w:val="none"/>
        </w:rPr>
      </w:pPr>
    </w:p>
    <w:p w14:paraId="5E65D4E7">
      <w:pPr>
        <w:numPr>
          <w:ilvl w:val="0"/>
          <w:numId w:val="3"/>
        </w:numPr>
        <w:spacing w:line="360" w:lineRule="auto"/>
        <w:outlineLvl w:val="0"/>
        <w:rPr>
          <w:rFonts w:hint="eastAsia" w:ascii="宋体" w:hAnsi="宋体"/>
          <w:color w:val="auto"/>
          <w:szCs w:val="21"/>
          <w:highlight w:val="none"/>
        </w:rPr>
      </w:pPr>
      <w:r>
        <w:rPr>
          <w:rFonts w:hint="eastAsia" w:ascii="宋体" w:hAnsi="宋体"/>
          <w:color w:val="auto"/>
          <w:szCs w:val="21"/>
          <w:highlight w:val="none"/>
        </w:rPr>
        <w:t>试验检测设备要求</w:t>
      </w:r>
    </w:p>
    <w:tbl>
      <w:tblPr>
        <w:tblStyle w:val="47"/>
        <w:tblW w:w="8288" w:type="dxa"/>
        <w:tblInd w:w="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8"/>
        <w:gridCol w:w="2280"/>
        <w:gridCol w:w="1905"/>
        <w:gridCol w:w="1042"/>
        <w:gridCol w:w="982"/>
        <w:gridCol w:w="1331"/>
      </w:tblGrid>
      <w:tr w14:paraId="7474EC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2" w:hRule="atLeast"/>
        </w:trPr>
        <w:tc>
          <w:tcPr>
            <w:tcW w:w="748" w:type="dxa"/>
            <w:vAlign w:val="center"/>
          </w:tcPr>
          <w:p w14:paraId="25485AB1">
            <w:pPr>
              <w:pStyle w:val="102"/>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序号</w:t>
            </w:r>
          </w:p>
        </w:tc>
        <w:tc>
          <w:tcPr>
            <w:tcW w:w="2280" w:type="dxa"/>
            <w:vAlign w:val="center"/>
          </w:tcPr>
          <w:p w14:paraId="59B342DA">
            <w:pPr>
              <w:pStyle w:val="102"/>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仪器及设备名称</w:t>
            </w:r>
          </w:p>
        </w:tc>
        <w:tc>
          <w:tcPr>
            <w:tcW w:w="1905" w:type="dxa"/>
            <w:vAlign w:val="center"/>
          </w:tcPr>
          <w:p w14:paraId="42819537">
            <w:pPr>
              <w:pStyle w:val="102"/>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规格或要求</w:t>
            </w:r>
          </w:p>
        </w:tc>
        <w:tc>
          <w:tcPr>
            <w:tcW w:w="1042" w:type="dxa"/>
            <w:vAlign w:val="center"/>
          </w:tcPr>
          <w:p w14:paraId="52B6CB19">
            <w:pPr>
              <w:pStyle w:val="102"/>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单位</w:t>
            </w:r>
          </w:p>
        </w:tc>
        <w:tc>
          <w:tcPr>
            <w:tcW w:w="982" w:type="dxa"/>
            <w:vAlign w:val="center"/>
          </w:tcPr>
          <w:p w14:paraId="37C5FABC">
            <w:pPr>
              <w:pStyle w:val="102"/>
              <w:jc w:val="center"/>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rPr>
              <w:t>数量</w:t>
            </w:r>
          </w:p>
        </w:tc>
        <w:tc>
          <w:tcPr>
            <w:tcW w:w="1331" w:type="dxa"/>
            <w:vAlign w:val="center"/>
          </w:tcPr>
          <w:p w14:paraId="2F1B009F">
            <w:pPr>
              <w:pStyle w:val="102"/>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备注</w:t>
            </w:r>
          </w:p>
        </w:tc>
      </w:tr>
      <w:tr w14:paraId="573AD9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748" w:type="dxa"/>
            <w:vAlign w:val="center"/>
          </w:tcPr>
          <w:p w14:paraId="40EE9E7B">
            <w:pPr>
              <w:pStyle w:val="102"/>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w:t>
            </w:r>
          </w:p>
        </w:tc>
        <w:tc>
          <w:tcPr>
            <w:tcW w:w="2280" w:type="dxa"/>
            <w:vAlign w:val="center"/>
          </w:tcPr>
          <w:p w14:paraId="40A3AAA9">
            <w:pPr>
              <w:pStyle w:val="102"/>
              <w:jc w:val="center"/>
              <w:rPr>
                <w:rFonts w:hint="eastAsia" w:ascii="宋体" w:hAnsi="宋体" w:cs="宋体"/>
                <w:color w:val="auto"/>
                <w:sz w:val="21"/>
                <w:szCs w:val="21"/>
                <w:highlight w:val="none"/>
              </w:rPr>
            </w:pPr>
            <w:r>
              <w:rPr>
                <w:rFonts w:hint="eastAsia" w:ascii="微软雅黑" w:hAnsi="微软雅黑" w:eastAsia="微软雅黑" w:cs="微软雅黑"/>
                <w:color w:val="auto"/>
                <w:sz w:val="21"/>
                <w:szCs w:val="21"/>
                <w:highlight w:val="none"/>
                <w:lang w:eastAsia="zh-CN"/>
              </w:rPr>
              <w:t>★</w:t>
            </w:r>
            <w:r>
              <w:rPr>
                <w:rFonts w:hint="eastAsia" w:ascii="宋体" w:hAnsi="宋体" w:cs="宋体"/>
                <w:color w:val="auto"/>
                <w:sz w:val="21"/>
                <w:szCs w:val="21"/>
                <w:highlight w:val="none"/>
              </w:rPr>
              <w:t>桥梁检查车</w:t>
            </w:r>
          </w:p>
        </w:tc>
        <w:tc>
          <w:tcPr>
            <w:tcW w:w="1905" w:type="dxa"/>
            <w:vAlign w:val="center"/>
          </w:tcPr>
          <w:p w14:paraId="4432CD25">
            <w:pPr>
              <w:pStyle w:val="102"/>
              <w:jc w:val="center"/>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rPr>
              <w:t>自有或</w:t>
            </w:r>
            <w:r>
              <w:rPr>
                <w:rFonts w:hint="eastAsia" w:ascii="宋体" w:hAnsi="宋体" w:cs="宋体"/>
                <w:color w:val="auto"/>
                <w:sz w:val="21"/>
                <w:szCs w:val="21"/>
                <w:highlight w:val="none"/>
                <w:lang w:eastAsia="zh-CN"/>
              </w:rPr>
              <w:t>租赁</w:t>
            </w:r>
          </w:p>
        </w:tc>
        <w:tc>
          <w:tcPr>
            <w:tcW w:w="1042" w:type="dxa"/>
            <w:vAlign w:val="center"/>
          </w:tcPr>
          <w:p w14:paraId="281B49DD">
            <w:pPr>
              <w:pStyle w:val="102"/>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辆</w:t>
            </w:r>
          </w:p>
        </w:tc>
        <w:tc>
          <w:tcPr>
            <w:tcW w:w="982" w:type="dxa"/>
            <w:vAlign w:val="center"/>
          </w:tcPr>
          <w:p w14:paraId="79F658B3">
            <w:pPr>
              <w:pStyle w:val="102"/>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w:t>
            </w:r>
          </w:p>
        </w:tc>
        <w:tc>
          <w:tcPr>
            <w:tcW w:w="1331" w:type="dxa"/>
            <w:vAlign w:val="center"/>
          </w:tcPr>
          <w:p w14:paraId="1230C236">
            <w:pPr>
              <w:pStyle w:val="102"/>
              <w:jc w:val="center"/>
              <w:rPr>
                <w:rFonts w:hint="eastAsia" w:ascii="宋体" w:hAnsi="宋体" w:cs="宋体"/>
                <w:color w:val="auto"/>
                <w:sz w:val="21"/>
                <w:szCs w:val="21"/>
                <w:highlight w:val="none"/>
              </w:rPr>
            </w:pPr>
          </w:p>
        </w:tc>
      </w:tr>
      <w:tr w14:paraId="756019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748" w:type="dxa"/>
            <w:vAlign w:val="center"/>
          </w:tcPr>
          <w:p w14:paraId="4C018702">
            <w:pPr>
              <w:pStyle w:val="102"/>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2</w:t>
            </w:r>
          </w:p>
        </w:tc>
        <w:tc>
          <w:tcPr>
            <w:tcW w:w="2280" w:type="dxa"/>
            <w:shd w:val="clear" w:color="auto" w:fill="auto"/>
            <w:vAlign w:val="center"/>
          </w:tcPr>
          <w:p w14:paraId="4AEC02B2">
            <w:pPr>
              <w:pStyle w:val="102"/>
              <w:jc w:val="center"/>
              <w:rPr>
                <w:rFonts w:hint="eastAsia" w:ascii="宋体" w:hAnsi="宋体" w:eastAsia="宋体" w:cs="宋体"/>
                <w:color w:val="auto"/>
                <w:kern w:val="0"/>
                <w:sz w:val="21"/>
                <w:szCs w:val="21"/>
                <w:highlight w:val="none"/>
                <w:lang w:val="en-US" w:eastAsia="en-US" w:bidi="ar-SA"/>
              </w:rPr>
            </w:pPr>
            <w:r>
              <w:rPr>
                <w:rFonts w:hint="eastAsia" w:ascii="宋体" w:hAnsi="宋体" w:cs="宋体"/>
                <w:color w:val="auto"/>
                <w:sz w:val="21"/>
                <w:szCs w:val="21"/>
                <w:highlight w:val="none"/>
              </w:rPr>
              <w:t>裂缝综合测试仪</w:t>
            </w:r>
          </w:p>
        </w:tc>
        <w:tc>
          <w:tcPr>
            <w:tcW w:w="1905" w:type="dxa"/>
            <w:shd w:val="clear" w:color="auto" w:fill="auto"/>
            <w:vAlign w:val="center"/>
          </w:tcPr>
          <w:p w14:paraId="1CF60F0B">
            <w:pPr>
              <w:jc w:val="center"/>
              <w:rPr>
                <w:rFonts w:hint="eastAsia" w:ascii="宋体" w:hAnsi="宋体" w:eastAsia="宋体" w:cs="宋体"/>
                <w:color w:val="auto"/>
                <w:kern w:val="0"/>
                <w:sz w:val="21"/>
                <w:szCs w:val="21"/>
                <w:highlight w:val="none"/>
                <w:lang w:val="en-US" w:eastAsia="en-US" w:bidi="ar-SA"/>
              </w:rPr>
            </w:pPr>
            <w:r>
              <w:rPr>
                <w:rFonts w:hint="eastAsia" w:ascii="宋体" w:hAnsi="宋体" w:cs="宋体"/>
                <w:color w:val="auto"/>
                <w:sz w:val="21"/>
                <w:szCs w:val="21"/>
                <w:highlight w:val="none"/>
              </w:rPr>
              <w:t>自有或</w:t>
            </w:r>
            <w:r>
              <w:rPr>
                <w:rFonts w:hint="eastAsia" w:ascii="宋体" w:hAnsi="宋体" w:cs="宋体"/>
                <w:color w:val="auto"/>
                <w:sz w:val="21"/>
                <w:szCs w:val="21"/>
                <w:highlight w:val="none"/>
                <w:lang w:eastAsia="zh-CN"/>
              </w:rPr>
              <w:t>租赁</w:t>
            </w:r>
          </w:p>
        </w:tc>
        <w:tc>
          <w:tcPr>
            <w:tcW w:w="1042" w:type="dxa"/>
            <w:shd w:val="clear" w:color="auto" w:fill="auto"/>
            <w:vAlign w:val="center"/>
          </w:tcPr>
          <w:p w14:paraId="5A87665D">
            <w:pPr>
              <w:pStyle w:val="102"/>
              <w:jc w:val="center"/>
              <w:rPr>
                <w:rFonts w:hint="eastAsia" w:ascii="宋体" w:hAnsi="宋体" w:eastAsia="宋体" w:cs="宋体"/>
                <w:color w:val="auto"/>
                <w:kern w:val="0"/>
                <w:sz w:val="21"/>
                <w:szCs w:val="21"/>
                <w:highlight w:val="none"/>
                <w:lang w:val="en-US" w:eastAsia="en-US" w:bidi="ar-SA"/>
              </w:rPr>
            </w:pPr>
            <w:r>
              <w:rPr>
                <w:rFonts w:hint="eastAsia" w:ascii="宋体" w:hAnsi="宋体" w:cs="宋体"/>
                <w:color w:val="auto"/>
                <w:sz w:val="21"/>
                <w:szCs w:val="21"/>
                <w:highlight w:val="none"/>
              </w:rPr>
              <w:t>台</w:t>
            </w:r>
          </w:p>
        </w:tc>
        <w:tc>
          <w:tcPr>
            <w:tcW w:w="982" w:type="dxa"/>
            <w:vAlign w:val="center"/>
          </w:tcPr>
          <w:p w14:paraId="4F59F2D6">
            <w:pPr>
              <w:pStyle w:val="102"/>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p>
        </w:tc>
        <w:tc>
          <w:tcPr>
            <w:tcW w:w="1331" w:type="dxa"/>
            <w:vAlign w:val="center"/>
          </w:tcPr>
          <w:p w14:paraId="4EB6C656">
            <w:pPr>
              <w:pStyle w:val="102"/>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或能满足测宽、测深项目的其它仪器</w:t>
            </w:r>
          </w:p>
        </w:tc>
      </w:tr>
      <w:tr w14:paraId="348CB9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748" w:type="dxa"/>
            <w:vAlign w:val="center"/>
          </w:tcPr>
          <w:p w14:paraId="1B9A4A2B">
            <w:pPr>
              <w:pStyle w:val="102"/>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3</w:t>
            </w:r>
          </w:p>
        </w:tc>
        <w:tc>
          <w:tcPr>
            <w:tcW w:w="2280" w:type="dxa"/>
            <w:vAlign w:val="center"/>
          </w:tcPr>
          <w:p w14:paraId="33D40EAD">
            <w:pPr>
              <w:pStyle w:val="102"/>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数码相机</w:t>
            </w:r>
          </w:p>
        </w:tc>
        <w:tc>
          <w:tcPr>
            <w:tcW w:w="1905" w:type="dxa"/>
            <w:vAlign w:val="center"/>
          </w:tcPr>
          <w:p w14:paraId="2AC54D27">
            <w:pPr>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自有或</w:t>
            </w:r>
            <w:r>
              <w:rPr>
                <w:rFonts w:hint="eastAsia" w:ascii="宋体" w:hAnsi="宋体" w:cs="宋体"/>
                <w:color w:val="auto"/>
                <w:sz w:val="21"/>
                <w:szCs w:val="21"/>
                <w:highlight w:val="none"/>
                <w:lang w:eastAsia="zh-CN"/>
              </w:rPr>
              <w:t>租赁</w:t>
            </w:r>
          </w:p>
        </w:tc>
        <w:tc>
          <w:tcPr>
            <w:tcW w:w="1042" w:type="dxa"/>
            <w:vAlign w:val="center"/>
          </w:tcPr>
          <w:p w14:paraId="233DA527">
            <w:pPr>
              <w:pStyle w:val="102"/>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套</w:t>
            </w:r>
          </w:p>
        </w:tc>
        <w:tc>
          <w:tcPr>
            <w:tcW w:w="982" w:type="dxa"/>
            <w:vAlign w:val="center"/>
          </w:tcPr>
          <w:p w14:paraId="1D60CAE2">
            <w:pPr>
              <w:pStyle w:val="102"/>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w:t>
            </w:r>
          </w:p>
        </w:tc>
        <w:tc>
          <w:tcPr>
            <w:tcW w:w="1331" w:type="dxa"/>
            <w:vAlign w:val="center"/>
          </w:tcPr>
          <w:p w14:paraId="2F35B4A5">
            <w:pPr>
              <w:pStyle w:val="102"/>
              <w:jc w:val="center"/>
              <w:rPr>
                <w:rFonts w:hint="eastAsia" w:ascii="宋体" w:hAnsi="宋体" w:cs="宋体"/>
                <w:color w:val="auto"/>
                <w:sz w:val="21"/>
                <w:szCs w:val="21"/>
                <w:highlight w:val="none"/>
              </w:rPr>
            </w:pPr>
          </w:p>
        </w:tc>
      </w:tr>
      <w:tr w14:paraId="390451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748" w:type="dxa"/>
            <w:vAlign w:val="center"/>
          </w:tcPr>
          <w:p w14:paraId="35E3061D">
            <w:pPr>
              <w:pStyle w:val="102"/>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4</w:t>
            </w:r>
          </w:p>
        </w:tc>
        <w:tc>
          <w:tcPr>
            <w:tcW w:w="2280" w:type="dxa"/>
            <w:vAlign w:val="center"/>
          </w:tcPr>
          <w:p w14:paraId="309B921D">
            <w:pPr>
              <w:pStyle w:val="102"/>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手持式激光测距仪</w:t>
            </w:r>
          </w:p>
        </w:tc>
        <w:tc>
          <w:tcPr>
            <w:tcW w:w="1905" w:type="dxa"/>
            <w:vAlign w:val="center"/>
          </w:tcPr>
          <w:p w14:paraId="4CEFFE3C">
            <w:pPr>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自有或</w:t>
            </w:r>
            <w:r>
              <w:rPr>
                <w:rFonts w:hint="eastAsia" w:ascii="宋体" w:hAnsi="宋体" w:cs="宋体"/>
                <w:color w:val="auto"/>
                <w:sz w:val="21"/>
                <w:szCs w:val="21"/>
                <w:highlight w:val="none"/>
                <w:lang w:eastAsia="zh-CN"/>
              </w:rPr>
              <w:t>租赁</w:t>
            </w:r>
          </w:p>
        </w:tc>
        <w:tc>
          <w:tcPr>
            <w:tcW w:w="1042" w:type="dxa"/>
            <w:vAlign w:val="center"/>
          </w:tcPr>
          <w:p w14:paraId="00BF9A36">
            <w:pPr>
              <w:pStyle w:val="102"/>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台</w:t>
            </w:r>
          </w:p>
        </w:tc>
        <w:tc>
          <w:tcPr>
            <w:tcW w:w="982" w:type="dxa"/>
            <w:vAlign w:val="center"/>
          </w:tcPr>
          <w:p w14:paraId="5E69B2C3">
            <w:pPr>
              <w:pStyle w:val="102"/>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w:t>
            </w:r>
          </w:p>
        </w:tc>
        <w:tc>
          <w:tcPr>
            <w:tcW w:w="1331" w:type="dxa"/>
            <w:vAlign w:val="center"/>
          </w:tcPr>
          <w:p w14:paraId="22897BB9">
            <w:pPr>
              <w:pStyle w:val="102"/>
              <w:jc w:val="center"/>
              <w:rPr>
                <w:rFonts w:hint="eastAsia" w:ascii="宋体" w:hAnsi="宋体" w:cs="宋体"/>
                <w:color w:val="auto"/>
                <w:sz w:val="21"/>
                <w:szCs w:val="21"/>
                <w:highlight w:val="none"/>
              </w:rPr>
            </w:pPr>
          </w:p>
        </w:tc>
      </w:tr>
      <w:tr w14:paraId="761C00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748" w:type="dxa"/>
            <w:vAlign w:val="center"/>
          </w:tcPr>
          <w:p w14:paraId="60275F71">
            <w:pPr>
              <w:pStyle w:val="102"/>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5</w:t>
            </w:r>
          </w:p>
        </w:tc>
        <w:tc>
          <w:tcPr>
            <w:tcW w:w="2280" w:type="dxa"/>
            <w:vAlign w:val="center"/>
          </w:tcPr>
          <w:p w14:paraId="127EE491">
            <w:pPr>
              <w:pStyle w:val="102"/>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全站仪</w:t>
            </w:r>
          </w:p>
        </w:tc>
        <w:tc>
          <w:tcPr>
            <w:tcW w:w="1905" w:type="dxa"/>
            <w:vAlign w:val="center"/>
          </w:tcPr>
          <w:p w14:paraId="591BF8D7">
            <w:pPr>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自有或</w:t>
            </w:r>
            <w:r>
              <w:rPr>
                <w:rFonts w:hint="eastAsia" w:ascii="宋体" w:hAnsi="宋体" w:cs="宋体"/>
                <w:color w:val="auto"/>
                <w:sz w:val="21"/>
                <w:szCs w:val="21"/>
                <w:highlight w:val="none"/>
                <w:lang w:eastAsia="zh-CN"/>
              </w:rPr>
              <w:t>租赁</w:t>
            </w:r>
          </w:p>
        </w:tc>
        <w:tc>
          <w:tcPr>
            <w:tcW w:w="1042" w:type="dxa"/>
            <w:vAlign w:val="center"/>
          </w:tcPr>
          <w:p w14:paraId="3E208F75">
            <w:pPr>
              <w:pStyle w:val="102"/>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台</w:t>
            </w:r>
          </w:p>
        </w:tc>
        <w:tc>
          <w:tcPr>
            <w:tcW w:w="982" w:type="dxa"/>
            <w:vAlign w:val="center"/>
          </w:tcPr>
          <w:p w14:paraId="7F8EFF8F">
            <w:pPr>
              <w:pStyle w:val="102"/>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w:t>
            </w:r>
          </w:p>
        </w:tc>
        <w:tc>
          <w:tcPr>
            <w:tcW w:w="1331" w:type="dxa"/>
            <w:vAlign w:val="center"/>
          </w:tcPr>
          <w:p w14:paraId="37F600D7">
            <w:pPr>
              <w:pStyle w:val="102"/>
              <w:jc w:val="center"/>
              <w:rPr>
                <w:rFonts w:hint="eastAsia" w:ascii="宋体" w:hAnsi="宋体" w:cs="宋体"/>
                <w:color w:val="auto"/>
                <w:sz w:val="21"/>
                <w:szCs w:val="21"/>
                <w:highlight w:val="none"/>
              </w:rPr>
            </w:pPr>
          </w:p>
        </w:tc>
      </w:tr>
      <w:tr w14:paraId="030197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748" w:type="dxa"/>
            <w:vAlign w:val="center"/>
          </w:tcPr>
          <w:p w14:paraId="006BB16F">
            <w:pPr>
              <w:pStyle w:val="102"/>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6</w:t>
            </w:r>
          </w:p>
        </w:tc>
        <w:tc>
          <w:tcPr>
            <w:tcW w:w="2280" w:type="dxa"/>
            <w:vAlign w:val="center"/>
          </w:tcPr>
          <w:p w14:paraId="035E3DC3">
            <w:pPr>
              <w:pStyle w:val="102"/>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水准仪</w:t>
            </w:r>
          </w:p>
        </w:tc>
        <w:tc>
          <w:tcPr>
            <w:tcW w:w="1905" w:type="dxa"/>
            <w:vAlign w:val="center"/>
          </w:tcPr>
          <w:p w14:paraId="02AB4140">
            <w:pPr>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自有或</w:t>
            </w:r>
            <w:r>
              <w:rPr>
                <w:rFonts w:hint="eastAsia" w:ascii="宋体" w:hAnsi="宋体" w:cs="宋体"/>
                <w:color w:val="auto"/>
                <w:sz w:val="21"/>
                <w:szCs w:val="21"/>
                <w:highlight w:val="none"/>
                <w:lang w:eastAsia="zh-CN"/>
              </w:rPr>
              <w:t>租赁</w:t>
            </w:r>
          </w:p>
        </w:tc>
        <w:tc>
          <w:tcPr>
            <w:tcW w:w="1042" w:type="dxa"/>
            <w:vAlign w:val="center"/>
          </w:tcPr>
          <w:p w14:paraId="12DCC702">
            <w:pPr>
              <w:pStyle w:val="102"/>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台</w:t>
            </w:r>
          </w:p>
        </w:tc>
        <w:tc>
          <w:tcPr>
            <w:tcW w:w="982" w:type="dxa"/>
            <w:vAlign w:val="center"/>
          </w:tcPr>
          <w:p w14:paraId="5AC50430">
            <w:pPr>
              <w:pStyle w:val="102"/>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w:t>
            </w:r>
          </w:p>
        </w:tc>
        <w:tc>
          <w:tcPr>
            <w:tcW w:w="1331" w:type="dxa"/>
            <w:vAlign w:val="center"/>
          </w:tcPr>
          <w:p w14:paraId="3C607B11">
            <w:pPr>
              <w:pStyle w:val="102"/>
              <w:jc w:val="center"/>
              <w:rPr>
                <w:rFonts w:hint="eastAsia" w:ascii="宋体" w:hAnsi="宋体" w:cs="宋体"/>
                <w:color w:val="auto"/>
                <w:sz w:val="21"/>
                <w:szCs w:val="21"/>
                <w:highlight w:val="none"/>
              </w:rPr>
            </w:pPr>
          </w:p>
        </w:tc>
      </w:tr>
      <w:tr w14:paraId="505754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748" w:type="dxa"/>
            <w:shd w:val="clear" w:color="auto" w:fill="auto"/>
            <w:vAlign w:val="center"/>
          </w:tcPr>
          <w:p w14:paraId="3800DEC4">
            <w:pPr>
              <w:pStyle w:val="102"/>
              <w:jc w:val="center"/>
              <w:rPr>
                <w:rFonts w:hint="eastAsia" w:ascii="宋体" w:hAnsi="宋体" w:eastAsia="宋体" w:cs="宋体"/>
                <w:color w:val="auto"/>
                <w:kern w:val="0"/>
                <w:sz w:val="21"/>
                <w:szCs w:val="21"/>
                <w:highlight w:val="none"/>
                <w:lang w:val="en-US" w:eastAsia="en-US" w:bidi="ar-SA"/>
              </w:rPr>
            </w:pPr>
            <w:r>
              <w:rPr>
                <w:rFonts w:hint="eastAsia" w:ascii="宋体" w:hAnsi="宋体" w:cs="宋体"/>
                <w:color w:val="auto"/>
                <w:sz w:val="21"/>
                <w:szCs w:val="21"/>
                <w:highlight w:val="none"/>
              </w:rPr>
              <w:t>7</w:t>
            </w:r>
          </w:p>
        </w:tc>
        <w:tc>
          <w:tcPr>
            <w:tcW w:w="2280" w:type="dxa"/>
            <w:vAlign w:val="center"/>
          </w:tcPr>
          <w:p w14:paraId="5C8F09F6">
            <w:pPr>
              <w:pStyle w:val="102"/>
              <w:jc w:val="center"/>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定位系统（GPS、</w:t>
            </w:r>
            <w:r>
              <w:rPr>
                <w:rFonts w:hint="eastAsia" w:ascii="宋体" w:hAnsi="宋体" w:cs="宋体"/>
                <w:color w:val="auto"/>
                <w:sz w:val="21"/>
                <w:szCs w:val="21"/>
                <w:highlight w:val="none"/>
              </w:rPr>
              <w:t>GNSS</w:t>
            </w:r>
            <w:r>
              <w:rPr>
                <w:rFonts w:hint="eastAsia" w:ascii="宋体" w:hAnsi="宋体" w:cs="宋体"/>
                <w:color w:val="auto"/>
                <w:sz w:val="21"/>
                <w:szCs w:val="21"/>
                <w:highlight w:val="none"/>
                <w:lang w:eastAsia="zh-CN"/>
              </w:rPr>
              <w:t>）</w:t>
            </w:r>
          </w:p>
        </w:tc>
        <w:tc>
          <w:tcPr>
            <w:tcW w:w="1905" w:type="dxa"/>
            <w:vAlign w:val="center"/>
          </w:tcPr>
          <w:p w14:paraId="58354DEF">
            <w:pPr>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自有或</w:t>
            </w:r>
            <w:r>
              <w:rPr>
                <w:rFonts w:hint="eastAsia" w:ascii="宋体" w:hAnsi="宋体" w:cs="宋体"/>
                <w:color w:val="auto"/>
                <w:sz w:val="21"/>
                <w:szCs w:val="21"/>
                <w:highlight w:val="none"/>
                <w:lang w:eastAsia="zh-CN"/>
              </w:rPr>
              <w:t>租赁</w:t>
            </w:r>
          </w:p>
        </w:tc>
        <w:tc>
          <w:tcPr>
            <w:tcW w:w="1042" w:type="dxa"/>
            <w:vAlign w:val="center"/>
          </w:tcPr>
          <w:p w14:paraId="16B5A6F0">
            <w:pPr>
              <w:pStyle w:val="102"/>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台</w:t>
            </w:r>
          </w:p>
        </w:tc>
        <w:tc>
          <w:tcPr>
            <w:tcW w:w="982" w:type="dxa"/>
            <w:vAlign w:val="center"/>
          </w:tcPr>
          <w:p w14:paraId="1501A463">
            <w:pPr>
              <w:pStyle w:val="102"/>
              <w:jc w:val="center"/>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1</w:t>
            </w:r>
          </w:p>
        </w:tc>
        <w:tc>
          <w:tcPr>
            <w:tcW w:w="1331" w:type="dxa"/>
            <w:vAlign w:val="center"/>
          </w:tcPr>
          <w:p w14:paraId="4FAFFAF6">
            <w:pPr>
              <w:pStyle w:val="102"/>
              <w:jc w:val="center"/>
              <w:rPr>
                <w:rFonts w:hint="eastAsia" w:ascii="宋体" w:hAnsi="宋体" w:cs="宋体"/>
                <w:color w:val="auto"/>
                <w:sz w:val="21"/>
                <w:szCs w:val="21"/>
                <w:highlight w:val="none"/>
              </w:rPr>
            </w:pPr>
          </w:p>
        </w:tc>
      </w:tr>
      <w:tr w14:paraId="1026F7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748" w:type="dxa"/>
            <w:shd w:val="clear" w:color="auto" w:fill="auto"/>
            <w:vAlign w:val="center"/>
          </w:tcPr>
          <w:p w14:paraId="53E92486">
            <w:pPr>
              <w:pStyle w:val="102"/>
              <w:jc w:val="center"/>
              <w:rPr>
                <w:rFonts w:hint="eastAsia" w:ascii="宋体" w:hAnsi="宋体" w:eastAsia="宋体" w:cs="宋体"/>
                <w:color w:val="auto"/>
                <w:kern w:val="0"/>
                <w:sz w:val="21"/>
                <w:szCs w:val="21"/>
                <w:highlight w:val="none"/>
                <w:lang w:val="en-US" w:eastAsia="en-US" w:bidi="ar-SA"/>
              </w:rPr>
            </w:pPr>
            <w:r>
              <w:rPr>
                <w:rFonts w:hint="eastAsia" w:ascii="宋体" w:hAnsi="宋体" w:cs="宋体"/>
                <w:color w:val="auto"/>
                <w:sz w:val="21"/>
                <w:szCs w:val="21"/>
                <w:highlight w:val="none"/>
              </w:rPr>
              <w:t>8</w:t>
            </w:r>
          </w:p>
        </w:tc>
        <w:tc>
          <w:tcPr>
            <w:tcW w:w="2280" w:type="dxa"/>
            <w:vAlign w:val="center"/>
          </w:tcPr>
          <w:p w14:paraId="0B1EFFD8">
            <w:pPr>
              <w:pStyle w:val="102"/>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接地电阻测试仪</w:t>
            </w:r>
          </w:p>
        </w:tc>
        <w:tc>
          <w:tcPr>
            <w:tcW w:w="1905" w:type="dxa"/>
            <w:vAlign w:val="center"/>
          </w:tcPr>
          <w:p w14:paraId="43DD23B5">
            <w:pPr>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自有或</w:t>
            </w:r>
            <w:r>
              <w:rPr>
                <w:rFonts w:hint="eastAsia" w:ascii="宋体" w:hAnsi="宋体" w:cs="宋体"/>
                <w:color w:val="auto"/>
                <w:sz w:val="21"/>
                <w:szCs w:val="21"/>
                <w:highlight w:val="none"/>
                <w:lang w:eastAsia="zh-CN"/>
              </w:rPr>
              <w:t>租赁</w:t>
            </w:r>
          </w:p>
        </w:tc>
        <w:tc>
          <w:tcPr>
            <w:tcW w:w="1042" w:type="dxa"/>
            <w:vAlign w:val="center"/>
          </w:tcPr>
          <w:p w14:paraId="2249C97F">
            <w:pPr>
              <w:pStyle w:val="102"/>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台</w:t>
            </w:r>
          </w:p>
        </w:tc>
        <w:tc>
          <w:tcPr>
            <w:tcW w:w="982" w:type="dxa"/>
            <w:vAlign w:val="center"/>
          </w:tcPr>
          <w:p w14:paraId="097198AD">
            <w:pPr>
              <w:pStyle w:val="102"/>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w:t>
            </w:r>
          </w:p>
        </w:tc>
        <w:tc>
          <w:tcPr>
            <w:tcW w:w="1331" w:type="dxa"/>
            <w:vAlign w:val="center"/>
          </w:tcPr>
          <w:p w14:paraId="787B78A9">
            <w:pPr>
              <w:pStyle w:val="102"/>
              <w:jc w:val="center"/>
              <w:rPr>
                <w:rFonts w:hint="eastAsia" w:ascii="宋体" w:hAnsi="宋体" w:cs="宋体"/>
                <w:color w:val="auto"/>
                <w:sz w:val="21"/>
                <w:szCs w:val="21"/>
                <w:highlight w:val="none"/>
              </w:rPr>
            </w:pPr>
          </w:p>
        </w:tc>
      </w:tr>
      <w:tr w14:paraId="55ED84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748" w:type="dxa"/>
            <w:shd w:val="clear" w:color="auto" w:fill="auto"/>
            <w:vAlign w:val="center"/>
          </w:tcPr>
          <w:p w14:paraId="4CA02C14">
            <w:pPr>
              <w:pStyle w:val="102"/>
              <w:jc w:val="center"/>
              <w:rPr>
                <w:rFonts w:hint="eastAsia" w:ascii="宋体" w:hAnsi="宋体" w:eastAsia="宋体" w:cs="宋体"/>
                <w:color w:val="auto"/>
                <w:kern w:val="0"/>
                <w:sz w:val="21"/>
                <w:szCs w:val="21"/>
                <w:highlight w:val="none"/>
                <w:lang w:val="en-US" w:eastAsia="en-US" w:bidi="ar-SA"/>
              </w:rPr>
            </w:pPr>
            <w:r>
              <w:rPr>
                <w:rFonts w:hint="eastAsia" w:ascii="宋体" w:hAnsi="宋体" w:cs="宋体"/>
                <w:color w:val="auto"/>
                <w:sz w:val="21"/>
                <w:szCs w:val="21"/>
                <w:highlight w:val="none"/>
              </w:rPr>
              <w:t>9</w:t>
            </w:r>
          </w:p>
        </w:tc>
        <w:tc>
          <w:tcPr>
            <w:tcW w:w="2280" w:type="dxa"/>
            <w:vAlign w:val="center"/>
          </w:tcPr>
          <w:p w14:paraId="571236E6">
            <w:pPr>
              <w:pStyle w:val="102"/>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绝缘电阻测试仪</w:t>
            </w:r>
          </w:p>
        </w:tc>
        <w:tc>
          <w:tcPr>
            <w:tcW w:w="1905" w:type="dxa"/>
            <w:vAlign w:val="center"/>
          </w:tcPr>
          <w:p w14:paraId="782E202A">
            <w:pPr>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自有或</w:t>
            </w:r>
            <w:r>
              <w:rPr>
                <w:rFonts w:hint="eastAsia" w:ascii="宋体" w:hAnsi="宋体" w:cs="宋体"/>
                <w:color w:val="auto"/>
                <w:sz w:val="21"/>
                <w:szCs w:val="21"/>
                <w:highlight w:val="none"/>
                <w:lang w:eastAsia="zh-CN"/>
              </w:rPr>
              <w:t>租赁</w:t>
            </w:r>
          </w:p>
        </w:tc>
        <w:tc>
          <w:tcPr>
            <w:tcW w:w="1042" w:type="dxa"/>
            <w:vAlign w:val="center"/>
          </w:tcPr>
          <w:p w14:paraId="3FDB3873">
            <w:pPr>
              <w:pStyle w:val="102"/>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台</w:t>
            </w:r>
          </w:p>
        </w:tc>
        <w:tc>
          <w:tcPr>
            <w:tcW w:w="982" w:type="dxa"/>
            <w:vAlign w:val="center"/>
          </w:tcPr>
          <w:p w14:paraId="26761C72">
            <w:pPr>
              <w:pStyle w:val="102"/>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w:t>
            </w:r>
          </w:p>
        </w:tc>
        <w:tc>
          <w:tcPr>
            <w:tcW w:w="1331" w:type="dxa"/>
            <w:vAlign w:val="center"/>
          </w:tcPr>
          <w:p w14:paraId="020C566D">
            <w:pPr>
              <w:pStyle w:val="102"/>
              <w:jc w:val="center"/>
              <w:rPr>
                <w:rFonts w:hint="eastAsia" w:ascii="宋体" w:hAnsi="宋体" w:cs="宋体"/>
                <w:color w:val="auto"/>
                <w:sz w:val="21"/>
                <w:szCs w:val="21"/>
                <w:highlight w:val="none"/>
              </w:rPr>
            </w:pPr>
          </w:p>
        </w:tc>
      </w:tr>
      <w:tr w14:paraId="490D93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748" w:type="dxa"/>
            <w:shd w:val="clear" w:color="auto" w:fill="auto"/>
            <w:vAlign w:val="center"/>
          </w:tcPr>
          <w:p w14:paraId="34498E45">
            <w:pPr>
              <w:pStyle w:val="102"/>
              <w:jc w:val="center"/>
              <w:rPr>
                <w:rFonts w:hint="eastAsia" w:ascii="宋体" w:hAnsi="宋体" w:eastAsia="宋体" w:cs="宋体"/>
                <w:color w:val="auto"/>
                <w:kern w:val="0"/>
                <w:sz w:val="21"/>
                <w:szCs w:val="21"/>
                <w:highlight w:val="none"/>
                <w:lang w:val="en-US" w:eastAsia="zh-CN" w:bidi="zh-CN"/>
              </w:rPr>
            </w:pPr>
            <w:r>
              <w:rPr>
                <w:rFonts w:hint="eastAsia" w:ascii="宋体" w:hAnsi="宋体" w:cs="宋体"/>
                <w:color w:val="auto"/>
                <w:sz w:val="21"/>
                <w:szCs w:val="21"/>
                <w:highlight w:val="none"/>
              </w:rPr>
              <w:t>10</w:t>
            </w:r>
          </w:p>
        </w:tc>
        <w:tc>
          <w:tcPr>
            <w:tcW w:w="2280" w:type="dxa"/>
            <w:vAlign w:val="center"/>
          </w:tcPr>
          <w:p w14:paraId="115E92CE">
            <w:pPr>
              <w:pStyle w:val="102"/>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数字万用表</w:t>
            </w:r>
          </w:p>
        </w:tc>
        <w:tc>
          <w:tcPr>
            <w:tcW w:w="1905" w:type="dxa"/>
            <w:vAlign w:val="center"/>
          </w:tcPr>
          <w:p w14:paraId="4CDD7A09">
            <w:pPr>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自有或</w:t>
            </w:r>
            <w:r>
              <w:rPr>
                <w:rFonts w:hint="eastAsia" w:ascii="宋体" w:hAnsi="宋体" w:cs="宋体"/>
                <w:color w:val="auto"/>
                <w:sz w:val="21"/>
                <w:szCs w:val="21"/>
                <w:highlight w:val="none"/>
                <w:lang w:eastAsia="zh-CN"/>
              </w:rPr>
              <w:t>租赁</w:t>
            </w:r>
          </w:p>
        </w:tc>
        <w:tc>
          <w:tcPr>
            <w:tcW w:w="1042" w:type="dxa"/>
            <w:vAlign w:val="center"/>
          </w:tcPr>
          <w:p w14:paraId="74398B00">
            <w:pPr>
              <w:pStyle w:val="102"/>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台</w:t>
            </w:r>
          </w:p>
        </w:tc>
        <w:tc>
          <w:tcPr>
            <w:tcW w:w="982" w:type="dxa"/>
            <w:vAlign w:val="center"/>
          </w:tcPr>
          <w:p w14:paraId="7DD17D6E">
            <w:pPr>
              <w:pStyle w:val="102"/>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w:t>
            </w:r>
          </w:p>
        </w:tc>
        <w:tc>
          <w:tcPr>
            <w:tcW w:w="1331" w:type="dxa"/>
            <w:vAlign w:val="center"/>
          </w:tcPr>
          <w:p w14:paraId="6AFE50C0">
            <w:pPr>
              <w:pStyle w:val="102"/>
              <w:jc w:val="center"/>
              <w:rPr>
                <w:rFonts w:hint="eastAsia" w:ascii="宋体" w:hAnsi="宋体" w:cs="宋体"/>
                <w:color w:val="auto"/>
                <w:sz w:val="21"/>
                <w:szCs w:val="21"/>
                <w:highlight w:val="none"/>
              </w:rPr>
            </w:pPr>
          </w:p>
        </w:tc>
      </w:tr>
      <w:tr w14:paraId="16B1DA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748" w:type="dxa"/>
            <w:vAlign w:val="center"/>
          </w:tcPr>
          <w:p w14:paraId="7DC82464">
            <w:pPr>
              <w:pStyle w:val="102"/>
              <w:jc w:val="center"/>
              <w:rPr>
                <w:rFonts w:hint="default" w:ascii="宋体" w:hAnsi="宋体" w:eastAsia="宋体" w:cs="宋体"/>
                <w:color w:val="auto"/>
                <w:sz w:val="21"/>
                <w:szCs w:val="21"/>
                <w:highlight w:val="none"/>
                <w:lang w:val="en-US" w:eastAsia="zh-CN" w:bidi="zh-CN"/>
              </w:rPr>
            </w:pPr>
            <w:r>
              <w:rPr>
                <w:rFonts w:hint="eastAsia" w:ascii="宋体" w:hAnsi="宋体" w:cs="宋体"/>
                <w:color w:val="auto"/>
                <w:sz w:val="21"/>
                <w:szCs w:val="21"/>
                <w:highlight w:val="none"/>
                <w:lang w:val="en-US" w:eastAsia="zh-CN" w:bidi="zh-CN"/>
              </w:rPr>
              <w:t>11</w:t>
            </w:r>
          </w:p>
        </w:tc>
        <w:tc>
          <w:tcPr>
            <w:tcW w:w="2280" w:type="dxa"/>
            <w:vAlign w:val="center"/>
          </w:tcPr>
          <w:p w14:paraId="71790D66">
            <w:pPr>
              <w:pStyle w:val="102"/>
              <w:jc w:val="center"/>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照度计</w:t>
            </w:r>
          </w:p>
        </w:tc>
        <w:tc>
          <w:tcPr>
            <w:tcW w:w="1905" w:type="dxa"/>
            <w:vAlign w:val="center"/>
          </w:tcPr>
          <w:p w14:paraId="3A351E80">
            <w:pPr>
              <w:jc w:val="center"/>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rPr>
              <w:t>自有或</w:t>
            </w:r>
            <w:r>
              <w:rPr>
                <w:rFonts w:hint="eastAsia" w:ascii="宋体" w:hAnsi="宋体" w:cs="宋体"/>
                <w:color w:val="auto"/>
                <w:sz w:val="21"/>
                <w:szCs w:val="21"/>
                <w:highlight w:val="none"/>
                <w:lang w:eastAsia="zh-CN"/>
              </w:rPr>
              <w:t>租赁</w:t>
            </w:r>
          </w:p>
        </w:tc>
        <w:tc>
          <w:tcPr>
            <w:tcW w:w="1042" w:type="dxa"/>
            <w:vAlign w:val="center"/>
          </w:tcPr>
          <w:p w14:paraId="70034DF5">
            <w:pPr>
              <w:pStyle w:val="102"/>
              <w:jc w:val="center"/>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台</w:t>
            </w:r>
          </w:p>
        </w:tc>
        <w:tc>
          <w:tcPr>
            <w:tcW w:w="982" w:type="dxa"/>
            <w:vAlign w:val="center"/>
          </w:tcPr>
          <w:p w14:paraId="48442BDA">
            <w:pPr>
              <w:pStyle w:val="102"/>
              <w:jc w:val="center"/>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1</w:t>
            </w:r>
          </w:p>
        </w:tc>
        <w:tc>
          <w:tcPr>
            <w:tcW w:w="1331" w:type="dxa"/>
            <w:vAlign w:val="center"/>
          </w:tcPr>
          <w:p w14:paraId="3FA7DF50">
            <w:pPr>
              <w:pStyle w:val="102"/>
              <w:jc w:val="center"/>
              <w:rPr>
                <w:rFonts w:hint="eastAsia" w:ascii="宋体" w:hAnsi="宋体" w:cs="宋体"/>
                <w:color w:val="auto"/>
                <w:sz w:val="21"/>
                <w:szCs w:val="21"/>
                <w:highlight w:val="none"/>
              </w:rPr>
            </w:pPr>
          </w:p>
        </w:tc>
      </w:tr>
      <w:tr w14:paraId="2F59D0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8288" w:type="dxa"/>
            <w:gridSpan w:val="6"/>
            <w:vAlign w:val="center"/>
          </w:tcPr>
          <w:p w14:paraId="04732549">
            <w:pPr>
              <w:pStyle w:val="102"/>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备注：</w:t>
            </w:r>
          </w:p>
          <w:p w14:paraId="723A7D43">
            <w:pPr>
              <w:pStyle w:val="102"/>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1.安全锥筒、标志牌、安全标志服、钢卷尺、手电筒、手锤和凿子、检测软件等工具由投标人自备。</w:t>
            </w:r>
          </w:p>
          <w:p w14:paraId="1A255EEF">
            <w:pPr>
              <w:pStyle w:val="102"/>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2.注明★的仪器设备，在投标文件中须提供购置发票或租赁合同和年检证明或检定/校准证书复印件。其余自有项在投标文件中应提供购买发票复印件并加盖公章，租赁项需有租赁合同复印件且加盖公章。合同实施时中标人应在不少于本表要求前提下，根据质量评定和试验规程的试验检测要求自行配置满足试验检测工作需要相应试验检测仪器设备，费用已考虑在相关质量检测参数报价中，采购人不另支付。</w:t>
            </w:r>
          </w:p>
        </w:tc>
      </w:tr>
    </w:tbl>
    <w:p w14:paraId="79EDDA87">
      <w:pPr>
        <w:pStyle w:val="2"/>
        <w:numPr>
          <w:ilvl w:val="-1"/>
          <w:numId w:val="0"/>
        </w:numPr>
        <w:rPr>
          <w:rFonts w:hint="eastAsia"/>
          <w:color w:val="auto"/>
          <w:highlight w:val="none"/>
        </w:rPr>
      </w:pPr>
    </w:p>
    <w:p w14:paraId="4504C461">
      <w:pPr>
        <w:pStyle w:val="5"/>
        <w:spacing w:before="120" w:after="120" w:line="334" w:lineRule="auto"/>
        <w:rPr>
          <w:color w:val="auto"/>
          <w:highlight w:val="none"/>
        </w:rPr>
      </w:pPr>
      <w:r>
        <w:rPr>
          <w:rFonts w:hint="eastAsia" w:ascii="宋体" w:hAnsi="宋体" w:cs="宋体"/>
          <w:color w:val="auto"/>
          <w:sz w:val="24"/>
          <w:szCs w:val="24"/>
          <w:highlight w:val="none"/>
        </w:rPr>
        <w:t>三、其他要求</w:t>
      </w:r>
    </w:p>
    <w:bookmarkEnd w:id="41"/>
    <w:bookmarkEnd w:id="42"/>
    <w:tbl>
      <w:tblPr>
        <w:tblStyle w:val="47"/>
        <w:tblW w:w="933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85"/>
        <w:gridCol w:w="7452"/>
      </w:tblGrid>
      <w:tr w14:paraId="782934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337" w:type="dxa"/>
            <w:gridSpan w:val="2"/>
            <w:tcBorders>
              <w:top w:val="single" w:color="auto" w:sz="4" w:space="0"/>
              <w:left w:val="single" w:color="auto" w:sz="4" w:space="0"/>
              <w:bottom w:val="single" w:color="auto" w:sz="4" w:space="0"/>
              <w:right w:val="single" w:color="auto" w:sz="4" w:space="0"/>
            </w:tcBorders>
          </w:tcPr>
          <w:p w14:paraId="62EEA47D">
            <w:pPr>
              <w:spacing w:line="360" w:lineRule="auto"/>
              <w:rPr>
                <w:rFonts w:hint="eastAsia" w:ascii="宋体" w:hAnsi="宋体"/>
                <w:b/>
                <w:bCs/>
                <w:color w:val="auto"/>
                <w:szCs w:val="21"/>
                <w:highlight w:val="none"/>
              </w:rPr>
            </w:pPr>
            <w:r>
              <w:rPr>
                <w:rFonts w:hint="eastAsia" w:ascii="宋体" w:hAnsi="宋体"/>
                <w:color w:val="auto"/>
                <w:szCs w:val="21"/>
                <w:highlight w:val="none"/>
              </w:rPr>
              <w:t>▲</w:t>
            </w:r>
            <w:r>
              <w:rPr>
                <w:rFonts w:hint="eastAsia" w:ascii="宋体" w:hAnsi="宋体"/>
                <w:b/>
                <w:color w:val="auto"/>
                <w:szCs w:val="21"/>
                <w:highlight w:val="none"/>
              </w:rPr>
              <w:t>一、商务要求</w:t>
            </w:r>
          </w:p>
        </w:tc>
      </w:tr>
      <w:tr w14:paraId="0E494A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885" w:type="dxa"/>
            <w:tcBorders>
              <w:top w:val="single" w:color="auto" w:sz="4" w:space="0"/>
              <w:left w:val="single" w:color="auto" w:sz="4" w:space="0"/>
              <w:bottom w:val="single" w:color="auto" w:sz="4" w:space="0"/>
              <w:right w:val="single" w:color="auto" w:sz="4" w:space="0"/>
            </w:tcBorders>
            <w:vAlign w:val="center"/>
          </w:tcPr>
          <w:p w14:paraId="5FDAFA01">
            <w:pPr>
              <w:spacing w:line="360" w:lineRule="auto"/>
              <w:rPr>
                <w:rFonts w:hint="eastAsia" w:ascii="宋体" w:hAnsi="宋体"/>
                <w:b/>
                <w:color w:val="auto"/>
                <w:szCs w:val="21"/>
                <w:highlight w:val="none"/>
              </w:rPr>
            </w:pPr>
            <w:r>
              <w:rPr>
                <w:rFonts w:hint="eastAsia" w:ascii="宋体" w:hAnsi="宋体" w:cs="宋体"/>
                <w:color w:val="auto"/>
                <w:szCs w:val="21"/>
                <w:highlight w:val="none"/>
              </w:rPr>
              <w:t>服务期限和地点</w:t>
            </w:r>
          </w:p>
        </w:tc>
        <w:tc>
          <w:tcPr>
            <w:tcW w:w="7452" w:type="dxa"/>
            <w:tcBorders>
              <w:top w:val="single" w:color="auto" w:sz="4" w:space="0"/>
              <w:left w:val="single" w:color="auto" w:sz="4" w:space="0"/>
              <w:bottom w:val="single" w:color="auto" w:sz="4" w:space="0"/>
              <w:right w:val="single" w:color="auto" w:sz="4" w:space="0"/>
            </w:tcBorders>
            <w:vAlign w:val="center"/>
          </w:tcPr>
          <w:p w14:paraId="6EB5E349">
            <w:pPr>
              <w:spacing w:line="360" w:lineRule="auto"/>
              <w:rPr>
                <w:rFonts w:hint="eastAsia" w:ascii="宋体" w:hAnsi="宋体" w:cs="宋体"/>
                <w:color w:val="auto"/>
                <w:szCs w:val="21"/>
                <w:highlight w:val="none"/>
              </w:rPr>
            </w:pPr>
            <w:r>
              <w:rPr>
                <w:rFonts w:hint="eastAsia" w:ascii="宋体" w:hAnsi="宋体"/>
                <w:bCs/>
                <w:color w:val="auto"/>
                <w:szCs w:val="21"/>
                <w:highlight w:val="none"/>
              </w:rPr>
              <w:t>1</w:t>
            </w:r>
            <w:r>
              <w:rPr>
                <w:rFonts w:hint="eastAsia" w:ascii="宋体" w:hAnsi="宋体"/>
                <w:b/>
                <w:color w:val="auto"/>
                <w:szCs w:val="21"/>
                <w:highlight w:val="none"/>
              </w:rPr>
              <w:t>.</w:t>
            </w:r>
            <w:r>
              <w:rPr>
                <w:rFonts w:hint="eastAsia" w:ascii="宋体" w:hAnsi="宋体" w:cs="宋体"/>
                <w:color w:val="auto"/>
                <w:szCs w:val="21"/>
                <w:highlight w:val="none"/>
              </w:rPr>
              <w:t>服务期限：自采购人通知开展工作之日后90个日历日内(不包括公路主管部门、机构通知停工、封路的时间等) 完成本项目约定的各项工作任务，并向采购人提供符合要求的检测报告、针对存在的质量问题提出建议性的处治意见。提交服务成果后的1年内，应对项目范围内的桥梁、隧道的维护管理提供技术咨询服务。</w:t>
            </w:r>
          </w:p>
          <w:p w14:paraId="52DD4913">
            <w:pPr>
              <w:spacing w:line="360" w:lineRule="auto"/>
              <w:rPr>
                <w:rFonts w:hint="eastAsia" w:ascii="宋体" w:hAnsi="宋体"/>
                <w:b/>
                <w:color w:val="auto"/>
                <w:szCs w:val="21"/>
                <w:highlight w:val="none"/>
              </w:rPr>
            </w:pPr>
            <w:r>
              <w:rPr>
                <w:rFonts w:hint="eastAsia" w:ascii="宋体" w:hAnsi="宋体" w:cs="宋体"/>
                <w:color w:val="auto"/>
                <w:szCs w:val="21"/>
                <w:highlight w:val="none"/>
              </w:rPr>
              <w:t>2.服务的地点：广西壮族自治区桂东公路发展中心</w:t>
            </w:r>
            <w:r>
              <w:rPr>
                <w:rFonts w:hint="eastAsia" w:ascii="宋体" w:hAnsi="宋体"/>
                <w:color w:val="auto"/>
                <w:szCs w:val="21"/>
                <w:highlight w:val="none"/>
              </w:rPr>
              <w:t>采购人指定地点，具体地点详见《附件1 检测桥梁、隧道数量表》中的桥梁和隧道所在位置。</w:t>
            </w:r>
          </w:p>
        </w:tc>
      </w:tr>
      <w:tr w14:paraId="7711F6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885" w:type="dxa"/>
            <w:tcBorders>
              <w:top w:val="single" w:color="auto" w:sz="4" w:space="0"/>
              <w:left w:val="single" w:color="auto" w:sz="4" w:space="0"/>
              <w:bottom w:val="single" w:color="auto" w:sz="4" w:space="0"/>
              <w:right w:val="single" w:color="auto" w:sz="4" w:space="0"/>
            </w:tcBorders>
            <w:vAlign w:val="center"/>
          </w:tcPr>
          <w:p w14:paraId="2CCC2497">
            <w:pPr>
              <w:spacing w:line="360" w:lineRule="auto"/>
              <w:rPr>
                <w:rFonts w:hint="eastAsia" w:ascii="宋体" w:hAnsi="宋体"/>
                <w:b/>
                <w:color w:val="auto"/>
                <w:szCs w:val="21"/>
                <w:highlight w:val="none"/>
              </w:rPr>
            </w:pPr>
            <w:r>
              <w:rPr>
                <w:rFonts w:hint="eastAsia" w:ascii="宋体" w:hAnsi="宋体"/>
                <w:color w:val="auto"/>
                <w:szCs w:val="21"/>
                <w:highlight w:val="none"/>
              </w:rPr>
              <w:t>合同签订时间</w:t>
            </w:r>
          </w:p>
        </w:tc>
        <w:tc>
          <w:tcPr>
            <w:tcW w:w="7452" w:type="dxa"/>
            <w:tcBorders>
              <w:top w:val="single" w:color="auto" w:sz="4" w:space="0"/>
              <w:left w:val="single" w:color="auto" w:sz="4" w:space="0"/>
              <w:bottom w:val="single" w:color="auto" w:sz="4" w:space="0"/>
              <w:right w:val="single" w:color="auto" w:sz="4" w:space="0"/>
            </w:tcBorders>
            <w:vAlign w:val="center"/>
          </w:tcPr>
          <w:p w14:paraId="2EA47B11">
            <w:pPr>
              <w:spacing w:line="360" w:lineRule="auto"/>
              <w:rPr>
                <w:rFonts w:hint="eastAsia" w:ascii="宋体" w:hAnsi="宋体"/>
                <w:b/>
                <w:color w:val="auto"/>
                <w:szCs w:val="21"/>
                <w:highlight w:val="none"/>
              </w:rPr>
            </w:pPr>
            <w:r>
              <w:rPr>
                <w:rFonts w:hint="eastAsia" w:ascii="宋体" w:hAnsi="宋体"/>
                <w:color w:val="auto"/>
                <w:szCs w:val="21"/>
                <w:highlight w:val="none"/>
              </w:rPr>
              <w:t>自中标通知书发出之日起</w:t>
            </w:r>
            <w:r>
              <w:rPr>
                <w:rFonts w:ascii="宋体" w:hAnsi="宋体"/>
                <w:color w:val="auto"/>
                <w:szCs w:val="21"/>
                <w:highlight w:val="none"/>
              </w:rPr>
              <w:t xml:space="preserve"> </w:t>
            </w:r>
            <w:r>
              <w:rPr>
                <w:rFonts w:hint="eastAsia" w:ascii="宋体" w:hAnsi="宋体"/>
                <w:color w:val="auto"/>
                <w:szCs w:val="21"/>
                <w:highlight w:val="none"/>
                <w:u w:val="single"/>
              </w:rPr>
              <w:t>25</w:t>
            </w:r>
            <w:r>
              <w:rPr>
                <w:rFonts w:hint="eastAsia" w:ascii="宋体" w:hAnsi="宋体"/>
                <w:color w:val="auto"/>
                <w:szCs w:val="21"/>
                <w:highlight w:val="none"/>
              </w:rPr>
              <w:t>日内</w:t>
            </w:r>
          </w:p>
        </w:tc>
      </w:tr>
      <w:tr w14:paraId="6918B8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885" w:type="dxa"/>
            <w:tcBorders>
              <w:top w:val="single" w:color="auto" w:sz="4" w:space="0"/>
              <w:left w:val="single" w:color="auto" w:sz="4" w:space="0"/>
              <w:bottom w:val="single" w:color="auto" w:sz="4" w:space="0"/>
              <w:right w:val="single" w:color="auto" w:sz="4" w:space="0"/>
            </w:tcBorders>
            <w:vAlign w:val="center"/>
          </w:tcPr>
          <w:p w14:paraId="071FA148">
            <w:pPr>
              <w:spacing w:line="360" w:lineRule="auto"/>
              <w:rPr>
                <w:rFonts w:hint="eastAsia" w:ascii="宋体" w:hAnsi="宋体"/>
                <w:color w:val="auto"/>
                <w:szCs w:val="21"/>
                <w:highlight w:val="none"/>
              </w:rPr>
            </w:pPr>
            <w:r>
              <w:rPr>
                <w:rFonts w:hint="eastAsia" w:ascii="宋体" w:hAnsi="宋体"/>
                <w:color w:val="auto"/>
                <w:szCs w:val="21"/>
                <w:highlight w:val="none"/>
              </w:rPr>
              <w:t>投标报价</w:t>
            </w:r>
          </w:p>
        </w:tc>
        <w:tc>
          <w:tcPr>
            <w:tcW w:w="7452" w:type="dxa"/>
            <w:tcBorders>
              <w:top w:val="single" w:color="auto" w:sz="4" w:space="0"/>
              <w:left w:val="single" w:color="auto" w:sz="4" w:space="0"/>
              <w:bottom w:val="single" w:color="auto" w:sz="4" w:space="0"/>
              <w:right w:val="single" w:color="auto" w:sz="4" w:space="0"/>
            </w:tcBorders>
            <w:vAlign w:val="center"/>
          </w:tcPr>
          <w:p w14:paraId="637B0006">
            <w:pPr>
              <w:spacing w:line="360" w:lineRule="auto"/>
              <w:rPr>
                <w:rFonts w:hint="eastAsia" w:ascii="宋体" w:hAnsi="宋体"/>
                <w:color w:val="auto"/>
                <w:szCs w:val="21"/>
                <w:highlight w:val="none"/>
              </w:rPr>
            </w:pPr>
            <w:r>
              <w:rPr>
                <w:rFonts w:hint="eastAsia" w:ascii="宋体" w:hAnsi="宋体"/>
                <w:color w:val="auto"/>
                <w:szCs w:val="21"/>
                <w:highlight w:val="none"/>
              </w:rPr>
              <w:t>投标报价总费用包含国家和地方政府规定缴纳的增值税、</w:t>
            </w:r>
            <w:r>
              <w:rPr>
                <w:rFonts w:hint="eastAsia" w:ascii="宋体" w:hAnsi="宋体"/>
                <w:color w:val="auto"/>
                <w:szCs w:val="21"/>
                <w:highlight w:val="none"/>
                <w:lang w:eastAsia="zh-CN"/>
              </w:rPr>
              <w:t>城市维护建设税</w:t>
            </w:r>
            <w:r>
              <w:rPr>
                <w:rFonts w:hint="eastAsia" w:ascii="宋体" w:hAnsi="宋体"/>
                <w:color w:val="auto"/>
                <w:szCs w:val="21"/>
                <w:highlight w:val="none"/>
              </w:rPr>
              <w:t>、教育费附加、地方教育费附加、保险金、材料、人工、机械、安全设施、检测车辆通行等一切与本项目有关的全部税款和费用。</w:t>
            </w:r>
          </w:p>
          <w:p w14:paraId="00BCE137">
            <w:pPr>
              <w:spacing w:line="360" w:lineRule="auto"/>
              <w:rPr>
                <w:rFonts w:hint="eastAsia" w:ascii="宋体" w:hAnsi="宋体"/>
                <w:color w:val="auto"/>
                <w:szCs w:val="21"/>
                <w:highlight w:val="none"/>
              </w:rPr>
            </w:pPr>
            <w:r>
              <w:rPr>
                <w:rFonts w:hint="eastAsia" w:ascii="宋体" w:hAnsi="宋体"/>
                <w:color w:val="auto"/>
                <w:szCs w:val="21"/>
                <w:highlight w:val="none"/>
              </w:rPr>
              <w:t>投标(合同)报价清单中所列的检测数量为完成该项目检测工作内容的最低要求；若采购人要求增加检测数量或检测项目，增加数量的费用按投标(合同)报价清单中的相应项目单价或参照广西壮族自治区物价局桂价费〔2008〕117号文件相关条款(增加检测项目时)进行计价结算。</w:t>
            </w:r>
          </w:p>
          <w:p w14:paraId="4D57FB41">
            <w:pPr>
              <w:pStyle w:val="2"/>
              <w:rPr>
                <w:rFonts w:hint="eastAsia"/>
                <w:color w:val="auto"/>
                <w:highlight w:val="none"/>
              </w:rPr>
            </w:pPr>
          </w:p>
        </w:tc>
      </w:tr>
      <w:tr w14:paraId="228E76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885" w:type="dxa"/>
            <w:tcBorders>
              <w:top w:val="single" w:color="auto" w:sz="4" w:space="0"/>
              <w:left w:val="single" w:color="auto" w:sz="4" w:space="0"/>
              <w:bottom w:val="single" w:color="auto" w:sz="4" w:space="0"/>
              <w:right w:val="single" w:color="auto" w:sz="4" w:space="0"/>
            </w:tcBorders>
            <w:vAlign w:val="center"/>
          </w:tcPr>
          <w:p w14:paraId="745F3F5D">
            <w:pPr>
              <w:spacing w:line="360" w:lineRule="auto"/>
              <w:rPr>
                <w:rFonts w:hint="eastAsia" w:ascii="宋体" w:hAnsi="宋体"/>
                <w:b/>
                <w:color w:val="auto"/>
                <w:szCs w:val="21"/>
                <w:highlight w:val="none"/>
              </w:rPr>
            </w:pPr>
            <w:r>
              <w:rPr>
                <w:rFonts w:hint="eastAsia" w:ascii="宋体" w:hAnsi="宋体"/>
                <w:color w:val="auto"/>
                <w:szCs w:val="21"/>
                <w:highlight w:val="none"/>
              </w:rPr>
              <w:t>付款条件（进度和方式）</w:t>
            </w:r>
          </w:p>
        </w:tc>
        <w:tc>
          <w:tcPr>
            <w:tcW w:w="7452" w:type="dxa"/>
            <w:tcBorders>
              <w:top w:val="single" w:color="auto" w:sz="4" w:space="0"/>
              <w:left w:val="single" w:color="auto" w:sz="4" w:space="0"/>
              <w:bottom w:val="single" w:color="auto" w:sz="4" w:space="0"/>
              <w:right w:val="single" w:color="auto" w:sz="4" w:space="0"/>
            </w:tcBorders>
            <w:vAlign w:val="center"/>
          </w:tcPr>
          <w:p w14:paraId="050EB8FE">
            <w:pPr>
              <w:spacing w:line="360" w:lineRule="auto"/>
              <w:ind w:firstLine="0" w:firstLineChars="0"/>
              <w:rPr>
                <w:rFonts w:hint="eastAsia" w:ascii="宋体" w:hAnsi="宋体"/>
                <w:color w:val="auto"/>
                <w:szCs w:val="21"/>
                <w:highlight w:val="none"/>
              </w:rPr>
            </w:pPr>
            <w:r>
              <w:rPr>
                <w:rFonts w:hint="eastAsia" w:ascii="宋体" w:hAnsi="宋体"/>
                <w:color w:val="auto"/>
                <w:szCs w:val="21"/>
                <w:highlight w:val="none"/>
              </w:rPr>
              <w:t>中标人进行外业检测工作之日起 5 日内，采购人向中标人支付检测工作总费用的50%作为现场检测周转经费；中标人按合同约定完成检测工作并向采购人提交合格的检测成果资料及完税发票之日起7日内，采购人向中标人一次性付清剩余检测费。</w:t>
            </w:r>
          </w:p>
          <w:p w14:paraId="20DB9276">
            <w:pPr>
              <w:spacing w:line="360" w:lineRule="auto"/>
              <w:ind w:firstLine="420" w:firstLineChars="200"/>
              <w:rPr>
                <w:rFonts w:hint="eastAsia" w:ascii="宋体" w:hAnsi="宋体"/>
                <w:color w:val="auto"/>
                <w:kern w:val="0"/>
                <w:szCs w:val="30"/>
                <w:highlight w:val="none"/>
              </w:rPr>
            </w:pPr>
            <w:r>
              <w:rPr>
                <w:rFonts w:hint="eastAsia" w:ascii="宋体" w:hAnsi="宋体"/>
                <w:color w:val="auto"/>
                <w:szCs w:val="21"/>
                <w:highlight w:val="none"/>
              </w:rPr>
              <w:t>以上支付前</w:t>
            </w:r>
            <w:r>
              <w:rPr>
                <w:rFonts w:hint="eastAsia" w:ascii="宋体" w:hAnsi="宋体" w:cs="宋体"/>
                <w:color w:val="auto"/>
                <w:szCs w:val="21"/>
                <w:highlight w:val="none"/>
              </w:rPr>
              <w:t>中标人</w:t>
            </w:r>
            <w:r>
              <w:rPr>
                <w:rFonts w:hint="eastAsia" w:ascii="宋体" w:hAnsi="宋体"/>
                <w:color w:val="auto"/>
                <w:szCs w:val="21"/>
                <w:highlight w:val="none"/>
              </w:rPr>
              <w:t>须提供等额的税务发票，否则</w:t>
            </w:r>
            <w:r>
              <w:rPr>
                <w:rFonts w:hint="eastAsia" w:ascii="宋体" w:hAnsi="宋体" w:cs="宋体"/>
                <w:color w:val="auto"/>
                <w:szCs w:val="21"/>
                <w:highlight w:val="none"/>
              </w:rPr>
              <w:t>采购人</w:t>
            </w:r>
            <w:r>
              <w:rPr>
                <w:rFonts w:hint="eastAsia" w:ascii="宋体" w:hAnsi="宋体"/>
                <w:color w:val="auto"/>
                <w:szCs w:val="21"/>
                <w:highlight w:val="none"/>
              </w:rPr>
              <w:t>有权不进行支付。</w:t>
            </w:r>
          </w:p>
        </w:tc>
      </w:tr>
      <w:tr w14:paraId="526E6D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337" w:type="dxa"/>
            <w:gridSpan w:val="2"/>
            <w:tcBorders>
              <w:top w:val="single" w:color="auto" w:sz="4" w:space="0"/>
              <w:left w:val="single" w:color="auto" w:sz="4" w:space="0"/>
              <w:bottom w:val="single" w:color="auto" w:sz="4" w:space="0"/>
              <w:right w:val="single" w:color="auto" w:sz="4" w:space="0"/>
            </w:tcBorders>
            <w:vAlign w:val="center"/>
          </w:tcPr>
          <w:p w14:paraId="4E634C2E">
            <w:pPr>
              <w:spacing w:line="360" w:lineRule="auto"/>
              <w:rPr>
                <w:rFonts w:hint="eastAsia" w:ascii="宋体" w:hAnsi="宋体"/>
                <w:b/>
                <w:color w:val="auto"/>
                <w:szCs w:val="21"/>
                <w:highlight w:val="none"/>
              </w:rPr>
            </w:pPr>
            <w:r>
              <w:rPr>
                <w:rFonts w:hint="eastAsia" w:ascii="宋体" w:hAnsi="宋体"/>
                <w:b/>
                <w:bCs/>
                <w:color w:val="auto"/>
                <w:szCs w:val="21"/>
                <w:highlight w:val="none"/>
              </w:rPr>
              <w:t>二、与实现项目目标相关的其他要求</w:t>
            </w:r>
          </w:p>
        </w:tc>
      </w:tr>
      <w:tr w14:paraId="1A03BD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337" w:type="dxa"/>
            <w:gridSpan w:val="2"/>
            <w:tcBorders>
              <w:top w:val="single" w:color="auto" w:sz="4" w:space="0"/>
              <w:left w:val="single" w:color="auto" w:sz="4" w:space="0"/>
              <w:bottom w:val="single" w:color="auto" w:sz="4" w:space="0"/>
              <w:right w:val="single" w:color="auto" w:sz="4" w:space="0"/>
            </w:tcBorders>
            <w:vAlign w:val="center"/>
          </w:tcPr>
          <w:p w14:paraId="716064B1">
            <w:pPr>
              <w:tabs>
                <w:tab w:val="left" w:pos="180"/>
                <w:tab w:val="left" w:pos="1620"/>
              </w:tabs>
              <w:spacing w:line="360" w:lineRule="auto"/>
              <w:rPr>
                <w:rFonts w:hint="eastAsia" w:ascii="宋体" w:hAnsi="宋体" w:cs="宋体"/>
                <w:bCs/>
                <w:color w:val="auto"/>
                <w:szCs w:val="21"/>
                <w:highlight w:val="none"/>
              </w:rPr>
            </w:pPr>
            <w:r>
              <w:rPr>
                <w:rFonts w:hint="eastAsia" w:ascii="宋体" w:hAnsi="宋体"/>
                <w:b/>
                <w:color w:val="auto"/>
                <w:szCs w:val="21"/>
                <w:highlight w:val="none"/>
              </w:rPr>
              <w:t>（一）验收标准</w:t>
            </w:r>
          </w:p>
        </w:tc>
      </w:tr>
      <w:tr w14:paraId="157231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337" w:type="dxa"/>
            <w:gridSpan w:val="2"/>
            <w:tcBorders>
              <w:top w:val="single" w:color="auto" w:sz="4" w:space="0"/>
              <w:left w:val="single" w:color="auto" w:sz="4" w:space="0"/>
              <w:bottom w:val="single" w:color="auto" w:sz="4" w:space="0"/>
              <w:right w:val="single" w:color="auto" w:sz="4" w:space="0"/>
            </w:tcBorders>
            <w:vAlign w:val="center"/>
          </w:tcPr>
          <w:p w14:paraId="1C842AFF">
            <w:pPr>
              <w:tabs>
                <w:tab w:val="left" w:pos="180"/>
                <w:tab w:val="left" w:pos="1620"/>
              </w:tabs>
              <w:spacing w:line="360" w:lineRule="auto"/>
              <w:rPr>
                <w:rFonts w:hint="eastAsia" w:ascii="宋体" w:hAnsi="宋体"/>
                <w:color w:val="auto"/>
                <w:szCs w:val="21"/>
                <w:highlight w:val="none"/>
              </w:rPr>
            </w:pPr>
            <w:r>
              <w:rPr>
                <w:rFonts w:hint="eastAsia" w:ascii="宋体" w:hAnsi="宋体" w:cs="宋体"/>
                <w:bCs/>
                <w:color w:val="auto"/>
                <w:szCs w:val="21"/>
                <w:highlight w:val="none"/>
              </w:rPr>
              <w:t>全面、真实反映本项目约定检测的桥梁、隧道的实际工作状态，判断桥梁、隧道的整体结构的安全稳定性，依据检测情况作出科学评定及建议意见。按</w:t>
            </w:r>
            <w:r>
              <w:rPr>
                <w:rFonts w:hint="eastAsia" w:ascii="宋体" w:hAnsi="宋体" w:cs="宋体"/>
                <w:bCs/>
                <w:color w:val="auto"/>
                <w:szCs w:val="21"/>
                <w:highlight w:val="none"/>
                <w:lang w:eastAsia="zh-CN"/>
              </w:rPr>
              <w:t>交通运输部</w:t>
            </w:r>
            <w:r>
              <w:rPr>
                <w:rFonts w:hint="eastAsia" w:ascii="宋体" w:hAnsi="宋体" w:cs="宋体"/>
                <w:bCs/>
                <w:color w:val="auto"/>
                <w:szCs w:val="21"/>
                <w:highlight w:val="none"/>
              </w:rPr>
              <w:t>现行的相关技术规范、标准及试验规程等进行检测、计算和评定，并确保检测工作不对桥梁、隧道的结构安全产生损伤。符合现行国家相关标准、行业标准、地方标准或者其他标准、规范。</w:t>
            </w:r>
          </w:p>
        </w:tc>
      </w:tr>
      <w:tr w14:paraId="0734F6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337" w:type="dxa"/>
            <w:gridSpan w:val="2"/>
            <w:tcBorders>
              <w:top w:val="single" w:color="auto" w:sz="4" w:space="0"/>
              <w:left w:val="single" w:color="auto" w:sz="4" w:space="0"/>
              <w:bottom w:val="single" w:color="auto" w:sz="4" w:space="0"/>
              <w:right w:val="single" w:color="auto" w:sz="4" w:space="0"/>
            </w:tcBorders>
            <w:vAlign w:val="center"/>
          </w:tcPr>
          <w:p w14:paraId="58DF3D06">
            <w:pPr>
              <w:spacing w:line="360" w:lineRule="auto"/>
              <w:rPr>
                <w:rFonts w:hint="eastAsia" w:ascii="宋体" w:hAnsi="宋体"/>
                <w:color w:val="auto"/>
                <w:szCs w:val="21"/>
                <w:highlight w:val="none"/>
              </w:rPr>
            </w:pPr>
            <w:r>
              <w:rPr>
                <w:rFonts w:hint="eastAsia" w:ascii="宋体" w:hAnsi="宋体"/>
                <w:b/>
                <w:color w:val="auto"/>
                <w:szCs w:val="21"/>
                <w:highlight w:val="none"/>
              </w:rPr>
              <w:t>（二）其他要求</w:t>
            </w:r>
          </w:p>
        </w:tc>
      </w:tr>
      <w:tr w14:paraId="3305B8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6" w:hRule="atLeast"/>
          <w:jc w:val="center"/>
        </w:trPr>
        <w:tc>
          <w:tcPr>
            <w:tcW w:w="9337" w:type="dxa"/>
            <w:gridSpan w:val="2"/>
            <w:tcBorders>
              <w:top w:val="single" w:color="auto" w:sz="4" w:space="0"/>
              <w:left w:val="single" w:color="auto" w:sz="4" w:space="0"/>
              <w:bottom w:val="single" w:color="auto" w:sz="4" w:space="0"/>
              <w:right w:val="single" w:color="auto" w:sz="4" w:space="0"/>
            </w:tcBorders>
            <w:vAlign w:val="center"/>
          </w:tcPr>
          <w:p w14:paraId="15EFFE91">
            <w:pPr>
              <w:spacing w:line="360" w:lineRule="auto"/>
              <w:rPr>
                <w:rFonts w:hint="eastAsia" w:ascii="宋体" w:hAnsi="宋体"/>
                <w:color w:val="auto"/>
                <w:szCs w:val="21"/>
                <w:highlight w:val="none"/>
              </w:rPr>
            </w:pPr>
            <w:r>
              <w:rPr>
                <w:rFonts w:hint="eastAsia" w:ascii="宋体" w:hAnsi="宋体"/>
                <w:color w:val="auto"/>
                <w:szCs w:val="21"/>
                <w:highlight w:val="none"/>
              </w:rPr>
              <w:t>投标人可根据本项目采购需求及评标标准提供项目检测工作大纲、检测质量管理及控制方案、桥梁隧道定期检测实施方案、服务承诺方案。</w:t>
            </w:r>
          </w:p>
        </w:tc>
      </w:tr>
      <w:tr w14:paraId="31A332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337" w:type="dxa"/>
            <w:gridSpan w:val="2"/>
            <w:tcBorders>
              <w:top w:val="single" w:color="auto" w:sz="4" w:space="0"/>
              <w:left w:val="single" w:color="auto" w:sz="4" w:space="0"/>
              <w:bottom w:val="single" w:color="auto" w:sz="4" w:space="0"/>
              <w:right w:val="single" w:color="auto" w:sz="4" w:space="0"/>
            </w:tcBorders>
            <w:vAlign w:val="center"/>
          </w:tcPr>
          <w:p w14:paraId="7D86A635">
            <w:pPr>
              <w:spacing w:line="360" w:lineRule="auto"/>
              <w:rPr>
                <w:rFonts w:hint="eastAsia" w:ascii="宋体" w:hAnsi="宋体"/>
                <w:color w:val="auto"/>
                <w:szCs w:val="21"/>
                <w:highlight w:val="none"/>
              </w:rPr>
            </w:pPr>
            <w:r>
              <w:rPr>
                <w:rFonts w:hint="eastAsia" w:ascii="宋体" w:hAnsi="宋体"/>
                <w:b/>
                <w:bCs/>
                <w:color w:val="auto"/>
                <w:szCs w:val="21"/>
                <w:highlight w:val="none"/>
              </w:rPr>
              <w:t>三、核心产品说明</w:t>
            </w:r>
          </w:p>
        </w:tc>
      </w:tr>
      <w:tr w14:paraId="5AE9B6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337" w:type="dxa"/>
            <w:gridSpan w:val="2"/>
            <w:tcBorders>
              <w:top w:val="single" w:color="auto" w:sz="4" w:space="0"/>
              <w:left w:val="single" w:color="auto" w:sz="4" w:space="0"/>
              <w:bottom w:val="single" w:color="auto" w:sz="4" w:space="0"/>
              <w:right w:val="single" w:color="auto" w:sz="4" w:space="0"/>
            </w:tcBorders>
            <w:vAlign w:val="center"/>
          </w:tcPr>
          <w:p w14:paraId="5CC3B453">
            <w:pPr>
              <w:spacing w:line="360" w:lineRule="auto"/>
              <w:rPr>
                <w:rFonts w:hint="eastAsia" w:ascii="宋体" w:hAnsi="宋体"/>
                <w:color w:val="auto"/>
                <w:szCs w:val="21"/>
                <w:highlight w:val="none"/>
              </w:rPr>
            </w:pPr>
            <w:r>
              <w:rPr>
                <w:rFonts w:hint="eastAsia" w:ascii="宋体" w:hAnsi="宋体"/>
                <w:color w:val="auto"/>
                <w:szCs w:val="21"/>
                <w:highlight w:val="none"/>
              </w:rPr>
              <w:t>本项目属于服务类项目，无核心产品。</w:t>
            </w:r>
          </w:p>
        </w:tc>
      </w:tr>
    </w:tbl>
    <w:p w14:paraId="5303CC97">
      <w:pPr>
        <w:rPr>
          <w:rFonts w:hint="eastAsia" w:ascii="黑体" w:hAnsi="黑体" w:eastAsia="黑体" w:cs="黑体"/>
          <w:color w:val="auto"/>
          <w:sz w:val="32"/>
          <w:szCs w:val="32"/>
          <w:highlight w:val="none"/>
        </w:rPr>
        <w:sectPr>
          <w:headerReference r:id="rId3" w:type="first"/>
          <w:footerReference r:id="rId5" w:type="first"/>
          <w:footerReference r:id="rId4" w:type="default"/>
          <w:pgSz w:w="11910" w:h="16840"/>
          <w:pgMar w:top="1520" w:right="1500" w:bottom="280" w:left="1680" w:header="720" w:footer="720" w:gutter="0"/>
          <w:pgNumType w:start="0"/>
          <w:cols w:space="720" w:num="1"/>
          <w:titlePg/>
          <w:docGrid w:linePitch="286" w:charSpace="0"/>
        </w:sectPr>
      </w:pPr>
    </w:p>
    <w:p w14:paraId="53CC992B">
      <w:pPr>
        <w:pStyle w:val="5"/>
        <w:spacing w:before="0" w:after="0" w:line="360" w:lineRule="auto"/>
        <w:jc w:val="left"/>
        <w:rPr>
          <w:rFonts w:hint="eastAsia" w:ascii="宋体" w:hAnsi="宋体" w:cs="宋体"/>
          <w:color w:val="auto"/>
          <w:sz w:val="24"/>
          <w:szCs w:val="24"/>
          <w:highlight w:val="none"/>
        </w:rPr>
      </w:pPr>
      <w:bookmarkStart w:id="44" w:name="_Toc13518"/>
      <w:r>
        <w:rPr>
          <w:rFonts w:hint="eastAsia" w:ascii="宋体" w:hAnsi="宋体" w:cs="宋体"/>
          <w:color w:val="auto"/>
          <w:sz w:val="24"/>
          <w:szCs w:val="24"/>
          <w:highlight w:val="none"/>
        </w:rPr>
        <w:t>附件1 检测桥梁、隧道数量表</w:t>
      </w:r>
      <w:bookmarkEnd w:id="44"/>
    </w:p>
    <w:p w14:paraId="50F9F66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3"/>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附表1  2026年桥梁外观检查及技术状况评定、桥梁结构荷载验算和通行评价、编制定检桥梁科学决策报告一览表</w:t>
      </w:r>
    </w:p>
    <w:tbl>
      <w:tblPr>
        <w:tblStyle w:val="47"/>
        <w:tblW w:w="499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88"/>
        <w:gridCol w:w="2664"/>
        <w:gridCol w:w="1619"/>
        <w:gridCol w:w="1240"/>
        <w:gridCol w:w="1490"/>
        <w:gridCol w:w="1237"/>
        <w:gridCol w:w="1476"/>
        <w:gridCol w:w="1476"/>
        <w:gridCol w:w="2253"/>
      </w:tblGrid>
      <w:tr w14:paraId="4D8F2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blHeader/>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0B4B96AA">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序号</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73822C7C">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桥梁名称</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6060BAC7">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中心桩号</w:t>
            </w:r>
            <w:r>
              <w:rPr>
                <w:rFonts w:hint="default" w:ascii="Times New Roman" w:hAnsi="Times New Roman" w:eastAsia="宋体" w:cs="Times New Roman"/>
                <w:b/>
                <w:bCs/>
                <w:i w:val="0"/>
                <w:iCs w:val="0"/>
                <w:color w:val="auto"/>
                <w:kern w:val="0"/>
                <w:sz w:val="21"/>
                <w:szCs w:val="21"/>
                <w:highlight w:val="none"/>
                <w:u w:val="none"/>
                <w:lang w:val="en-US" w:eastAsia="zh-CN" w:bidi="ar"/>
              </w:rPr>
              <w:br w:type="textWrapping"/>
            </w:r>
            <w:r>
              <w:rPr>
                <w:rFonts w:hint="default" w:ascii="Times New Roman" w:hAnsi="Times New Roman" w:eastAsia="宋体" w:cs="Times New Roman"/>
                <w:b/>
                <w:bCs/>
                <w:i w:val="0"/>
                <w:iCs w:val="0"/>
                <w:color w:val="auto"/>
                <w:kern w:val="0"/>
                <w:sz w:val="21"/>
                <w:szCs w:val="21"/>
                <w:highlight w:val="none"/>
                <w:u w:val="none"/>
                <w:lang w:val="en-US" w:eastAsia="zh-CN" w:bidi="ar"/>
              </w:rPr>
              <w:t>(公里)</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4BF22BD2">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桥梁路线</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0EA76A48">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桥梁全长</w:t>
            </w:r>
            <w:r>
              <w:rPr>
                <w:rFonts w:hint="default" w:ascii="Times New Roman" w:hAnsi="Times New Roman" w:eastAsia="宋体" w:cs="Times New Roman"/>
                <w:b/>
                <w:bCs/>
                <w:i w:val="0"/>
                <w:iCs w:val="0"/>
                <w:color w:val="auto"/>
                <w:kern w:val="0"/>
                <w:sz w:val="21"/>
                <w:szCs w:val="21"/>
                <w:highlight w:val="none"/>
                <w:u w:val="none"/>
                <w:lang w:val="en-US" w:eastAsia="zh-CN" w:bidi="ar"/>
              </w:rPr>
              <w:br w:type="textWrapping"/>
            </w:r>
            <w:r>
              <w:rPr>
                <w:rFonts w:hint="default" w:ascii="Times New Roman" w:hAnsi="Times New Roman" w:eastAsia="宋体" w:cs="Times New Roman"/>
                <w:b/>
                <w:bCs/>
                <w:i w:val="0"/>
                <w:iCs w:val="0"/>
                <w:color w:val="auto"/>
                <w:kern w:val="0"/>
                <w:sz w:val="21"/>
                <w:szCs w:val="21"/>
                <w:highlight w:val="none"/>
                <w:u w:val="none"/>
                <w:lang w:val="en-US" w:eastAsia="zh-CN" w:bidi="ar"/>
              </w:rPr>
              <w:t>(米)</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332801EE">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桥梁分类</w:t>
            </w:r>
          </w:p>
        </w:tc>
        <w:tc>
          <w:tcPr>
            <w:tcW w:w="507" w:type="pct"/>
            <w:tcBorders>
              <w:top w:val="single" w:color="000000" w:sz="4" w:space="0"/>
              <w:left w:val="single" w:color="000000" w:sz="4" w:space="0"/>
              <w:bottom w:val="nil"/>
              <w:right w:val="single" w:color="000000" w:sz="4" w:space="0"/>
            </w:tcBorders>
            <w:noWrap w:val="0"/>
            <w:vAlign w:val="center"/>
          </w:tcPr>
          <w:p w14:paraId="740CC308">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结构类型</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76C145FC">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设计荷</w:t>
            </w:r>
            <w:r>
              <w:rPr>
                <w:rFonts w:hint="default" w:ascii="Times New Roman" w:hAnsi="Times New Roman" w:eastAsia="宋体" w:cs="Times New Roman"/>
                <w:b/>
                <w:bCs/>
                <w:i w:val="0"/>
                <w:iCs w:val="0"/>
                <w:color w:val="auto"/>
                <w:kern w:val="0"/>
                <w:sz w:val="21"/>
                <w:szCs w:val="21"/>
                <w:highlight w:val="none"/>
                <w:u w:val="none"/>
                <w:lang w:val="en-US" w:eastAsia="zh-CN" w:bidi="ar"/>
              </w:rPr>
              <w:br w:type="textWrapping"/>
            </w:r>
            <w:r>
              <w:rPr>
                <w:rFonts w:hint="default" w:ascii="Times New Roman" w:hAnsi="Times New Roman" w:eastAsia="宋体" w:cs="Times New Roman"/>
                <w:b/>
                <w:bCs/>
                <w:i w:val="0"/>
                <w:iCs w:val="0"/>
                <w:color w:val="auto"/>
                <w:kern w:val="0"/>
                <w:sz w:val="21"/>
                <w:szCs w:val="21"/>
                <w:highlight w:val="none"/>
                <w:u w:val="none"/>
                <w:lang w:val="en-US" w:eastAsia="zh-CN" w:bidi="ar"/>
              </w:rPr>
              <w:t>载等级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6B2B1BC1">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管养单位</w:t>
            </w:r>
          </w:p>
        </w:tc>
      </w:tr>
      <w:tr w14:paraId="140B9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5F2E3ED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1E583E6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西江大桥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583B60A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310.931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2347581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G321</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2059698F">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1517.03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099A23C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特大桥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03ACC9F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箱形拱</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2316D97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汽车-20级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086CFCA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藤县公路养护中心</w:t>
            </w:r>
          </w:p>
        </w:tc>
      </w:tr>
      <w:tr w14:paraId="61933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5E12A38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60832AE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桂江大桥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4F89AA7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1448.934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527247A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G355</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56F362C9">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598.00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7EA34B7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特大桥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069C665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箱形梁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3D0AA15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公路Ⅰ级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03213C5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昭平公路养护中心</w:t>
            </w:r>
          </w:p>
        </w:tc>
      </w:tr>
      <w:tr w14:paraId="3E76A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742A6CFC">
            <w:pPr>
              <w:jc w:val="center"/>
              <w:rPr>
                <w:rFonts w:hint="default" w:ascii="Times New Roman" w:hAnsi="Times New Roman" w:eastAsia="宋体" w:cs="Times New Roman"/>
                <w:b/>
                <w:bCs/>
                <w:i w:val="0"/>
                <w:iCs w:val="0"/>
                <w:color w:val="auto"/>
                <w:sz w:val="21"/>
                <w:szCs w:val="21"/>
                <w:highlight w:val="none"/>
                <w:u w:val="none"/>
              </w:rPr>
            </w:pP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59F484CC">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特大桥2座</w:t>
            </w:r>
          </w:p>
        </w:tc>
        <w:tc>
          <w:tcPr>
            <w:tcW w:w="982" w:type="pct"/>
            <w:gridSpan w:val="2"/>
            <w:tcBorders>
              <w:top w:val="single" w:color="000000" w:sz="4" w:space="0"/>
              <w:left w:val="single" w:color="000000" w:sz="4" w:space="0"/>
              <w:bottom w:val="single" w:color="000000" w:sz="4" w:space="0"/>
              <w:right w:val="single" w:color="000000" w:sz="4" w:space="0"/>
            </w:tcBorders>
            <w:noWrap w:val="0"/>
            <w:vAlign w:val="center"/>
          </w:tcPr>
          <w:p w14:paraId="37723D98">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特大桥数量合计</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54BA845D">
            <w:pPr>
              <w:keepNext w:val="0"/>
              <w:keepLines w:val="0"/>
              <w:widowControl/>
              <w:suppressLineNumbers w:val="0"/>
              <w:jc w:val="right"/>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 xml:space="preserve">2115.03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2BCA4DC9">
            <w:pPr>
              <w:jc w:val="center"/>
              <w:rPr>
                <w:rFonts w:hint="default" w:ascii="Times New Roman" w:hAnsi="Times New Roman" w:eastAsia="宋体" w:cs="Times New Roman"/>
                <w:i w:val="0"/>
                <w:iCs w:val="0"/>
                <w:color w:val="auto"/>
                <w:sz w:val="21"/>
                <w:szCs w:val="21"/>
                <w:highlight w:val="none"/>
                <w:u w:val="none"/>
              </w:rPr>
            </w:pP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1670AA27">
            <w:pPr>
              <w:jc w:val="center"/>
              <w:rPr>
                <w:rFonts w:hint="default" w:ascii="Times New Roman" w:hAnsi="Times New Roman" w:eastAsia="宋体" w:cs="Times New Roman"/>
                <w:i w:val="0"/>
                <w:iCs w:val="0"/>
                <w:color w:val="auto"/>
                <w:sz w:val="21"/>
                <w:szCs w:val="21"/>
                <w:highlight w:val="none"/>
                <w:u w:val="none"/>
              </w:rPr>
            </w:pP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75CFDEEC">
            <w:pPr>
              <w:jc w:val="center"/>
              <w:rPr>
                <w:rFonts w:hint="default" w:ascii="Times New Roman" w:hAnsi="Times New Roman" w:eastAsia="宋体" w:cs="Times New Roman"/>
                <w:i w:val="0"/>
                <w:iCs w:val="0"/>
                <w:color w:val="auto"/>
                <w:sz w:val="21"/>
                <w:szCs w:val="21"/>
                <w:highlight w:val="none"/>
                <w:u w:val="none"/>
              </w:rPr>
            </w:pP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49D7EAF1">
            <w:pPr>
              <w:jc w:val="center"/>
              <w:rPr>
                <w:rFonts w:hint="default" w:ascii="Times New Roman" w:hAnsi="Times New Roman" w:eastAsia="宋体" w:cs="Times New Roman"/>
                <w:i w:val="0"/>
                <w:iCs w:val="0"/>
                <w:color w:val="auto"/>
                <w:sz w:val="21"/>
                <w:szCs w:val="21"/>
                <w:highlight w:val="none"/>
                <w:u w:val="none"/>
              </w:rPr>
            </w:pPr>
          </w:p>
        </w:tc>
      </w:tr>
      <w:tr w14:paraId="049EE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06828AD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2BA54A8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下小河大桥-下行</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46E7128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3724.430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02F14F0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G207</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6C521D64">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248.50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4A07111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大桥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12D01F4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箱形梁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420D0BE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公路Ⅰ级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39CAE6D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苍梧公路养护中心</w:t>
            </w:r>
          </w:p>
        </w:tc>
      </w:tr>
      <w:tr w14:paraId="5200C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7DD58B7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332AF17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下小河大桥-上行</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2B86D98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3724.430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4D55708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G207</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21C191C8">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249.25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2F9D10E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大桥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7D0140C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箱形梁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303A27F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公路Ⅰ级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2240DE5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苍梧公路养护中心</w:t>
            </w:r>
          </w:p>
        </w:tc>
      </w:tr>
      <w:tr w14:paraId="423C1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2430D82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3</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4574CF5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石桥铁路立交桥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0AA0709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3651.589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29E6371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G207</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2C2B85C4">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205.50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3CAFCDE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大桥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7FBD6C8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空心板梁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5D695AF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公路Ⅰ级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3831FEA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苍梧公路养护中心</w:t>
            </w:r>
          </w:p>
        </w:tc>
      </w:tr>
      <w:tr w14:paraId="4F8EA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08E454C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4</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0CB2FA9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大新桥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063D495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3699.875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67435C3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G207</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16F431D9">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125.06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1AED839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大桥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4D8EC9E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箱形梁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09A3B8B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汽车-20级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50B2AFD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苍梧公路养护中心</w:t>
            </w:r>
          </w:p>
        </w:tc>
      </w:tr>
      <w:tr w14:paraId="06CF3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69ECD0A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5</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1FEE39A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梨埠桥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0EA55FF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3663.458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7E17837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G207</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06F191FD">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158.50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4BD77D8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大桥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324D779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箱形梁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4B0D3D8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公路Ⅰ级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19DAE29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苍梧公路养护中心</w:t>
            </w:r>
          </w:p>
        </w:tc>
      </w:tr>
      <w:tr w14:paraId="53E48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20AA3FD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6</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2C768BE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水汶大桥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1ADE452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3853.943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6538E74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G207</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2FCEFDE8">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156.08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72DA7A2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大桥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36D0E63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双曲拱</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47C5D64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汽车-15级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4DA9E28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岑溪公路养护中心</w:t>
            </w:r>
          </w:p>
        </w:tc>
      </w:tr>
      <w:tr w14:paraId="50733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64FE2DF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7</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572E6EB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勒竹新桥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4DF7CD8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3108.670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04CC26F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G241</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794304D4">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147.14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5C76277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大桥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1A6E3BB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空心板梁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3584139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公路Ⅱ级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7D83DFB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藤县公路养护中心</w:t>
            </w:r>
          </w:p>
        </w:tc>
      </w:tr>
      <w:tr w14:paraId="4EB84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271C84B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8</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3C72CBF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石桥大桥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48AAF5A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3124.533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7ED5ED5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G241</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60104395">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201.21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6B0B240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大桥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70FDC95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箱形拱</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0FE92A5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汽车-20级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224EE19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藤县公路养护中心</w:t>
            </w:r>
          </w:p>
        </w:tc>
      </w:tr>
      <w:tr w14:paraId="7BD62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1F205AB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9</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5B59DD6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黄村大桥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276235D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3048.209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7758E80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G241</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3F98E4DF">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163.40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0FF7903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大桥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55224E1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空心板梁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4AECC08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公路Ⅱ级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298EC49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蒙山公路养护中心</w:t>
            </w:r>
          </w:p>
        </w:tc>
      </w:tr>
      <w:tr w14:paraId="076E0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6B82D76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10</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48FF709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三门大桥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1383309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3057.382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7EBF3F4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G241</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249FDE4E">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129.28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4571FEA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大桥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4943592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空心板梁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1ADBC8A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公路Ⅱ级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24A52F4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蒙山公路养护中心</w:t>
            </w:r>
          </w:p>
        </w:tc>
      </w:tr>
      <w:tr w14:paraId="48D00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418716D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11</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1D49ECB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裕路大桥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351BDC2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2979.264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4AFC801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G241</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034A0C77">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140.00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66C8335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大桥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498E997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T梁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68E3C60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公路Ⅱ级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03BE570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昭平公路养护中心</w:t>
            </w:r>
          </w:p>
        </w:tc>
      </w:tr>
      <w:tr w14:paraId="794FD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118444B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12</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0367D0A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三门滩大桥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51E64B6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3004.792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264B2CF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G241</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2939ADD1">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197.00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1931AF8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大桥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5B12288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T梁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2287C5E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公路Ⅱ级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79554D5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昭平公路养护中心</w:t>
            </w:r>
          </w:p>
        </w:tc>
      </w:tr>
      <w:tr w14:paraId="1DFB0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2EC9BF2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13</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3EA0334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马滩大桥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3ACCAD6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3012.708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781B655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G241</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15C3C110">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458.55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1B7EF55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大桥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196298A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箱形梁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31D1820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公路Ⅰ级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47D8170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昭平公路养护中心</w:t>
            </w:r>
          </w:p>
        </w:tc>
      </w:tr>
      <w:tr w14:paraId="70987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21416DE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14</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23DD9D6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大爽桥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7761293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2964.599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30DF539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G241</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37720D72">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110.00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720A4F1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大桥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40262C4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刚架拱</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35B8981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汽车-20级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2F96557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钟山公路养护中心</w:t>
            </w:r>
          </w:p>
        </w:tc>
      </w:tr>
      <w:tr w14:paraId="794E3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26FA919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15</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4E6D123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古排大桥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54E544B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445.286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14729D3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G321</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40ED23BD">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105.12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7F3BBFD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大桥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273C11F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空心板梁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08DCAA4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公路Ⅱ级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749844E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蒙山公路养护中心</w:t>
            </w:r>
          </w:p>
        </w:tc>
      </w:tr>
      <w:tr w14:paraId="5A497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0FCD68C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16</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2062BE3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古排大桥(拼宽右幅)</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118F25C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445.286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194EC0F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G321</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6BFE5E59">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109.64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690F831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大桥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66EA5E3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空心板梁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6F21525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公路Ⅱ级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06A93EF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蒙山公路养护中心</w:t>
            </w:r>
          </w:p>
        </w:tc>
      </w:tr>
      <w:tr w14:paraId="7DF29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44AE46D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17</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400C135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芦冲口大桥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758B1CF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622.988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0634899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G323</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66A614EA">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133.08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0F5768A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大桥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0393CAA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空心板梁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3B1C626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汽车-20级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75D4D54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八步公路养护中心</w:t>
            </w:r>
          </w:p>
        </w:tc>
      </w:tr>
      <w:tr w14:paraId="00210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615D418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18</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42FD5A2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赖村大宁河大桥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0C80856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636.429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559774B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G323</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41C792F0">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213.08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79D6779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大桥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409C5A5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空心板梁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5BD1967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汽车-20级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20D1C96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八步公路养护中心</w:t>
            </w:r>
          </w:p>
        </w:tc>
      </w:tr>
      <w:tr w14:paraId="5FB4C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6235DC4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19</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1394B91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黄洞大桥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2C7A11A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664.699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0C91E50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G323</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54756393">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131.38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6A50875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大桥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7A87DF8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空心板梁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42C2A49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汽车-20级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5604B93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八步公路养护中心</w:t>
            </w:r>
          </w:p>
        </w:tc>
      </w:tr>
      <w:tr w14:paraId="0353E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5047D54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20</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0C8D4E8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坪滩桥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41DB3B4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698.971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05D3DB7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G323</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04EE7B6A">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189.00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62FB445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大桥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3AC2AC6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箱形梁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0A7E6D1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公路Ⅱ级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1BF0755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钟山公路养护中心</w:t>
            </w:r>
          </w:p>
        </w:tc>
      </w:tr>
      <w:tr w14:paraId="08594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1B25421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21</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5892D58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十二车桥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36D1D35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740.735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39922A1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G323</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3292C483">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101.84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63C31D4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大桥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24AEEB8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箱形梁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5B82E37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公路Ⅰ级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4829C28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钟山公路养护中心</w:t>
            </w:r>
          </w:p>
        </w:tc>
      </w:tr>
      <w:tr w14:paraId="32652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675C1F8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22</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725EE33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黄华河大桥-下行</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16D20AA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1355.861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3F6107E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G324</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12B2864E">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163.37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31E1420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大桥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3E4241A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T梁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2ED6E46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汽车-超20级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2140003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岑溪公路养护中心</w:t>
            </w:r>
          </w:p>
        </w:tc>
      </w:tr>
      <w:tr w14:paraId="14B31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7C4AB3E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23</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31181CF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黄华河大桥-上行</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6EFDF5B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1355.860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177D7B7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G324</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3155DEDD">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163.37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4C68D71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大桥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0A31D9F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T梁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226C43F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汽车-超20级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1D33875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岑溪公路养护中心</w:t>
            </w:r>
          </w:p>
        </w:tc>
      </w:tr>
      <w:tr w14:paraId="694B3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12C864A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24</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075BC18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凤仪桥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641349D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1380.577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2790AAA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G355</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63BEAD85">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129.56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4A772F7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大桥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56984E7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箱形梁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7C63AC2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公路Ⅰ级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03D98D8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苍梧公路养护中心</w:t>
            </w:r>
          </w:p>
        </w:tc>
      </w:tr>
      <w:tr w14:paraId="4641A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5B71490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25</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5C5F4C2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六堡一号桥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15A8F23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1389.650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633F669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G355</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56772AD4">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196.08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5727B6A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大桥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4C899B0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箱形梁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178C44D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公路Ⅰ级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6A63EE7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苍梧公路养护中心</w:t>
            </w:r>
          </w:p>
        </w:tc>
      </w:tr>
      <w:tr w14:paraId="783AB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1AB27CA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26</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435EA76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六堡三号桥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39E068F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1394.062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472D11B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G355</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2C44281A">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136.08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5FDDC55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大桥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03C629C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箱形梁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3250732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公路Ⅰ级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6C78C7E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苍梧公路养护中心</w:t>
            </w:r>
          </w:p>
        </w:tc>
      </w:tr>
      <w:tr w14:paraId="533B6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1C7AFC6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27</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2CA11FC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安乐一号桥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04BEB8D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1413.943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5144B88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G355</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7094C9FB">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152.04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2B5C316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大桥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11DFE30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箱形梁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76BA365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公路Ⅰ级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1B26271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苍梧公路养护中心</w:t>
            </w:r>
          </w:p>
        </w:tc>
      </w:tr>
      <w:tr w14:paraId="2FD8F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47E5744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28</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0ECA8E2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思丰桥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0A31B63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1421.254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5692AF3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G355</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4F908F3F">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124.08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1A1C392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大桥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170F51D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箱形梁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2B13D52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公路Ⅰ级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365D977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苍梧公路养护中心</w:t>
            </w:r>
          </w:p>
        </w:tc>
      </w:tr>
      <w:tr w14:paraId="3EDA9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3612F71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29</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7910986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大立岐桥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0A3C57C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1428.826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49A2790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G355</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6F51410E">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136.08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6D3FEB1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大桥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39F36C3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箱形梁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608328F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公路Ⅰ级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60AE52D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苍梧公路养护中心</w:t>
            </w:r>
          </w:p>
        </w:tc>
      </w:tr>
      <w:tr w14:paraId="454A8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67514A0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30</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3824812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狮寨桥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5E8B9F6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1431.273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668ABE8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G355</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34CCF006">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252.08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5A691A9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大桥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2C8201E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箱形梁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4D40FCC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公路Ⅰ级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2EB1F42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苍梧公路养护中心</w:t>
            </w:r>
          </w:p>
        </w:tc>
      </w:tr>
      <w:tr w14:paraId="0FB2D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41E1B58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31</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38B5A3F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大垌桥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18FE1C9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1437.337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58EA67A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G355</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72EEDB49">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127.06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649A994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大桥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1A52175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箱形梁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1BEFD96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公路Ⅰ级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7CAF255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苍梧公路养护中心</w:t>
            </w:r>
          </w:p>
        </w:tc>
      </w:tr>
      <w:tr w14:paraId="08FD3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3E82F3D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32</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3D3E75F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富群江大桥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48FD7CF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1445.103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430D441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G355</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374840BA">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129.56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3B74F5F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大桥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3C171AE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箱形梁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74A7B18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公路Ⅰ级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330F56F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昭平公路养护中心</w:t>
            </w:r>
          </w:p>
        </w:tc>
      </w:tr>
      <w:tr w14:paraId="18BB1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4FD0AF9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33</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439BB31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富吉大桥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0AED52C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1351.664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3D58268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G358</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2C3EEB05">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368.04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631A5B0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大桥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1646DC8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T梁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3DD3A92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汽车-20级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7C6934E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藤县公路养护中心</w:t>
            </w:r>
          </w:p>
        </w:tc>
      </w:tr>
      <w:tr w14:paraId="3BB4F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4C6AB27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34</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5390650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龟石大桥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398F218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113.190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370504E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G538</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352A040D">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128.00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68EBCB1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大桥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0D82911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箱形梁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1B9BB9D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公路Ⅱ级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442427B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钟山公路养护中心</w:t>
            </w:r>
          </w:p>
        </w:tc>
      </w:tr>
      <w:tr w14:paraId="4351F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211E9F7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35</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17D6CDD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岭景桥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2924DD2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44.280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32EA923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S203</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1A0ED806">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134.92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7F7F72E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大桥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693181F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空心板梁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1CE9B84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公路Ⅱ级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4D9B824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藤县公路养护中心</w:t>
            </w:r>
          </w:p>
        </w:tc>
      </w:tr>
      <w:tr w14:paraId="20A2B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4E513D1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36</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3E936C7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西河口桥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55A4B44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22.552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40DED83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S304</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462F80DF">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65.70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77645C3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大桥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05F80AB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双曲拱</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6ACB314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公路Ⅱ级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5BE616D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苍梧公路养护中心</w:t>
            </w:r>
          </w:p>
        </w:tc>
      </w:tr>
      <w:tr w14:paraId="20283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5007ABD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37</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4D8C996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濛江大桥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2BE33DF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74.204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3F6B313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S304</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5B09FCB3">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240.60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4F8B42E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大桥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5849045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箱形拱</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5A9501D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汽车-20级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7C2C2EF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藤县公路养护中心</w:t>
            </w:r>
          </w:p>
        </w:tc>
      </w:tr>
      <w:tr w14:paraId="00617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3AFBC90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38</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2CB452C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黄华河大桥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5C73761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32.497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6F8183D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S310</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2B5C506A">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248.66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3423015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大桥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199B82D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箱形梁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126443D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公路Ⅰ级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5DF529F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藤县公路养护中心</w:t>
            </w:r>
          </w:p>
        </w:tc>
      </w:tr>
      <w:tr w14:paraId="2B0A9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59AC4E4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39</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4E124DA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镇安北流河大桥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0B0B03B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36.582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53D6415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S310</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7496BD06">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375.53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78651F4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大桥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2E2BDC5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连续箱梁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1BDC780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公路Ⅰ级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6D42BEA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藤县公路养护中心</w:t>
            </w:r>
          </w:p>
        </w:tc>
      </w:tr>
      <w:tr w14:paraId="1C406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66FCF65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40</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3C63108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泗罗河大桥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4FF02EA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66.319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2494BF7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S310</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0C814554">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166.08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080C0BD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大桥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6655155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箱形梁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3BD1EF3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公路Ⅰ级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20A8EB7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藤县公路养护中心</w:t>
            </w:r>
          </w:p>
        </w:tc>
      </w:tr>
      <w:tr w14:paraId="327DB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525D619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41</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455C9E4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义昌河大桥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456D792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21.207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770EA54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S310</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5828799A">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168.58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3CB82F4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大桥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1C35C8F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箱形梁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69B3066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公路Ⅰ级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00ED167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岑溪公路养护中心</w:t>
            </w:r>
          </w:p>
        </w:tc>
      </w:tr>
      <w:tr w14:paraId="05BF8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49F4061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42</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2D33E73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道石大桥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28E806F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8.204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69D5D4D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S503</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4B50969B">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106.45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2BB3CF3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大桥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4D5ED2D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箱形梁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45EF6A7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公路Ⅱ级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2260691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八步公路养护中心</w:t>
            </w:r>
          </w:p>
        </w:tc>
      </w:tr>
      <w:tr w14:paraId="1A3AB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604055B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43</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0DC3B60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东冲大桥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36B4403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32.431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38ABAC5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S503</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5EEAD3E6">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124.70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0C6A19A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大桥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1287E19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连续T梁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7A88668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公路Ⅱ级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22C2B3C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八步公路养护中心</w:t>
            </w:r>
          </w:p>
        </w:tc>
      </w:tr>
      <w:tr w14:paraId="7A68F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28E6E67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44</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6957A45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三美大桥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3E3CCAA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1.694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1DD5184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Y402</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15959809">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110.00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0F3876A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大桥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67B1B78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双曲拱</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512A608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汽车-15级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0A93FCB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岑溪公路养护中心</w:t>
            </w:r>
          </w:p>
        </w:tc>
      </w:tr>
      <w:tr w14:paraId="62B13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03D87A5C">
            <w:pPr>
              <w:jc w:val="center"/>
              <w:rPr>
                <w:rFonts w:hint="default" w:ascii="Times New Roman" w:hAnsi="Times New Roman" w:eastAsia="宋体" w:cs="Times New Roman"/>
                <w:b/>
                <w:bCs/>
                <w:i w:val="0"/>
                <w:iCs w:val="0"/>
                <w:color w:val="auto"/>
                <w:sz w:val="21"/>
                <w:szCs w:val="21"/>
                <w:highlight w:val="none"/>
                <w:u w:val="none"/>
              </w:rPr>
            </w:pP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05734604">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大桥44座</w:t>
            </w:r>
          </w:p>
        </w:tc>
        <w:tc>
          <w:tcPr>
            <w:tcW w:w="982" w:type="pct"/>
            <w:gridSpan w:val="2"/>
            <w:tcBorders>
              <w:top w:val="single" w:color="000000" w:sz="4" w:space="0"/>
              <w:left w:val="single" w:color="000000" w:sz="4" w:space="0"/>
              <w:bottom w:val="single" w:color="000000" w:sz="4" w:space="0"/>
              <w:right w:val="single" w:color="000000" w:sz="4" w:space="0"/>
            </w:tcBorders>
            <w:noWrap w:val="0"/>
            <w:vAlign w:val="center"/>
          </w:tcPr>
          <w:p w14:paraId="2AA66C03">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大桥数量合计</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511B2454">
            <w:pPr>
              <w:keepNext w:val="0"/>
              <w:keepLines w:val="0"/>
              <w:widowControl/>
              <w:suppressLineNumbers w:val="0"/>
              <w:jc w:val="right"/>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 xml:space="preserve">7619.23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479019A8">
            <w:pPr>
              <w:jc w:val="center"/>
              <w:rPr>
                <w:rFonts w:hint="default" w:ascii="Times New Roman" w:hAnsi="Times New Roman" w:eastAsia="宋体" w:cs="Times New Roman"/>
                <w:i w:val="0"/>
                <w:iCs w:val="0"/>
                <w:color w:val="auto"/>
                <w:sz w:val="21"/>
                <w:szCs w:val="21"/>
                <w:highlight w:val="none"/>
                <w:u w:val="none"/>
              </w:rPr>
            </w:pP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735100F2">
            <w:pPr>
              <w:jc w:val="center"/>
              <w:rPr>
                <w:rFonts w:hint="default" w:ascii="Times New Roman" w:hAnsi="Times New Roman" w:eastAsia="宋体" w:cs="Times New Roman"/>
                <w:i w:val="0"/>
                <w:iCs w:val="0"/>
                <w:color w:val="auto"/>
                <w:sz w:val="21"/>
                <w:szCs w:val="21"/>
                <w:highlight w:val="none"/>
                <w:u w:val="none"/>
              </w:rPr>
            </w:pP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7F07A383">
            <w:pPr>
              <w:jc w:val="center"/>
              <w:rPr>
                <w:rFonts w:hint="default" w:ascii="Times New Roman" w:hAnsi="Times New Roman" w:eastAsia="宋体" w:cs="Times New Roman"/>
                <w:i w:val="0"/>
                <w:iCs w:val="0"/>
                <w:color w:val="auto"/>
                <w:sz w:val="21"/>
                <w:szCs w:val="21"/>
                <w:highlight w:val="none"/>
                <w:u w:val="none"/>
              </w:rPr>
            </w:pP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2EC96BB3">
            <w:pPr>
              <w:jc w:val="center"/>
              <w:rPr>
                <w:rFonts w:hint="default" w:ascii="Times New Roman" w:hAnsi="Times New Roman" w:eastAsia="宋体" w:cs="Times New Roman"/>
                <w:i w:val="0"/>
                <w:iCs w:val="0"/>
                <w:color w:val="auto"/>
                <w:sz w:val="21"/>
                <w:szCs w:val="21"/>
                <w:highlight w:val="none"/>
                <w:u w:val="none"/>
              </w:rPr>
            </w:pPr>
          </w:p>
        </w:tc>
      </w:tr>
      <w:tr w14:paraId="3C688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6F540CB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7D4FE98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回龙桥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17AE2C9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3758.013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490F259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G207</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3CFD5D75">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45.00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6EF028F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中桥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4D32166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整体现浇板</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225E034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公路Ⅰ级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4D933E8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苍梧公路养护中心</w:t>
            </w:r>
          </w:p>
        </w:tc>
      </w:tr>
      <w:tr w14:paraId="3E8A5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5A234DF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2E4CCE6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东安桥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34FB438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3642.310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35B2E86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G207</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08301A15">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104.46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7613A6A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中桥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02FACAD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T梁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31029F0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汽车-20级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0788259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苍梧公路养护中心</w:t>
            </w:r>
          </w:p>
        </w:tc>
      </w:tr>
      <w:tr w14:paraId="0EE1E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19EE6AC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3</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70A6111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竹坪铁路立交桥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5E0C378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3671.334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3BBADF4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G207</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3D6335E7">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40.00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3EA1C83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中桥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0A80E9B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空心板梁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57B6644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公路Ⅱ级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7D4C95B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苍梧公路养护中心</w:t>
            </w:r>
          </w:p>
        </w:tc>
      </w:tr>
      <w:tr w14:paraId="27310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4DF7A8B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4</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1B0E866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合水桥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1F3F13B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3696.945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662E2D6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G207</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5E5364F5">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68.50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3C4CE96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中桥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42CB084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空心板梁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7DACB39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汽车-20级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7520C4E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苍梧公路养护中心</w:t>
            </w:r>
          </w:p>
        </w:tc>
      </w:tr>
      <w:tr w14:paraId="233B1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0D76B62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5</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595F86D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东安桥(拼宽右幅)</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4A0CC48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3642.310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4CFC3BF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G207</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49986215">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96.96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448B594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中桥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209D066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空心板梁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750960A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公路Ⅱ级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76D180C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苍梧公路养护中心</w:t>
            </w:r>
          </w:p>
        </w:tc>
      </w:tr>
      <w:tr w14:paraId="1FB56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214D0D4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6</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133BFC0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义修桥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336D514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3833.225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1FE0DC4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G207</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0F44EBB4">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46.00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042F6F4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中桥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606CBFF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双曲拱</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060EBFF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汽车-15级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4678301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岑溪公路养护中心</w:t>
            </w:r>
          </w:p>
        </w:tc>
      </w:tr>
      <w:tr w14:paraId="4658A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28C1BC2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7</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5B75D18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南六一桥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4CCAF1F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3849.733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1FCAE61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G207</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06F05527">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44.04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5E9B234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中桥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4012403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箱形梁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4507025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公路Ⅰ级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33F1E93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岑溪公路养护中心</w:t>
            </w:r>
          </w:p>
        </w:tc>
      </w:tr>
      <w:tr w14:paraId="19401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692DB6B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8</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6C355E0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白鹤桥(拼宽右幅)</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26A40F7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3777.530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18E6CC5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G207</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4481A4BE">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26.00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3E6FF98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中桥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6CBACA2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T梁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632EB82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公路Ⅱ级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1CC0A4F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岑溪公路养护中心</w:t>
            </w:r>
          </w:p>
        </w:tc>
      </w:tr>
      <w:tr w14:paraId="540D0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5B7E47D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9</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49ABC61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三步梯桥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3C7A8AE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3577.816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1F67481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G207</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1637AC7A">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98.00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48B6983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中桥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0A20D33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箱形梁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2B0A7E1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公路Ⅰ级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52EAA80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八步公路养护中心</w:t>
            </w:r>
          </w:p>
        </w:tc>
      </w:tr>
      <w:tr w14:paraId="18A89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584E044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10</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3DCF7FD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燕坪桥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29FB1B2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3594.723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021DF64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G207</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4AFBE346">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98.08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01473B7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中桥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490BECE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箱形梁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0582084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公路Ⅰ级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58A4855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八步公路养护中心</w:t>
            </w:r>
          </w:p>
        </w:tc>
      </w:tr>
      <w:tr w14:paraId="28AD3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4729426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11</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630740E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燕坪中桥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554DE5F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3594.999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252C786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G207</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69CF8A95">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57.32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1E1BA19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中桥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239DDEB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箱形梁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702487C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公路Ⅰ级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50F62EB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八步公路养护中心</w:t>
            </w:r>
          </w:p>
        </w:tc>
      </w:tr>
      <w:tr w14:paraId="26994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19C5A3A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12</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11B77EC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东叶桥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25D1C1C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3604.807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561BCB8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G207</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58E03566">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21.00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3AA36DB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中桥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2C68959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箱形梁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2FA2727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公路Ⅰ级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5199747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八步公路养护中心</w:t>
            </w:r>
          </w:p>
        </w:tc>
      </w:tr>
      <w:tr w14:paraId="4CC20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3EECD8B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13</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7484F2A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林洞二桥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0550356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3625.972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2D257AC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G207</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048BA882">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68.38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0E9519D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中桥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451A045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空心板梁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7EC5924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汽车-20级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63ED7A7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八步公路养护中心</w:t>
            </w:r>
          </w:p>
        </w:tc>
      </w:tr>
      <w:tr w14:paraId="5CC0B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1001821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14</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4C19273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林洞一桥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2E09999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3625.740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3F104D8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G207</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77CECB90">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100.38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26B2633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中桥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50B4A08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空心板梁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0E0C33D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汽车-20级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1CFB3BD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八步公路养护中心</w:t>
            </w:r>
          </w:p>
        </w:tc>
      </w:tr>
      <w:tr w14:paraId="0B949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6115C06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15</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16F65CB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官扶桥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293638E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3628.613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1DD77F2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G207</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5CF34DE4">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56.74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4E5842C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中桥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36EBF9A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空心板梁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5EDC7F8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公路Ⅱ级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1F76D6B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八步公路养护中心</w:t>
            </w:r>
          </w:p>
        </w:tc>
      </w:tr>
      <w:tr w14:paraId="4E6F1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5F39E22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16</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1462532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铁路桥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1896AF4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3530.268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1EF3687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G207</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21730CEA">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46.80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6B5641D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中桥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0A27DE8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空心板梁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6CE6E21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公路Ⅱ级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296BDB6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钟山公路养护中心</w:t>
            </w:r>
          </w:p>
        </w:tc>
      </w:tr>
      <w:tr w14:paraId="7CB3F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152C370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17</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5F5C697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望高三桥-下行</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565C8C5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3531.276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08B4B6C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G207</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23B13D8C">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26.04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2B57373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中桥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3A3A158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箱形梁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519A244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公路Ⅰ级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2FE965A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钟山公路养护中心</w:t>
            </w:r>
          </w:p>
        </w:tc>
      </w:tr>
      <w:tr w14:paraId="177A0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51B4DE3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18</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29BD7FF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望高四桥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3F5155E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3533.150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191BB06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G207</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06FC04DB">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31.07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4CD8163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中桥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6E8ABA3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箱形梁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5FA5BBE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公路Ⅱ级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77F1496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钟山公路养护中心</w:t>
            </w:r>
          </w:p>
        </w:tc>
      </w:tr>
      <w:tr w14:paraId="51DFF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327A33F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19</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3F6F587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五拱水桥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3C1343E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3543.973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16018D2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G207</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3C2DA6FC">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54.00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20701BE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中桥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2F64297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T梁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0A73C6B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公路Ⅰ级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09099D9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钟山公路养护中心</w:t>
            </w:r>
          </w:p>
        </w:tc>
      </w:tr>
      <w:tr w14:paraId="3D4B7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5DA0802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20</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671DA4A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望高三桥-上行</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600D08A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3531.276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1FBD371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G207</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5C02284D">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26.04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5C0FED8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中桥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25ABE42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箱形梁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416A4AB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公路Ⅰ级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2E682F8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钟山公路养护中心</w:t>
            </w:r>
          </w:p>
        </w:tc>
      </w:tr>
      <w:tr w14:paraId="66C43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414DC67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21</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0C40248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白沙中桥-下行</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11ACA7E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3524.128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649E211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G207</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15938D8F">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39.50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6FF260A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中桥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6804495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箱形梁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0C0315B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公路Ⅰ级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6EA1854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富川公路养护中心</w:t>
            </w:r>
          </w:p>
        </w:tc>
      </w:tr>
      <w:tr w14:paraId="638A6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500ECEA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22</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7EE72DE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白沙中桥-上行</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6F6A412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3524.128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7B2707C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G207</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53541ED3">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39.50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6486FBB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中桥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453FE38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箱形梁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7621102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公路Ⅰ级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67DE907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富川公路养护中心</w:t>
            </w:r>
          </w:p>
        </w:tc>
      </w:tr>
      <w:tr w14:paraId="6C233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2FBE703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23</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1743950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黄村中桥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0411620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3047.984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7038FEA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G241</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203BCFA6">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65.08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1499114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中桥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3810DDC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空心板梁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6063342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公路Ⅱ级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388655A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蒙山公路养护中心</w:t>
            </w:r>
          </w:p>
        </w:tc>
      </w:tr>
      <w:tr w14:paraId="2DDBB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6CC7D2B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24</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0037E83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洞社桥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64BA104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3055.375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5D3F35D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G241</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419B5036">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25.04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06B4F1D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中桥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0A5D9CE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空心板梁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28DB35F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公路Ⅱ级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0781D37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蒙山公路养护中心</w:t>
            </w:r>
          </w:p>
        </w:tc>
      </w:tr>
      <w:tr w14:paraId="24D58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101A9D4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25</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1C55810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东营桥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1ADF8FF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3070.999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64CD9D3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G241</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614D279D">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65.00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56AF5BA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中桥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347E958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空心板梁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7B3637B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公路Ⅱ级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3E8389C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蒙山公路养护中心</w:t>
            </w:r>
          </w:p>
        </w:tc>
      </w:tr>
      <w:tr w14:paraId="5B775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18C1A9B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26</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78D7504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西坪冲口桥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73CB53A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2974.087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3252F8A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G241</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6A95F776">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66.00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48AD452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中桥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79F7BC5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空心板梁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4A6F207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公路Ⅱ级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70A0BCD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昭平公路养护中心</w:t>
            </w:r>
          </w:p>
        </w:tc>
      </w:tr>
      <w:tr w14:paraId="28265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17DDC96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27</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24A585F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西坪桥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6105046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2974.283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4246323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G241</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340759BE">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51.20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146E9F9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中桥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3D4A72F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板拱</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5033087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汽车-20级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34E0C0E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昭平公路养护中心</w:t>
            </w:r>
          </w:p>
        </w:tc>
      </w:tr>
      <w:tr w14:paraId="0FF17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36010C0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28</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75C8493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宝冲中桥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37542FD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2977.505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1F53045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G241</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7CEA4782">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30.00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5E1D639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中桥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709673C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空心板梁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1D05449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公路Ⅱ级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7CF2710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昭平公路养护中心</w:t>
            </w:r>
          </w:p>
        </w:tc>
      </w:tr>
      <w:tr w14:paraId="38451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470DD19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29</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1F6B579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走马一号中桥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40FD0BB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2984.948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24C7131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G241</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7A1607D6">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47.00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17163F6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中桥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54D3D7F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空心板梁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39737F6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公路Ⅱ级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4EED6CB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昭平公路养护中心</w:t>
            </w:r>
          </w:p>
        </w:tc>
      </w:tr>
      <w:tr w14:paraId="31087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28A77AA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30</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60DB49D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走马二号中桥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02BC22F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2985.534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29628EF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G241</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7CCC11FF">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69.00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6ACC8DB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中桥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2A1062E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空心板梁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0D6F7E4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公路Ⅱ级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4FA1FA2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昭平公路养护中心</w:t>
            </w:r>
          </w:p>
        </w:tc>
      </w:tr>
      <w:tr w14:paraId="68CB1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4DF5DD8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31</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4F4FC95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相逢冲中桥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6BCE00E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2997.426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68C56E6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G241</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10A7716E">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37.00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6E0BF97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中桥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5855F12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空心板梁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7EABA7C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公路Ⅱ级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60BE427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昭平公路养护中心</w:t>
            </w:r>
          </w:p>
        </w:tc>
      </w:tr>
      <w:tr w14:paraId="3441B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46B2CC6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32</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6F42DC2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福行中桥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07332CD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3000.115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3E175CD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G241</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64ADF6DD">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37.00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322E004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中桥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7629F70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空心板梁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0A4CB34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公路Ⅱ级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55C4DF9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昭平公路养护中心</w:t>
            </w:r>
          </w:p>
        </w:tc>
      </w:tr>
      <w:tr w14:paraId="556A9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0DE049CA">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33</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48D6DE67">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cs="Times New Roman"/>
                <w:i w:val="0"/>
                <w:iCs w:val="0"/>
                <w:color w:val="auto"/>
                <w:kern w:val="0"/>
                <w:sz w:val="21"/>
                <w:szCs w:val="21"/>
                <w:highlight w:val="none"/>
                <w:u w:val="none"/>
                <w:lang w:val="en-US" w:eastAsia="zh-CN" w:bidi="ar"/>
              </w:rPr>
              <w:t>鸭背中桥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4DEA7739">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cs="Times New Roman"/>
                <w:i w:val="0"/>
                <w:iCs w:val="0"/>
                <w:color w:val="auto"/>
                <w:kern w:val="0"/>
                <w:sz w:val="21"/>
                <w:szCs w:val="21"/>
                <w:highlight w:val="none"/>
                <w:u w:val="none"/>
                <w:lang w:val="en-US" w:eastAsia="zh-CN" w:bidi="ar"/>
              </w:rPr>
              <w:t>3010.648</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0A7BC6FA">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cs="Times New Roman"/>
                <w:i w:val="0"/>
                <w:iCs w:val="0"/>
                <w:color w:val="auto"/>
                <w:kern w:val="0"/>
                <w:sz w:val="21"/>
                <w:szCs w:val="21"/>
                <w:highlight w:val="none"/>
                <w:u w:val="none"/>
                <w:lang w:val="en-US" w:eastAsia="zh-CN" w:bidi="ar"/>
              </w:rPr>
              <w:t>G241</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547B6C91">
            <w:pPr>
              <w:keepNext w:val="0"/>
              <w:keepLines w:val="0"/>
              <w:widowControl/>
              <w:suppressLineNumbers w:val="0"/>
              <w:jc w:val="right"/>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cs="Times New Roman"/>
                <w:i w:val="0"/>
                <w:iCs w:val="0"/>
                <w:color w:val="auto"/>
                <w:kern w:val="0"/>
                <w:sz w:val="21"/>
                <w:szCs w:val="21"/>
                <w:highlight w:val="none"/>
                <w:u w:val="none"/>
                <w:lang w:val="en-US" w:eastAsia="zh-CN" w:bidi="ar"/>
              </w:rPr>
              <w:t>37</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75E6137A">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cs="Times New Roman"/>
                <w:i w:val="0"/>
                <w:iCs w:val="0"/>
                <w:color w:val="auto"/>
                <w:kern w:val="0"/>
                <w:sz w:val="21"/>
                <w:szCs w:val="21"/>
                <w:highlight w:val="none"/>
                <w:u w:val="none"/>
                <w:lang w:val="en-US" w:eastAsia="zh-CN" w:bidi="ar"/>
              </w:rPr>
              <w:t>中桥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1B387A8F">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空心板梁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100B3EB2">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公路</w:t>
            </w:r>
            <w:r>
              <w:rPr>
                <w:rFonts w:hint="eastAsia" w:cs="Times New Roman"/>
                <w:i w:val="0"/>
                <w:iCs w:val="0"/>
                <w:color w:val="auto"/>
                <w:kern w:val="0"/>
                <w:sz w:val="21"/>
                <w:szCs w:val="21"/>
                <w:highlight w:val="none"/>
                <w:u w:val="none"/>
                <w:lang w:val="en-US" w:eastAsia="zh-CN" w:bidi="ar"/>
              </w:rPr>
              <w:t>Ⅰ</w:t>
            </w:r>
            <w:r>
              <w:rPr>
                <w:rFonts w:hint="default" w:ascii="Times New Roman" w:hAnsi="Times New Roman" w:eastAsia="宋体" w:cs="Times New Roman"/>
                <w:i w:val="0"/>
                <w:iCs w:val="0"/>
                <w:color w:val="auto"/>
                <w:kern w:val="0"/>
                <w:sz w:val="21"/>
                <w:szCs w:val="21"/>
                <w:highlight w:val="none"/>
                <w:u w:val="none"/>
                <w:lang w:val="en-US" w:eastAsia="zh-CN" w:bidi="ar"/>
              </w:rPr>
              <w:t>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2E2E1E31">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昭平公路养护中心</w:t>
            </w:r>
          </w:p>
        </w:tc>
      </w:tr>
      <w:tr w14:paraId="4F634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340F482D">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34</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0B1DB60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富裕中桥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07A5EA4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3020.046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68D58EA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G241</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76ED5B33">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85.46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11C5369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中桥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16DD14F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空心板梁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194FD78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公路Ⅱ级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1980638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昭平公路养护中心</w:t>
            </w:r>
          </w:p>
        </w:tc>
      </w:tr>
      <w:tr w14:paraId="13B22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1F42E614">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35</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6339F57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塘山中桥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3F11A94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3027.484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2EF8178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G241</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4E20DBE7">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51.76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1B606D4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中桥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1F72728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空心板梁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0B05F59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公路Ⅱ级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2DAD0F4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昭平公路养护中心</w:t>
            </w:r>
          </w:p>
        </w:tc>
      </w:tr>
      <w:tr w14:paraId="6865E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33AC450A">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36</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1B17B51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排碗中桥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44F00D7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3029.697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787809E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G241</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169233AA">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57.54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205A8A7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中桥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2BA1012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箱形梁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2E1FB8A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公路Ⅱ级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6A4FAEC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昭平公路养护中心</w:t>
            </w:r>
          </w:p>
        </w:tc>
      </w:tr>
      <w:tr w14:paraId="3DF38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79E04EB0">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37</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03D2CFF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上小河中桥-下行</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41FF0E0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279.492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51BAE57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G321</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60024DB3">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82.50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4475D2F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中桥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044B66A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空心板梁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0CC23FB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汽车-20级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2E3C47A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苍梧公路养护中心</w:t>
            </w:r>
          </w:p>
        </w:tc>
      </w:tr>
      <w:tr w14:paraId="74007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48382624">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38</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1DCE49D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上小河中桥-上行</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32DD80E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279.463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10FB8FE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G321</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447246EA">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101.00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2645129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中桥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7835C53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箱形梁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57B46A7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公路Ⅰ级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5D90E8F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苍梧公路养护中心</w:t>
            </w:r>
          </w:p>
        </w:tc>
      </w:tr>
      <w:tr w14:paraId="5E64F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4950959F">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39</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04E0136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大地桥-下行</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6F51E1A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289.434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53AFFC2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G321</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29456B35">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68.00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478E5D3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中桥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06A7F2B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空心板梁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193E1FD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汽车-20级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6BBB37B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藤县公路养护中心</w:t>
            </w:r>
          </w:p>
        </w:tc>
      </w:tr>
      <w:tr w14:paraId="31F91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4DBEFAA7">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40</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26591EB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上冲河中桥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355E12E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322.594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453738E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G321</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2BB358C0">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70.00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7FC092C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中桥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49EFF2E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空心板梁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2EABC38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公路Ⅱ级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782D957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藤县公路养护中心</w:t>
            </w:r>
          </w:p>
        </w:tc>
      </w:tr>
      <w:tr w14:paraId="0811F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6ED68EB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rPr>
            </w:pPr>
            <w:r>
              <w:rPr>
                <w:rFonts w:hint="default" w:ascii="Times New Roman" w:hAnsi="Times New Roman" w:eastAsia="宋体" w:cs="Times New Roman"/>
                <w:i w:val="0"/>
                <w:iCs w:val="0"/>
                <w:color w:val="auto"/>
                <w:kern w:val="0"/>
                <w:sz w:val="21"/>
                <w:szCs w:val="21"/>
                <w:highlight w:val="none"/>
                <w:u w:val="none"/>
                <w:lang w:val="en-US" w:eastAsia="zh-CN" w:bidi="ar"/>
              </w:rPr>
              <w:t>4</w:t>
            </w:r>
            <w:r>
              <w:rPr>
                <w:rFonts w:hint="eastAsia" w:ascii="Times New Roman" w:hAnsi="Times New Roman" w:eastAsia="宋体" w:cs="Times New Roman"/>
                <w:i w:val="0"/>
                <w:iCs w:val="0"/>
                <w:color w:val="auto"/>
                <w:kern w:val="0"/>
                <w:sz w:val="21"/>
                <w:szCs w:val="21"/>
                <w:highlight w:val="none"/>
                <w:u w:val="none"/>
                <w:lang w:val="en-US" w:eastAsia="zh-CN" w:bidi="ar"/>
              </w:rPr>
              <w:t>1</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704E0D8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上垌头中桥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2D67ACE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328.390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2258A06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G321</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33D2DDD4">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106.50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0B719B5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中桥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5B4FC9B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空心板梁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6CF06B4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公路Ⅱ级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3EEFC64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藤县公路养护中心</w:t>
            </w:r>
          </w:p>
        </w:tc>
      </w:tr>
      <w:tr w14:paraId="48BCB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09933C69">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42</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257800A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合水河中桥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10A1AC3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330.990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6D60C54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G321</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2C57EFA1">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62.00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7476A8B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中桥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72FFE7F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空心板梁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6D3B001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公路Ⅱ级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22987D9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藤县公路养护中心</w:t>
            </w:r>
          </w:p>
        </w:tc>
      </w:tr>
      <w:tr w14:paraId="5BBB8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6F69DE78">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43</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4D85A16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盘龙桥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45E04B2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340.472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576049F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G321</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3259B77E">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57.00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6EAA7A6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中桥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748B62E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空心板梁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3E4867C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汽车-20级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2A41A25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藤县公路养护中心</w:t>
            </w:r>
          </w:p>
        </w:tc>
      </w:tr>
      <w:tr w14:paraId="4F231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41EABFEE">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44</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7754A3F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平山中桥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7CBF073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344.791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76E4D4C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G321</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5D5B29B2">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53.00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4917879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中桥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27C321B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空心板梁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37C4EB8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公路Ⅱ级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57B30B6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藤县公路养护中心</w:t>
            </w:r>
          </w:p>
        </w:tc>
      </w:tr>
      <w:tr w14:paraId="6623C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260287A7">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45</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5AC7927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大地桥-上行</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3A6CDC8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289.434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39B7D8D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G321</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24DA2A3C">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69.00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7606CC9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中桥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1424857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箱形梁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6224A4A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公路Ⅰ级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718FA6D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藤县公路养护中心</w:t>
            </w:r>
          </w:p>
        </w:tc>
      </w:tr>
      <w:tr w14:paraId="6E5D2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4AE0C44C">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46</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43DC604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塘步桥-上行</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38B2AF1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294.380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790056F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G321</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7F0C23D3">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42.00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62973D3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中桥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2120E02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箱形梁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6565FAE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公路Ⅰ级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5CEF92B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藤县公路养护中心</w:t>
            </w:r>
          </w:p>
        </w:tc>
      </w:tr>
      <w:tr w14:paraId="6742A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4BD16396">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47</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42CD7F0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龙蟠桥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4245D3E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431.728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79385B5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G321</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3310AB6E">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63.95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1728CE5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中桥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142519D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空心板梁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5000DF3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公路Ⅱ级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51C001F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蒙山公路养护中心</w:t>
            </w:r>
          </w:p>
        </w:tc>
      </w:tr>
      <w:tr w14:paraId="13961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48D30FB6">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48</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2757D37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龙蟠桥(拼宽右幅)</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49703A8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431.728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3F897D1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G321</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24411598">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63.99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6A4041C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中桥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52B7407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空心板梁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2AEDA01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公路Ⅱ级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71E7EE8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蒙山公路养护中心</w:t>
            </w:r>
          </w:p>
        </w:tc>
      </w:tr>
      <w:tr w14:paraId="59BFD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5CEDA172">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49</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174ECA5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芦冲口中桥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4526BEC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623.255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7B16FB7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G323</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0A990B10">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90.15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44E9B89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中桥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7FC7804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空心板梁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000DFAC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汽车-20级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0093AD8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八步公路养护中心</w:t>
            </w:r>
          </w:p>
        </w:tc>
      </w:tr>
      <w:tr w14:paraId="6182F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7F89EDEF">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50</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1DB27E1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吐水河中桥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2E31F07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633.431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42139E4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G323</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29ACCDA3">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85.82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3EA3401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中桥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4CC5D07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空心板梁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3D35D59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公路Ⅱ级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7CF083E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八步公路养护中心</w:t>
            </w:r>
          </w:p>
        </w:tc>
      </w:tr>
      <w:tr w14:paraId="489ED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400DB1F3">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51</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10DA2F0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螺石口中桥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2505DAA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648.867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63055DF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G323</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1CD2AD25">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76.60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2B20D7E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中桥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1E4CB24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空心板梁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5961C6F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汽车-20级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3F3111B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八步公路养护中心</w:t>
            </w:r>
          </w:p>
        </w:tc>
      </w:tr>
      <w:tr w14:paraId="6FE39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019FC736">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52</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3ED86D2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大芮中桥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60BD53E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655.299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2CA37A3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G323</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12AE0748">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56.20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49CB60E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中桥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6F02D11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空心板梁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512997C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公路Ⅱ级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6C6C051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八步公路养护中心</w:t>
            </w:r>
          </w:p>
        </w:tc>
      </w:tr>
      <w:tr w14:paraId="51D2A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1215CB4C">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53</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3762C67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黄洞电站中桥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0BAB299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666.914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6C646D7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G323</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718900D5">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97.58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1FA51F5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中桥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6F55931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T梁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281A375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汽车-20级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3BBED76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八步公路养护中心</w:t>
            </w:r>
          </w:p>
        </w:tc>
      </w:tr>
      <w:tr w14:paraId="136C7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5E92094F">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54</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6601D5E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草寺中桥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1625E93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626.566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606C27A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G323</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1DC89E6A">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71.00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76E7E26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中桥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7304A0A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空心板梁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0403F59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公路Ⅱ级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7588436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八步公路养护中心</w:t>
            </w:r>
          </w:p>
        </w:tc>
      </w:tr>
      <w:tr w14:paraId="1DCCD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1B9D89F2">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55</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02E4530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白沙井桥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2B5AB73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744.640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2C33529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G323</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486313D3">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41.24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3001426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中桥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72971E3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整体现浇板</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7874C9A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汽车-20级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172038A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钟山公路养护中心</w:t>
            </w:r>
          </w:p>
        </w:tc>
      </w:tr>
      <w:tr w14:paraId="3C852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35863FEB">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56</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5F2124F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望闾桥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71BAFA9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1309.665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130DDB4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G324</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5B325015">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46.20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27C76C7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中桥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25DDFD6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空心板梁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06BD602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汽车-20级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0F038FB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岑溪公路养护中心</w:t>
            </w:r>
          </w:p>
        </w:tc>
      </w:tr>
      <w:tr w14:paraId="01902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3FD3866A">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57</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62CC6F1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金鸡桥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09A4A5D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1328.877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465B673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G324</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0FB70A1F">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107.80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3676BCE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中桥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74C3F65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空心板梁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7DB0975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公路Ⅱ级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541BB15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岑溪公路养护中心</w:t>
            </w:r>
          </w:p>
        </w:tc>
      </w:tr>
      <w:tr w14:paraId="77570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35ECE43E">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58</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2A97579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北村三桥-下行</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70AE92E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1348.462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0345836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G324</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41E19DEF">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46.54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498FD57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中桥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0857E75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空心板梁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30275C5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汽车-超20级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3A48D0B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岑溪公路养护中心</w:t>
            </w:r>
          </w:p>
        </w:tc>
      </w:tr>
      <w:tr w14:paraId="634AB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4D49753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rPr>
            </w:pPr>
            <w:r>
              <w:rPr>
                <w:rFonts w:hint="default" w:ascii="Times New Roman" w:hAnsi="Times New Roman" w:eastAsia="宋体" w:cs="Times New Roman"/>
                <w:i w:val="0"/>
                <w:iCs w:val="0"/>
                <w:color w:val="auto"/>
                <w:kern w:val="0"/>
                <w:sz w:val="21"/>
                <w:szCs w:val="21"/>
                <w:highlight w:val="none"/>
                <w:u w:val="none"/>
                <w:lang w:val="en-US" w:eastAsia="zh-CN" w:bidi="ar"/>
              </w:rPr>
              <w:t>5</w:t>
            </w:r>
            <w:r>
              <w:rPr>
                <w:rFonts w:hint="eastAsia" w:ascii="Times New Roman" w:hAnsi="Times New Roman" w:eastAsia="宋体" w:cs="Times New Roman"/>
                <w:i w:val="0"/>
                <w:iCs w:val="0"/>
                <w:color w:val="auto"/>
                <w:kern w:val="0"/>
                <w:sz w:val="21"/>
                <w:szCs w:val="21"/>
                <w:highlight w:val="none"/>
                <w:u w:val="none"/>
                <w:lang w:val="en-US" w:eastAsia="zh-CN" w:bidi="ar"/>
              </w:rPr>
              <w:t>9</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2EA0340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北村二桥-下行</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77EA8F0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1348.904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220391F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G324</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2F7A5C63">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46.54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3DB753C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中桥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3A4E8C7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空心板梁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3335598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汽车-超20级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64C9228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岑溪公路养护中心</w:t>
            </w:r>
          </w:p>
        </w:tc>
      </w:tr>
      <w:tr w14:paraId="49A44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387C75F7">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60</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75B971A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北村一桥-下行</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3441474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1349.934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5005C50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G324</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13885BFA">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64.00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15A1143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中桥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1750A2A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空心板梁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1E036A0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汽车-超20级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77ED86B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岑溪公路养护中心</w:t>
            </w:r>
          </w:p>
        </w:tc>
      </w:tr>
      <w:tr w14:paraId="0D67D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693E11EF">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61</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67CD7F6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河口中桥-下行</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5BB05C3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1356.271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4805DA0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G324</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5D0973E0">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69.43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0E3F7FE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中桥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3EB7CBB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空心板梁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395D4F3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汽车-超20级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024E391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岑溪公路养护中心</w:t>
            </w:r>
          </w:p>
        </w:tc>
      </w:tr>
      <w:tr w14:paraId="3F064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6215116C">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62</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7FAD73D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都功中桥-下行</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3EB1CE5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1359.203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2292663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G324</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489B83EB">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64.25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74BEBFF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中桥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67EE60C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空心板梁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36314A1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汽车-超20级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2B2ADCE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岑溪公路养护中心</w:t>
            </w:r>
          </w:p>
        </w:tc>
      </w:tr>
      <w:tr w14:paraId="563D2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655F1919">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63</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62F20F4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金鸡桥(拼宽右幅)</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5671B9A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1328.880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52A8E47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G324</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3BDE7CB6">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107.80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44FDC8E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中桥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3A35B89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空心板梁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7E6C342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汽车-20级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456BE39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岑溪公路养护中心</w:t>
            </w:r>
          </w:p>
        </w:tc>
      </w:tr>
      <w:tr w14:paraId="2A14B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6D07E0D0">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64</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6E69C62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北村三桥-上行</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47BA7F4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1348.460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213D740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G324</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3C791554">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46.54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5F4A19C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中桥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10F8BD7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空心板梁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0DDFF7B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汽车-超20级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6A5C183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岑溪公路养护中心</w:t>
            </w:r>
          </w:p>
        </w:tc>
      </w:tr>
      <w:tr w14:paraId="3897B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79D527E6">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65</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2BE5D87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北村二桥-上行</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3FF6136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1348.900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42EE94B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G324</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4D601723">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46.54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1C1812F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中桥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1EC54FD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空心板梁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4BD07F4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汽车-超20级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44EB03C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岑溪公路养护中心</w:t>
            </w:r>
          </w:p>
        </w:tc>
      </w:tr>
      <w:tr w14:paraId="0F676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4F5803F3">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66</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24BCA32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北村一桥-上行</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7E4AC09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1349.930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0EE839E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G324</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3FA2D3C2">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64.00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0590163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中桥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2F5DFE4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空心板梁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454CF9C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汽车-超20级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5F590DE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岑溪公路养护中心</w:t>
            </w:r>
          </w:p>
        </w:tc>
      </w:tr>
      <w:tr w14:paraId="305F9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525E83E4">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67</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37753E3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河口中桥-上行</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031E0AF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1356.270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55E895E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G324</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7B5BB250">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69.43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7E6A28C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中桥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57D77E3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空心板梁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0E67BEE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汽车-超20级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04E51C7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岑溪公路养护中心</w:t>
            </w:r>
          </w:p>
        </w:tc>
      </w:tr>
      <w:tr w14:paraId="17EAA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0C1EE9E0">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68</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62B44B3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都功中桥-上行</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1106536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1359.200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4F7D5C3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G324</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0BD877F5">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64.25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5C04A22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中桥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5C7BADB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空心板梁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1630E4F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汽车-超20级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12596DF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岑溪公路养护中心</w:t>
            </w:r>
          </w:p>
        </w:tc>
      </w:tr>
      <w:tr w14:paraId="6379B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77D7F3A6">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69</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0AD8C55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连浪桥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63F8F5A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1379.426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7981926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G355</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55871338">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87.06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2A3AD6F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中桥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36AE8C9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箱形梁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1825296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公路Ⅰ级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3732C7C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苍梧公路养护中心</w:t>
            </w:r>
          </w:p>
        </w:tc>
      </w:tr>
      <w:tr w14:paraId="664CC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5C1673DD">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70</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58A8541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六堡二号桥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263332E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1390.039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2E84D43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G355</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42EE3F1E">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87.06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7DC0CE6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中桥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10F8C27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箱形梁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7CF5063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公路Ⅰ级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520737E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苍梧公路养护中心</w:t>
            </w:r>
          </w:p>
        </w:tc>
      </w:tr>
      <w:tr w14:paraId="424A4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6373E717">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71</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402B8A4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大中村桥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3A213D3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1391.293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7EBDD77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G355</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3AFB7777">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70.06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4DECCF4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中桥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054B8C1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箱形梁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3E076AF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公路Ⅰ级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332B09A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苍梧公路养护中心</w:t>
            </w:r>
          </w:p>
        </w:tc>
      </w:tr>
      <w:tr w14:paraId="32877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4B4754D9">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72</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5B40796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安乐二号桥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277A636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1415.266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5A077AA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G355</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30FBA3DC">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72.06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28E41A7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中桥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45B5F03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箱形梁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4B64D2F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公路Ⅰ级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7F61DDE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苍梧公路养护中心</w:t>
            </w:r>
          </w:p>
        </w:tc>
      </w:tr>
      <w:tr w14:paraId="31266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413DEA70">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73</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1BF0457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新圩桥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6AB7354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1585.064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585F445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G355</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7A19E54D">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26.04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5DA1BB2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中桥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4B5327B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箱形梁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664FAF8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公路Ⅰ级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1ABD2F4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蒙山公路养护中心</w:t>
            </w:r>
          </w:p>
        </w:tc>
      </w:tr>
      <w:tr w14:paraId="112C3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1EA38A02">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74</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7B9F5A4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玉村中桥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518822B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1586.728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3844233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G355</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3F82F7AC">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40.04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76EC8F6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中桥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2E3153B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箱形梁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61837D8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公路Ⅰ级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04D2966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蒙山公路养护中心</w:t>
            </w:r>
          </w:p>
        </w:tc>
      </w:tr>
      <w:tr w14:paraId="50225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53D1ABA5">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75</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2B7284E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荷村中桥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2D45954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1588.145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23F1265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G355</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6F8F01BF">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48.04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639828F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中桥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0B5FEEC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箱形梁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5158DAB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公路Ⅰ级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4DEED9E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蒙山公路养护中心</w:t>
            </w:r>
          </w:p>
        </w:tc>
      </w:tr>
      <w:tr w14:paraId="382F6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5158C76F">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76</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3F77EAA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新圩桥（拼宽右幅）</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3B61037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1585.064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5686C69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G355</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2774A037">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26.04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4464111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中桥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5FB2CED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箱形梁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0E04DBE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公路Ⅰ级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4BE6041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蒙山公路养护中心</w:t>
            </w:r>
          </w:p>
        </w:tc>
      </w:tr>
      <w:tr w14:paraId="4D424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7131EB1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rPr>
            </w:pPr>
            <w:r>
              <w:rPr>
                <w:rFonts w:hint="default" w:ascii="Times New Roman" w:hAnsi="Times New Roman" w:eastAsia="宋体" w:cs="Times New Roman"/>
                <w:i w:val="0"/>
                <w:iCs w:val="0"/>
                <w:color w:val="auto"/>
                <w:kern w:val="0"/>
                <w:sz w:val="21"/>
                <w:szCs w:val="21"/>
                <w:highlight w:val="none"/>
                <w:u w:val="none"/>
                <w:lang w:val="en-US" w:eastAsia="zh-CN" w:bidi="ar"/>
              </w:rPr>
              <w:t>7</w:t>
            </w:r>
            <w:r>
              <w:rPr>
                <w:rFonts w:hint="eastAsia" w:ascii="Times New Roman" w:hAnsi="Times New Roman" w:eastAsia="宋体" w:cs="Times New Roman"/>
                <w:i w:val="0"/>
                <w:iCs w:val="0"/>
                <w:color w:val="auto"/>
                <w:kern w:val="0"/>
                <w:sz w:val="21"/>
                <w:szCs w:val="21"/>
                <w:highlight w:val="none"/>
                <w:u w:val="none"/>
                <w:lang w:val="en-US" w:eastAsia="zh-CN" w:bidi="ar"/>
              </w:rPr>
              <w:t>7</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73EDF38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竹山中桥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1B8AD10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1304.355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5BFEC2C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G355</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34B9A666">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40.90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2C06B8E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中桥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7F4BE1A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空心板梁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0B96836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汽车-20级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7AEFD3D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八步公路养护中心</w:t>
            </w:r>
          </w:p>
        </w:tc>
      </w:tr>
      <w:tr w14:paraId="50FA1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28442161">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78</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4638349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石耿中桥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5DD0DA8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1306.912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1C9268C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G355</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514A4026">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44.90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5D0D475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中桥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7AD7A79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整体现浇板</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30E1881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公路Ⅱ级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5D195D9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八步公路养护中心</w:t>
            </w:r>
          </w:p>
        </w:tc>
      </w:tr>
      <w:tr w14:paraId="76EDA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29E1B055">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79</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12C9F5F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大车中桥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34830E9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1308.129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7C9AFF8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G355</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56E4C458">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51.00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0F597CC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中桥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1B03A83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整体现浇板</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71354F2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公路Ⅱ级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2613D9B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八步公路养护中心</w:t>
            </w:r>
          </w:p>
        </w:tc>
      </w:tr>
      <w:tr w14:paraId="33E4C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4D0B8C30">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80</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47DFF75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牛尾中桥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655C353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1317.241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5E6A066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G355</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43BD993E">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74.40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5EB4AE4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中桥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28E8987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空心板梁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2A6D039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公路Ⅱ级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1A9E8D4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八步公路养护中心</w:t>
            </w:r>
          </w:p>
        </w:tc>
      </w:tr>
      <w:tr w14:paraId="2F57E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2C42822F">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81</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4B07F58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水细中桥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6C72446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1299.910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6B079BC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G355</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5451351C">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45.04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237C424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中桥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70A888B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箱形梁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02A4FF4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公路Ⅰ级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7FB8AA1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八步公路养护中心</w:t>
            </w:r>
          </w:p>
        </w:tc>
      </w:tr>
      <w:tr w14:paraId="61FD6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7946AAA5">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82</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72BE111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平寨桥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1FA863D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1483.822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6C86499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G355</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5DB98C63">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27.24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3C82151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中桥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3AC9236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箱形梁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6B4EEEA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公路Ⅱ级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654C835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昭平公路养护中心</w:t>
            </w:r>
          </w:p>
        </w:tc>
      </w:tr>
      <w:tr w14:paraId="21F2E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7FB3F57C">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83</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23267FE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新庆桥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4BD7AD3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1486.759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4B7434F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G355</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665FA5E4">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42.00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79F7B54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中桥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1DC6F81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空心板梁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05647D7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公路Ⅱ级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057A976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昭平公路养护中心</w:t>
            </w:r>
          </w:p>
        </w:tc>
      </w:tr>
      <w:tr w14:paraId="1599D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2C51600B">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84</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3ECEE54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礼仪桥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44B62C8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1488.437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07FF4B5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G355</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1E593DB3">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78.00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7FD6603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中桥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1685B13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箱形梁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2EC31F1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公路Ⅱ级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307C685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昭平公路养护中心</w:t>
            </w:r>
          </w:p>
        </w:tc>
      </w:tr>
      <w:tr w14:paraId="549DF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15849DE5">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85</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717E5DB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古袍桥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6E72AB7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1490.403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475D503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G355</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4CB951D8">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99.00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10BD761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中桥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537C837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整体现浇板</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643CBB1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汽车-超20级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5125A5D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昭平公路养护中心</w:t>
            </w:r>
          </w:p>
        </w:tc>
      </w:tr>
      <w:tr w14:paraId="1FF5E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5DBF51AD">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86</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5A1362D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下白沙桥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28AAD5D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1493.833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61F5390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G355</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6C7E917F">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54.58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73608ED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中桥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2F261C8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板拱</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792DDA4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汽车-超20级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4D9C55B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昭平公路养护中心</w:t>
            </w:r>
          </w:p>
        </w:tc>
      </w:tr>
      <w:tr w14:paraId="0069C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1FB07B39">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87</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7CB5766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上白沙桥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27F0D4B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1494.500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2E065D7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G355</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6262F5F2">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55.64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262ED91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中桥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163B019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箱形梁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350B1C0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公路Ⅱ级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6C8EE3D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昭平公路养护中心</w:t>
            </w:r>
          </w:p>
        </w:tc>
      </w:tr>
      <w:tr w14:paraId="053A5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0C470E0F">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88</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2D2AB8C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扶利桥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68F75E3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1500.011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5557542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G355</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10A073E2">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38.80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7C81389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中桥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109222F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空心板梁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673B57B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公路Ⅱ级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347B6D2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昭平公路养护中心</w:t>
            </w:r>
          </w:p>
        </w:tc>
      </w:tr>
      <w:tr w14:paraId="6874B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3639AD5E">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89</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7CAA070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五将桥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7945E14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1509.256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1639182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G355</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4C7DC16D">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45.00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23A42AA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中桥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10ECFF4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板拱</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297E1B6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汽车-15级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0953A27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昭平公路养护中心</w:t>
            </w:r>
          </w:p>
        </w:tc>
      </w:tr>
      <w:tr w14:paraId="121FE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4D41BBA9">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90</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118E5B3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富裕桥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14799F2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1523.096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7776397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G355</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4BE06AA3">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69.00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58664A4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中桥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4324CD9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双曲拱</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3BC62C0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汽车-15级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2C7ACD0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昭平公路养护中心</w:t>
            </w:r>
          </w:p>
        </w:tc>
      </w:tr>
      <w:tr w14:paraId="49CB4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0E1A2F7B">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91</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694CAB8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河口桥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1C15226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1358.366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55FFD0C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G358</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28E59B08">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70.12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15A9758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中桥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3D65815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空心板梁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66A9FB9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汽车-20级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3D981CE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藤县公路养护中心</w:t>
            </w:r>
          </w:p>
        </w:tc>
      </w:tr>
      <w:tr w14:paraId="36FDE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455DB305">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92</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6670FDA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天平中桥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67361D8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1372.598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0F232B7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G358</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7B3C3690">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48.98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4BD3179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中桥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5152B19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空心板梁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00F3364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汽车-20级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3345CE0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藤县公路养护中心</w:t>
            </w:r>
          </w:p>
        </w:tc>
      </w:tr>
      <w:tr w14:paraId="44992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2134F3BD">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93</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7A81E4D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黄塘中桥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4E9A827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1381.097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483DB2C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G358</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3902606C">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41.80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74A1A76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中桥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4C7DE09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空心板梁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2C090F5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汽车-20级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7EE1544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藤县公路养护中心</w:t>
            </w:r>
          </w:p>
        </w:tc>
      </w:tr>
      <w:tr w14:paraId="6AAAC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7B7A73A0">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94</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25FC617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新路头桥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2DB8AAD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1360.775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0558F09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G358</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0FE359B1">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51.20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2B12914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中桥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6BCF9C1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箱形梁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62FC1EF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公路Ⅰ级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48AC941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藤县公路养护中心</w:t>
            </w:r>
          </w:p>
        </w:tc>
      </w:tr>
      <w:tr w14:paraId="77483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5DA1C88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rPr>
            </w:pPr>
            <w:r>
              <w:rPr>
                <w:rFonts w:hint="default" w:ascii="Times New Roman" w:hAnsi="Times New Roman" w:eastAsia="宋体" w:cs="Times New Roman"/>
                <w:i w:val="0"/>
                <w:iCs w:val="0"/>
                <w:color w:val="auto"/>
                <w:kern w:val="0"/>
                <w:sz w:val="21"/>
                <w:szCs w:val="21"/>
                <w:highlight w:val="none"/>
                <w:u w:val="none"/>
                <w:lang w:val="en-US" w:eastAsia="zh-CN" w:bidi="ar"/>
              </w:rPr>
              <w:t>9</w:t>
            </w:r>
            <w:r>
              <w:rPr>
                <w:rFonts w:hint="eastAsia" w:ascii="Times New Roman" w:hAnsi="Times New Roman" w:eastAsia="宋体" w:cs="Times New Roman"/>
                <w:i w:val="0"/>
                <w:iCs w:val="0"/>
                <w:color w:val="auto"/>
                <w:kern w:val="0"/>
                <w:sz w:val="21"/>
                <w:szCs w:val="21"/>
                <w:highlight w:val="none"/>
                <w:u w:val="none"/>
                <w:lang w:val="en-US" w:eastAsia="zh-CN" w:bidi="ar"/>
              </w:rPr>
              <w:t>5</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5149AA7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高楼岭桥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0BCB1E8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1359.348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07C0F95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G358</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555752B7">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57.00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6EB1677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中桥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28E6A8E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箱形梁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7269C7F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公路Ⅰ级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6C67AA8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藤县公路养护中心</w:t>
            </w:r>
          </w:p>
        </w:tc>
      </w:tr>
      <w:tr w14:paraId="5E461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015A7EA1">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96</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5FBF6AF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舍山桥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6845D18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1377.355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13B6816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G358</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79EFA1DF">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37.04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110FB8B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中桥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6D1321E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箱形梁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2ACC1ED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公路Ⅰ级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7A638FC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藤县公路养护中心</w:t>
            </w:r>
          </w:p>
        </w:tc>
      </w:tr>
      <w:tr w14:paraId="15434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4CD5D6EE">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97</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140EB31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黄冲桥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7A74301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1343.881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623745C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G358</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5900D92A">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37.04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3E3A87A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中桥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5608814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箱形梁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4B17D77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公路Ⅰ级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749EA0F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藤县公路养护中心</w:t>
            </w:r>
          </w:p>
        </w:tc>
      </w:tr>
      <w:tr w14:paraId="3977F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3F3D53CB">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98</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527D63A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麦岭高速立交桥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203F6C5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53.415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75A142C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G538</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628BB19B">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77.16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003D3AA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中桥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363B4A4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连续箱梁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31EC76C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公路Ⅱ级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01FDD52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富川公路养护中心</w:t>
            </w:r>
          </w:p>
        </w:tc>
      </w:tr>
      <w:tr w14:paraId="51F08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60E0207A">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99</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6196C7E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大岩河中桥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71B7820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89.120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059CFDD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S201</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6A1972E0">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53.04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44077EB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中桥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16383F4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空心板梁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589EA77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公路Ⅱ级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42AE491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八步公路养护中心</w:t>
            </w:r>
          </w:p>
        </w:tc>
      </w:tr>
      <w:tr w14:paraId="7066D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0B108DA4">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100</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4E646EF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三官洞中桥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1C6D198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93.650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37B0551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S201</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00AD400C">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53.00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0CA2A52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中桥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1647443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空心板梁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6D17222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公路Ⅱ级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74AEFB3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昭平公路养护中心</w:t>
            </w:r>
          </w:p>
        </w:tc>
      </w:tr>
      <w:tr w14:paraId="55E51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30D49B56">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101</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15F86A8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新华1号中桥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173047A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98.823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2582AFD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S201</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731D8B32">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25.00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578AEB7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中桥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4CDC227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空心板梁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4759734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公路Ⅱ级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425CFE3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昭平公路养护中心</w:t>
            </w:r>
          </w:p>
        </w:tc>
      </w:tr>
      <w:tr w14:paraId="088CC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28FFBCC8">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102</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0B88867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新华2号中桥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6611F75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99.040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631B0BF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S201</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32937F79">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91.00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5D8792C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中桥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09B4505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空心板梁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06E2D46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公路Ⅱ级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7940899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昭平公路养护中心</w:t>
            </w:r>
          </w:p>
        </w:tc>
      </w:tr>
      <w:tr w14:paraId="786DB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4B1B7BE2">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103</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1A2F8A9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水龙中桥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541FC78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100.292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392651D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S201</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658FDD53">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29.40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1E23F18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中桥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00DC4DA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空心板梁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2CB6FD5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公路Ⅱ级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3430CEB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昭平公路养护中心</w:t>
            </w:r>
          </w:p>
        </w:tc>
      </w:tr>
      <w:tr w14:paraId="7D39A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24F782C2">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104</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67D8E9A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潮江桥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39ECE42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102.344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38871B7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S201</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0EED2E90">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82.50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2F05035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中桥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43F8701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空心板梁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4F79A24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公路Ⅱ级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678F79E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昭平公路养护中心</w:t>
            </w:r>
          </w:p>
        </w:tc>
      </w:tr>
      <w:tr w14:paraId="31927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0550DF5A">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105</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4459A9C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三合桥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2C4CB63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142.247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4F54B66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S201</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20C7705E">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55.20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3951F0D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中桥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3A277EF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空心板梁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60DFCD6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公路Ⅱ级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03051B5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昭平公路养护中心</w:t>
            </w:r>
          </w:p>
        </w:tc>
      </w:tr>
      <w:tr w14:paraId="5D0D0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1E6DE4A5">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106</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7341CBB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回龙二桥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1FAC393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147.784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3A01B78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S201</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4D28AD0C">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54.04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756D87D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中桥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5BB621C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箱形梁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59D6F25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公路Ⅰ级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203AC88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昭平公路养护中心</w:t>
            </w:r>
          </w:p>
        </w:tc>
      </w:tr>
      <w:tr w14:paraId="74EF0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3A7D6806">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107</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3BC5535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盐田桥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178680B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149.904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4866AF3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S201</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4B88F116">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35.00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1117EC7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中桥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4C6FF78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板拱</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460056E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公路Ⅱ级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65C59E1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昭平公路养护中心</w:t>
            </w:r>
          </w:p>
        </w:tc>
      </w:tr>
      <w:tr w14:paraId="0522F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486CEF91">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108</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3A0976B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垭头桥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22D3DA3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164.748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2733D09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S201</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7E3CDFDB">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26.04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422F0AA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中桥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76E9D6E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箱形梁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47C499C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公路Ⅰ级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05CBBDF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昭平公路养护中心</w:t>
            </w:r>
          </w:p>
        </w:tc>
      </w:tr>
      <w:tr w14:paraId="3538A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65B3B213">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109</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232A75D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木格桥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1D43594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167.836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5A83005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S201</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115FD3B1">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46.00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3342C87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中桥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77ABE81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箱形梁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0E90FFB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公路Ⅰ级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0D55E99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昭平公路养护中心</w:t>
            </w:r>
          </w:p>
        </w:tc>
      </w:tr>
      <w:tr w14:paraId="68599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686095FC">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110</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67D4224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古莲桥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59C4655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109.109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1659B64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S201</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02E58D82">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40.00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2947F1A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中桥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0DAE573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箱形梁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6A5ED42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公路Ⅰ级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569ED2E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昭平公路养护中心</w:t>
            </w:r>
          </w:p>
        </w:tc>
      </w:tr>
      <w:tr w14:paraId="49360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70371DB3">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111</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5A6F9E3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四维桥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1AA61B6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118.848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0DB5BA6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S201</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205A547D">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30.00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79048F6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中桥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08D3440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箱形梁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38B6B5E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公路Ⅰ级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0DED2FE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昭平公路养护中心</w:t>
            </w:r>
          </w:p>
        </w:tc>
      </w:tr>
      <w:tr w14:paraId="71E56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1B105516">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112</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561E1A1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石龙桥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3BEE6AE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57.480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5FA9C95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S201</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270E6B16">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52.70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6190271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中桥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2A58DF4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板拱</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6F34F81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汽车-15级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5533367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钟山公路养护中心</w:t>
            </w:r>
          </w:p>
        </w:tc>
      </w:tr>
      <w:tr w14:paraId="517BB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74B6C07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rPr>
            </w:pPr>
            <w:r>
              <w:rPr>
                <w:rFonts w:hint="default" w:ascii="Times New Roman" w:hAnsi="Times New Roman" w:eastAsia="宋体" w:cs="Times New Roman"/>
                <w:i w:val="0"/>
                <w:iCs w:val="0"/>
                <w:color w:val="auto"/>
                <w:kern w:val="0"/>
                <w:sz w:val="21"/>
                <w:szCs w:val="21"/>
                <w:highlight w:val="none"/>
                <w:u w:val="none"/>
                <w:lang w:val="en-US" w:eastAsia="zh-CN" w:bidi="ar"/>
              </w:rPr>
              <w:t>11</w:t>
            </w:r>
            <w:r>
              <w:rPr>
                <w:rFonts w:hint="eastAsia" w:ascii="Times New Roman" w:hAnsi="Times New Roman" w:eastAsia="宋体" w:cs="Times New Roman"/>
                <w:i w:val="0"/>
                <w:iCs w:val="0"/>
                <w:color w:val="auto"/>
                <w:kern w:val="0"/>
                <w:sz w:val="21"/>
                <w:szCs w:val="21"/>
                <w:highlight w:val="none"/>
                <w:u w:val="none"/>
                <w:lang w:val="en-US" w:eastAsia="zh-CN" w:bidi="ar"/>
              </w:rPr>
              <w:t>3</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6075A72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井山中桥-下行</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3EC209B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16.900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7CE9A0D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S201</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47BB8E3E">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30.00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0C691EB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中桥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283C0F2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箱形梁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1DC33D5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公路Ⅰ级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63D8888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富川公路养护中心</w:t>
            </w:r>
          </w:p>
        </w:tc>
      </w:tr>
      <w:tr w14:paraId="36091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799D9CD7">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114</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72C1136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莲山一桥-下行</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41896E9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9.632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6F70D7F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S201</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776FC2AE">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28.00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7BF6147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中桥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3E76F45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箱形梁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783090B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公路Ⅰ级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44E61C7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富川公路养护中心</w:t>
            </w:r>
          </w:p>
        </w:tc>
      </w:tr>
      <w:tr w14:paraId="02862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7766358F">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115</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27EC03A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莲山二桥-下行</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2B04F90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8.294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51AA807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S201</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1D7D2D08">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56.00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48725DE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中桥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55192B5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箱形梁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55DCD5F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公路Ⅰ级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01C87D9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富川公路养护中心</w:t>
            </w:r>
          </w:p>
        </w:tc>
      </w:tr>
      <w:tr w14:paraId="1EFA6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6DCC875D">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116</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2836E38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东庄一桥-下行</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44EB644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6.392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295E5E0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S201</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7BD956C1">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67.50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23B7E96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中桥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30E57C1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箱形梁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473AC45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公路Ⅰ级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1049932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富川公路养护中心</w:t>
            </w:r>
          </w:p>
        </w:tc>
      </w:tr>
      <w:tr w14:paraId="4CDC9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2DBFAFB0">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117</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16BA7D6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东庄二桥-下行</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163BFA8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5.443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6AF459A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S201</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3FD92911">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28.00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24548C3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中桥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5CE4D37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箱形梁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0232EC5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公路Ⅰ级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2419E1A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富川公路养护中心</w:t>
            </w:r>
          </w:p>
        </w:tc>
      </w:tr>
      <w:tr w14:paraId="01870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5B628FE2">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118</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118B21B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富阳中桥-下行</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09E1620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1.088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718F1D0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S201</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04F62D40">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48.00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5F3B45B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中桥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554E1A6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箱形梁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4159961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公路Ⅰ级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434FB12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富川公路养护中心</w:t>
            </w:r>
          </w:p>
        </w:tc>
      </w:tr>
      <w:tr w14:paraId="7EAD1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74C0ED86">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119</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1DA7972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富阳中桥-上行</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404F1D6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1.107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0C6446E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S201</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05B0A4C5">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48.00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0BA4ECE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中桥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54E8F44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箱形梁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3A1AF25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公路Ⅰ级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2B9BD23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富川公路养护中心</w:t>
            </w:r>
          </w:p>
        </w:tc>
      </w:tr>
      <w:tr w14:paraId="0E4CA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471634B4">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120</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022C254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东庄二桥-上行</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351BFEB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5.440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778F020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S201</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24B2EE40">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28.00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22BC056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中桥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5888136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箱形梁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1DA6B2D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公路Ⅰ级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5E79D2C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富川公路养护中心</w:t>
            </w:r>
          </w:p>
        </w:tc>
      </w:tr>
      <w:tr w14:paraId="482D4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70A72396">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121</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483ACF2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东庄一桥-上行</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4FD963B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6.382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5E4B81A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S201</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2D888A6D">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67.50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769D792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中桥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2C9A9E1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箱形梁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79BA8F9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公路Ⅰ级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3A8D181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富川公路养护中心</w:t>
            </w:r>
          </w:p>
        </w:tc>
      </w:tr>
      <w:tr w14:paraId="12712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3D14D851">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122</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707F339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莲山二桥-上行</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263DE98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8.256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17EF72E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S201</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1FAEFAB8">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56.00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4EFB910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中桥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68152E8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箱形梁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4D770E9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公路Ⅰ级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4A4E496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富川公路养护中心</w:t>
            </w:r>
          </w:p>
        </w:tc>
      </w:tr>
      <w:tr w14:paraId="245CF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3D6DFB0F">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123</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56DA30A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莲山一桥-上行</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4F19341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9.641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3C966C0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S201</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720DDB05">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28.00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09E55EF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中桥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108667C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箱形梁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22386F4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公路Ⅰ级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1F422B2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富川公路养护中心</w:t>
            </w:r>
          </w:p>
        </w:tc>
      </w:tr>
      <w:tr w14:paraId="495C8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2D02D0C0">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124</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2E52CB1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井山中桥-上行</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4D6FDC7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16.900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6865517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S201</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17A7BD90">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30.00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30FD6FD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中桥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19641CC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箱形梁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1C0EB9A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公路Ⅰ级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20762BA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富川公路养护中心</w:t>
            </w:r>
          </w:p>
        </w:tc>
      </w:tr>
      <w:tr w14:paraId="1B512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3EAE7AC9">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125</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7D81B5D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深水桥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3A7C5D5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6.362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018EBC9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S203</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4FFAE861">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56.00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6B33FE5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中桥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4C57113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空心板梁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060E749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公路Ⅱ级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4857606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藤县公路养护中心</w:t>
            </w:r>
          </w:p>
        </w:tc>
      </w:tr>
      <w:tr w14:paraId="6F50F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7BC2BF61">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126</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1CDD8E3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秀才桥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76F1341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2.841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327B6EA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S204</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02A5428F">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58.04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3E94D17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中桥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04DCB5C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箱形梁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429658D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公路Ⅰ级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672BEC1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蒙山公路养护中心</w:t>
            </w:r>
          </w:p>
        </w:tc>
      </w:tr>
      <w:tr w14:paraId="0B6EE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145D88C4">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127</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5F1E6B0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柳家高速立交桥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1E5F95A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44.028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1309214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S302</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6B6F920A">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75.06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589972E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中桥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3D9FB67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连续箱梁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080845A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公路Ⅱ级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1B5764C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富川公路养护中心</w:t>
            </w:r>
          </w:p>
        </w:tc>
      </w:tr>
      <w:tr w14:paraId="7A104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20E75301">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128</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48BE559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龙潭桥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65EF7AE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20.016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735BA08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S304</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69B8678A">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54.00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0A7DC71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中桥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0B6144E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空心板梁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53650EF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汽车-20级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2EA5220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苍梧公路养护中心</w:t>
            </w:r>
          </w:p>
        </w:tc>
      </w:tr>
      <w:tr w14:paraId="2AA6D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57B2B22F">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129</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6FF1855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福传桥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0D86F21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33.138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22EE5C2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S304</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32ED520E">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41.50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2ED362B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中桥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4320198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板拱</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07DD114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汽车-20级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2B8C1D7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苍梧公路养护中心</w:t>
            </w:r>
          </w:p>
        </w:tc>
      </w:tr>
      <w:tr w14:paraId="4CBA1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11F8D785">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130</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70385AF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外良桥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31CFA99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77.005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3BCF177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S304</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299B6B27">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41.50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39C32B2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中桥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646F39C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板拱</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02BFE3F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汽车-10级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6FF42BF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藤县公路养护中心</w:t>
            </w:r>
          </w:p>
        </w:tc>
      </w:tr>
      <w:tr w14:paraId="53D63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2EA9E7E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rPr>
            </w:pPr>
            <w:r>
              <w:rPr>
                <w:rFonts w:hint="default" w:ascii="Times New Roman" w:hAnsi="Times New Roman" w:eastAsia="宋体" w:cs="Times New Roman"/>
                <w:i w:val="0"/>
                <w:iCs w:val="0"/>
                <w:color w:val="auto"/>
                <w:kern w:val="0"/>
                <w:sz w:val="21"/>
                <w:szCs w:val="21"/>
                <w:highlight w:val="none"/>
                <w:u w:val="none"/>
                <w:lang w:val="en-US" w:eastAsia="zh-CN" w:bidi="ar"/>
              </w:rPr>
              <w:t>13</w:t>
            </w:r>
            <w:r>
              <w:rPr>
                <w:rFonts w:hint="eastAsia" w:ascii="Times New Roman" w:hAnsi="Times New Roman" w:eastAsia="宋体" w:cs="Times New Roman"/>
                <w:i w:val="0"/>
                <w:iCs w:val="0"/>
                <w:color w:val="auto"/>
                <w:kern w:val="0"/>
                <w:sz w:val="21"/>
                <w:szCs w:val="21"/>
                <w:highlight w:val="none"/>
                <w:u w:val="none"/>
                <w:lang w:val="en-US" w:eastAsia="zh-CN" w:bidi="ar"/>
              </w:rPr>
              <w:t>1</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359EB61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翰塘中桥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3A7D127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44.558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1585400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S310</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5FA3F029">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45.05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6363D5C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中桥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3D76375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箱形梁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6E49D41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公路Ⅰ级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1CDE264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藤县公路养护中心</w:t>
            </w:r>
          </w:p>
        </w:tc>
      </w:tr>
      <w:tr w14:paraId="76AD8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6C2D7E87">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132</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0D793C7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大竹中桥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5C09BD5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0.968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42344FB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S310</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6CD823DB">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70.04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559F349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中桥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2563233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箱形梁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0B34CA6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公路Ⅰ级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2E26056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岑溪公路养护中心</w:t>
            </w:r>
          </w:p>
        </w:tc>
      </w:tr>
      <w:tr w14:paraId="1BFC4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781BA478">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133</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342DCC9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上道中桥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09F8CDC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17.170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38BEA3E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S310</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0E3E0F89">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102.12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570ACD5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中桥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54B8269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箱形梁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5736A5A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公路Ⅰ级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247FE2B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岑溪公路养护中心</w:t>
            </w:r>
          </w:p>
        </w:tc>
      </w:tr>
      <w:tr w14:paraId="2939C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3569B788">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134</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7F2455A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旺山口中桥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78B28F9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18.515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668A04A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S310</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30B61CFB">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45.05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4D35D3E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中桥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2CC6E5F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箱形梁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2FD956B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公路Ⅰ级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4A1EFCE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岑溪公路养护中心</w:t>
            </w:r>
          </w:p>
        </w:tc>
      </w:tr>
      <w:tr w14:paraId="7C95C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0A56CB07">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135</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1895F10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潮江中桥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7403903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52.451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228CB0A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S503</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2D2BA5E3">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44.04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498A74C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中桥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1302055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空心板梁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44666DA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公路Ⅱ级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7D93C0C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昭平公路养护中心</w:t>
            </w:r>
          </w:p>
        </w:tc>
      </w:tr>
      <w:tr w14:paraId="3DE4C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791DDC08">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136</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2304BB1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武田中桥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04FF30D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57.781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28F8AEC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S503</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78214A6E">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53.04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7234B2D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中桥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0892880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空心板梁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38B6A9F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公路Ⅱ级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012A724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昭平公路养护中心</w:t>
            </w:r>
          </w:p>
        </w:tc>
      </w:tr>
      <w:tr w14:paraId="7B728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1BDF4465">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137</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68EA5C8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毕头中桥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6458CB7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59.111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120038C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S503</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49099EFB">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44.04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307254E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中桥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272D1C2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空心板梁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6477B87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公路Ⅱ级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5CF50D9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昭平公路养护中心</w:t>
            </w:r>
          </w:p>
        </w:tc>
      </w:tr>
      <w:tr w14:paraId="707E3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05ED3B02">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138</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5F519FB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接米一号中桥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6653DFC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78.156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32099B3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S503</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2609BE5F">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37.00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50E83B9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中桥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02FC98B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空心板梁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0F65E8D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公路Ⅱ级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124B761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昭平公路养护中心</w:t>
            </w:r>
          </w:p>
        </w:tc>
      </w:tr>
      <w:tr w14:paraId="66CCA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688D4806">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139</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697B877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接米二号桥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23470F7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79.126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4DDB27B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S503</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3E2FF717">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44.00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0F09612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中桥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323159E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空心板梁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6744652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公路Ⅱ级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1C604EB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昭平公路养护中心</w:t>
            </w:r>
          </w:p>
        </w:tc>
      </w:tr>
      <w:tr w14:paraId="4ADA3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09926E1E">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140</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75B08D0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东坪冲中桥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503F1CD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80.992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573B60E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S503</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1F335B96">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53.00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429FD41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中桥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41EE81C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空心板梁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7921FCC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公路Ⅱ级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64F73B8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昭平公路养护中心</w:t>
            </w:r>
          </w:p>
        </w:tc>
      </w:tr>
      <w:tr w14:paraId="1BD57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05318AC0">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141</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54583BB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河步桥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08B213D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9.803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5EEED7B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S505</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7B390DCD">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74.00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1B03947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中桥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7250BEE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空心板梁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1BCEE1A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公路Ⅱ级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66BA18F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苍梧公路养护中心</w:t>
            </w:r>
          </w:p>
        </w:tc>
      </w:tr>
      <w:tr w14:paraId="568ED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6BED7DEE">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142</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3A780C0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新地中桥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66DF26F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43.169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515C66D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S505</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401F87C0">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54.04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0F54D41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中桥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5CFB883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箱形梁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6F69C95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公路Ⅰ级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6F40A2C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苍梧公路养护中心</w:t>
            </w:r>
          </w:p>
        </w:tc>
      </w:tr>
      <w:tr w14:paraId="3E29E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0FFAB51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rPr>
            </w:pPr>
            <w:r>
              <w:rPr>
                <w:rFonts w:hint="default" w:ascii="Times New Roman" w:hAnsi="Times New Roman" w:eastAsia="宋体" w:cs="Times New Roman"/>
                <w:i w:val="0"/>
                <w:iCs w:val="0"/>
                <w:color w:val="auto"/>
                <w:kern w:val="0"/>
                <w:sz w:val="21"/>
                <w:szCs w:val="21"/>
                <w:highlight w:val="none"/>
                <w:u w:val="none"/>
                <w:lang w:val="en-US" w:eastAsia="zh-CN" w:bidi="ar"/>
              </w:rPr>
              <w:t>14</w:t>
            </w:r>
            <w:r>
              <w:rPr>
                <w:rFonts w:hint="eastAsia" w:ascii="Times New Roman" w:hAnsi="Times New Roman" w:eastAsia="宋体" w:cs="Times New Roman"/>
                <w:i w:val="0"/>
                <w:iCs w:val="0"/>
                <w:color w:val="auto"/>
                <w:kern w:val="0"/>
                <w:sz w:val="21"/>
                <w:szCs w:val="21"/>
                <w:highlight w:val="none"/>
                <w:u w:val="none"/>
                <w:lang w:val="en-US" w:eastAsia="zh-CN" w:bidi="ar"/>
              </w:rPr>
              <w:t>3</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3254155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石河中桥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7F13AD0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3.767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3819BE0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S508</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39795241">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87.10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632941C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中桥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46A6F9C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箱形梁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3B223DD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公路Ⅱ级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0C81B1C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岑溪公路养护中心</w:t>
            </w:r>
          </w:p>
        </w:tc>
      </w:tr>
      <w:tr w14:paraId="125E3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1249EEFE">
            <w:pPr>
              <w:jc w:val="center"/>
              <w:rPr>
                <w:rFonts w:hint="default" w:ascii="Times New Roman" w:hAnsi="Times New Roman" w:eastAsia="宋体" w:cs="Times New Roman"/>
                <w:b/>
                <w:bCs/>
                <w:i w:val="0"/>
                <w:iCs w:val="0"/>
                <w:color w:val="auto"/>
                <w:sz w:val="21"/>
                <w:szCs w:val="21"/>
                <w:highlight w:val="none"/>
                <w:u w:val="none"/>
              </w:rPr>
            </w:pP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3AB58532">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中桥14</w:t>
            </w:r>
            <w:r>
              <w:rPr>
                <w:rFonts w:hint="eastAsia" w:ascii="Times New Roman" w:hAnsi="Times New Roman" w:eastAsia="宋体" w:cs="Times New Roman"/>
                <w:b/>
                <w:bCs/>
                <w:i w:val="0"/>
                <w:iCs w:val="0"/>
                <w:color w:val="auto"/>
                <w:kern w:val="0"/>
                <w:sz w:val="21"/>
                <w:szCs w:val="21"/>
                <w:highlight w:val="none"/>
                <w:u w:val="none"/>
                <w:lang w:val="en-US" w:eastAsia="zh-CN" w:bidi="ar"/>
              </w:rPr>
              <w:t>3</w:t>
            </w:r>
            <w:r>
              <w:rPr>
                <w:rFonts w:hint="default" w:ascii="Times New Roman" w:hAnsi="Times New Roman" w:eastAsia="宋体" w:cs="Times New Roman"/>
                <w:b/>
                <w:bCs/>
                <w:i w:val="0"/>
                <w:iCs w:val="0"/>
                <w:color w:val="auto"/>
                <w:kern w:val="0"/>
                <w:sz w:val="21"/>
                <w:szCs w:val="21"/>
                <w:highlight w:val="none"/>
                <w:u w:val="none"/>
                <w:lang w:val="en-US" w:eastAsia="zh-CN" w:bidi="ar"/>
              </w:rPr>
              <w:t>座</w:t>
            </w:r>
          </w:p>
        </w:tc>
        <w:tc>
          <w:tcPr>
            <w:tcW w:w="982" w:type="pct"/>
            <w:gridSpan w:val="2"/>
            <w:tcBorders>
              <w:top w:val="single" w:color="000000" w:sz="4" w:space="0"/>
              <w:left w:val="single" w:color="000000" w:sz="4" w:space="0"/>
              <w:bottom w:val="single" w:color="000000" w:sz="4" w:space="0"/>
              <w:right w:val="single" w:color="000000" w:sz="4" w:space="0"/>
            </w:tcBorders>
            <w:noWrap w:val="0"/>
            <w:vAlign w:val="center"/>
          </w:tcPr>
          <w:p w14:paraId="22781E12">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中桥数量合计</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2AB13648">
            <w:pPr>
              <w:keepNext w:val="0"/>
              <w:keepLines w:val="0"/>
              <w:widowControl/>
              <w:suppressLineNumbers w:val="0"/>
              <w:jc w:val="right"/>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80</w:t>
            </w:r>
            <w:r>
              <w:rPr>
                <w:rFonts w:hint="eastAsia" w:ascii="Times New Roman" w:hAnsi="Times New Roman" w:eastAsia="宋体" w:cs="Times New Roman"/>
                <w:b/>
                <w:bCs/>
                <w:i w:val="0"/>
                <w:iCs w:val="0"/>
                <w:color w:val="auto"/>
                <w:kern w:val="0"/>
                <w:sz w:val="21"/>
                <w:szCs w:val="21"/>
                <w:highlight w:val="none"/>
                <w:u w:val="none"/>
                <w:lang w:val="en-US" w:eastAsia="zh-CN" w:bidi="ar"/>
              </w:rPr>
              <w:t>67</w:t>
            </w:r>
            <w:r>
              <w:rPr>
                <w:rFonts w:hint="default" w:ascii="Times New Roman" w:hAnsi="Times New Roman" w:eastAsia="宋体" w:cs="Times New Roman"/>
                <w:b/>
                <w:bCs/>
                <w:i w:val="0"/>
                <w:iCs w:val="0"/>
                <w:color w:val="auto"/>
                <w:kern w:val="0"/>
                <w:sz w:val="21"/>
                <w:szCs w:val="21"/>
                <w:highlight w:val="none"/>
                <w:u w:val="none"/>
                <w:lang w:val="en-US" w:eastAsia="zh-CN" w:bidi="ar"/>
              </w:rPr>
              <w:t xml:space="preserve">.52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6DF01B99">
            <w:pPr>
              <w:jc w:val="center"/>
              <w:rPr>
                <w:rFonts w:hint="default" w:ascii="Times New Roman" w:hAnsi="Times New Roman" w:eastAsia="宋体" w:cs="Times New Roman"/>
                <w:i w:val="0"/>
                <w:iCs w:val="0"/>
                <w:color w:val="auto"/>
                <w:sz w:val="21"/>
                <w:szCs w:val="21"/>
                <w:highlight w:val="none"/>
                <w:u w:val="none"/>
              </w:rPr>
            </w:pP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391A7678">
            <w:pPr>
              <w:jc w:val="center"/>
              <w:rPr>
                <w:rFonts w:hint="default" w:ascii="Times New Roman" w:hAnsi="Times New Roman" w:eastAsia="宋体" w:cs="Times New Roman"/>
                <w:i w:val="0"/>
                <w:iCs w:val="0"/>
                <w:color w:val="auto"/>
                <w:sz w:val="21"/>
                <w:szCs w:val="21"/>
                <w:highlight w:val="none"/>
                <w:u w:val="none"/>
              </w:rPr>
            </w:pP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71B15D58">
            <w:pPr>
              <w:jc w:val="center"/>
              <w:rPr>
                <w:rFonts w:hint="default" w:ascii="Times New Roman" w:hAnsi="Times New Roman" w:eastAsia="宋体" w:cs="Times New Roman"/>
                <w:i w:val="0"/>
                <w:iCs w:val="0"/>
                <w:color w:val="auto"/>
                <w:sz w:val="21"/>
                <w:szCs w:val="21"/>
                <w:highlight w:val="none"/>
                <w:u w:val="none"/>
              </w:rPr>
            </w:pP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5237D782">
            <w:pPr>
              <w:jc w:val="center"/>
              <w:rPr>
                <w:rFonts w:hint="default" w:ascii="Times New Roman" w:hAnsi="Times New Roman" w:eastAsia="宋体" w:cs="Times New Roman"/>
                <w:i w:val="0"/>
                <w:iCs w:val="0"/>
                <w:color w:val="auto"/>
                <w:sz w:val="21"/>
                <w:szCs w:val="21"/>
                <w:highlight w:val="none"/>
                <w:u w:val="none"/>
              </w:rPr>
            </w:pPr>
          </w:p>
        </w:tc>
      </w:tr>
      <w:tr w14:paraId="6DC56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392EE08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27A4044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太平桥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6B9EAB3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3751.079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45A84E0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G207</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56C76EAE">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12.00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2D61346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小桥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51032C6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整体现浇板</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3A3FA24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公路Ⅱ级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20199B5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苍梧公路养护中心</w:t>
            </w:r>
          </w:p>
        </w:tc>
      </w:tr>
      <w:tr w14:paraId="26436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53962D9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1761773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尚义桥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2261425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3633.926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191E5D6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G207</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1769BD8A">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15.30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245B2CA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小桥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6648002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整体现浇板</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62D0985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公路Ⅰ级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24A98DF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苍梧公路养护中心</w:t>
            </w:r>
          </w:p>
        </w:tc>
      </w:tr>
      <w:tr w14:paraId="01AA2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58A5B60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3</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7396CC3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金桥一桥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3900ACB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3635.846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4423B52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G207</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7917E764">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15.80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6B7B485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小桥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2BF34AB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整体现浇板</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052BBE9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汽车-20级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0105C93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苍梧公路养护中心</w:t>
            </w:r>
          </w:p>
        </w:tc>
      </w:tr>
      <w:tr w14:paraId="6C74F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1072243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4</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27B8592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石塘桥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62CF378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3644.138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20BB597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G207</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3ABB599F">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18.00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5141D9B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小桥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2A5DD6A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整体现浇板</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6F941EB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公路Ⅰ级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71A0197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苍梧公路养护中心</w:t>
            </w:r>
          </w:p>
        </w:tc>
      </w:tr>
      <w:tr w14:paraId="29266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159BC08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5</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7EAF6AF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牛骨桥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27193A6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3645.679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1B3A60E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G207</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2A8F5D14">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29.78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5D451A5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小桥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5570432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空心板梁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555D96F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汽车-20级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7C531DD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苍梧公路养护中心</w:t>
            </w:r>
          </w:p>
        </w:tc>
      </w:tr>
      <w:tr w14:paraId="09789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386C5AD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6</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13C0FB6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石桥桥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6C60B7C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3653.924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3D7D7F6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G207</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38665A54">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32.95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3FCEBB2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小桥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1861ED1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板拱</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28C1947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公路Ⅰ级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538C638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苍梧公路养护中心</w:t>
            </w:r>
          </w:p>
        </w:tc>
      </w:tr>
      <w:tr w14:paraId="67735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523C83C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7</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0C6E599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清境桥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2249566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3679.109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34E13AC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G207</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408C375A">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12.74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21A37C9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小桥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2C3D1BC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整体现浇板</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3370975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汽车-20级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5F35B29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苍梧公路养护中心</w:t>
            </w:r>
          </w:p>
        </w:tc>
      </w:tr>
      <w:tr w14:paraId="4C297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046515E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8</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32353DD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老义2号桥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5271BA7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3680.734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614F53B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G207</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0A0F96AB">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12.00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6AB5DC3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小桥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1DBA9E5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整体现浇板</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72DCDD4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公路Ⅰ级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17E06A4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苍梧公路养护中心</w:t>
            </w:r>
          </w:p>
        </w:tc>
      </w:tr>
      <w:tr w14:paraId="65E16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255A57F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9</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3CAD198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古邓2号桥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4E43432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3686.536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6A65FBE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G207</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7E052E9C">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18.10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73FF2D9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小桥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2DF857B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整体现浇板</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6FDEA68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汽车-20级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44D869B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苍梧公路养护中心</w:t>
            </w:r>
          </w:p>
        </w:tc>
      </w:tr>
      <w:tr w14:paraId="67B42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09D78DA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10</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154DA4C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古邓1号桥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7B5971A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3687.030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2E5768F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G207</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7624AE4D">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26.00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4FC45B1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小桥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0F51E1D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空心板梁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16FD3F7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汽车-20级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0FAFC1F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苍梧公路养护中心</w:t>
            </w:r>
          </w:p>
        </w:tc>
      </w:tr>
      <w:tr w14:paraId="6B7F3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613509B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11</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13B9CFF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四新桥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71E1563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3694.532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65A652B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G207</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7D8FCFEF">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27.00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0D7CF35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小桥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06F3963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双曲拱</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0D70810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汽车-20级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0B8B702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苍梧公路养护中心</w:t>
            </w:r>
          </w:p>
        </w:tc>
      </w:tr>
      <w:tr w14:paraId="1B427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7F69A40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12</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4366AD4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金桥一桥(拼宽右幅)</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7EAAB4F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3635.850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09481C7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G207</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2462EDFE">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15.80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4524E1D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小桥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2BF1256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空心板梁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27E8E09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汽车-20级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7DB63C8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苍梧公路养护中心</w:t>
            </w:r>
          </w:p>
        </w:tc>
      </w:tr>
      <w:tr w14:paraId="05429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7D0428F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13</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1B74695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石桥桥(拼宽右幅)</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40F2F6C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3653.920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6F7A842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G207</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084E404B">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26.00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0D63133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小桥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671BC06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箱形梁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07FDD22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公路Ⅰ级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0135F03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苍梧公路养护中心</w:t>
            </w:r>
          </w:p>
        </w:tc>
      </w:tr>
      <w:tr w14:paraId="259FE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0693A52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14</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5FB52EC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清境桥(拼宽右幅)</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2421E60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3679.110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1221178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G207</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188B2245">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12.74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4C47671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小桥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66CF7EF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双曲拱</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19F7BF4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汽车-20级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6911E4C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苍梧公路养护中心</w:t>
            </w:r>
          </w:p>
        </w:tc>
      </w:tr>
      <w:tr w14:paraId="5F5C8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0BC0F93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15</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2768DD5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四新桥(拼宽右幅)</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4862C83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3694.530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39C6E47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G207</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2FE2E107">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27.00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1D11743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小桥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115E262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空心板梁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1843FE4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汽车-20级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1423B10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苍梧公路养护中心</w:t>
            </w:r>
          </w:p>
        </w:tc>
      </w:tr>
      <w:tr w14:paraId="73CB0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06C54E6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16</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7197689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狗儿桥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4DF9F0A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3765.545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7187374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G207</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1CB3F2F6">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18.04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4E71825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小桥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723ADC0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板拱</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0A2DDC9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汽车-15级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41618D2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岑溪公路养护中心</w:t>
            </w:r>
          </w:p>
        </w:tc>
      </w:tr>
      <w:tr w14:paraId="6DD38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2A7657C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17</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45E70D0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白鹤桥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43CCFC6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3777.530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7F32F42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G207</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38731C59">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22.00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5E709B2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小桥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7E83E2E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整体现浇板</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565956A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汽车-20级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5096B94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岑溪公路养护中心</w:t>
            </w:r>
          </w:p>
        </w:tc>
      </w:tr>
      <w:tr w14:paraId="7B7AA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700CD2B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18</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0871651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望良桥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35FCB73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3779.101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2202290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G207</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284B3C62">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30.00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595A141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小桥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56BC70A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整体现浇板</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512B10F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汽车-20级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48592DC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岑溪公路养护中心</w:t>
            </w:r>
          </w:p>
        </w:tc>
      </w:tr>
      <w:tr w14:paraId="7B713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6B7B682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19</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65B7E8C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法冲桥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7D8AFD0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3783.846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0E49C79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G207</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3C28A009">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15.54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3D561FF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小桥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1E39ADB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整体现浇板</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33117F4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汽车-20级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4567FD4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岑溪公路养护中心</w:t>
            </w:r>
          </w:p>
        </w:tc>
      </w:tr>
      <w:tr w14:paraId="77EE2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799BC67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20</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093A5C0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更口桥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7595BF9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3803.040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6C2AADA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G207</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7A68AFAC">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31.40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51A4C9D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小桥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798E718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空心板梁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567E3B2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公路Ⅱ级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1B11213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岑溪公路养护中心</w:t>
            </w:r>
          </w:p>
        </w:tc>
      </w:tr>
      <w:tr w14:paraId="5C3BB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2984C3F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21</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453390E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过水小桥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31C17F3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3821.696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790D151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G207</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6279EEBF">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15.60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0977BA7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小桥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25D7D1B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整体现浇板</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5B7F35D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汽车-20级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76A566C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岑溪公路养护中心</w:t>
            </w:r>
          </w:p>
        </w:tc>
      </w:tr>
      <w:tr w14:paraId="7C429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50CD311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22</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5F8FDB9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定子一桥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22ECCAA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3840.595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4BE1052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G207</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10363459">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12.92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7A4C733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小桥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63BF400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空心板梁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6B81EDA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汽车-20级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03C47B9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岑溪公路养护中心</w:t>
            </w:r>
          </w:p>
        </w:tc>
      </w:tr>
      <w:tr w14:paraId="43A32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7B0F2E5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23</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4E2911B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雷庙小桥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0E2B4DC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3842.230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0DCCD94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G207</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08F6A450">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39.00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27344AF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小桥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70ECB82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空心板梁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1BDAE64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汽车-20级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4063A6C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岑溪公路养护中心</w:t>
            </w:r>
          </w:p>
        </w:tc>
      </w:tr>
      <w:tr w14:paraId="4C2C9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69B7802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24</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2DB69AA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成美桥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3790078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3768.527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58B9CAA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G207</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635D0ABD">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18.00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3D7937E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小桥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392107F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整体现浇板</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4F61666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公路Ⅰ级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0005709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岑溪公路养护中心</w:t>
            </w:r>
          </w:p>
        </w:tc>
      </w:tr>
      <w:tr w14:paraId="011C6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75B26C5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25</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00A56AA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狗儿桥(拼宽右幅)</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44A31C7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3765.550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5552F5A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G207</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31AD7E4E">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18.04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700E63B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小桥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7D9D53D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空心板梁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3BDE3F2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汽车-20级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31ED3BB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岑溪公路养护中心</w:t>
            </w:r>
          </w:p>
        </w:tc>
      </w:tr>
      <w:tr w14:paraId="28DC8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3A8553D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26</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3AC2C28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法冲桥(拼宽右幅)</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0BB390C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3783.850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186D760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G207</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03DE2DBB">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15.54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2995AF0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小桥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6145E91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空心板梁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7E219CF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汽车-20级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6A808FB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岑溪公路养护中心</w:t>
            </w:r>
          </w:p>
        </w:tc>
      </w:tr>
      <w:tr w14:paraId="660C6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08B100A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27</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3A4D5BC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信都新联小桥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361A918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3618.369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299FEA2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G207</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16D82982">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36.50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1889EC4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小桥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03BC383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空心板梁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4828B2A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汽车-20级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14F1DA4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八步公路养护中心</w:t>
            </w:r>
          </w:p>
        </w:tc>
      </w:tr>
      <w:tr w14:paraId="1918E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4BC94BC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28</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1A227DD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信都车站小桥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0528C93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3618.091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2632580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G207</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6CFC3649">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36.50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7723302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小桥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56ED24D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空心板梁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22E1849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汽车-20级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7E49CE3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八步公路养护中心</w:t>
            </w:r>
          </w:p>
        </w:tc>
      </w:tr>
      <w:tr w14:paraId="0441A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33D94DE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29</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29A908D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东鹿小桥-下行</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4941A74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3568.017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4D05E4E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G207</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313BBFB8">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23.00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4CBDF97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小桥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1DF35E4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箱形梁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5CE1932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公路Ⅰ级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08B7287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八步公路养护中心</w:t>
            </w:r>
          </w:p>
        </w:tc>
      </w:tr>
      <w:tr w14:paraId="688D1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5E62CF9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30</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071861C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贺街小桥-下行</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45F8166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3568.801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32E8599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G207</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7D3CC135">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23.00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2E00567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小桥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1F40495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箱形梁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5E9C6C9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公路Ⅰ级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729C58F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八步公路养护中心</w:t>
            </w:r>
          </w:p>
        </w:tc>
      </w:tr>
      <w:tr w14:paraId="01E99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5584AB0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31</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234DAB8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石井小桥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712B821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3581.761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39A316F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G207</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6FC041C9">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10.00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4EF20CF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小桥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2B53C49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整体现浇板</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1F07E29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汽车-20级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628E554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八步公路养护中心</w:t>
            </w:r>
          </w:p>
        </w:tc>
      </w:tr>
      <w:tr w14:paraId="53035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741677C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32</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51B991D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仁义小桥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2210940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3631.517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1B5C565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G207</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4A198C9D">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36.54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609BBCB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小桥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5F55939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空心板梁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26E30D4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汽车-20级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7452055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八步公路养护中心</w:t>
            </w:r>
          </w:p>
        </w:tc>
      </w:tr>
      <w:tr w14:paraId="4A288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3FD8B53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33</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324EC58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东鹿小桥-上行</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382B135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3568.020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7F35D88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G207</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51A5ADEE">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23.00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6682B8E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小桥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45B5D23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箱形梁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75598D0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公路Ⅰ级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216B56D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八步公路养护中心</w:t>
            </w:r>
          </w:p>
        </w:tc>
      </w:tr>
      <w:tr w14:paraId="2DD88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33AF5DC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34</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198CAF8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贺街小桥-上行</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481C42E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3568.800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429374A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G207</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7DE3B3B1">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23.00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1458DA4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小桥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60D6C6E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箱形梁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21039C1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公路Ⅰ级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2A68EDD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八步公路养护中心</w:t>
            </w:r>
          </w:p>
        </w:tc>
      </w:tr>
      <w:tr w14:paraId="7B8E6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1E7A737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35</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6BA629D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黄板二桥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42D5285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3519.392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471C1F6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G207</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53256C01">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10.00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73A4373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小桥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74C6FA7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整体现浇板</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02BB02A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汽车-20级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7D98DBE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富川公路养护中心</w:t>
            </w:r>
          </w:p>
        </w:tc>
      </w:tr>
      <w:tr w14:paraId="57655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7616A1F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36</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06FC30E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朱仔桥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6FDC0EB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3521.947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1494593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G207</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3215512B">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18.00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4BD097B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小桥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2C00EAE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整体现浇板</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39F8A9F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公路Ⅰ级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5EAAAA9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富川公路养护中心</w:t>
            </w:r>
          </w:p>
        </w:tc>
      </w:tr>
      <w:tr w14:paraId="7CC2B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6BD893D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37</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05BF6F9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黄板一桥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011C79D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3519.727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4752295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G207</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5DBDCCCA">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11.20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71DB40F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小桥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474E0B8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整体现浇板</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7CEFD9D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公路Ⅰ级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32A575A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富川公路养护中心</w:t>
            </w:r>
          </w:p>
        </w:tc>
      </w:tr>
      <w:tr w14:paraId="0B769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672649C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38</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706044B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下垌桥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7724640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3079.925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2663E0D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G241</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33314EB6">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20.00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0206C4C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小桥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78AF5DD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空心板梁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7A93771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汽车-20级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30C1257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藤县公路养护中心</w:t>
            </w:r>
          </w:p>
        </w:tc>
      </w:tr>
      <w:tr w14:paraId="41974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428789C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39</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15BB544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塘村桥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21415E9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3083.227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6FF9E9F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G241</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5A9069C3">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26.00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1175311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小桥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3CE18C4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空心板梁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511CE11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汽车-20级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5605196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藤县公路养护中心</w:t>
            </w:r>
          </w:p>
        </w:tc>
      </w:tr>
      <w:tr w14:paraId="58FEB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313BB22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40</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37C0E10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下六桥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1E87671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3084.354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22FD30D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G241</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7ABD92D4">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30.40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2EC51F9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小桥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00AFE55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空心板梁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48747F6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汽车-20级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7D01BF0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藤县公路养护中心</w:t>
            </w:r>
          </w:p>
        </w:tc>
      </w:tr>
      <w:tr w14:paraId="01BDD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4A4005C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41</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66674DD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上峡桥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61ECE30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3084.866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5FA0599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G241</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4041E130">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27.00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4C85902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小桥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455C91D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空心板梁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115945C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汽车-20级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1760586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藤县公路养护中心</w:t>
            </w:r>
          </w:p>
        </w:tc>
      </w:tr>
      <w:tr w14:paraId="3C3CE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2C6C328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42</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7577ECA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三角桥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4BF75B4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3085.440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367B3E8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G241</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594B7B5B">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25.00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205ACD9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小桥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036D54F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空心板梁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1ED4784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汽车-20级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0C4DE63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藤县公路养护中心</w:t>
            </w:r>
          </w:p>
        </w:tc>
      </w:tr>
      <w:tr w14:paraId="646C8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440B3C6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43</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5ABAD5E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均常桥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3EBB749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3090.852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3FBE95D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G241</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3A6C9236">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34.00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79947BE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小桥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37FFC79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空心板梁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7B80FCB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汽车-20级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2F8B0B9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藤县公路养护中心</w:t>
            </w:r>
          </w:p>
        </w:tc>
      </w:tr>
      <w:tr w14:paraId="135D4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65EFE01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44</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16812EA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大带桥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759C1CC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3095.604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2BBEFFB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G241</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2C6B533F">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29.00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35225DC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小桥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2C143B4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空心板梁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33FC2D0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汽车-20级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4BBB3D2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藤县公路养护中心</w:t>
            </w:r>
          </w:p>
        </w:tc>
      </w:tr>
      <w:tr w14:paraId="0D1A5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5B4696F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45</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0F2DDEB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社龙桥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05C7332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3116.745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3BF1787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G241</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69FD503C">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20.00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7BFEE39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小桥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27DE112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板拱</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336C5FE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汽车-20级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486C4C8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藤县公路养护中心</w:t>
            </w:r>
          </w:p>
        </w:tc>
      </w:tr>
      <w:tr w14:paraId="38F3A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6105103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46</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08AD138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石桥小桥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27A6854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3124.730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2E23B9B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G241</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6E2B4B12">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19.80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32CE367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小桥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706281D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整体现浇板</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0987AF1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汽车-20级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2917D0A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藤县公路养护中心</w:t>
            </w:r>
          </w:p>
        </w:tc>
      </w:tr>
      <w:tr w14:paraId="1B853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020A4F3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47</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189A2B4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荔枝桥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65350B8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3126.085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0C880BB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G241</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54721F8C">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18.70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20CFF71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小桥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08EF06F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板拱</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35FFC84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汽车-20级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2CA73C4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藤县公路养护中心</w:t>
            </w:r>
          </w:p>
        </w:tc>
      </w:tr>
      <w:tr w14:paraId="39EE5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7993C1C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48</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1E3C6A8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良洞桥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3096E1F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3048.716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2176DD6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G241</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0F488BF5">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16.84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26EF4CB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小桥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40BF040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空心板梁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3D28EB4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公路Ⅱ级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22DEAB7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蒙山公路养护中心</w:t>
            </w:r>
          </w:p>
        </w:tc>
      </w:tr>
      <w:tr w14:paraId="6D64C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406820A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49</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7992C93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六黎桥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5F4153B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3052.015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6C9D1F4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G241</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7FC09455">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31.00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6150AAC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小桥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18260FD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空心板梁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1F34B43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公路Ⅱ级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295671D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蒙山公路养护中心</w:t>
            </w:r>
          </w:p>
        </w:tc>
      </w:tr>
      <w:tr w14:paraId="32AEA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27AE47B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50</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32D683A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贝冲小桥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0BC36AE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2981.783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71C6345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G241</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10964039">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21.00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15CEE37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小桥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0EDE2FB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空心板梁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40D0E14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公路Ⅱ级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2684DB8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昭平公路养护中心</w:t>
            </w:r>
          </w:p>
        </w:tc>
      </w:tr>
      <w:tr w14:paraId="751EC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7A3165E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51</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6FA123C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芦笛冲小桥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48BDE69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2984.291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61B83D9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G241</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58862B10">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18.00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76FE5AE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小桥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0EFE9C4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空心板梁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779D72A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公路Ⅱ级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5428BCC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昭平公路养护中心</w:t>
            </w:r>
          </w:p>
        </w:tc>
      </w:tr>
      <w:tr w14:paraId="79470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309C320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52</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13AD60E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庙伢小桥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5B91132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2992.350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31BAC9A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G241</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091AC033">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18.00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757F6B9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小桥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1338F31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空心板梁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05BA572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公路Ⅱ级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48AC03A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昭平公路养护中心</w:t>
            </w:r>
          </w:p>
        </w:tc>
      </w:tr>
      <w:tr w14:paraId="16011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36A9FEC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53</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12F0BE1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龙弯桥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19FB687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2994.171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676F48C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G241</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7F854153">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12.50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688FF8C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小桥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0318538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板拱</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04A4F77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汽车-20级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039CF1B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昭平公路养护中心</w:t>
            </w:r>
          </w:p>
        </w:tc>
      </w:tr>
      <w:tr w14:paraId="475F1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5B1BFD9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54</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3CB2BCD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苏龙冲小桥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4886057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3001.246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75CAC39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G241</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15D2A9B7">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31.00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614F1A8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小桥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6E7959B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空心板梁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5553B5B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公路Ⅱ级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67C1EC4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昭平公路养护中心</w:t>
            </w:r>
          </w:p>
        </w:tc>
      </w:tr>
      <w:tr w14:paraId="6B374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6D06B3B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55</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0B6614C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白鸠小桥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1E94FEF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3002.059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1E0DE3F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G241</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73209227">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31.00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26236FF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小桥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04DD4AC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空心板梁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752EF60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公路Ⅱ级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38728D9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昭平公路养护中心</w:t>
            </w:r>
          </w:p>
        </w:tc>
      </w:tr>
      <w:tr w14:paraId="7B010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0D769E4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56</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494D06C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上岸一桥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59E27AD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3009.026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12FD347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G241</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3041C158">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36.40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4FBC2E2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小桥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123A5E3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板拱</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046043C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汽车-20级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4266D07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昭平公路养护中心</w:t>
            </w:r>
          </w:p>
        </w:tc>
      </w:tr>
      <w:tr w14:paraId="2DDCA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5896E11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57</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67D1169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白黄四桥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2E356BD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2957.786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6CBDBE1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G241</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67DA941E">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23.20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3FCE03F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小桥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16EEA63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整体现浇板</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3B43098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汽车-20级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27C5105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钟山公路养护中心</w:t>
            </w:r>
          </w:p>
        </w:tc>
      </w:tr>
      <w:tr w14:paraId="579D5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687B4FA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58</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098A927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白黄五桥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4A327C4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2960.660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330CAAE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G241</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182CFDF0">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22.40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2BBEA4D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小桥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6C5AB7F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整体现浇板</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6A21BB2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汽车-20级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6264220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钟山公路养护中心</w:t>
            </w:r>
          </w:p>
        </w:tc>
      </w:tr>
      <w:tr w14:paraId="4D771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53AEB49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59</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55171E4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岳底桥-下行</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447DAD0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289.854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5E707A6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G321</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3B43F476">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26.00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654797F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小桥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6B9C07E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箱形梁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648CFF7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公路Ⅰ级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4CE7310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藤县公路养护中心</w:t>
            </w:r>
          </w:p>
        </w:tc>
      </w:tr>
      <w:tr w14:paraId="34843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49F0A92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60</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5DF53B6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塘步桥-下行</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2A5419A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294.380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4FDD6EF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G321</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54A4564B">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40.00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68DA85F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小桥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2475ADD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空心板梁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71F91D6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汽车-20级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283290F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藤县公路养护中心</w:t>
            </w:r>
          </w:p>
        </w:tc>
      </w:tr>
      <w:tr w14:paraId="4355D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5BF4684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61</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118311E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六堤小桥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20A5417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346.640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6BFC36E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G321</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7550169C">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26.00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5A5F9A6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小桥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34B0444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空心板梁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09EC65C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公路Ⅱ级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1338699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藤县公路养护中心</w:t>
            </w:r>
          </w:p>
        </w:tc>
      </w:tr>
      <w:tr w14:paraId="55025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497BF59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62</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21F6D2D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双桥小桥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4972894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346.837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2412312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G321</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052781FA">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26.00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06FDBCC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小桥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423D13A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空心板梁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0796D29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公路Ⅱ级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6FECE9A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藤县公路养护中心</w:t>
            </w:r>
          </w:p>
        </w:tc>
      </w:tr>
      <w:tr w14:paraId="21156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09C3120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63</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289CAFC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岳底桥-上行</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0302C38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289.854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3D047FB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G321</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7ED587B7">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27.70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6ACC8FA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小桥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4B53814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空心板梁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485A2E5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汽车-20级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51B1298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藤县公路养护中心</w:t>
            </w:r>
          </w:p>
        </w:tc>
      </w:tr>
      <w:tr w14:paraId="52E6F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0DB17DA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64</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65A6B11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古湄桥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217D14E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425.765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18414A7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G321</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15AB7B34">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22.50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06687D4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小桥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4392CCD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空心板梁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1FA41F9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公路Ⅱ级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0A0908B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蒙山公路养护中心</w:t>
            </w:r>
          </w:p>
        </w:tc>
      </w:tr>
      <w:tr w14:paraId="2BA8D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5EF9157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65</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483CBBB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石龙冲小桥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1989657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443.517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659AA7E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G321</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302461A0">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11.24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20C9CE7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小桥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4C05C31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整体现浇板</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1640BFA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公路Ⅰ级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16EBD4D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蒙山公路养护中心</w:t>
            </w:r>
          </w:p>
        </w:tc>
      </w:tr>
      <w:tr w14:paraId="7C3C7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21F2949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66</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3DF8D96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旱桥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2D348A9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446.086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1A2C877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G321</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62537572">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20.08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45FDFE4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小桥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2921C01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板拱</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442DF63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公路Ⅱ级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12AC555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蒙山公路养护中心</w:t>
            </w:r>
          </w:p>
        </w:tc>
      </w:tr>
      <w:tr w14:paraId="221BD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05BD142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67</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7D7C9CF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木茅小桥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731799B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453.039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3A76B48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G321</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2041A04A">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16.36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0494A0E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小桥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2F6E1AB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实心板梁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250DE03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公路Ⅰ级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08BD3A2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蒙山公路养护中心</w:t>
            </w:r>
          </w:p>
        </w:tc>
      </w:tr>
      <w:tr w14:paraId="4D561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2361639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68</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2F00327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古凿小桥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1E03426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457.365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534CA23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G321</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00FBC56C">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10.04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395489B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小桥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3FDA69E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整体现浇板</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2B5B384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公路Ⅱ级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5A6786E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蒙山公路养护中心</w:t>
            </w:r>
          </w:p>
        </w:tc>
      </w:tr>
      <w:tr w14:paraId="72ABB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0CCEFB4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69</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163C24E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旱桥(拼宽右幅)</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01D1E9B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446.086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107C48F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G321</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356AFB00">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20.08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2AB9B3C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小桥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6A0B274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整体现浇板</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009A99C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公路Ⅱ级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0C85090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蒙山公路养护中心</w:t>
            </w:r>
          </w:p>
        </w:tc>
      </w:tr>
      <w:tr w14:paraId="08A00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7AD6FC3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70</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26DECAA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三岐小桥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57E91AC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653.623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7D5701D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G323</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7F3A475B">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31.41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07A82F5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小桥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4E8B46E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空心板梁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25EC9B4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公路Ⅱ级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1BC3A70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八步公路养护中心</w:t>
            </w:r>
          </w:p>
        </w:tc>
      </w:tr>
      <w:tr w14:paraId="0A0FA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70E0A9B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71</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0572C66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勾冲桥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2CEEDBF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702.643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73746B6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G323</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1519EF73">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26.00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64F720D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小桥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6A04D00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箱形梁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3E47C17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公路Ⅱ级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7276EFE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钟山公路养护中心</w:t>
            </w:r>
          </w:p>
        </w:tc>
      </w:tr>
      <w:tr w14:paraId="60200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5B7D89F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72</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1FFD13F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羊头小桥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4502E0F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709.828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696D788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G323</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36DFF27C">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18.00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50628BC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小桥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265B95F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空心板梁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7B52AC8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公路Ⅱ级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2A602B8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钟山公路养护中心</w:t>
            </w:r>
          </w:p>
        </w:tc>
      </w:tr>
      <w:tr w14:paraId="1C27F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1F7703B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73</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7FEA1D3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水利三桥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766A03F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735.180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2706553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G323</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5E53B02C">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10.50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3B3ADCF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小桥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4589216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整体现浇板</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0F6E82B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汽车-20级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53CF64E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钟山公路养护中心</w:t>
            </w:r>
          </w:p>
        </w:tc>
      </w:tr>
      <w:tr w14:paraId="1B332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407A242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74</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59214F3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水利四桥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46BF5A3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735.618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379E03F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G323</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7D8908F9">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12.50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5819EEE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小桥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435A55E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整体现浇板</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59360B7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汽车-20级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41201C6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钟山公路养护中心</w:t>
            </w:r>
          </w:p>
        </w:tc>
      </w:tr>
      <w:tr w14:paraId="2014B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5DC358F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75</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774C92B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马头一桥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112340A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720.327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3C49B1F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G323</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090D750A">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33.02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0299618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小桥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1A26929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箱形梁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552DC6E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公路Ⅱ级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3C38B94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钟山公路养护中心</w:t>
            </w:r>
          </w:p>
        </w:tc>
      </w:tr>
      <w:tr w14:paraId="7A0B5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0960070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76</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54D4910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马头二桥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579264A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720.611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3D56175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G323</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05243FAF">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23.00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1E59227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小桥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2675C94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箱形梁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4092FFB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公路Ⅱ级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76F9777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钟山公路养护中心</w:t>
            </w:r>
          </w:p>
        </w:tc>
      </w:tr>
      <w:tr w14:paraId="25A43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01C3823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77</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3CCCD7A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筋竹一桥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42649CC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1301.937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5DFE5D7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G324</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0423C50D">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16.00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460E7D9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小桥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0FA2273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整体现浇板</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30495D3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汽车-20级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7D0004A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岑溪公路养护中心</w:t>
            </w:r>
          </w:p>
        </w:tc>
      </w:tr>
      <w:tr w14:paraId="66D3F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11D0900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78</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0093CC1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筋竹三桥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2990ED9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1302.306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406856F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G324</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4BBB68F8">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12.00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32513C7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小桥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734FCA5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整体现浇板</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7279B71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汽车-20级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4B37F6E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岑溪公路养护中心</w:t>
            </w:r>
          </w:p>
        </w:tc>
      </w:tr>
      <w:tr w14:paraId="5A0E1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7CC8519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79</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283DFB8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筋竹四桥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619535C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1302.435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4229342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G324</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2B05D005">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12.50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7E8534D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小桥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3054540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整体现浇板</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1DE7FAE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汽车-20级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54A66F7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岑溪公路养护中心</w:t>
            </w:r>
          </w:p>
        </w:tc>
      </w:tr>
      <w:tr w14:paraId="0EA8C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5555CB8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80</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7EAFC48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筋竹五桥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17AF27F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1302.772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5DC152F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G324</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04365C4A">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10.00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25AD70B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小桥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1238E8D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整体现浇板</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3067331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汽车-20级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0EAADFD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岑溪公路养护中心</w:t>
            </w:r>
          </w:p>
        </w:tc>
      </w:tr>
      <w:tr w14:paraId="53B84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5D9C884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81</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3A0FD4B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筋竹六桥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0D547EC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1303.767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2EB5A7E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G324</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129281DB">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12.00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3B682C4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小桥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76C94D6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整体现浇板</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13A01B6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汽车-20级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572183E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岑溪公路养护中心</w:t>
            </w:r>
          </w:p>
        </w:tc>
      </w:tr>
      <w:tr w14:paraId="35570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1C285B2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82</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0E0BC7E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筋竹七桥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14876BE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1303.890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7A09F5E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G324</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41C974C1">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10.00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01267C9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小桥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3F23599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整体现浇板</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6C31E51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汽车-20级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1007DD8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岑溪公路养护中心</w:t>
            </w:r>
          </w:p>
        </w:tc>
      </w:tr>
      <w:tr w14:paraId="7B5E4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58A2243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83</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661F4B6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榃保一桥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3D8FA0C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1304.488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779C77B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G324</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15D15EEA">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32.70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7D5560C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小桥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0A8BEA7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整体现浇板</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16585AF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汽车-20级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3DB3D5B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岑溪公路养护中心</w:t>
            </w:r>
          </w:p>
        </w:tc>
      </w:tr>
      <w:tr w14:paraId="1FDF0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3FCA9F3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84</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6D20B40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榃保二桥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5BA899E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1304.603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189D045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G324</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01F90B16">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28.00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119A261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小桥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303D0E9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整体现浇板</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54E6456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汽车-20级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701D286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岑溪公路养护中心</w:t>
            </w:r>
          </w:p>
        </w:tc>
      </w:tr>
      <w:tr w14:paraId="7ABDD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1D6FFBF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85</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3BC41F6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荔枝桥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1FE13CC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1322.367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49E428A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G324</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2233168A">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30.00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65AF1B8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小桥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284EABB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整体现浇板</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4E5844B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汽车-20级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69AA6CB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岑溪公路养护中心</w:t>
            </w:r>
          </w:p>
        </w:tc>
      </w:tr>
      <w:tr w14:paraId="2B26D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21D7C21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86</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7E3C61A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昙容立交桥-下行</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49E2C59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1360.725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54ABE0F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G324</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02B34A2A">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30.00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4B95EF2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小桥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60B72A5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空心板梁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02A823A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汽车-超20级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3D26A88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岑溪公路养护中心</w:t>
            </w:r>
          </w:p>
        </w:tc>
      </w:tr>
      <w:tr w14:paraId="4BF4F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01EF8F3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87</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637B7DB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五星小桥-下行</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50F72F4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1363.591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5A5EA8E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G324</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26453CDD">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29.40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20F4A76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小桥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1F39C68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空心板梁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2FD03D4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汽车-超20级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5799502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岑溪公路养护中心</w:t>
            </w:r>
          </w:p>
        </w:tc>
      </w:tr>
      <w:tr w14:paraId="27F44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4526BD0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88</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60FDC7F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永固小桥-下行</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6919499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1363.987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78E8477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G324</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1C4AD6F4">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29.40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7D770BC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小桥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5DB1355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空心板梁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6773F69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汽车-超20级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59B2565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岑溪公路养护中心</w:t>
            </w:r>
          </w:p>
        </w:tc>
      </w:tr>
      <w:tr w14:paraId="1C00A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26BE453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89</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3262292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新桥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55E07DE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1325.056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4C94BE2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G324</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486E60D1">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14.00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3B3859A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小桥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3DC4D64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整体现浇板</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3638D4C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公路Ⅰ级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07A8F7F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岑溪公路养护中心</w:t>
            </w:r>
          </w:p>
        </w:tc>
      </w:tr>
      <w:tr w14:paraId="1494F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755DABD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90</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296BFEF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昙容立交桥-上行</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7313C66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1360.720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2E5CAFC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G324</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406531EE">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30.00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7F011A2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小桥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638876F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空心板梁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6D9A4A1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汽车-超20级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417B02A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岑溪公路养护中心</w:t>
            </w:r>
          </w:p>
        </w:tc>
      </w:tr>
      <w:tr w14:paraId="05E11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4A06E98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91</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702418B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五星小桥-上行</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0DC5D21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1363.590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2FF6FB6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G324</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14AF7774">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29.40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76FE1D4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小桥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15248DF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空心板梁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11C956F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汽车-超20级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3803A75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岑溪公路养护中心</w:t>
            </w:r>
          </w:p>
        </w:tc>
      </w:tr>
      <w:tr w14:paraId="684B2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775367A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92</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1EC1ABC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永固小桥-上行</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18530DE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1363.990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3008598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G324</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6A158DB6">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29.40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52849D5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小桥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3F4A8C1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空心板梁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340F462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汽车-超20级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083D45D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岑溪公路养护中心</w:t>
            </w:r>
          </w:p>
        </w:tc>
      </w:tr>
      <w:tr w14:paraId="60F40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7854CB6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93</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75A881E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丹竹小桥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6A65A28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1430.537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7AAE157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G355</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1514775D">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15.28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399907E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小桥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43FE3B6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箱形梁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71B8C8A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公路Ⅰ级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0F0B7F6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苍梧公路养护中心</w:t>
            </w:r>
          </w:p>
        </w:tc>
      </w:tr>
      <w:tr w14:paraId="5CDEC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3BE60C0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94</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57241B5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牛围小桥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7E1074A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1300.761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1456AA7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G355</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18AB9098">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32.10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66C54A6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小桥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3D1B918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板拱</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4C9683C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公路Ⅱ级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37F1D02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八步公路养护中心</w:t>
            </w:r>
          </w:p>
        </w:tc>
      </w:tr>
      <w:tr w14:paraId="30FD4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4DC38F2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95</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380E5E9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牛围小桥(拼宽右幅)</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00FEE82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1300.750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04D6C6B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G355</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71745C8F">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31.00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59BB011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小桥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413F343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空心板梁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4A7D697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公路Ⅱ级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1CCF440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八步公路养护中心</w:t>
            </w:r>
          </w:p>
        </w:tc>
      </w:tr>
      <w:tr w14:paraId="48A11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353886D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96</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796FED9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低冲桥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0A829AD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1481.431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273EB5F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G355</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0AE7F0D5">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23.64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1EA96A9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小桥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10DA62C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箱形梁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5C5C5F3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公路Ⅱ级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1F44015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昭平公路养护中心</w:t>
            </w:r>
          </w:p>
        </w:tc>
      </w:tr>
      <w:tr w14:paraId="7258A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158783E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97</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53A0CD6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长冲桥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55F8946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1482.177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27873D6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G355</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32C33741">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32.04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3137039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小桥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677D160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箱形梁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764C9DA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公路Ⅱ级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30A5840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昭平公路养护中心</w:t>
            </w:r>
          </w:p>
        </w:tc>
      </w:tr>
      <w:tr w14:paraId="34FF7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1D0CD26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98</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720D55C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金矿桥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322603D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1487.752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2957B7F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G355</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75545B14">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33.00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67D23A2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小桥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54D9F2D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整体现浇板</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1553DF6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汽车-超20级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790EFB1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昭平公路养护中心</w:t>
            </w:r>
          </w:p>
        </w:tc>
      </w:tr>
      <w:tr w14:paraId="1FAA9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05FF5D5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99</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767CF65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白石桥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5F3CFFD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1511.140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68CDDB0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G355</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0AAEC02B">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40.00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094D6B9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小桥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5BA2CAC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空心板梁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57D0436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公路Ⅱ级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5BC609D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昭平公路养护中心</w:t>
            </w:r>
          </w:p>
        </w:tc>
      </w:tr>
      <w:tr w14:paraId="0DDBA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72B5DF4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100</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4D92195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玉河桥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6B2ED3D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1518.151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6A85B5D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G355</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2B040FEC">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22.90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13BF9B5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小桥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070FCE8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整体现浇板</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164CFA6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汽车-20级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2041DF7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昭平公路养护中心</w:t>
            </w:r>
          </w:p>
        </w:tc>
      </w:tr>
      <w:tr w14:paraId="559E0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3EE5482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101</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626AF7C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公石桥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66F5BBD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1520.967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41910F5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G355</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73F4818F">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22.20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7856BCB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小桥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1F6C28F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整体现浇板</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32CA9A5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公路Ⅱ级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09EB997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昭平公路养护中心</w:t>
            </w:r>
          </w:p>
        </w:tc>
      </w:tr>
      <w:tr w14:paraId="54C03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47A5E37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102</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51F5E60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罗平小桥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134567E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1378.256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1E10980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G358</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263C2712">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16.40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0296B77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小桥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7A7872F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实心板梁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64F0964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汽车-20级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48A4DAF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藤县公路养护中心</w:t>
            </w:r>
          </w:p>
        </w:tc>
      </w:tr>
      <w:tr w14:paraId="2B116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5E08CA7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103</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60872E8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罗平桥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18D7D6D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1378.383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1AA92B4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G358</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660A24B0">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9.40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4D12EDF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小桥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2811819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实心板梁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1367660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汽车-20级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2BE84AB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藤县公路养护中心</w:t>
            </w:r>
          </w:p>
        </w:tc>
      </w:tr>
      <w:tr w14:paraId="2D111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77276C9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104</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3FD4C9B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麦岭桥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71F62DD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62.883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4A911AF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G538</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25A35038">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39.49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74AE52F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小桥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6BE1136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空心板梁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02A5EBF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汽车-20级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73F7211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富川公路养护中心</w:t>
            </w:r>
          </w:p>
        </w:tc>
      </w:tr>
      <w:tr w14:paraId="629AE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670A3C8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105</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0C3172E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谷母井桥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31ECB48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68.405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7252838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G538</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24933027">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18.00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7595EE2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小桥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561A30B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空心板梁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5D3734F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汽车-20级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257C775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富川公路养护中心</w:t>
            </w:r>
          </w:p>
        </w:tc>
      </w:tr>
      <w:tr w14:paraId="151EC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109A608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106</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516305B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盘溪桥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2A307D2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77.708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70E5BDF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G538</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2615FF05">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34.36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56ACA6E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小桥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7ACDB4E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空心板梁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4A33234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汽车-20级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1D0100F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富川公路养护中心</w:t>
            </w:r>
          </w:p>
        </w:tc>
      </w:tr>
      <w:tr w14:paraId="2A26E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25A81A9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107</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2849C78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水石桥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4D54FA3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80.716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4BE4FFA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G538</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2EAD4E6C">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21.72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60A7287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小桥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30A4C09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空心板梁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55B44FF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汽车-20级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4C3EA0A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富川公路养护中心</w:t>
            </w:r>
          </w:p>
        </w:tc>
      </w:tr>
      <w:tr w14:paraId="1A3B4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182D61A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108</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60CC7FA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淮南桥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516C3F1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99.194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066D586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G538</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65DE0682">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23.00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2D5D7A8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小桥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5620FE6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空心板梁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72C08D4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公路Ⅱ级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14062D2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富川公路养护中心</w:t>
            </w:r>
          </w:p>
        </w:tc>
      </w:tr>
      <w:tr w14:paraId="5BB5C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2691CDB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109</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475FCDC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倒水桥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2C2B18E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214.965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6530618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S201</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1DDB6ADF">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16.04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2A70004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小桥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386C178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空心板梁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5F5C734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公路Ⅱ级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5B1527B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苍梧公路养护中心</w:t>
            </w:r>
          </w:p>
        </w:tc>
      </w:tr>
      <w:tr w14:paraId="43C37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50C41DB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110</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1D15155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龙柱桥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7457E98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200.748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7F2CB1F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S201</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267DCA60">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23.20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5558D8D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小桥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45BDDA4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板拱</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63645BB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汽车-15级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460D682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苍梧公路养护中心</w:t>
            </w:r>
          </w:p>
        </w:tc>
      </w:tr>
      <w:tr w14:paraId="2D735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40376A2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111</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7EC1C55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等村桥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0FC15F7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221.926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4144363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S201</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39FB5929">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16.04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28CEF07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小桥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51A86C9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空心板梁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41B7060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公路Ⅰ级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115937C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苍梧公路养护中心</w:t>
            </w:r>
          </w:p>
        </w:tc>
      </w:tr>
      <w:tr w14:paraId="5C7A5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1A8DFD2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112</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7ACA0F4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望高一桥-下行</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0868C5B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30.438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1CF91B7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S201</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32AC3393">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24.04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1278FC8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小桥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135BA75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箱形梁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17A8D6D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公路Ⅰ级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6FFC24D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钟山公路养护中心</w:t>
            </w:r>
          </w:p>
        </w:tc>
      </w:tr>
      <w:tr w14:paraId="14714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323DD5C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113</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1B7A003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望高一桥-上行</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5E8C791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30.438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61857F9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S201</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5B26A46F">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24.04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4959458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小桥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34EC80D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箱形梁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7130E96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公路Ⅰ级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66E7E36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钟山公路养护中心</w:t>
            </w:r>
          </w:p>
        </w:tc>
      </w:tr>
      <w:tr w14:paraId="2C935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44C9BAE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114</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0E92487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砂子桥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03CCFDA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116.210</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083ED09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S201</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36727EA0">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21.00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46480D0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小桥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4CBAC55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板拱</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00EF9C7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汽车-15级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08A1C0B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昭平公路养护中心</w:t>
            </w:r>
          </w:p>
        </w:tc>
      </w:tr>
      <w:tr w14:paraId="42D93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5B03CA4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115</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2A93383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金龙桥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2BA3513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133.816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7D98291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S201</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50BDEEF9">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27.00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0515A35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小桥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6F5A90C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板拱</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5942278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汽车-15级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0F5B7FD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昭平公路养护中心</w:t>
            </w:r>
          </w:p>
        </w:tc>
      </w:tr>
      <w:tr w14:paraId="48E8F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11D7690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116</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214386B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花冲桥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0989E13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152.080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22B87CE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S201</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3891CE8D">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34.04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7B3ECA1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小桥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5010A39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箱形梁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02C3C9E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公路Ⅰ级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4CA192F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昭平公路养护中心</w:t>
            </w:r>
          </w:p>
        </w:tc>
      </w:tr>
      <w:tr w14:paraId="4D385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5457764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117</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3890CED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白梅桥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1E67DCE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157.690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1B968C3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S201</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76E6587E">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23.64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0F910E6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小桥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431A884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箱形梁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73D13A7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公路Ⅱ级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099C4EF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昭平公路养护中心</w:t>
            </w:r>
          </w:p>
        </w:tc>
      </w:tr>
      <w:tr w14:paraId="45DB0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1A34E97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118</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61E3132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石龙小桥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635C7B9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57.625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090ACF0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S201</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1A528647">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12.20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5B203FD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小桥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675FFF7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整体现浇板</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7562E61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汽车-15级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2093739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钟山公路养护中心</w:t>
            </w:r>
          </w:p>
        </w:tc>
      </w:tr>
      <w:tr w14:paraId="4BE1C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613E2E7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119</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0E73EB1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凤翔桥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4860327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64.390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6C7EFB9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S201</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5D01FC6B">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8.00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104B565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小桥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42AA629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板拱</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6A8C10E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汽车-15级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18D4733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钟山公路养护中心</w:t>
            </w:r>
          </w:p>
        </w:tc>
      </w:tr>
      <w:tr w14:paraId="45588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651DB90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120</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7A447E5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凤翔桥(拼宽右幅)</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01BC1BC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64.390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663BDED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S201</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1182DEF8">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13.00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422B29F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小桥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1C342DE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整体现浇板</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3AC864E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汽车-超20级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2B7868F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钟山公路养护中心</w:t>
            </w:r>
          </w:p>
        </w:tc>
      </w:tr>
      <w:tr w14:paraId="1A5B7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37D30FD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121</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6E0DD7B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古城小桥-下行</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2E53AFC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2.878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4A884B3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S201</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433F1F2F">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23.00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56CA5A3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小桥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7F911D3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箱形梁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32C4BB2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公路Ⅰ级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5BD308E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富川公路养护中心</w:t>
            </w:r>
          </w:p>
        </w:tc>
      </w:tr>
      <w:tr w14:paraId="4771A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12ED1DA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122</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6433833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古城小桥-上行</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64ED9EB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2.886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7BBB7F8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S201</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2EADFC35">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23.00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01DC888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小桥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1AB259B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箱形梁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406B2FE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公路Ⅰ级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01AF97B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富川公路养护中心</w:t>
            </w:r>
          </w:p>
        </w:tc>
      </w:tr>
      <w:tr w14:paraId="61501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5ADAC47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123</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2AF5147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陶垌桥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5E496D1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18.565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613355C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S203</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14185041">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26.00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4EE1517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小桥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39143AD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空心板梁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3391681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公路Ⅱ级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65FF7F5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藤县公路养护中心</w:t>
            </w:r>
          </w:p>
        </w:tc>
      </w:tr>
      <w:tr w14:paraId="11562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0C4D318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124</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69877DF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岭景小桥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0962BBE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45.527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61BEA3A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S203</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7927EF6D">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33.00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0003212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小桥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405E216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空心板梁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7ED06B5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公路Ⅱ级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54B7700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藤县公路养护中心</w:t>
            </w:r>
          </w:p>
        </w:tc>
      </w:tr>
      <w:tr w14:paraId="203DF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558B893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125</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598BD54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大竹坪桥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71F8A2A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47.443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1569C5A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S302</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1E4E45C1">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41.00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068CE46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小桥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581726A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空心板梁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5773D5E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公路Ⅱ级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489D435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钟山公路养护中心</w:t>
            </w:r>
          </w:p>
        </w:tc>
      </w:tr>
      <w:tr w14:paraId="3DDD5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45E68F2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126</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23EEF98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平地村小桥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430AD53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50.265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5060A61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S302</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77095E29">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30.00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0D4789B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小桥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08F8C24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空心板梁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56D1B08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公路Ⅱ级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42ABFF3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钟山公路养护中心</w:t>
            </w:r>
          </w:p>
        </w:tc>
      </w:tr>
      <w:tr w14:paraId="78E09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763FCE1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127</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54EB7A7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岩口桥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414E3E4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60.292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51FD377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S302</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31954EAA">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19.88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09FDF47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小桥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17A4EB1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空心板梁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53A21DB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公路Ⅱ级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490E866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钟山公路养护中心</w:t>
            </w:r>
          </w:p>
        </w:tc>
      </w:tr>
      <w:tr w14:paraId="44719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340F97C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128</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2852DB7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星寨桥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4AF3FB4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61.627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41B9814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S302</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0293661D">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19.04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411E7E2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小桥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0076BB2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箱形梁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605E925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公路Ⅱ级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44A351A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钟山公路养护中心</w:t>
            </w:r>
          </w:p>
        </w:tc>
      </w:tr>
      <w:tr w14:paraId="5C6C1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7CBB652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129</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0E945AD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沙坪一桥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61A7E48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64.145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262B8E3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S302</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43C99869">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18.80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5E4DEB7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小桥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763D2D5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双曲拱</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6444E99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汽车-15级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4606328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钟山公路养护中心</w:t>
            </w:r>
          </w:p>
        </w:tc>
      </w:tr>
      <w:tr w14:paraId="480FD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7BFFA7E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130</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4298B95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沟边小桥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1E27106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6.605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74B65E3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S302</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1B9A1672">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24.00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747ACB5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小桥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2A2A7A1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整体现浇板</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0115757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公路Ⅱ级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5DD2961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富川公路养护中心</w:t>
            </w:r>
          </w:p>
        </w:tc>
      </w:tr>
      <w:tr w14:paraId="60A9D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5FAF10C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131</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6DD7C15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张家桥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579BFBD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14.350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08DB830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S302</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1036ED56">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21.00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20F4066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小桥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51BB64D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整体现浇板</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58E0FD1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公路Ⅱ级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2C81565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富川公路养护中心</w:t>
            </w:r>
          </w:p>
        </w:tc>
      </w:tr>
      <w:tr w14:paraId="331BB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0B2E72D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132</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3F55662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西安桥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7B96703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19.311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0A56F33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S302</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5B63918C">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20.00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00FC0FC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小桥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1930D16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整体现浇板</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045E489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公路Ⅱ级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5018427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富川公路养护中心</w:t>
            </w:r>
          </w:p>
        </w:tc>
      </w:tr>
      <w:tr w14:paraId="68836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3D84FED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133</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633D537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山根桥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6144DA0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27.654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738F7FD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S304</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2ADD733E">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20.25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5E7C0C9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小桥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4CAC6B1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整体现浇板</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6D1728E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公路Ⅱ级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46DDE03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苍梧公路养护中心</w:t>
            </w:r>
          </w:p>
        </w:tc>
      </w:tr>
      <w:tr w14:paraId="4AE5C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7E09BE1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134</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0E3BDD0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道石小桥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6363D08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6.870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79E3D2C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S503</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5CEA322D">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27.06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6F824D2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小桥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5AA382C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空心板梁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3D50842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公路Ⅱ级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5BCB720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八步公路养护中心</w:t>
            </w:r>
          </w:p>
        </w:tc>
      </w:tr>
      <w:tr w14:paraId="01111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3F95F34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135</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10F778E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狮洞小桥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15723C0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18.642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5B6CC9B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S503</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5475D2C0">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32.12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427088F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小桥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1557DA7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空心板梁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3A4B69F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公路Ⅱ级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7299C8D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八步公路养护中心</w:t>
            </w:r>
          </w:p>
        </w:tc>
      </w:tr>
      <w:tr w14:paraId="0759D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17C6B7D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136</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6A93589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松木小桥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312825D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22.762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439328A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S503</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73CCC684">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30.08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727244B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小桥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22156C1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空心板梁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232A1D8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公路Ⅱ级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7FB6176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八步公路养护中心</w:t>
            </w:r>
          </w:p>
        </w:tc>
      </w:tr>
      <w:tr w14:paraId="17876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0E6B074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137</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4C4F227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木冲小桥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2E06073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24.547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2DA25C7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S503</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59725CF9">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25.64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7412762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小桥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6D5D9F9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箱形梁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1FA01E7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公路Ⅱ级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7166A8E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八步公路养护中心</w:t>
            </w:r>
          </w:p>
        </w:tc>
      </w:tr>
      <w:tr w14:paraId="70AB7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2C2CB71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138</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309C88C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冲口1号小桥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5EF80C1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25.235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2526B3B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S503</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63B93D15">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25.65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3DA6CE0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小桥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1B10EE2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空心板梁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4842211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公路Ⅱ级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5962F41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八步公路养护中心</w:t>
            </w:r>
          </w:p>
        </w:tc>
      </w:tr>
      <w:tr w14:paraId="59F4F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327CEE4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139</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27AFD31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冲口2号小桥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73E73C3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26.408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3C7F860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S503</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060B3348">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25.06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7F4EC7C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小桥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24A45A9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空心板梁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2E45A2D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公路Ⅱ级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53B09D8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八步公路养护中心</w:t>
            </w:r>
          </w:p>
        </w:tc>
      </w:tr>
      <w:tr w14:paraId="1E5C0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069C940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140</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1EB4757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灵风洞小桥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2C5B93B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55.270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1321D0E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S503</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7FAB6515">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21.68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42DD545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小桥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565B7D3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空心板梁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365F455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公路Ⅱ级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3334AAF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昭平公路养护中心</w:t>
            </w:r>
          </w:p>
        </w:tc>
      </w:tr>
      <w:tr w14:paraId="56F00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62C1EDF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141</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3B4B598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毕头小桥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0292983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58.619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2CDBAD6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S503</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71CCFA19">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35.04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3685E34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小桥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57612D8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空心板梁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0549F45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公路Ⅱ级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7083169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昭平公路养护中心</w:t>
            </w:r>
          </w:p>
        </w:tc>
      </w:tr>
      <w:tr w14:paraId="60CC5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6083CC7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142</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4BA3C56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埌南新桥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477813D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54.746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6DF5C46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S505</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08F6D753">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39.00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3B85910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小桥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5D0D232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空心板梁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777E4D5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汽车-20级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7D12379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藤县公路养护中心</w:t>
            </w:r>
          </w:p>
        </w:tc>
      </w:tr>
      <w:tr w14:paraId="4FAAB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29D022E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143</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1FDD46F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新光桥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6295060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56.713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27F79AA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S505</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1E101F58">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21.00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0B77C79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小桥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140012E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空心板梁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25254BE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汽车-20级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1388F05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藤县公路养护中心</w:t>
            </w:r>
          </w:p>
        </w:tc>
      </w:tr>
      <w:tr w14:paraId="6A1B2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7648301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144</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7B194A0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沙黄桥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1EC9456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59.216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0A516AF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S505</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1E22959A">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22.00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294CEA5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小桥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074EF06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空心板梁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54F7276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汽车-20级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4858D5F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藤县公路养护中心</w:t>
            </w:r>
          </w:p>
        </w:tc>
      </w:tr>
      <w:tr w14:paraId="567BA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4170E0B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145</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5CC0356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马地桥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79E3B3A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62.482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2E699C9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S505</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162D119E">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19.00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3978685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小桥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1DB5C26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空心板梁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7BC0364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汽车-20级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475473F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藤县公路养护中心</w:t>
            </w:r>
          </w:p>
        </w:tc>
      </w:tr>
      <w:tr w14:paraId="698C8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6AAE945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146</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1DF73FF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荔汰桥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371AB76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1.059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3C66072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CA02</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2BC237A7">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26.45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6B618C4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小桥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0CEC6F5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板拱</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6186EA3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汽车-15级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1998DBD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岑溪公路养护中心</w:t>
            </w:r>
          </w:p>
        </w:tc>
      </w:tr>
      <w:tr w14:paraId="39820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1ACCD10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147</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06B3334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邓家坝桥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5E81671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1.177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384699A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Y300</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258B9A61">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36.00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51942B0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小桥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058C474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整体现浇板</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1365C25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公路-Ⅱ级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2F7A16D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富川公路养护中心</w:t>
            </w:r>
          </w:p>
        </w:tc>
      </w:tr>
      <w:tr w14:paraId="53545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6714930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148</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46D67DD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老寨一桥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266D52E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2.504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75353D9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Y300</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52F6C544">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36.00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662B536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小桥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60907AC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整体现浇板</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5A2C45E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公路-Ⅰ级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5910129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富川公路养护中心</w:t>
            </w:r>
          </w:p>
        </w:tc>
      </w:tr>
      <w:tr w14:paraId="5C3C9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33BD231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149</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7662962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老寨二桥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19CFE73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3.209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5D01F0B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Y300</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707B1528">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36.00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178201D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小桥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38B0630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空心板梁</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1A74153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公路-Ⅱ级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59598DA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富川公路养护中心</w:t>
            </w:r>
          </w:p>
        </w:tc>
      </w:tr>
      <w:tr w14:paraId="118C7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763DD5B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150</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477D083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旱冲桥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41DF5A2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1.045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064CA49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Y801</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2ACBFB1C">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10.00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4AB91F3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小桥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37779A8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板拱</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7DC8079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汽车-10级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7D661D1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藤县公路养护中心</w:t>
            </w:r>
          </w:p>
        </w:tc>
      </w:tr>
      <w:tr w14:paraId="49FD6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0E41030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151</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7592D5F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和好桥</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3A03502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4.953 </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37EE67D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Y802</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54FBF259">
            <w:pPr>
              <w:keepNext w:val="0"/>
              <w:keepLines w:val="0"/>
              <w:widowControl/>
              <w:suppressLineNumbers w:val="0"/>
              <w:jc w:val="righ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21.00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06E3301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小桥</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0DFE0C5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板拱</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3EFA7DD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汽车-10级</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1F69B72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藤县公路养护中心</w:t>
            </w:r>
          </w:p>
        </w:tc>
      </w:tr>
      <w:tr w14:paraId="29800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5FB9CCA0">
            <w:pPr>
              <w:jc w:val="center"/>
              <w:rPr>
                <w:rFonts w:hint="default" w:ascii="Times New Roman" w:hAnsi="Times New Roman" w:eastAsia="宋体" w:cs="Times New Roman"/>
                <w:b/>
                <w:bCs/>
                <w:i w:val="0"/>
                <w:iCs w:val="0"/>
                <w:color w:val="auto"/>
                <w:sz w:val="21"/>
                <w:szCs w:val="21"/>
                <w:highlight w:val="none"/>
                <w:u w:val="none"/>
              </w:rPr>
            </w:pP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7010392D">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小桥151座</w:t>
            </w:r>
          </w:p>
        </w:tc>
        <w:tc>
          <w:tcPr>
            <w:tcW w:w="982" w:type="pct"/>
            <w:gridSpan w:val="2"/>
            <w:tcBorders>
              <w:top w:val="single" w:color="000000" w:sz="4" w:space="0"/>
              <w:left w:val="single" w:color="000000" w:sz="4" w:space="0"/>
              <w:bottom w:val="single" w:color="000000" w:sz="4" w:space="0"/>
              <w:right w:val="single" w:color="000000" w:sz="4" w:space="0"/>
            </w:tcBorders>
            <w:noWrap w:val="0"/>
            <w:vAlign w:val="center"/>
          </w:tcPr>
          <w:p w14:paraId="1B5647B3">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小桥数量合计</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145DF4FF">
            <w:pPr>
              <w:keepNext w:val="0"/>
              <w:keepLines w:val="0"/>
              <w:widowControl/>
              <w:suppressLineNumbers w:val="0"/>
              <w:jc w:val="right"/>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 xml:space="preserve">3519.02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73485D7A">
            <w:pPr>
              <w:jc w:val="center"/>
              <w:rPr>
                <w:rFonts w:hint="default" w:ascii="Times New Roman" w:hAnsi="Times New Roman" w:eastAsia="宋体" w:cs="Times New Roman"/>
                <w:i w:val="0"/>
                <w:iCs w:val="0"/>
                <w:color w:val="auto"/>
                <w:sz w:val="21"/>
                <w:szCs w:val="21"/>
                <w:highlight w:val="none"/>
                <w:u w:val="none"/>
              </w:rPr>
            </w:pP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51D247B1">
            <w:pPr>
              <w:jc w:val="center"/>
              <w:rPr>
                <w:rFonts w:hint="default" w:ascii="Times New Roman" w:hAnsi="Times New Roman" w:eastAsia="宋体" w:cs="Times New Roman"/>
                <w:i w:val="0"/>
                <w:iCs w:val="0"/>
                <w:color w:val="auto"/>
                <w:sz w:val="21"/>
                <w:szCs w:val="21"/>
                <w:highlight w:val="none"/>
                <w:u w:val="none"/>
              </w:rPr>
            </w:pP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6FFBF77C">
            <w:pPr>
              <w:jc w:val="center"/>
              <w:rPr>
                <w:rFonts w:hint="default" w:ascii="Times New Roman" w:hAnsi="Times New Roman" w:eastAsia="宋体" w:cs="Times New Roman"/>
                <w:i w:val="0"/>
                <w:iCs w:val="0"/>
                <w:color w:val="auto"/>
                <w:sz w:val="21"/>
                <w:szCs w:val="21"/>
                <w:highlight w:val="none"/>
                <w:u w:val="none"/>
              </w:rPr>
            </w:pP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07E466EB">
            <w:pPr>
              <w:jc w:val="center"/>
              <w:rPr>
                <w:rFonts w:hint="default" w:ascii="Times New Roman" w:hAnsi="Times New Roman" w:eastAsia="宋体" w:cs="Times New Roman"/>
                <w:i w:val="0"/>
                <w:iCs w:val="0"/>
                <w:color w:val="auto"/>
                <w:sz w:val="21"/>
                <w:szCs w:val="21"/>
                <w:highlight w:val="none"/>
                <w:u w:val="none"/>
              </w:rPr>
            </w:pPr>
          </w:p>
        </w:tc>
      </w:tr>
      <w:tr w14:paraId="60992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4" w:type="pct"/>
            <w:tcBorders>
              <w:top w:val="single" w:color="000000" w:sz="4" w:space="0"/>
              <w:left w:val="single" w:color="000000" w:sz="4" w:space="0"/>
              <w:bottom w:val="single" w:color="000000" w:sz="4" w:space="0"/>
              <w:right w:val="single" w:color="000000" w:sz="4" w:space="0"/>
            </w:tcBorders>
            <w:noWrap w:val="0"/>
            <w:vAlign w:val="center"/>
          </w:tcPr>
          <w:p w14:paraId="49B48A19">
            <w:pPr>
              <w:jc w:val="center"/>
              <w:rPr>
                <w:rFonts w:hint="default" w:ascii="Times New Roman" w:hAnsi="Times New Roman" w:eastAsia="宋体" w:cs="Times New Roman"/>
                <w:i w:val="0"/>
                <w:iCs w:val="0"/>
                <w:color w:val="auto"/>
                <w:sz w:val="21"/>
                <w:szCs w:val="21"/>
                <w:highlight w:val="none"/>
                <w:u w:val="none"/>
              </w:rPr>
            </w:pP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08A150C8">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合计3</w:t>
            </w:r>
            <w:r>
              <w:rPr>
                <w:rFonts w:hint="eastAsia" w:ascii="Times New Roman" w:hAnsi="Times New Roman" w:eastAsia="宋体" w:cs="Times New Roman"/>
                <w:b/>
                <w:bCs/>
                <w:i w:val="0"/>
                <w:iCs w:val="0"/>
                <w:color w:val="auto"/>
                <w:kern w:val="0"/>
                <w:sz w:val="21"/>
                <w:szCs w:val="21"/>
                <w:highlight w:val="none"/>
                <w:u w:val="none"/>
                <w:lang w:val="en-US" w:eastAsia="zh-CN" w:bidi="ar"/>
              </w:rPr>
              <w:t>40</w:t>
            </w:r>
            <w:r>
              <w:rPr>
                <w:rFonts w:hint="default" w:ascii="Times New Roman" w:hAnsi="Times New Roman" w:eastAsia="宋体" w:cs="Times New Roman"/>
                <w:b/>
                <w:bCs/>
                <w:i w:val="0"/>
                <w:iCs w:val="0"/>
                <w:color w:val="auto"/>
                <w:kern w:val="0"/>
                <w:sz w:val="21"/>
                <w:szCs w:val="21"/>
                <w:highlight w:val="none"/>
                <w:u w:val="none"/>
                <w:lang w:val="en-US" w:eastAsia="zh-CN" w:bidi="ar"/>
              </w:rPr>
              <w:t>座</w:t>
            </w:r>
          </w:p>
        </w:tc>
        <w:tc>
          <w:tcPr>
            <w:tcW w:w="982" w:type="pct"/>
            <w:gridSpan w:val="2"/>
            <w:tcBorders>
              <w:top w:val="single" w:color="000000" w:sz="4" w:space="0"/>
              <w:left w:val="single" w:color="000000" w:sz="4" w:space="0"/>
              <w:bottom w:val="single" w:color="000000" w:sz="4" w:space="0"/>
              <w:right w:val="single" w:color="000000" w:sz="4" w:space="0"/>
            </w:tcBorders>
            <w:noWrap w:val="0"/>
            <w:vAlign w:val="center"/>
          </w:tcPr>
          <w:p w14:paraId="09DB49DA">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合计数量</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12A22BBE">
            <w:pPr>
              <w:keepNext w:val="0"/>
              <w:keepLines w:val="0"/>
              <w:widowControl/>
              <w:suppressLineNumbers w:val="0"/>
              <w:jc w:val="right"/>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21</w:t>
            </w:r>
            <w:r>
              <w:rPr>
                <w:rFonts w:hint="eastAsia" w:ascii="Times New Roman" w:hAnsi="Times New Roman" w:eastAsia="宋体" w:cs="Times New Roman"/>
                <w:b/>
                <w:bCs/>
                <w:i w:val="0"/>
                <w:iCs w:val="0"/>
                <w:color w:val="auto"/>
                <w:kern w:val="0"/>
                <w:sz w:val="21"/>
                <w:szCs w:val="21"/>
                <w:highlight w:val="none"/>
                <w:u w:val="none"/>
                <w:lang w:val="en-US" w:eastAsia="zh-CN" w:bidi="ar"/>
              </w:rPr>
              <w:t>320</w:t>
            </w:r>
            <w:r>
              <w:rPr>
                <w:rFonts w:hint="default" w:ascii="Times New Roman" w:hAnsi="Times New Roman" w:eastAsia="宋体" w:cs="Times New Roman"/>
                <w:b/>
                <w:bCs/>
                <w:i w:val="0"/>
                <w:iCs w:val="0"/>
                <w:color w:val="auto"/>
                <w:kern w:val="0"/>
                <w:sz w:val="21"/>
                <w:szCs w:val="21"/>
                <w:highlight w:val="none"/>
                <w:u w:val="none"/>
                <w:lang w:val="en-US" w:eastAsia="zh-CN" w:bidi="ar"/>
              </w:rPr>
              <w:t xml:space="preserve">.80 </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14:paraId="26249554">
            <w:pPr>
              <w:jc w:val="center"/>
              <w:rPr>
                <w:rFonts w:hint="default" w:ascii="Times New Roman" w:hAnsi="Times New Roman" w:eastAsia="宋体" w:cs="Times New Roman"/>
                <w:i w:val="0"/>
                <w:iCs w:val="0"/>
                <w:color w:val="auto"/>
                <w:sz w:val="21"/>
                <w:szCs w:val="21"/>
                <w:highlight w:val="none"/>
                <w:u w:val="none"/>
              </w:rPr>
            </w:pP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5D1CFC54">
            <w:pPr>
              <w:jc w:val="center"/>
              <w:rPr>
                <w:rFonts w:hint="default" w:ascii="Times New Roman" w:hAnsi="Times New Roman" w:eastAsia="宋体" w:cs="Times New Roman"/>
                <w:i w:val="0"/>
                <w:iCs w:val="0"/>
                <w:color w:val="auto"/>
                <w:sz w:val="21"/>
                <w:szCs w:val="21"/>
                <w:highlight w:val="none"/>
                <w:u w:val="none"/>
              </w:rPr>
            </w:pP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360394CE">
            <w:pPr>
              <w:jc w:val="center"/>
              <w:rPr>
                <w:rFonts w:hint="default" w:ascii="Times New Roman" w:hAnsi="Times New Roman" w:eastAsia="宋体" w:cs="Times New Roman"/>
                <w:i w:val="0"/>
                <w:iCs w:val="0"/>
                <w:color w:val="auto"/>
                <w:sz w:val="21"/>
                <w:szCs w:val="21"/>
                <w:highlight w:val="none"/>
                <w:u w:val="none"/>
              </w:rPr>
            </w:pP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40FBAE48">
            <w:pPr>
              <w:jc w:val="center"/>
              <w:rPr>
                <w:rFonts w:hint="default" w:ascii="Times New Roman" w:hAnsi="Times New Roman" w:eastAsia="宋体" w:cs="Times New Roman"/>
                <w:i w:val="0"/>
                <w:iCs w:val="0"/>
                <w:color w:val="auto"/>
                <w:sz w:val="21"/>
                <w:szCs w:val="21"/>
                <w:highlight w:val="none"/>
                <w:u w:val="none"/>
              </w:rPr>
            </w:pPr>
          </w:p>
        </w:tc>
      </w:tr>
    </w:tbl>
    <w:p w14:paraId="587F5488">
      <w:pPr>
        <w:rPr>
          <w:rFonts w:hint="eastAsia" w:ascii="宋体" w:hAnsi="宋体" w:eastAsia="宋体" w:cs="宋体"/>
          <w:b/>
          <w:bCs/>
          <w:i w:val="0"/>
          <w:iCs w:val="0"/>
          <w:color w:val="auto"/>
          <w:kern w:val="0"/>
          <w:sz w:val="24"/>
          <w:szCs w:val="24"/>
          <w:highlight w:val="none"/>
          <w:u w:val="none"/>
          <w:lang w:val="en-US" w:eastAsia="zh-CN" w:bidi="ar"/>
        </w:rPr>
      </w:pPr>
    </w:p>
    <w:p w14:paraId="514BEE0B">
      <w:pPr>
        <w:widowControl w:val="0"/>
        <w:spacing w:line="380" w:lineRule="exact"/>
        <w:jc w:val="both"/>
        <w:rPr>
          <w:rFonts w:hint="eastAsia" w:ascii="Times New Roman" w:hAnsi="Times New Roman" w:eastAsia="宋体" w:cs="Times New Roman"/>
          <w:color w:val="auto"/>
          <w:kern w:val="0"/>
          <w:sz w:val="24"/>
          <w:szCs w:val="24"/>
          <w:highlight w:val="none"/>
          <w:lang w:val="en-US" w:eastAsia="zh-CN" w:bidi="ar-SA"/>
        </w:rPr>
      </w:pPr>
    </w:p>
    <w:p w14:paraId="617CD169">
      <w:pP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br w:type="page"/>
      </w:r>
    </w:p>
    <w:p w14:paraId="13E5043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3"/>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附表2  2026年桥梁永久观测点测设一览表</w:t>
      </w:r>
    </w:p>
    <w:tbl>
      <w:tblPr>
        <w:tblStyle w:val="47"/>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975"/>
        <w:gridCol w:w="1975"/>
        <w:gridCol w:w="1419"/>
        <w:gridCol w:w="1084"/>
        <w:gridCol w:w="1305"/>
        <w:gridCol w:w="1148"/>
        <w:gridCol w:w="1084"/>
        <w:gridCol w:w="1294"/>
        <w:gridCol w:w="1294"/>
        <w:gridCol w:w="1976"/>
      </w:tblGrid>
      <w:tr w14:paraId="0DB43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78" w:type="pct"/>
            <w:tcBorders>
              <w:top w:val="single" w:color="000000" w:sz="4" w:space="0"/>
              <w:left w:val="single" w:color="000000" w:sz="4" w:space="0"/>
              <w:bottom w:val="single" w:color="000000" w:sz="4" w:space="0"/>
              <w:right w:val="single" w:color="000000" w:sz="4" w:space="0"/>
            </w:tcBorders>
            <w:noWrap w:val="0"/>
            <w:vAlign w:val="center"/>
          </w:tcPr>
          <w:p w14:paraId="4B290A2B">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桥梁代码</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14:paraId="75A3F022">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桥梁名称</w:t>
            </w: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5020922A">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中心桩号</w:t>
            </w:r>
            <w:r>
              <w:rPr>
                <w:rFonts w:hint="default" w:ascii="Times New Roman" w:hAnsi="Times New Roman" w:eastAsia="宋体" w:cs="Times New Roman"/>
                <w:b/>
                <w:bCs/>
                <w:i w:val="0"/>
                <w:iCs w:val="0"/>
                <w:color w:val="auto"/>
                <w:kern w:val="0"/>
                <w:sz w:val="21"/>
                <w:szCs w:val="21"/>
                <w:highlight w:val="none"/>
                <w:u w:val="none"/>
                <w:lang w:val="en-US" w:eastAsia="zh-CN" w:bidi="ar"/>
              </w:rPr>
              <w:br w:type="textWrapping"/>
            </w:r>
            <w:r>
              <w:rPr>
                <w:rFonts w:hint="default" w:ascii="Times New Roman" w:hAnsi="Times New Roman" w:eastAsia="宋体" w:cs="Times New Roman"/>
                <w:b/>
                <w:bCs/>
                <w:i w:val="0"/>
                <w:iCs w:val="0"/>
                <w:color w:val="auto"/>
                <w:kern w:val="0"/>
                <w:sz w:val="21"/>
                <w:szCs w:val="21"/>
                <w:highlight w:val="none"/>
                <w:u w:val="none"/>
                <w:lang w:val="en-US" w:eastAsia="zh-CN" w:bidi="ar"/>
              </w:rPr>
              <w:t>(公里)</w:t>
            </w:r>
          </w:p>
        </w:tc>
        <w:tc>
          <w:tcPr>
            <w:tcW w:w="372" w:type="pct"/>
            <w:tcBorders>
              <w:top w:val="single" w:color="000000" w:sz="4" w:space="0"/>
              <w:left w:val="single" w:color="000000" w:sz="4" w:space="0"/>
              <w:bottom w:val="single" w:color="000000" w:sz="4" w:space="0"/>
              <w:right w:val="single" w:color="000000" w:sz="4" w:space="0"/>
            </w:tcBorders>
            <w:noWrap w:val="0"/>
            <w:vAlign w:val="center"/>
          </w:tcPr>
          <w:p w14:paraId="23C204E9">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桥梁路线</w:t>
            </w:r>
          </w:p>
        </w:tc>
        <w:tc>
          <w:tcPr>
            <w:tcW w:w="448" w:type="pct"/>
            <w:tcBorders>
              <w:top w:val="single" w:color="000000" w:sz="4" w:space="0"/>
              <w:left w:val="single" w:color="000000" w:sz="4" w:space="0"/>
              <w:bottom w:val="single" w:color="000000" w:sz="4" w:space="0"/>
              <w:right w:val="single" w:color="000000" w:sz="4" w:space="0"/>
            </w:tcBorders>
            <w:noWrap w:val="0"/>
            <w:vAlign w:val="center"/>
          </w:tcPr>
          <w:p w14:paraId="489A79B0">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桥梁全长</w:t>
            </w:r>
            <w:r>
              <w:rPr>
                <w:rFonts w:hint="default" w:ascii="Times New Roman" w:hAnsi="Times New Roman" w:eastAsia="宋体" w:cs="Times New Roman"/>
                <w:b/>
                <w:bCs/>
                <w:i w:val="0"/>
                <w:iCs w:val="0"/>
                <w:color w:val="auto"/>
                <w:kern w:val="0"/>
                <w:sz w:val="21"/>
                <w:szCs w:val="21"/>
                <w:highlight w:val="none"/>
                <w:u w:val="none"/>
                <w:lang w:val="en-US" w:eastAsia="zh-CN" w:bidi="ar"/>
              </w:rPr>
              <w:br w:type="textWrapping"/>
            </w:r>
            <w:r>
              <w:rPr>
                <w:rFonts w:hint="default" w:ascii="Times New Roman" w:hAnsi="Times New Roman" w:eastAsia="宋体" w:cs="Times New Roman"/>
                <w:b/>
                <w:bCs/>
                <w:i w:val="0"/>
                <w:iCs w:val="0"/>
                <w:color w:val="auto"/>
                <w:kern w:val="0"/>
                <w:sz w:val="21"/>
                <w:szCs w:val="21"/>
                <w:highlight w:val="none"/>
                <w:u w:val="none"/>
                <w:lang w:val="en-US" w:eastAsia="zh-CN" w:bidi="ar"/>
              </w:rPr>
              <w:t>(米)</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3212F4B8">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单孔最</w:t>
            </w:r>
            <w:r>
              <w:rPr>
                <w:rFonts w:hint="default" w:ascii="Times New Roman" w:hAnsi="Times New Roman" w:eastAsia="宋体" w:cs="Times New Roman"/>
                <w:b/>
                <w:bCs/>
                <w:i w:val="0"/>
                <w:iCs w:val="0"/>
                <w:color w:val="auto"/>
                <w:kern w:val="0"/>
                <w:sz w:val="21"/>
                <w:szCs w:val="21"/>
                <w:highlight w:val="none"/>
                <w:u w:val="none"/>
                <w:lang w:val="en-US" w:eastAsia="zh-CN" w:bidi="ar"/>
              </w:rPr>
              <w:br w:type="textWrapping"/>
            </w:r>
            <w:r>
              <w:rPr>
                <w:rFonts w:hint="default" w:ascii="Times New Roman" w:hAnsi="Times New Roman" w:eastAsia="宋体" w:cs="Times New Roman"/>
                <w:b/>
                <w:bCs/>
                <w:i w:val="0"/>
                <w:iCs w:val="0"/>
                <w:color w:val="auto"/>
                <w:kern w:val="0"/>
                <w:sz w:val="21"/>
                <w:szCs w:val="21"/>
                <w:highlight w:val="none"/>
                <w:u w:val="none"/>
                <w:lang w:val="en-US" w:eastAsia="zh-CN" w:bidi="ar"/>
              </w:rPr>
              <w:t>大跨径</w:t>
            </w:r>
            <w:r>
              <w:rPr>
                <w:rFonts w:hint="default" w:ascii="Times New Roman" w:hAnsi="Times New Roman" w:eastAsia="宋体" w:cs="Times New Roman"/>
                <w:b/>
                <w:bCs/>
                <w:i w:val="0"/>
                <w:iCs w:val="0"/>
                <w:color w:val="auto"/>
                <w:kern w:val="0"/>
                <w:sz w:val="21"/>
                <w:szCs w:val="21"/>
                <w:highlight w:val="none"/>
                <w:u w:val="none"/>
                <w:lang w:val="en-US" w:eastAsia="zh-CN" w:bidi="ar"/>
              </w:rPr>
              <w:br w:type="textWrapping"/>
            </w:r>
            <w:r>
              <w:rPr>
                <w:rFonts w:hint="default" w:ascii="Times New Roman" w:hAnsi="Times New Roman" w:eastAsia="宋体" w:cs="Times New Roman"/>
                <w:b/>
                <w:bCs/>
                <w:i w:val="0"/>
                <w:iCs w:val="0"/>
                <w:color w:val="auto"/>
                <w:kern w:val="0"/>
                <w:sz w:val="21"/>
                <w:szCs w:val="21"/>
                <w:highlight w:val="none"/>
                <w:u w:val="none"/>
                <w:lang w:val="en-US" w:eastAsia="zh-CN" w:bidi="ar"/>
              </w:rPr>
              <w:t>(米)</w:t>
            </w:r>
          </w:p>
        </w:tc>
        <w:tc>
          <w:tcPr>
            <w:tcW w:w="372" w:type="pct"/>
            <w:tcBorders>
              <w:top w:val="single" w:color="000000" w:sz="4" w:space="0"/>
              <w:left w:val="single" w:color="000000" w:sz="4" w:space="0"/>
              <w:bottom w:val="single" w:color="000000" w:sz="4" w:space="0"/>
              <w:right w:val="single" w:color="000000" w:sz="4" w:space="0"/>
            </w:tcBorders>
            <w:noWrap w:val="0"/>
            <w:vAlign w:val="center"/>
          </w:tcPr>
          <w:p w14:paraId="5329A148">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桥梁分类</w:t>
            </w:r>
          </w:p>
        </w:tc>
        <w:tc>
          <w:tcPr>
            <w:tcW w:w="444" w:type="pct"/>
            <w:tcBorders>
              <w:top w:val="single" w:color="000000" w:sz="4" w:space="0"/>
              <w:left w:val="single" w:color="000000" w:sz="4" w:space="0"/>
              <w:bottom w:val="nil"/>
              <w:right w:val="single" w:color="000000" w:sz="4" w:space="0"/>
            </w:tcBorders>
            <w:noWrap w:val="0"/>
            <w:vAlign w:val="center"/>
          </w:tcPr>
          <w:p w14:paraId="09A4B17E">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结构类型</w:t>
            </w:r>
          </w:p>
        </w:tc>
        <w:tc>
          <w:tcPr>
            <w:tcW w:w="444" w:type="pct"/>
            <w:tcBorders>
              <w:top w:val="single" w:color="000000" w:sz="4" w:space="0"/>
              <w:left w:val="single" w:color="000000" w:sz="4" w:space="0"/>
              <w:bottom w:val="single" w:color="000000" w:sz="4" w:space="0"/>
              <w:right w:val="single" w:color="000000" w:sz="4" w:space="0"/>
            </w:tcBorders>
            <w:noWrap w:val="0"/>
            <w:vAlign w:val="center"/>
          </w:tcPr>
          <w:p w14:paraId="471A8B69">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永久观测点数量</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14:paraId="5D99B347">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管养单位</w:t>
            </w:r>
          </w:p>
        </w:tc>
      </w:tr>
      <w:tr w14:paraId="1846C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78" w:type="pct"/>
            <w:tcBorders>
              <w:top w:val="single" w:color="000000" w:sz="4" w:space="0"/>
              <w:left w:val="single" w:color="000000" w:sz="4" w:space="0"/>
              <w:bottom w:val="single" w:color="000000" w:sz="4" w:space="0"/>
              <w:right w:val="single" w:color="000000" w:sz="4" w:space="0"/>
            </w:tcBorders>
            <w:noWrap w:val="0"/>
            <w:vAlign w:val="center"/>
          </w:tcPr>
          <w:p w14:paraId="7A0F50F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G321450422L0050</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14:paraId="5619D61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西江大桥</w:t>
            </w: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02E46AB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310.931</w:t>
            </w:r>
          </w:p>
        </w:tc>
        <w:tc>
          <w:tcPr>
            <w:tcW w:w="372" w:type="pct"/>
            <w:tcBorders>
              <w:top w:val="single" w:color="000000" w:sz="4" w:space="0"/>
              <w:left w:val="single" w:color="000000" w:sz="4" w:space="0"/>
              <w:bottom w:val="single" w:color="000000" w:sz="4" w:space="0"/>
              <w:right w:val="single" w:color="000000" w:sz="4" w:space="0"/>
            </w:tcBorders>
            <w:noWrap w:val="0"/>
            <w:vAlign w:val="center"/>
          </w:tcPr>
          <w:p w14:paraId="055FF43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G321</w:t>
            </w:r>
          </w:p>
        </w:tc>
        <w:tc>
          <w:tcPr>
            <w:tcW w:w="448" w:type="pct"/>
            <w:tcBorders>
              <w:top w:val="single" w:color="000000" w:sz="4" w:space="0"/>
              <w:left w:val="single" w:color="000000" w:sz="4" w:space="0"/>
              <w:bottom w:val="single" w:color="000000" w:sz="4" w:space="0"/>
              <w:right w:val="single" w:color="000000" w:sz="4" w:space="0"/>
            </w:tcBorders>
            <w:noWrap w:val="0"/>
            <w:vAlign w:val="center"/>
          </w:tcPr>
          <w:p w14:paraId="22AC454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1517.03</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56437B5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90.00</w:t>
            </w:r>
          </w:p>
        </w:tc>
        <w:tc>
          <w:tcPr>
            <w:tcW w:w="372" w:type="pct"/>
            <w:tcBorders>
              <w:top w:val="single" w:color="000000" w:sz="4" w:space="0"/>
              <w:left w:val="single" w:color="000000" w:sz="4" w:space="0"/>
              <w:bottom w:val="single" w:color="000000" w:sz="4" w:space="0"/>
              <w:right w:val="single" w:color="000000" w:sz="4" w:space="0"/>
            </w:tcBorders>
            <w:noWrap w:val="0"/>
            <w:vAlign w:val="center"/>
          </w:tcPr>
          <w:p w14:paraId="60E560B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特大桥</w:t>
            </w:r>
          </w:p>
        </w:tc>
        <w:tc>
          <w:tcPr>
            <w:tcW w:w="444" w:type="pct"/>
            <w:tcBorders>
              <w:top w:val="single" w:color="000000" w:sz="4" w:space="0"/>
              <w:left w:val="single" w:color="000000" w:sz="4" w:space="0"/>
              <w:bottom w:val="single" w:color="000000" w:sz="4" w:space="0"/>
              <w:right w:val="single" w:color="000000" w:sz="4" w:space="0"/>
            </w:tcBorders>
            <w:noWrap w:val="0"/>
            <w:vAlign w:val="center"/>
          </w:tcPr>
          <w:p w14:paraId="31DDC46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箱形拱</w:t>
            </w:r>
          </w:p>
        </w:tc>
        <w:tc>
          <w:tcPr>
            <w:tcW w:w="444" w:type="pct"/>
            <w:tcBorders>
              <w:top w:val="single" w:color="000000" w:sz="4" w:space="0"/>
              <w:left w:val="single" w:color="000000" w:sz="4" w:space="0"/>
              <w:bottom w:val="single" w:color="000000" w:sz="4" w:space="0"/>
              <w:right w:val="single" w:color="000000" w:sz="4" w:space="0"/>
            </w:tcBorders>
            <w:noWrap w:val="0"/>
            <w:vAlign w:val="center"/>
          </w:tcPr>
          <w:p w14:paraId="1422490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408</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14:paraId="17C1CBF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藤县公路养护中心</w:t>
            </w:r>
          </w:p>
        </w:tc>
      </w:tr>
      <w:tr w14:paraId="05B2B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78" w:type="pct"/>
            <w:tcBorders>
              <w:top w:val="single" w:color="000000" w:sz="4" w:space="0"/>
              <w:left w:val="single" w:color="000000" w:sz="4" w:space="0"/>
              <w:bottom w:val="single" w:color="000000" w:sz="4" w:space="0"/>
              <w:right w:val="single" w:color="000000" w:sz="4" w:space="0"/>
            </w:tcBorders>
            <w:noWrap w:val="0"/>
            <w:vAlign w:val="center"/>
          </w:tcPr>
          <w:p w14:paraId="2CD2CA4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G355451121L0230</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14:paraId="64F352E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桂江大桥</w:t>
            </w: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5FEF225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1448.934</w:t>
            </w:r>
          </w:p>
        </w:tc>
        <w:tc>
          <w:tcPr>
            <w:tcW w:w="372" w:type="pct"/>
            <w:tcBorders>
              <w:top w:val="single" w:color="000000" w:sz="4" w:space="0"/>
              <w:left w:val="single" w:color="000000" w:sz="4" w:space="0"/>
              <w:bottom w:val="single" w:color="000000" w:sz="4" w:space="0"/>
              <w:right w:val="single" w:color="000000" w:sz="4" w:space="0"/>
            </w:tcBorders>
            <w:noWrap w:val="0"/>
            <w:vAlign w:val="center"/>
          </w:tcPr>
          <w:p w14:paraId="1B4C916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G355</w:t>
            </w:r>
          </w:p>
        </w:tc>
        <w:tc>
          <w:tcPr>
            <w:tcW w:w="448" w:type="pct"/>
            <w:tcBorders>
              <w:top w:val="single" w:color="000000" w:sz="4" w:space="0"/>
              <w:left w:val="single" w:color="000000" w:sz="4" w:space="0"/>
              <w:bottom w:val="single" w:color="000000" w:sz="4" w:space="0"/>
              <w:right w:val="single" w:color="000000" w:sz="4" w:space="0"/>
            </w:tcBorders>
            <w:noWrap w:val="0"/>
            <w:vAlign w:val="center"/>
          </w:tcPr>
          <w:p w14:paraId="58F1ECB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598.00</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395F24C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170.00</w:t>
            </w:r>
          </w:p>
        </w:tc>
        <w:tc>
          <w:tcPr>
            <w:tcW w:w="372" w:type="pct"/>
            <w:tcBorders>
              <w:top w:val="single" w:color="000000" w:sz="4" w:space="0"/>
              <w:left w:val="single" w:color="000000" w:sz="4" w:space="0"/>
              <w:bottom w:val="single" w:color="000000" w:sz="4" w:space="0"/>
              <w:right w:val="single" w:color="000000" w:sz="4" w:space="0"/>
            </w:tcBorders>
            <w:noWrap w:val="0"/>
            <w:vAlign w:val="center"/>
          </w:tcPr>
          <w:p w14:paraId="5FE5235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特大桥</w:t>
            </w:r>
          </w:p>
        </w:tc>
        <w:tc>
          <w:tcPr>
            <w:tcW w:w="444" w:type="pct"/>
            <w:tcBorders>
              <w:top w:val="single" w:color="000000" w:sz="4" w:space="0"/>
              <w:left w:val="single" w:color="000000" w:sz="4" w:space="0"/>
              <w:bottom w:val="single" w:color="000000" w:sz="4" w:space="0"/>
              <w:right w:val="single" w:color="000000" w:sz="4" w:space="0"/>
            </w:tcBorders>
            <w:noWrap w:val="0"/>
            <w:vAlign w:val="center"/>
          </w:tcPr>
          <w:p w14:paraId="5DD2596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箱形梁</w:t>
            </w:r>
          </w:p>
        </w:tc>
        <w:tc>
          <w:tcPr>
            <w:tcW w:w="444" w:type="pct"/>
            <w:tcBorders>
              <w:top w:val="single" w:color="000000" w:sz="4" w:space="0"/>
              <w:left w:val="single" w:color="000000" w:sz="4" w:space="0"/>
              <w:bottom w:val="single" w:color="000000" w:sz="4" w:space="0"/>
              <w:right w:val="single" w:color="000000" w:sz="4" w:space="0"/>
            </w:tcBorders>
            <w:noWrap w:val="0"/>
            <w:vAlign w:val="center"/>
          </w:tcPr>
          <w:p w14:paraId="2F2F2C4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260</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14:paraId="06111FD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昭平公路养护中心</w:t>
            </w:r>
          </w:p>
        </w:tc>
      </w:tr>
      <w:tr w14:paraId="4D9DD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78" w:type="pct"/>
            <w:tcBorders>
              <w:top w:val="single" w:color="000000" w:sz="4" w:space="0"/>
              <w:left w:val="single" w:color="000000" w:sz="4" w:space="0"/>
              <w:bottom w:val="single" w:color="000000" w:sz="4" w:space="0"/>
              <w:right w:val="single" w:color="000000" w:sz="4" w:space="0"/>
            </w:tcBorders>
            <w:noWrap w:val="0"/>
            <w:vAlign w:val="center"/>
          </w:tcPr>
          <w:p w14:paraId="72470707">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特大桥</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14:paraId="0EF3D980">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2座</w:t>
            </w:r>
          </w:p>
        </w:tc>
        <w:tc>
          <w:tcPr>
            <w:tcW w:w="859" w:type="pct"/>
            <w:gridSpan w:val="2"/>
            <w:tcBorders>
              <w:top w:val="single" w:color="000000" w:sz="4" w:space="0"/>
              <w:left w:val="single" w:color="000000" w:sz="4" w:space="0"/>
              <w:bottom w:val="single" w:color="000000" w:sz="4" w:space="0"/>
              <w:right w:val="single" w:color="000000" w:sz="4" w:space="0"/>
            </w:tcBorders>
            <w:noWrap w:val="0"/>
            <w:vAlign w:val="center"/>
          </w:tcPr>
          <w:p w14:paraId="1AA2B5DD">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特大桥数量合计</w:t>
            </w:r>
          </w:p>
        </w:tc>
        <w:tc>
          <w:tcPr>
            <w:tcW w:w="448" w:type="pct"/>
            <w:tcBorders>
              <w:top w:val="single" w:color="000000" w:sz="4" w:space="0"/>
              <w:left w:val="single" w:color="000000" w:sz="4" w:space="0"/>
              <w:bottom w:val="single" w:color="000000" w:sz="4" w:space="0"/>
              <w:right w:val="single" w:color="000000" w:sz="4" w:space="0"/>
            </w:tcBorders>
            <w:noWrap w:val="0"/>
            <w:vAlign w:val="center"/>
          </w:tcPr>
          <w:p w14:paraId="6AD482B7">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2115.03</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38F2866F">
            <w:pPr>
              <w:jc w:val="center"/>
              <w:rPr>
                <w:rFonts w:hint="default" w:ascii="Times New Roman" w:hAnsi="Times New Roman" w:eastAsia="宋体" w:cs="Times New Roman"/>
                <w:b/>
                <w:bCs/>
                <w:i w:val="0"/>
                <w:iCs w:val="0"/>
                <w:color w:val="auto"/>
                <w:sz w:val="21"/>
                <w:szCs w:val="21"/>
                <w:highlight w:val="none"/>
                <w:u w:val="none"/>
              </w:rPr>
            </w:pPr>
          </w:p>
        </w:tc>
        <w:tc>
          <w:tcPr>
            <w:tcW w:w="372" w:type="pct"/>
            <w:tcBorders>
              <w:top w:val="single" w:color="000000" w:sz="4" w:space="0"/>
              <w:left w:val="single" w:color="000000" w:sz="4" w:space="0"/>
              <w:bottom w:val="single" w:color="000000" w:sz="4" w:space="0"/>
              <w:right w:val="single" w:color="000000" w:sz="4" w:space="0"/>
            </w:tcBorders>
            <w:noWrap w:val="0"/>
            <w:vAlign w:val="center"/>
          </w:tcPr>
          <w:p w14:paraId="7FB8E7BE">
            <w:pPr>
              <w:jc w:val="center"/>
              <w:rPr>
                <w:rFonts w:hint="default" w:ascii="Times New Roman" w:hAnsi="Times New Roman" w:eastAsia="宋体" w:cs="Times New Roman"/>
                <w:i w:val="0"/>
                <w:iCs w:val="0"/>
                <w:color w:val="auto"/>
                <w:sz w:val="21"/>
                <w:szCs w:val="21"/>
                <w:highlight w:val="none"/>
                <w:u w:val="none"/>
              </w:rPr>
            </w:pPr>
          </w:p>
        </w:tc>
        <w:tc>
          <w:tcPr>
            <w:tcW w:w="444" w:type="pct"/>
            <w:tcBorders>
              <w:top w:val="single" w:color="000000" w:sz="4" w:space="0"/>
              <w:left w:val="single" w:color="000000" w:sz="4" w:space="0"/>
              <w:bottom w:val="single" w:color="000000" w:sz="4" w:space="0"/>
              <w:right w:val="single" w:color="000000" w:sz="4" w:space="0"/>
            </w:tcBorders>
            <w:noWrap w:val="0"/>
            <w:vAlign w:val="center"/>
          </w:tcPr>
          <w:p w14:paraId="052D9BDC">
            <w:pPr>
              <w:jc w:val="center"/>
              <w:rPr>
                <w:rFonts w:hint="default" w:ascii="Times New Roman" w:hAnsi="Times New Roman" w:eastAsia="宋体" w:cs="Times New Roman"/>
                <w:i w:val="0"/>
                <w:iCs w:val="0"/>
                <w:color w:val="auto"/>
                <w:sz w:val="21"/>
                <w:szCs w:val="21"/>
                <w:highlight w:val="none"/>
                <w:u w:val="none"/>
              </w:rPr>
            </w:pPr>
          </w:p>
        </w:tc>
        <w:tc>
          <w:tcPr>
            <w:tcW w:w="444" w:type="pct"/>
            <w:tcBorders>
              <w:top w:val="single" w:color="000000" w:sz="4" w:space="0"/>
              <w:left w:val="single" w:color="000000" w:sz="4" w:space="0"/>
              <w:bottom w:val="single" w:color="000000" w:sz="4" w:space="0"/>
              <w:right w:val="single" w:color="000000" w:sz="4" w:space="0"/>
            </w:tcBorders>
            <w:noWrap w:val="0"/>
            <w:vAlign w:val="center"/>
          </w:tcPr>
          <w:p w14:paraId="38FC2FA4">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668</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14:paraId="200AE134">
            <w:pPr>
              <w:jc w:val="center"/>
              <w:rPr>
                <w:rFonts w:hint="default" w:ascii="Times New Roman" w:hAnsi="Times New Roman" w:eastAsia="宋体" w:cs="Times New Roman"/>
                <w:i w:val="0"/>
                <w:iCs w:val="0"/>
                <w:color w:val="auto"/>
                <w:sz w:val="21"/>
                <w:szCs w:val="21"/>
                <w:highlight w:val="none"/>
                <w:u w:val="none"/>
              </w:rPr>
            </w:pPr>
          </w:p>
        </w:tc>
      </w:tr>
      <w:tr w14:paraId="6197C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78" w:type="pct"/>
            <w:tcBorders>
              <w:top w:val="single" w:color="000000" w:sz="4" w:space="0"/>
              <w:left w:val="single" w:color="000000" w:sz="4" w:space="0"/>
              <w:bottom w:val="single" w:color="000000" w:sz="4" w:space="0"/>
              <w:right w:val="single" w:color="000000" w:sz="4" w:space="0"/>
            </w:tcBorders>
            <w:noWrap w:val="0"/>
            <w:vAlign w:val="center"/>
          </w:tcPr>
          <w:p w14:paraId="187137C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G207450481L0210</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14:paraId="3DD66F1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水汶大桥</w:t>
            </w: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7975275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3853.943</w:t>
            </w:r>
          </w:p>
        </w:tc>
        <w:tc>
          <w:tcPr>
            <w:tcW w:w="372" w:type="pct"/>
            <w:tcBorders>
              <w:top w:val="single" w:color="000000" w:sz="4" w:space="0"/>
              <w:left w:val="single" w:color="000000" w:sz="4" w:space="0"/>
              <w:bottom w:val="single" w:color="000000" w:sz="4" w:space="0"/>
              <w:right w:val="single" w:color="000000" w:sz="4" w:space="0"/>
            </w:tcBorders>
            <w:noWrap w:val="0"/>
            <w:vAlign w:val="center"/>
          </w:tcPr>
          <w:p w14:paraId="7654FCC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G207</w:t>
            </w:r>
          </w:p>
        </w:tc>
        <w:tc>
          <w:tcPr>
            <w:tcW w:w="448" w:type="pct"/>
            <w:tcBorders>
              <w:top w:val="single" w:color="000000" w:sz="4" w:space="0"/>
              <w:left w:val="single" w:color="000000" w:sz="4" w:space="0"/>
              <w:bottom w:val="single" w:color="000000" w:sz="4" w:space="0"/>
              <w:right w:val="single" w:color="000000" w:sz="4" w:space="0"/>
            </w:tcBorders>
            <w:noWrap w:val="0"/>
            <w:vAlign w:val="center"/>
          </w:tcPr>
          <w:p w14:paraId="6474259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156.08</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7F28FCA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60.00</w:t>
            </w:r>
          </w:p>
        </w:tc>
        <w:tc>
          <w:tcPr>
            <w:tcW w:w="372" w:type="pct"/>
            <w:tcBorders>
              <w:top w:val="single" w:color="000000" w:sz="4" w:space="0"/>
              <w:left w:val="single" w:color="000000" w:sz="4" w:space="0"/>
              <w:bottom w:val="single" w:color="000000" w:sz="4" w:space="0"/>
              <w:right w:val="single" w:color="000000" w:sz="4" w:space="0"/>
            </w:tcBorders>
            <w:noWrap w:val="0"/>
            <w:vAlign w:val="center"/>
          </w:tcPr>
          <w:p w14:paraId="2D14B85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大桥</w:t>
            </w:r>
          </w:p>
        </w:tc>
        <w:tc>
          <w:tcPr>
            <w:tcW w:w="444" w:type="pct"/>
            <w:tcBorders>
              <w:top w:val="single" w:color="000000" w:sz="4" w:space="0"/>
              <w:left w:val="single" w:color="000000" w:sz="4" w:space="0"/>
              <w:bottom w:val="single" w:color="000000" w:sz="4" w:space="0"/>
              <w:right w:val="single" w:color="000000" w:sz="4" w:space="0"/>
            </w:tcBorders>
            <w:noWrap w:val="0"/>
            <w:vAlign w:val="center"/>
          </w:tcPr>
          <w:p w14:paraId="36D42AB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双曲拱</w:t>
            </w:r>
          </w:p>
        </w:tc>
        <w:tc>
          <w:tcPr>
            <w:tcW w:w="444" w:type="pct"/>
            <w:tcBorders>
              <w:top w:val="single" w:color="000000" w:sz="4" w:space="0"/>
              <w:left w:val="single" w:color="000000" w:sz="4" w:space="0"/>
              <w:bottom w:val="single" w:color="000000" w:sz="4" w:space="0"/>
              <w:right w:val="single" w:color="000000" w:sz="4" w:space="0"/>
            </w:tcBorders>
            <w:noWrap w:val="0"/>
            <w:vAlign w:val="center"/>
          </w:tcPr>
          <w:p w14:paraId="5D4A5A4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115</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14:paraId="4D1CC97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广西壮族自治区岑溪公路养护中心</w:t>
            </w:r>
          </w:p>
        </w:tc>
      </w:tr>
      <w:tr w14:paraId="72A01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78" w:type="pct"/>
            <w:tcBorders>
              <w:top w:val="single" w:color="000000" w:sz="4" w:space="0"/>
              <w:left w:val="single" w:color="000000" w:sz="4" w:space="0"/>
              <w:bottom w:val="single" w:color="000000" w:sz="4" w:space="0"/>
              <w:right w:val="single" w:color="000000" w:sz="4" w:space="0"/>
            </w:tcBorders>
            <w:noWrap w:val="0"/>
            <w:vAlign w:val="center"/>
          </w:tcPr>
          <w:p w14:paraId="405E1F1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G241450422L0100</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14:paraId="7950E5F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石桥大桥</w:t>
            </w: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3359270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3124.533</w:t>
            </w:r>
          </w:p>
        </w:tc>
        <w:tc>
          <w:tcPr>
            <w:tcW w:w="372" w:type="pct"/>
            <w:tcBorders>
              <w:top w:val="single" w:color="000000" w:sz="4" w:space="0"/>
              <w:left w:val="single" w:color="000000" w:sz="4" w:space="0"/>
              <w:bottom w:val="single" w:color="000000" w:sz="4" w:space="0"/>
              <w:right w:val="single" w:color="000000" w:sz="4" w:space="0"/>
            </w:tcBorders>
            <w:noWrap w:val="0"/>
            <w:vAlign w:val="center"/>
          </w:tcPr>
          <w:p w14:paraId="04120C3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G241</w:t>
            </w:r>
          </w:p>
        </w:tc>
        <w:tc>
          <w:tcPr>
            <w:tcW w:w="448" w:type="pct"/>
            <w:tcBorders>
              <w:top w:val="single" w:color="000000" w:sz="4" w:space="0"/>
              <w:left w:val="single" w:color="000000" w:sz="4" w:space="0"/>
              <w:bottom w:val="single" w:color="000000" w:sz="4" w:space="0"/>
              <w:right w:val="single" w:color="000000" w:sz="4" w:space="0"/>
            </w:tcBorders>
            <w:noWrap w:val="0"/>
            <w:vAlign w:val="center"/>
          </w:tcPr>
          <w:p w14:paraId="731076C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201.21</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7992726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80.00</w:t>
            </w:r>
          </w:p>
        </w:tc>
        <w:tc>
          <w:tcPr>
            <w:tcW w:w="372" w:type="pct"/>
            <w:tcBorders>
              <w:top w:val="single" w:color="000000" w:sz="4" w:space="0"/>
              <w:left w:val="single" w:color="000000" w:sz="4" w:space="0"/>
              <w:bottom w:val="single" w:color="000000" w:sz="4" w:space="0"/>
              <w:right w:val="single" w:color="000000" w:sz="4" w:space="0"/>
            </w:tcBorders>
            <w:noWrap w:val="0"/>
            <w:vAlign w:val="center"/>
          </w:tcPr>
          <w:p w14:paraId="0432845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大桥</w:t>
            </w:r>
          </w:p>
        </w:tc>
        <w:tc>
          <w:tcPr>
            <w:tcW w:w="444" w:type="pct"/>
            <w:tcBorders>
              <w:top w:val="single" w:color="000000" w:sz="4" w:space="0"/>
              <w:left w:val="single" w:color="000000" w:sz="4" w:space="0"/>
              <w:bottom w:val="single" w:color="000000" w:sz="4" w:space="0"/>
              <w:right w:val="single" w:color="000000" w:sz="4" w:space="0"/>
            </w:tcBorders>
            <w:noWrap w:val="0"/>
            <w:vAlign w:val="center"/>
          </w:tcPr>
          <w:p w14:paraId="3B7FFD0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箱形拱</w:t>
            </w:r>
          </w:p>
        </w:tc>
        <w:tc>
          <w:tcPr>
            <w:tcW w:w="444" w:type="pct"/>
            <w:tcBorders>
              <w:top w:val="single" w:color="000000" w:sz="4" w:space="0"/>
              <w:left w:val="single" w:color="000000" w:sz="4" w:space="0"/>
              <w:bottom w:val="single" w:color="000000" w:sz="4" w:space="0"/>
              <w:right w:val="single" w:color="000000" w:sz="4" w:space="0"/>
            </w:tcBorders>
            <w:noWrap w:val="0"/>
            <w:vAlign w:val="center"/>
          </w:tcPr>
          <w:p w14:paraId="0AE09E3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76</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14:paraId="16770BC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广西壮族自治区藤县公路养护中心</w:t>
            </w:r>
          </w:p>
        </w:tc>
      </w:tr>
      <w:tr w14:paraId="3C8DB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78" w:type="pct"/>
            <w:tcBorders>
              <w:top w:val="single" w:color="000000" w:sz="4" w:space="0"/>
              <w:left w:val="single" w:color="000000" w:sz="4" w:space="0"/>
              <w:bottom w:val="single" w:color="000000" w:sz="4" w:space="0"/>
              <w:right w:val="single" w:color="000000" w:sz="4" w:space="0"/>
            </w:tcBorders>
            <w:noWrap w:val="0"/>
            <w:vAlign w:val="center"/>
          </w:tcPr>
          <w:p w14:paraId="58AD20A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G241451121L0200</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14:paraId="4E9A226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马滩大桥</w:t>
            </w: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37C8EEC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3012.708</w:t>
            </w:r>
          </w:p>
        </w:tc>
        <w:tc>
          <w:tcPr>
            <w:tcW w:w="372" w:type="pct"/>
            <w:tcBorders>
              <w:top w:val="single" w:color="000000" w:sz="4" w:space="0"/>
              <w:left w:val="single" w:color="000000" w:sz="4" w:space="0"/>
              <w:bottom w:val="single" w:color="000000" w:sz="4" w:space="0"/>
              <w:right w:val="single" w:color="000000" w:sz="4" w:space="0"/>
            </w:tcBorders>
            <w:noWrap w:val="0"/>
            <w:vAlign w:val="center"/>
          </w:tcPr>
          <w:p w14:paraId="0E47D2A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G241</w:t>
            </w:r>
          </w:p>
        </w:tc>
        <w:tc>
          <w:tcPr>
            <w:tcW w:w="448" w:type="pct"/>
            <w:tcBorders>
              <w:top w:val="single" w:color="000000" w:sz="4" w:space="0"/>
              <w:left w:val="single" w:color="000000" w:sz="4" w:space="0"/>
              <w:bottom w:val="single" w:color="000000" w:sz="4" w:space="0"/>
              <w:right w:val="single" w:color="000000" w:sz="4" w:space="0"/>
            </w:tcBorders>
            <w:noWrap w:val="0"/>
            <w:vAlign w:val="center"/>
          </w:tcPr>
          <w:p w14:paraId="7C4ED96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458.55</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4AD22AA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100.00</w:t>
            </w:r>
          </w:p>
        </w:tc>
        <w:tc>
          <w:tcPr>
            <w:tcW w:w="372" w:type="pct"/>
            <w:tcBorders>
              <w:top w:val="single" w:color="000000" w:sz="4" w:space="0"/>
              <w:left w:val="single" w:color="000000" w:sz="4" w:space="0"/>
              <w:bottom w:val="single" w:color="000000" w:sz="4" w:space="0"/>
              <w:right w:val="single" w:color="000000" w:sz="4" w:space="0"/>
            </w:tcBorders>
            <w:noWrap w:val="0"/>
            <w:vAlign w:val="center"/>
          </w:tcPr>
          <w:p w14:paraId="04DFF1D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大桥</w:t>
            </w:r>
          </w:p>
        </w:tc>
        <w:tc>
          <w:tcPr>
            <w:tcW w:w="444" w:type="pct"/>
            <w:tcBorders>
              <w:top w:val="single" w:color="000000" w:sz="4" w:space="0"/>
              <w:left w:val="single" w:color="000000" w:sz="4" w:space="0"/>
              <w:bottom w:val="single" w:color="000000" w:sz="4" w:space="0"/>
              <w:right w:val="single" w:color="000000" w:sz="4" w:space="0"/>
            </w:tcBorders>
            <w:noWrap w:val="0"/>
            <w:vAlign w:val="center"/>
          </w:tcPr>
          <w:p w14:paraId="6CD6835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箱形梁</w:t>
            </w:r>
          </w:p>
        </w:tc>
        <w:tc>
          <w:tcPr>
            <w:tcW w:w="444" w:type="pct"/>
            <w:tcBorders>
              <w:top w:val="single" w:color="000000" w:sz="4" w:space="0"/>
              <w:left w:val="single" w:color="000000" w:sz="4" w:space="0"/>
              <w:bottom w:val="single" w:color="000000" w:sz="4" w:space="0"/>
              <w:right w:val="single" w:color="000000" w:sz="4" w:space="0"/>
            </w:tcBorders>
            <w:noWrap w:val="0"/>
            <w:vAlign w:val="center"/>
          </w:tcPr>
          <w:p w14:paraId="23E334A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250</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14:paraId="0D9058B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广西壮族自治区昭平公路养护中心</w:t>
            </w:r>
          </w:p>
        </w:tc>
      </w:tr>
      <w:tr w14:paraId="1A66C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78" w:type="pct"/>
            <w:tcBorders>
              <w:top w:val="single" w:color="000000" w:sz="4" w:space="0"/>
              <w:left w:val="single" w:color="000000" w:sz="4" w:space="0"/>
              <w:bottom w:val="single" w:color="000000" w:sz="4" w:space="0"/>
              <w:right w:val="single" w:color="000000" w:sz="4" w:space="0"/>
            </w:tcBorders>
            <w:noWrap w:val="0"/>
            <w:vAlign w:val="center"/>
          </w:tcPr>
          <w:p w14:paraId="046974E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S304450422L0010</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14:paraId="6B0A3F9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濛江大桥</w:t>
            </w: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7997B12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74.204</w:t>
            </w:r>
          </w:p>
        </w:tc>
        <w:tc>
          <w:tcPr>
            <w:tcW w:w="372" w:type="pct"/>
            <w:tcBorders>
              <w:top w:val="single" w:color="000000" w:sz="4" w:space="0"/>
              <w:left w:val="single" w:color="000000" w:sz="4" w:space="0"/>
              <w:bottom w:val="single" w:color="000000" w:sz="4" w:space="0"/>
              <w:right w:val="single" w:color="000000" w:sz="4" w:space="0"/>
            </w:tcBorders>
            <w:noWrap w:val="0"/>
            <w:vAlign w:val="center"/>
          </w:tcPr>
          <w:p w14:paraId="4BBFB62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S304</w:t>
            </w:r>
          </w:p>
        </w:tc>
        <w:tc>
          <w:tcPr>
            <w:tcW w:w="448" w:type="pct"/>
            <w:tcBorders>
              <w:top w:val="single" w:color="000000" w:sz="4" w:space="0"/>
              <w:left w:val="single" w:color="000000" w:sz="4" w:space="0"/>
              <w:bottom w:val="single" w:color="000000" w:sz="4" w:space="0"/>
              <w:right w:val="single" w:color="000000" w:sz="4" w:space="0"/>
            </w:tcBorders>
            <w:noWrap w:val="0"/>
            <w:vAlign w:val="center"/>
          </w:tcPr>
          <w:p w14:paraId="794313C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240.60</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5BBBA2D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60.00</w:t>
            </w:r>
          </w:p>
        </w:tc>
        <w:tc>
          <w:tcPr>
            <w:tcW w:w="372" w:type="pct"/>
            <w:tcBorders>
              <w:top w:val="single" w:color="000000" w:sz="4" w:space="0"/>
              <w:left w:val="single" w:color="000000" w:sz="4" w:space="0"/>
              <w:bottom w:val="single" w:color="000000" w:sz="4" w:space="0"/>
              <w:right w:val="single" w:color="000000" w:sz="4" w:space="0"/>
            </w:tcBorders>
            <w:noWrap w:val="0"/>
            <w:vAlign w:val="center"/>
          </w:tcPr>
          <w:p w14:paraId="0550699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大桥</w:t>
            </w:r>
          </w:p>
        </w:tc>
        <w:tc>
          <w:tcPr>
            <w:tcW w:w="444" w:type="pct"/>
            <w:tcBorders>
              <w:top w:val="single" w:color="000000" w:sz="4" w:space="0"/>
              <w:left w:val="single" w:color="000000" w:sz="4" w:space="0"/>
              <w:bottom w:val="single" w:color="000000" w:sz="4" w:space="0"/>
              <w:right w:val="single" w:color="000000" w:sz="4" w:space="0"/>
            </w:tcBorders>
            <w:noWrap w:val="0"/>
            <w:vAlign w:val="center"/>
          </w:tcPr>
          <w:p w14:paraId="2F560F8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箱形拱</w:t>
            </w:r>
          </w:p>
        </w:tc>
        <w:tc>
          <w:tcPr>
            <w:tcW w:w="444" w:type="pct"/>
            <w:tcBorders>
              <w:top w:val="single" w:color="000000" w:sz="4" w:space="0"/>
              <w:left w:val="single" w:color="000000" w:sz="4" w:space="0"/>
              <w:bottom w:val="single" w:color="000000" w:sz="4" w:space="0"/>
              <w:right w:val="single" w:color="000000" w:sz="4" w:space="0"/>
            </w:tcBorders>
            <w:noWrap w:val="0"/>
            <w:vAlign w:val="center"/>
          </w:tcPr>
          <w:p w14:paraId="59F46B1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110</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14:paraId="1293608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广西壮族自治区藤县公路养护中心</w:t>
            </w:r>
          </w:p>
        </w:tc>
      </w:tr>
      <w:tr w14:paraId="10614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78" w:type="pct"/>
            <w:tcBorders>
              <w:top w:val="single" w:color="000000" w:sz="4" w:space="0"/>
              <w:left w:val="single" w:color="000000" w:sz="4" w:space="0"/>
              <w:bottom w:val="single" w:color="000000" w:sz="4" w:space="0"/>
              <w:right w:val="single" w:color="000000" w:sz="4" w:space="0"/>
            </w:tcBorders>
            <w:noWrap w:val="0"/>
            <w:vAlign w:val="center"/>
          </w:tcPr>
          <w:p w14:paraId="1DE3CD9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S310450422L0020</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14:paraId="5062E4E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镇安北流河大桥</w:t>
            </w: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2512DDF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36.582</w:t>
            </w:r>
          </w:p>
        </w:tc>
        <w:tc>
          <w:tcPr>
            <w:tcW w:w="372" w:type="pct"/>
            <w:tcBorders>
              <w:top w:val="single" w:color="000000" w:sz="4" w:space="0"/>
              <w:left w:val="single" w:color="000000" w:sz="4" w:space="0"/>
              <w:bottom w:val="single" w:color="000000" w:sz="4" w:space="0"/>
              <w:right w:val="single" w:color="000000" w:sz="4" w:space="0"/>
            </w:tcBorders>
            <w:noWrap w:val="0"/>
            <w:vAlign w:val="center"/>
          </w:tcPr>
          <w:p w14:paraId="736B29C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S310</w:t>
            </w:r>
          </w:p>
        </w:tc>
        <w:tc>
          <w:tcPr>
            <w:tcW w:w="448" w:type="pct"/>
            <w:tcBorders>
              <w:top w:val="single" w:color="000000" w:sz="4" w:space="0"/>
              <w:left w:val="single" w:color="000000" w:sz="4" w:space="0"/>
              <w:bottom w:val="single" w:color="000000" w:sz="4" w:space="0"/>
              <w:right w:val="single" w:color="000000" w:sz="4" w:space="0"/>
            </w:tcBorders>
            <w:noWrap w:val="0"/>
            <w:vAlign w:val="center"/>
          </w:tcPr>
          <w:p w14:paraId="6A199A8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375.53</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0C2797C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135.00</w:t>
            </w:r>
          </w:p>
        </w:tc>
        <w:tc>
          <w:tcPr>
            <w:tcW w:w="372" w:type="pct"/>
            <w:tcBorders>
              <w:top w:val="single" w:color="000000" w:sz="4" w:space="0"/>
              <w:left w:val="single" w:color="000000" w:sz="4" w:space="0"/>
              <w:bottom w:val="single" w:color="000000" w:sz="4" w:space="0"/>
              <w:right w:val="single" w:color="000000" w:sz="4" w:space="0"/>
            </w:tcBorders>
            <w:noWrap w:val="0"/>
            <w:vAlign w:val="center"/>
          </w:tcPr>
          <w:p w14:paraId="2675088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大桥</w:t>
            </w:r>
          </w:p>
        </w:tc>
        <w:tc>
          <w:tcPr>
            <w:tcW w:w="444" w:type="pct"/>
            <w:tcBorders>
              <w:top w:val="single" w:color="000000" w:sz="4" w:space="0"/>
              <w:left w:val="single" w:color="000000" w:sz="4" w:space="0"/>
              <w:bottom w:val="single" w:color="000000" w:sz="4" w:space="0"/>
              <w:right w:val="single" w:color="000000" w:sz="4" w:space="0"/>
            </w:tcBorders>
            <w:noWrap w:val="0"/>
            <w:vAlign w:val="center"/>
          </w:tcPr>
          <w:p w14:paraId="51D977D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连续箱梁</w:t>
            </w:r>
          </w:p>
        </w:tc>
        <w:tc>
          <w:tcPr>
            <w:tcW w:w="444" w:type="pct"/>
            <w:tcBorders>
              <w:top w:val="single" w:color="000000" w:sz="4" w:space="0"/>
              <w:left w:val="single" w:color="000000" w:sz="4" w:space="0"/>
              <w:bottom w:val="single" w:color="000000" w:sz="4" w:space="0"/>
              <w:right w:val="single" w:color="000000" w:sz="4" w:space="0"/>
            </w:tcBorders>
            <w:noWrap w:val="0"/>
            <w:vAlign w:val="center"/>
          </w:tcPr>
          <w:p w14:paraId="5E67D9E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144</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14:paraId="194285D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广西壮族自治区藤县公路养护中心</w:t>
            </w:r>
          </w:p>
        </w:tc>
      </w:tr>
      <w:tr w14:paraId="6944F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78" w:type="pct"/>
            <w:tcBorders>
              <w:top w:val="single" w:color="000000" w:sz="4" w:space="0"/>
              <w:left w:val="single" w:color="000000" w:sz="4" w:space="0"/>
              <w:bottom w:val="single" w:color="000000" w:sz="4" w:space="0"/>
              <w:right w:val="single" w:color="000000" w:sz="4" w:space="0"/>
            </w:tcBorders>
            <w:noWrap w:val="0"/>
            <w:vAlign w:val="center"/>
          </w:tcPr>
          <w:p w14:paraId="76F32367">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大桥</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14:paraId="228379D9">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5座</w:t>
            </w:r>
          </w:p>
        </w:tc>
        <w:tc>
          <w:tcPr>
            <w:tcW w:w="859" w:type="pct"/>
            <w:gridSpan w:val="2"/>
            <w:tcBorders>
              <w:top w:val="single" w:color="000000" w:sz="4" w:space="0"/>
              <w:left w:val="single" w:color="000000" w:sz="4" w:space="0"/>
              <w:bottom w:val="single" w:color="000000" w:sz="4" w:space="0"/>
              <w:right w:val="single" w:color="000000" w:sz="4" w:space="0"/>
            </w:tcBorders>
            <w:noWrap w:val="0"/>
            <w:vAlign w:val="center"/>
          </w:tcPr>
          <w:p w14:paraId="3404740B">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大桥数量合计</w:t>
            </w:r>
          </w:p>
        </w:tc>
        <w:tc>
          <w:tcPr>
            <w:tcW w:w="448" w:type="pct"/>
            <w:tcBorders>
              <w:top w:val="single" w:color="000000" w:sz="4" w:space="0"/>
              <w:left w:val="single" w:color="000000" w:sz="4" w:space="0"/>
              <w:bottom w:val="single" w:color="000000" w:sz="4" w:space="0"/>
              <w:right w:val="single" w:color="000000" w:sz="4" w:space="0"/>
            </w:tcBorders>
            <w:noWrap w:val="0"/>
            <w:vAlign w:val="center"/>
          </w:tcPr>
          <w:p w14:paraId="0873C6DD">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5662.03</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3883BEB7">
            <w:pPr>
              <w:jc w:val="center"/>
              <w:rPr>
                <w:rFonts w:hint="default" w:ascii="Times New Roman" w:hAnsi="Times New Roman" w:eastAsia="宋体" w:cs="Times New Roman"/>
                <w:b/>
                <w:bCs/>
                <w:i w:val="0"/>
                <w:iCs w:val="0"/>
                <w:color w:val="auto"/>
                <w:sz w:val="21"/>
                <w:szCs w:val="21"/>
                <w:highlight w:val="none"/>
                <w:u w:val="none"/>
              </w:rPr>
            </w:pPr>
          </w:p>
        </w:tc>
        <w:tc>
          <w:tcPr>
            <w:tcW w:w="372" w:type="pct"/>
            <w:tcBorders>
              <w:top w:val="single" w:color="000000" w:sz="4" w:space="0"/>
              <w:left w:val="single" w:color="000000" w:sz="4" w:space="0"/>
              <w:bottom w:val="single" w:color="000000" w:sz="4" w:space="0"/>
              <w:right w:val="single" w:color="000000" w:sz="4" w:space="0"/>
            </w:tcBorders>
            <w:noWrap w:val="0"/>
            <w:vAlign w:val="center"/>
          </w:tcPr>
          <w:p w14:paraId="01A0D7DC">
            <w:pPr>
              <w:jc w:val="center"/>
              <w:rPr>
                <w:rFonts w:hint="default" w:ascii="Times New Roman" w:hAnsi="Times New Roman" w:eastAsia="宋体" w:cs="Times New Roman"/>
                <w:i w:val="0"/>
                <w:iCs w:val="0"/>
                <w:color w:val="auto"/>
                <w:sz w:val="21"/>
                <w:szCs w:val="21"/>
                <w:highlight w:val="none"/>
                <w:u w:val="none"/>
              </w:rPr>
            </w:pPr>
          </w:p>
        </w:tc>
        <w:tc>
          <w:tcPr>
            <w:tcW w:w="444" w:type="pct"/>
            <w:tcBorders>
              <w:top w:val="single" w:color="000000" w:sz="4" w:space="0"/>
              <w:left w:val="single" w:color="000000" w:sz="4" w:space="0"/>
              <w:bottom w:val="single" w:color="000000" w:sz="4" w:space="0"/>
              <w:right w:val="single" w:color="000000" w:sz="4" w:space="0"/>
            </w:tcBorders>
            <w:noWrap w:val="0"/>
            <w:vAlign w:val="center"/>
          </w:tcPr>
          <w:p w14:paraId="26E7D277">
            <w:pPr>
              <w:jc w:val="center"/>
              <w:rPr>
                <w:rFonts w:hint="default" w:ascii="Times New Roman" w:hAnsi="Times New Roman" w:eastAsia="宋体" w:cs="Times New Roman"/>
                <w:i w:val="0"/>
                <w:iCs w:val="0"/>
                <w:color w:val="auto"/>
                <w:sz w:val="21"/>
                <w:szCs w:val="21"/>
                <w:highlight w:val="none"/>
                <w:u w:val="none"/>
              </w:rPr>
            </w:pPr>
          </w:p>
        </w:tc>
        <w:tc>
          <w:tcPr>
            <w:tcW w:w="444" w:type="pct"/>
            <w:tcBorders>
              <w:top w:val="single" w:color="000000" w:sz="4" w:space="0"/>
              <w:left w:val="single" w:color="000000" w:sz="4" w:space="0"/>
              <w:bottom w:val="single" w:color="000000" w:sz="4" w:space="0"/>
              <w:right w:val="single" w:color="000000" w:sz="4" w:space="0"/>
            </w:tcBorders>
            <w:noWrap w:val="0"/>
            <w:vAlign w:val="center"/>
          </w:tcPr>
          <w:p w14:paraId="282864A5">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695</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14:paraId="6AC46BCA">
            <w:pPr>
              <w:jc w:val="center"/>
              <w:rPr>
                <w:rFonts w:hint="default" w:ascii="Times New Roman" w:hAnsi="Times New Roman" w:eastAsia="宋体" w:cs="Times New Roman"/>
                <w:i w:val="0"/>
                <w:iCs w:val="0"/>
                <w:color w:val="auto"/>
                <w:sz w:val="21"/>
                <w:szCs w:val="21"/>
                <w:highlight w:val="none"/>
                <w:u w:val="none"/>
              </w:rPr>
            </w:pPr>
          </w:p>
        </w:tc>
      </w:tr>
      <w:tr w14:paraId="5FB7E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78" w:type="pct"/>
            <w:tcBorders>
              <w:top w:val="single" w:color="000000" w:sz="4" w:space="0"/>
              <w:left w:val="single" w:color="000000" w:sz="4" w:space="0"/>
              <w:bottom w:val="single" w:color="000000" w:sz="4" w:space="0"/>
              <w:right w:val="single" w:color="000000" w:sz="4" w:space="0"/>
            </w:tcBorders>
            <w:noWrap w:val="0"/>
            <w:vAlign w:val="center"/>
          </w:tcPr>
          <w:p w14:paraId="7508292B">
            <w:pPr>
              <w:jc w:val="center"/>
              <w:rPr>
                <w:rFonts w:hint="default" w:ascii="Times New Roman" w:hAnsi="Times New Roman" w:eastAsia="宋体" w:cs="Times New Roman"/>
                <w:b/>
                <w:bCs/>
                <w:i w:val="0"/>
                <w:iCs w:val="0"/>
                <w:color w:val="auto"/>
                <w:sz w:val="21"/>
                <w:szCs w:val="21"/>
                <w:highlight w:val="none"/>
                <w:u w:val="none"/>
              </w:rPr>
            </w:pPr>
          </w:p>
        </w:tc>
        <w:tc>
          <w:tcPr>
            <w:tcW w:w="678" w:type="pct"/>
            <w:tcBorders>
              <w:top w:val="single" w:color="000000" w:sz="4" w:space="0"/>
              <w:left w:val="single" w:color="000000" w:sz="4" w:space="0"/>
              <w:bottom w:val="single" w:color="000000" w:sz="4" w:space="0"/>
              <w:right w:val="single" w:color="000000" w:sz="4" w:space="0"/>
            </w:tcBorders>
            <w:noWrap w:val="0"/>
            <w:vAlign w:val="center"/>
          </w:tcPr>
          <w:p w14:paraId="55599564">
            <w:pPr>
              <w:jc w:val="center"/>
              <w:rPr>
                <w:rFonts w:hint="default" w:ascii="Times New Roman" w:hAnsi="Times New Roman" w:eastAsia="宋体" w:cs="Times New Roman"/>
                <w:b/>
                <w:bCs/>
                <w:i w:val="0"/>
                <w:iCs w:val="0"/>
                <w:color w:val="auto"/>
                <w:sz w:val="21"/>
                <w:szCs w:val="21"/>
                <w:highlight w:val="none"/>
                <w:u w:val="none"/>
              </w:rPr>
            </w:pPr>
          </w:p>
        </w:tc>
        <w:tc>
          <w:tcPr>
            <w:tcW w:w="859" w:type="pct"/>
            <w:gridSpan w:val="2"/>
            <w:tcBorders>
              <w:top w:val="single" w:color="000000" w:sz="4" w:space="0"/>
              <w:left w:val="single" w:color="000000" w:sz="4" w:space="0"/>
              <w:bottom w:val="single" w:color="000000" w:sz="4" w:space="0"/>
              <w:right w:val="single" w:color="000000" w:sz="4" w:space="0"/>
            </w:tcBorders>
            <w:noWrap w:val="0"/>
            <w:vAlign w:val="center"/>
          </w:tcPr>
          <w:p w14:paraId="6946FB8C">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数量总合计</w:t>
            </w:r>
          </w:p>
        </w:tc>
        <w:tc>
          <w:tcPr>
            <w:tcW w:w="448" w:type="pct"/>
            <w:tcBorders>
              <w:top w:val="single" w:color="000000" w:sz="4" w:space="0"/>
              <w:left w:val="single" w:color="000000" w:sz="4" w:space="0"/>
              <w:bottom w:val="single" w:color="000000" w:sz="4" w:space="0"/>
              <w:right w:val="single" w:color="000000" w:sz="4" w:space="0"/>
            </w:tcBorders>
            <w:noWrap w:val="0"/>
            <w:vAlign w:val="center"/>
          </w:tcPr>
          <w:p w14:paraId="13CCD4D8">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7777.06</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19BFC469">
            <w:pPr>
              <w:jc w:val="center"/>
              <w:rPr>
                <w:rFonts w:hint="default" w:ascii="Times New Roman" w:hAnsi="Times New Roman" w:eastAsia="宋体" w:cs="Times New Roman"/>
                <w:b/>
                <w:bCs/>
                <w:i w:val="0"/>
                <w:iCs w:val="0"/>
                <w:color w:val="auto"/>
                <w:sz w:val="21"/>
                <w:szCs w:val="21"/>
                <w:highlight w:val="none"/>
                <w:u w:val="none"/>
              </w:rPr>
            </w:pPr>
          </w:p>
        </w:tc>
        <w:tc>
          <w:tcPr>
            <w:tcW w:w="372" w:type="pct"/>
            <w:tcBorders>
              <w:top w:val="single" w:color="000000" w:sz="4" w:space="0"/>
              <w:left w:val="single" w:color="000000" w:sz="4" w:space="0"/>
              <w:bottom w:val="single" w:color="000000" w:sz="4" w:space="0"/>
              <w:right w:val="single" w:color="000000" w:sz="4" w:space="0"/>
            </w:tcBorders>
            <w:noWrap w:val="0"/>
            <w:vAlign w:val="center"/>
          </w:tcPr>
          <w:p w14:paraId="789E0905">
            <w:pPr>
              <w:jc w:val="center"/>
              <w:rPr>
                <w:rFonts w:hint="default" w:ascii="Times New Roman" w:hAnsi="Times New Roman" w:eastAsia="宋体" w:cs="Times New Roman"/>
                <w:i w:val="0"/>
                <w:iCs w:val="0"/>
                <w:color w:val="auto"/>
                <w:sz w:val="21"/>
                <w:szCs w:val="21"/>
                <w:highlight w:val="none"/>
                <w:u w:val="none"/>
              </w:rPr>
            </w:pPr>
          </w:p>
        </w:tc>
        <w:tc>
          <w:tcPr>
            <w:tcW w:w="444" w:type="pct"/>
            <w:tcBorders>
              <w:top w:val="single" w:color="000000" w:sz="4" w:space="0"/>
              <w:left w:val="single" w:color="000000" w:sz="4" w:space="0"/>
              <w:bottom w:val="single" w:color="000000" w:sz="4" w:space="0"/>
              <w:right w:val="single" w:color="000000" w:sz="4" w:space="0"/>
            </w:tcBorders>
            <w:noWrap w:val="0"/>
            <w:vAlign w:val="center"/>
          </w:tcPr>
          <w:p w14:paraId="1B5DD62B">
            <w:pPr>
              <w:jc w:val="center"/>
              <w:rPr>
                <w:rFonts w:hint="default" w:ascii="Times New Roman" w:hAnsi="Times New Roman" w:eastAsia="宋体" w:cs="Times New Roman"/>
                <w:i w:val="0"/>
                <w:iCs w:val="0"/>
                <w:color w:val="auto"/>
                <w:sz w:val="21"/>
                <w:szCs w:val="21"/>
                <w:highlight w:val="none"/>
                <w:u w:val="none"/>
              </w:rPr>
            </w:pPr>
          </w:p>
        </w:tc>
        <w:tc>
          <w:tcPr>
            <w:tcW w:w="444" w:type="pct"/>
            <w:tcBorders>
              <w:top w:val="single" w:color="000000" w:sz="4" w:space="0"/>
              <w:left w:val="single" w:color="000000" w:sz="4" w:space="0"/>
              <w:bottom w:val="single" w:color="000000" w:sz="4" w:space="0"/>
              <w:right w:val="single" w:color="000000" w:sz="4" w:space="0"/>
            </w:tcBorders>
            <w:noWrap w:val="0"/>
            <w:vAlign w:val="center"/>
          </w:tcPr>
          <w:p w14:paraId="06DEA471">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1363</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14:paraId="34B205B3">
            <w:pPr>
              <w:jc w:val="center"/>
              <w:rPr>
                <w:rFonts w:hint="default" w:ascii="Times New Roman" w:hAnsi="Times New Roman" w:eastAsia="宋体" w:cs="Times New Roman"/>
                <w:i w:val="0"/>
                <w:iCs w:val="0"/>
                <w:color w:val="auto"/>
                <w:sz w:val="21"/>
                <w:szCs w:val="21"/>
                <w:highlight w:val="none"/>
                <w:u w:val="none"/>
              </w:rPr>
            </w:pPr>
          </w:p>
        </w:tc>
      </w:tr>
    </w:tbl>
    <w:p w14:paraId="354E451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i w:val="0"/>
          <w:iCs w:val="0"/>
          <w:color w:val="auto"/>
          <w:kern w:val="0"/>
          <w:sz w:val="24"/>
          <w:szCs w:val="24"/>
          <w:highlight w:val="none"/>
          <w:u w:val="none"/>
          <w:lang w:val="en-US" w:eastAsia="zh-CN" w:bidi="ar"/>
        </w:rPr>
        <w:sectPr>
          <w:pgSz w:w="16838" w:h="11905" w:orient="landscape"/>
          <w:pgMar w:top="964" w:right="1247" w:bottom="907" w:left="1247" w:header="851" w:footer="992" w:gutter="0"/>
          <w:pgBorders w:offsetFrom="page">
            <w:top w:val="none" w:sz="0" w:space="0"/>
            <w:left w:val="none" w:sz="0" w:space="0"/>
            <w:bottom w:val="none" w:sz="0" w:space="0"/>
            <w:right w:val="none" w:sz="0" w:space="0"/>
          </w:pgBorders>
          <w:pgNumType w:start="1"/>
          <w:cols w:space="720" w:num="1"/>
          <w:titlePg/>
          <w:rtlGutter w:val="0"/>
          <w:docGrid w:type="lines" w:linePitch="321" w:charSpace="0"/>
        </w:sectPr>
      </w:pPr>
    </w:p>
    <w:p w14:paraId="38858B8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3"/>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附表3  2026年桥梁水中结构检查一览表</w:t>
      </w:r>
    </w:p>
    <w:tbl>
      <w:tblPr>
        <w:tblStyle w:val="47"/>
        <w:tblW w:w="506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861"/>
        <w:gridCol w:w="1461"/>
        <w:gridCol w:w="1122"/>
        <w:gridCol w:w="915"/>
        <w:gridCol w:w="850"/>
        <w:gridCol w:w="998"/>
        <w:gridCol w:w="1007"/>
        <w:gridCol w:w="998"/>
        <w:gridCol w:w="998"/>
        <w:gridCol w:w="1007"/>
        <w:gridCol w:w="998"/>
        <w:gridCol w:w="998"/>
        <w:gridCol w:w="1533"/>
      </w:tblGrid>
      <w:tr w14:paraId="4920C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exact"/>
          <w:tblHeader/>
        </w:trPr>
        <w:tc>
          <w:tcPr>
            <w:tcW w:w="630" w:type="pct"/>
            <w:vMerge w:val="restart"/>
            <w:tcBorders>
              <w:top w:val="single" w:color="000000" w:sz="4" w:space="0"/>
              <w:left w:val="single" w:color="000000" w:sz="4" w:space="0"/>
              <w:bottom w:val="single" w:color="000000" w:sz="4" w:space="0"/>
              <w:right w:val="single" w:color="000000" w:sz="4" w:space="0"/>
            </w:tcBorders>
            <w:noWrap w:val="0"/>
            <w:vAlign w:val="center"/>
          </w:tcPr>
          <w:p w14:paraId="263BA6EB">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桥梁代码</w:t>
            </w:r>
          </w:p>
        </w:tc>
        <w:tc>
          <w:tcPr>
            <w:tcW w:w="495" w:type="pct"/>
            <w:vMerge w:val="restart"/>
            <w:tcBorders>
              <w:top w:val="single" w:color="000000" w:sz="4" w:space="0"/>
              <w:left w:val="single" w:color="000000" w:sz="4" w:space="0"/>
              <w:bottom w:val="single" w:color="000000" w:sz="4" w:space="0"/>
              <w:right w:val="single" w:color="000000" w:sz="4" w:space="0"/>
            </w:tcBorders>
            <w:noWrap w:val="0"/>
            <w:vAlign w:val="center"/>
          </w:tcPr>
          <w:p w14:paraId="3E47522B">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桥梁名称</w:t>
            </w:r>
          </w:p>
        </w:tc>
        <w:tc>
          <w:tcPr>
            <w:tcW w:w="380" w:type="pct"/>
            <w:vMerge w:val="restart"/>
            <w:tcBorders>
              <w:top w:val="single" w:color="000000" w:sz="4" w:space="0"/>
              <w:left w:val="single" w:color="000000" w:sz="4" w:space="0"/>
              <w:bottom w:val="single" w:color="000000" w:sz="4" w:space="0"/>
              <w:right w:val="single" w:color="000000" w:sz="4" w:space="0"/>
            </w:tcBorders>
            <w:noWrap w:val="0"/>
            <w:vAlign w:val="center"/>
          </w:tcPr>
          <w:p w14:paraId="266FEFD1">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桥梁中</w:t>
            </w:r>
            <w:r>
              <w:rPr>
                <w:rFonts w:hint="default" w:ascii="Times New Roman" w:hAnsi="Times New Roman" w:eastAsia="宋体" w:cs="Times New Roman"/>
                <w:b/>
                <w:bCs/>
                <w:i w:val="0"/>
                <w:iCs w:val="0"/>
                <w:color w:val="auto"/>
                <w:kern w:val="0"/>
                <w:sz w:val="21"/>
                <w:szCs w:val="21"/>
                <w:highlight w:val="none"/>
                <w:u w:val="none"/>
                <w:lang w:val="en-US" w:eastAsia="zh-CN" w:bidi="ar"/>
              </w:rPr>
              <w:br w:type="textWrapping"/>
            </w:r>
            <w:r>
              <w:rPr>
                <w:rFonts w:hint="default" w:ascii="Times New Roman" w:hAnsi="Times New Roman" w:eastAsia="宋体" w:cs="Times New Roman"/>
                <w:b/>
                <w:bCs/>
                <w:i w:val="0"/>
                <w:iCs w:val="0"/>
                <w:color w:val="auto"/>
                <w:kern w:val="0"/>
                <w:sz w:val="21"/>
                <w:szCs w:val="21"/>
                <w:highlight w:val="none"/>
                <w:u w:val="none"/>
                <w:lang w:val="en-US" w:eastAsia="zh-CN" w:bidi="ar"/>
              </w:rPr>
              <w:t>心桩号</w:t>
            </w:r>
          </w:p>
        </w:tc>
        <w:tc>
          <w:tcPr>
            <w:tcW w:w="310" w:type="pct"/>
            <w:vMerge w:val="restart"/>
            <w:tcBorders>
              <w:top w:val="single" w:color="000000" w:sz="4" w:space="0"/>
              <w:left w:val="single" w:color="000000" w:sz="4" w:space="0"/>
              <w:bottom w:val="single" w:color="000000" w:sz="4" w:space="0"/>
              <w:right w:val="single" w:color="000000" w:sz="4" w:space="0"/>
            </w:tcBorders>
            <w:noWrap w:val="0"/>
            <w:vAlign w:val="center"/>
          </w:tcPr>
          <w:p w14:paraId="3714FA33">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路线编号</w:t>
            </w:r>
          </w:p>
        </w:tc>
        <w:tc>
          <w:tcPr>
            <w:tcW w:w="288" w:type="pct"/>
            <w:vMerge w:val="restart"/>
            <w:tcBorders>
              <w:top w:val="single" w:color="000000" w:sz="4" w:space="0"/>
              <w:left w:val="single" w:color="000000" w:sz="4" w:space="0"/>
              <w:bottom w:val="single" w:color="000000" w:sz="4" w:space="0"/>
              <w:right w:val="single" w:color="000000" w:sz="4" w:space="0"/>
            </w:tcBorders>
            <w:noWrap w:val="0"/>
            <w:vAlign w:val="center"/>
          </w:tcPr>
          <w:p w14:paraId="6B7D2766">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桥梁</w:t>
            </w:r>
            <w:r>
              <w:rPr>
                <w:rFonts w:hint="default" w:ascii="Times New Roman" w:hAnsi="Times New Roman" w:eastAsia="宋体" w:cs="Times New Roman"/>
                <w:b/>
                <w:bCs/>
                <w:i w:val="0"/>
                <w:iCs w:val="0"/>
                <w:color w:val="auto"/>
                <w:kern w:val="0"/>
                <w:sz w:val="21"/>
                <w:szCs w:val="21"/>
                <w:highlight w:val="none"/>
                <w:u w:val="none"/>
                <w:lang w:val="en-US" w:eastAsia="zh-CN" w:bidi="ar"/>
              </w:rPr>
              <w:br w:type="textWrapping"/>
            </w:r>
            <w:r>
              <w:rPr>
                <w:rFonts w:hint="default" w:ascii="Times New Roman" w:hAnsi="Times New Roman" w:eastAsia="宋体" w:cs="Times New Roman"/>
                <w:b/>
                <w:bCs/>
                <w:i w:val="0"/>
                <w:iCs w:val="0"/>
                <w:color w:val="auto"/>
                <w:kern w:val="0"/>
                <w:sz w:val="21"/>
                <w:szCs w:val="21"/>
                <w:highlight w:val="none"/>
                <w:u w:val="none"/>
                <w:lang w:val="en-US" w:eastAsia="zh-CN" w:bidi="ar"/>
              </w:rPr>
              <w:t>类型</w:t>
            </w:r>
          </w:p>
        </w:tc>
        <w:tc>
          <w:tcPr>
            <w:tcW w:w="338" w:type="pct"/>
            <w:vMerge w:val="restart"/>
            <w:tcBorders>
              <w:top w:val="single" w:color="000000" w:sz="4" w:space="0"/>
              <w:left w:val="single" w:color="000000" w:sz="4" w:space="0"/>
              <w:bottom w:val="single" w:color="000000" w:sz="4" w:space="0"/>
              <w:right w:val="single" w:color="000000" w:sz="4" w:space="0"/>
            </w:tcBorders>
            <w:noWrap w:val="0"/>
            <w:vAlign w:val="center"/>
          </w:tcPr>
          <w:p w14:paraId="30DAE162">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摸排墩台合计</w:t>
            </w:r>
          </w:p>
        </w:tc>
        <w:tc>
          <w:tcPr>
            <w:tcW w:w="341" w:type="pct"/>
            <w:vMerge w:val="restart"/>
            <w:tcBorders>
              <w:top w:val="single" w:color="000000" w:sz="4" w:space="0"/>
              <w:left w:val="single" w:color="000000" w:sz="4" w:space="0"/>
              <w:bottom w:val="single" w:color="000000" w:sz="4" w:space="0"/>
              <w:right w:val="single" w:color="000000" w:sz="4" w:space="0"/>
            </w:tcBorders>
            <w:noWrap w:val="0"/>
            <w:vAlign w:val="center"/>
          </w:tcPr>
          <w:p w14:paraId="15CCF3DA">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桥台</w:t>
            </w:r>
            <w:r>
              <w:rPr>
                <w:rFonts w:hint="default" w:ascii="Times New Roman" w:hAnsi="Times New Roman" w:eastAsia="宋体" w:cs="Times New Roman"/>
                <w:b/>
                <w:bCs/>
                <w:i w:val="0"/>
                <w:iCs w:val="0"/>
                <w:color w:val="auto"/>
                <w:kern w:val="0"/>
                <w:sz w:val="21"/>
                <w:szCs w:val="21"/>
                <w:highlight w:val="none"/>
                <w:u w:val="none"/>
                <w:lang w:val="en-US" w:eastAsia="zh-CN" w:bidi="ar"/>
              </w:rPr>
              <w:br w:type="textWrapping"/>
            </w:r>
            <w:r>
              <w:rPr>
                <w:rFonts w:hint="default" w:ascii="Times New Roman" w:hAnsi="Times New Roman" w:eastAsia="宋体" w:cs="Times New Roman"/>
                <w:b/>
                <w:bCs/>
                <w:i w:val="0"/>
                <w:iCs w:val="0"/>
                <w:color w:val="auto"/>
                <w:kern w:val="0"/>
                <w:sz w:val="21"/>
                <w:szCs w:val="21"/>
                <w:highlight w:val="none"/>
                <w:u w:val="none"/>
                <w:lang w:val="en-US" w:eastAsia="zh-CN" w:bidi="ar"/>
              </w:rPr>
              <w:t>（个）</w:t>
            </w:r>
          </w:p>
        </w:tc>
        <w:tc>
          <w:tcPr>
            <w:tcW w:w="338" w:type="pct"/>
            <w:vMerge w:val="restart"/>
            <w:tcBorders>
              <w:top w:val="single" w:color="000000" w:sz="4" w:space="0"/>
              <w:left w:val="single" w:color="000000" w:sz="4" w:space="0"/>
              <w:bottom w:val="single" w:color="000000" w:sz="4" w:space="0"/>
              <w:right w:val="single" w:color="000000" w:sz="4" w:space="0"/>
            </w:tcBorders>
            <w:noWrap w:val="0"/>
            <w:vAlign w:val="center"/>
          </w:tcPr>
          <w:p w14:paraId="20EB15BF">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auto"/>
                <w:kern w:val="0"/>
                <w:sz w:val="21"/>
                <w:szCs w:val="21"/>
                <w:highlight w:val="none"/>
                <w:u w:val="none"/>
                <w:lang w:val="en-US" w:eastAsia="zh-CN" w:bidi="ar"/>
              </w:rPr>
            </w:pPr>
            <w:r>
              <w:rPr>
                <w:rFonts w:hint="default" w:ascii="Times New Roman" w:hAnsi="Times New Roman" w:eastAsia="宋体" w:cs="Times New Roman"/>
                <w:b/>
                <w:bCs/>
                <w:i w:val="0"/>
                <w:iCs w:val="0"/>
                <w:color w:val="auto"/>
                <w:kern w:val="0"/>
                <w:sz w:val="21"/>
                <w:szCs w:val="21"/>
                <w:highlight w:val="none"/>
                <w:u w:val="none"/>
                <w:lang w:val="en-US" w:eastAsia="zh-CN" w:bidi="ar"/>
              </w:rPr>
              <w:t>桥台</w:t>
            </w:r>
          </w:p>
          <w:p w14:paraId="5732935E">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类型</w:t>
            </w:r>
          </w:p>
        </w:tc>
        <w:tc>
          <w:tcPr>
            <w:tcW w:w="338" w:type="pct"/>
            <w:vMerge w:val="restart"/>
            <w:tcBorders>
              <w:top w:val="single" w:color="000000" w:sz="4" w:space="0"/>
              <w:left w:val="single" w:color="000000" w:sz="4" w:space="0"/>
              <w:bottom w:val="single" w:color="000000" w:sz="4" w:space="0"/>
              <w:right w:val="single" w:color="000000" w:sz="4" w:space="0"/>
            </w:tcBorders>
            <w:noWrap w:val="0"/>
            <w:vAlign w:val="center"/>
          </w:tcPr>
          <w:p w14:paraId="3C905F54">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桥台基础类型</w:t>
            </w:r>
          </w:p>
        </w:tc>
        <w:tc>
          <w:tcPr>
            <w:tcW w:w="341" w:type="pct"/>
            <w:vMerge w:val="restart"/>
            <w:tcBorders>
              <w:top w:val="single" w:color="000000" w:sz="4" w:space="0"/>
              <w:left w:val="single" w:color="000000" w:sz="4" w:space="0"/>
              <w:bottom w:val="single" w:color="000000" w:sz="4" w:space="0"/>
              <w:right w:val="single" w:color="000000" w:sz="4" w:space="0"/>
            </w:tcBorders>
            <w:noWrap w:val="0"/>
            <w:vAlign w:val="center"/>
          </w:tcPr>
          <w:p w14:paraId="2D63D47B">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桥墩</w:t>
            </w:r>
            <w:r>
              <w:rPr>
                <w:rFonts w:hint="default" w:ascii="Times New Roman" w:hAnsi="Times New Roman" w:eastAsia="宋体" w:cs="Times New Roman"/>
                <w:b/>
                <w:bCs/>
                <w:i w:val="0"/>
                <w:iCs w:val="0"/>
                <w:color w:val="auto"/>
                <w:kern w:val="0"/>
                <w:sz w:val="21"/>
                <w:szCs w:val="21"/>
                <w:highlight w:val="none"/>
                <w:u w:val="none"/>
                <w:lang w:val="en-US" w:eastAsia="zh-CN" w:bidi="ar"/>
              </w:rPr>
              <w:br w:type="textWrapping"/>
            </w:r>
            <w:r>
              <w:rPr>
                <w:rFonts w:hint="default" w:ascii="Times New Roman" w:hAnsi="Times New Roman" w:eastAsia="宋体" w:cs="Times New Roman"/>
                <w:b/>
                <w:bCs/>
                <w:i w:val="0"/>
                <w:iCs w:val="0"/>
                <w:color w:val="auto"/>
                <w:kern w:val="0"/>
                <w:sz w:val="21"/>
                <w:szCs w:val="21"/>
                <w:highlight w:val="none"/>
                <w:u w:val="none"/>
                <w:lang w:val="en-US" w:eastAsia="zh-CN" w:bidi="ar"/>
              </w:rPr>
              <w:t>（个）</w:t>
            </w:r>
          </w:p>
        </w:tc>
        <w:tc>
          <w:tcPr>
            <w:tcW w:w="338" w:type="pct"/>
            <w:vMerge w:val="restart"/>
            <w:tcBorders>
              <w:top w:val="single" w:color="000000" w:sz="4" w:space="0"/>
              <w:left w:val="single" w:color="000000" w:sz="4" w:space="0"/>
              <w:bottom w:val="single" w:color="000000" w:sz="4" w:space="0"/>
              <w:right w:val="single" w:color="000000" w:sz="4" w:space="0"/>
            </w:tcBorders>
            <w:noWrap w:val="0"/>
            <w:vAlign w:val="center"/>
          </w:tcPr>
          <w:p w14:paraId="6CDBFD12">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桥墩类型</w:t>
            </w:r>
          </w:p>
        </w:tc>
        <w:tc>
          <w:tcPr>
            <w:tcW w:w="338" w:type="pct"/>
            <w:vMerge w:val="restart"/>
            <w:tcBorders>
              <w:top w:val="single" w:color="000000" w:sz="4" w:space="0"/>
              <w:left w:val="single" w:color="000000" w:sz="4" w:space="0"/>
              <w:bottom w:val="single" w:color="000000" w:sz="4" w:space="0"/>
              <w:right w:val="single" w:color="000000" w:sz="4" w:space="0"/>
            </w:tcBorders>
            <w:noWrap w:val="0"/>
            <w:vAlign w:val="center"/>
          </w:tcPr>
          <w:p w14:paraId="030820AD">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桥墩基础类型</w:t>
            </w:r>
          </w:p>
        </w:tc>
        <w:tc>
          <w:tcPr>
            <w:tcW w:w="519" w:type="pct"/>
            <w:vMerge w:val="restart"/>
            <w:tcBorders>
              <w:top w:val="single" w:color="000000" w:sz="4" w:space="0"/>
              <w:left w:val="single" w:color="000000" w:sz="4" w:space="0"/>
              <w:bottom w:val="single" w:color="000000" w:sz="4" w:space="0"/>
              <w:right w:val="single" w:color="000000" w:sz="4" w:space="0"/>
            </w:tcBorders>
            <w:noWrap w:val="0"/>
            <w:vAlign w:val="center"/>
          </w:tcPr>
          <w:p w14:paraId="3D82610C">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管养单位</w:t>
            </w:r>
          </w:p>
        </w:tc>
      </w:tr>
      <w:tr w14:paraId="5B9CD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blHeader/>
        </w:trPr>
        <w:tc>
          <w:tcPr>
            <w:tcW w:w="630" w:type="pct"/>
            <w:vMerge w:val="continue"/>
            <w:tcBorders>
              <w:top w:val="single" w:color="000000" w:sz="4" w:space="0"/>
              <w:left w:val="single" w:color="000000" w:sz="4" w:space="0"/>
              <w:bottom w:val="single" w:color="000000" w:sz="4" w:space="0"/>
              <w:right w:val="single" w:color="000000" w:sz="4" w:space="0"/>
            </w:tcBorders>
            <w:noWrap w:val="0"/>
            <w:vAlign w:val="center"/>
          </w:tcPr>
          <w:p w14:paraId="2CCA85CE">
            <w:pPr>
              <w:spacing w:line="240" w:lineRule="auto"/>
              <w:jc w:val="center"/>
              <w:rPr>
                <w:rFonts w:hint="default" w:ascii="Times New Roman" w:hAnsi="Times New Roman" w:eastAsia="宋体" w:cs="Times New Roman"/>
                <w:b/>
                <w:bCs/>
                <w:i w:val="0"/>
                <w:iCs w:val="0"/>
                <w:color w:val="auto"/>
                <w:sz w:val="21"/>
                <w:szCs w:val="21"/>
                <w:highlight w:val="none"/>
                <w:u w:val="none"/>
              </w:rPr>
            </w:pPr>
          </w:p>
        </w:tc>
        <w:tc>
          <w:tcPr>
            <w:tcW w:w="495" w:type="pct"/>
            <w:vMerge w:val="continue"/>
            <w:tcBorders>
              <w:top w:val="single" w:color="000000" w:sz="4" w:space="0"/>
              <w:left w:val="single" w:color="000000" w:sz="4" w:space="0"/>
              <w:bottom w:val="single" w:color="000000" w:sz="4" w:space="0"/>
              <w:right w:val="single" w:color="000000" w:sz="4" w:space="0"/>
            </w:tcBorders>
            <w:noWrap w:val="0"/>
            <w:vAlign w:val="center"/>
          </w:tcPr>
          <w:p w14:paraId="50E931E8">
            <w:pPr>
              <w:spacing w:line="240" w:lineRule="auto"/>
              <w:jc w:val="center"/>
              <w:rPr>
                <w:rFonts w:hint="default" w:ascii="Times New Roman" w:hAnsi="Times New Roman" w:eastAsia="宋体" w:cs="Times New Roman"/>
                <w:b/>
                <w:bCs/>
                <w:i w:val="0"/>
                <w:iCs w:val="0"/>
                <w:color w:val="auto"/>
                <w:sz w:val="21"/>
                <w:szCs w:val="21"/>
                <w:highlight w:val="none"/>
                <w:u w:val="none"/>
              </w:rPr>
            </w:pPr>
          </w:p>
        </w:tc>
        <w:tc>
          <w:tcPr>
            <w:tcW w:w="3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04E13A82">
            <w:pPr>
              <w:spacing w:line="240" w:lineRule="auto"/>
              <w:jc w:val="center"/>
              <w:rPr>
                <w:rFonts w:hint="default" w:ascii="Times New Roman" w:hAnsi="Times New Roman" w:eastAsia="宋体" w:cs="Times New Roman"/>
                <w:b/>
                <w:bCs/>
                <w:i w:val="0"/>
                <w:iCs w:val="0"/>
                <w:color w:val="auto"/>
                <w:sz w:val="21"/>
                <w:szCs w:val="21"/>
                <w:highlight w:val="none"/>
                <w:u w:val="none"/>
              </w:rPr>
            </w:pPr>
          </w:p>
        </w:tc>
        <w:tc>
          <w:tcPr>
            <w:tcW w:w="310" w:type="pct"/>
            <w:vMerge w:val="continue"/>
            <w:tcBorders>
              <w:top w:val="single" w:color="000000" w:sz="4" w:space="0"/>
              <w:left w:val="single" w:color="000000" w:sz="4" w:space="0"/>
              <w:bottom w:val="single" w:color="000000" w:sz="4" w:space="0"/>
              <w:right w:val="single" w:color="000000" w:sz="4" w:space="0"/>
            </w:tcBorders>
            <w:noWrap w:val="0"/>
            <w:vAlign w:val="center"/>
          </w:tcPr>
          <w:p w14:paraId="59B9370B">
            <w:pPr>
              <w:spacing w:line="240" w:lineRule="auto"/>
              <w:jc w:val="center"/>
              <w:rPr>
                <w:rFonts w:hint="default" w:ascii="Times New Roman" w:hAnsi="Times New Roman" w:eastAsia="宋体" w:cs="Times New Roman"/>
                <w:b/>
                <w:bCs/>
                <w:i w:val="0"/>
                <w:iCs w:val="0"/>
                <w:color w:val="auto"/>
                <w:sz w:val="21"/>
                <w:szCs w:val="21"/>
                <w:highlight w:val="none"/>
                <w:u w:val="none"/>
              </w:rPr>
            </w:pPr>
          </w:p>
        </w:tc>
        <w:tc>
          <w:tcPr>
            <w:tcW w:w="288" w:type="pct"/>
            <w:vMerge w:val="continue"/>
            <w:tcBorders>
              <w:top w:val="single" w:color="000000" w:sz="4" w:space="0"/>
              <w:left w:val="single" w:color="000000" w:sz="4" w:space="0"/>
              <w:bottom w:val="single" w:color="000000" w:sz="4" w:space="0"/>
              <w:right w:val="single" w:color="000000" w:sz="4" w:space="0"/>
            </w:tcBorders>
            <w:noWrap w:val="0"/>
            <w:vAlign w:val="center"/>
          </w:tcPr>
          <w:p w14:paraId="54DC308C">
            <w:pPr>
              <w:spacing w:line="240" w:lineRule="auto"/>
              <w:jc w:val="center"/>
              <w:rPr>
                <w:rFonts w:hint="default" w:ascii="Times New Roman" w:hAnsi="Times New Roman" w:eastAsia="宋体" w:cs="Times New Roman"/>
                <w:b/>
                <w:bCs/>
                <w:i w:val="0"/>
                <w:iCs w:val="0"/>
                <w:color w:val="auto"/>
                <w:sz w:val="21"/>
                <w:szCs w:val="21"/>
                <w:highlight w:val="none"/>
                <w:u w:val="none"/>
              </w:rPr>
            </w:pPr>
          </w:p>
        </w:tc>
        <w:tc>
          <w:tcPr>
            <w:tcW w:w="338" w:type="pct"/>
            <w:vMerge w:val="continue"/>
            <w:tcBorders>
              <w:top w:val="single" w:color="000000" w:sz="4" w:space="0"/>
              <w:left w:val="single" w:color="000000" w:sz="4" w:space="0"/>
              <w:bottom w:val="single" w:color="000000" w:sz="4" w:space="0"/>
              <w:right w:val="single" w:color="000000" w:sz="4" w:space="0"/>
            </w:tcBorders>
            <w:noWrap w:val="0"/>
            <w:vAlign w:val="center"/>
          </w:tcPr>
          <w:p w14:paraId="0BA725DA">
            <w:pPr>
              <w:spacing w:line="240" w:lineRule="auto"/>
              <w:jc w:val="center"/>
              <w:rPr>
                <w:rFonts w:hint="default" w:ascii="Times New Roman" w:hAnsi="Times New Roman" w:eastAsia="宋体" w:cs="Times New Roman"/>
                <w:b/>
                <w:bCs/>
                <w:i w:val="0"/>
                <w:iCs w:val="0"/>
                <w:color w:val="auto"/>
                <w:sz w:val="21"/>
                <w:szCs w:val="21"/>
                <w:highlight w:val="none"/>
                <w:u w:val="none"/>
              </w:rPr>
            </w:pPr>
          </w:p>
        </w:tc>
        <w:tc>
          <w:tcPr>
            <w:tcW w:w="341" w:type="pct"/>
            <w:vMerge w:val="continue"/>
            <w:tcBorders>
              <w:top w:val="single" w:color="000000" w:sz="4" w:space="0"/>
              <w:left w:val="single" w:color="000000" w:sz="4" w:space="0"/>
              <w:bottom w:val="single" w:color="000000" w:sz="4" w:space="0"/>
              <w:right w:val="single" w:color="000000" w:sz="4" w:space="0"/>
            </w:tcBorders>
            <w:noWrap w:val="0"/>
            <w:vAlign w:val="center"/>
          </w:tcPr>
          <w:p w14:paraId="7ABBE12E">
            <w:pPr>
              <w:spacing w:line="240" w:lineRule="auto"/>
              <w:jc w:val="center"/>
              <w:rPr>
                <w:rFonts w:hint="default" w:ascii="Times New Roman" w:hAnsi="Times New Roman" w:eastAsia="宋体" w:cs="Times New Roman"/>
                <w:b/>
                <w:bCs/>
                <w:i w:val="0"/>
                <w:iCs w:val="0"/>
                <w:color w:val="auto"/>
                <w:sz w:val="21"/>
                <w:szCs w:val="21"/>
                <w:highlight w:val="none"/>
                <w:u w:val="none"/>
              </w:rPr>
            </w:pPr>
          </w:p>
        </w:tc>
        <w:tc>
          <w:tcPr>
            <w:tcW w:w="338" w:type="pct"/>
            <w:vMerge w:val="continue"/>
            <w:tcBorders>
              <w:top w:val="single" w:color="000000" w:sz="4" w:space="0"/>
              <w:left w:val="single" w:color="000000" w:sz="4" w:space="0"/>
              <w:bottom w:val="single" w:color="000000" w:sz="4" w:space="0"/>
              <w:right w:val="single" w:color="000000" w:sz="4" w:space="0"/>
            </w:tcBorders>
            <w:noWrap w:val="0"/>
            <w:vAlign w:val="center"/>
          </w:tcPr>
          <w:p w14:paraId="6DD63EF7">
            <w:pPr>
              <w:spacing w:line="240" w:lineRule="auto"/>
              <w:jc w:val="center"/>
              <w:rPr>
                <w:rFonts w:hint="default" w:ascii="Times New Roman" w:hAnsi="Times New Roman" w:eastAsia="宋体" w:cs="Times New Roman"/>
                <w:b/>
                <w:bCs/>
                <w:i w:val="0"/>
                <w:iCs w:val="0"/>
                <w:color w:val="auto"/>
                <w:sz w:val="21"/>
                <w:szCs w:val="21"/>
                <w:highlight w:val="none"/>
                <w:u w:val="none"/>
              </w:rPr>
            </w:pPr>
          </w:p>
        </w:tc>
        <w:tc>
          <w:tcPr>
            <w:tcW w:w="338" w:type="pct"/>
            <w:vMerge w:val="continue"/>
            <w:tcBorders>
              <w:top w:val="single" w:color="000000" w:sz="4" w:space="0"/>
              <w:left w:val="single" w:color="000000" w:sz="4" w:space="0"/>
              <w:bottom w:val="single" w:color="000000" w:sz="4" w:space="0"/>
              <w:right w:val="single" w:color="000000" w:sz="4" w:space="0"/>
            </w:tcBorders>
            <w:noWrap w:val="0"/>
            <w:vAlign w:val="center"/>
          </w:tcPr>
          <w:p w14:paraId="06EA3C84">
            <w:pPr>
              <w:spacing w:line="240" w:lineRule="auto"/>
              <w:jc w:val="center"/>
              <w:rPr>
                <w:rFonts w:hint="default" w:ascii="Times New Roman" w:hAnsi="Times New Roman" w:eastAsia="宋体" w:cs="Times New Roman"/>
                <w:b/>
                <w:bCs/>
                <w:i w:val="0"/>
                <w:iCs w:val="0"/>
                <w:color w:val="auto"/>
                <w:sz w:val="21"/>
                <w:szCs w:val="21"/>
                <w:highlight w:val="none"/>
                <w:u w:val="none"/>
              </w:rPr>
            </w:pPr>
          </w:p>
        </w:tc>
        <w:tc>
          <w:tcPr>
            <w:tcW w:w="341" w:type="pct"/>
            <w:vMerge w:val="continue"/>
            <w:tcBorders>
              <w:top w:val="single" w:color="000000" w:sz="4" w:space="0"/>
              <w:left w:val="single" w:color="000000" w:sz="4" w:space="0"/>
              <w:bottom w:val="single" w:color="000000" w:sz="4" w:space="0"/>
              <w:right w:val="single" w:color="000000" w:sz="4" w:space="0"/>
            </w:tcBorders>
            <w:noWrap w:val="0"/>
            <w:vAlign w:val="center"/>
          </w:tcPr>
          <w:p w14:paraId="5692DED7">
            <w:pPr>
              <w:spacing w:line="240" w:lineRule="auto"/>
              <w:jc w:val="center"/>
              <w:rPr>
                <w:rFonts w:hint="default" w:ascii="Times New Roman" w:hAnsi="Times New Roman" w:eastAsia="宋体" w:cs="Times New Roman"/>
                <w:b/>
                <w:bCs/>
                <w:i w:val="0"/>
                <w:iCs w:val="0"/>
                <w:color w:val="auto"/>
                <w:sz w:val="21"/>
                <w:szCs w:val="21"/>
                <w:highlight w:val="none"/>
                <w:u w:val="none"/>
              </w:rPr>
            </w:pPr>
          </w:p>
        </w:tc>
        <w:tc>
          <w:tcPr>
            <w:tcW w:w="338" w:type="pct"/>
            <w:vMerge w:val="continue"/>
            <w:tcBorders>
              <w:top w:val="single" w:color="000000" w:sz="4" w:space="0"/>
              <w:left w:val="single" w:color="000000" w:sz="4" w:space="0"/>
              <w:bottom w:val="single" w:color="000000" w:sz="4" w:space="0"/>
              <w:right w:val="single" w:color="000000" w:sz="4" w:space="0"/>
            </w:tcBorders>
            <w:noWrap w:val="0"/>
            <w:vAlign w:val="center"/>
          </w:tcPr>
          <w:p w14:paraId="082BE2BF">
            <w:pPr>
              <w:spacing w:line="240" w:lineRule="auto"/>
              <w:jc w:val="center"/>
              <w:rPr>
                <w:rFonts w:hint="default" w:ascii="Times New Roman" w:hAnsi="Times New Roman" w:eastAsia="宋体" w:cs="Times New Roman"/>
                <w:b/>
                <w:bCs/>
                <w:i w:val="0"/>
                <w:iCs w:val="0"/>
                <w:color w:val="auto"/>
                <w:sz w:val="21"/>
                <w:szCs w:val="21"/>
                <w:highlight w:val="none"/>
                <w:u w:val="none"/>
              </w:rPr>
            </w:pPr>
          </w:p>
        </w:tc>
        <w:tc>
          <w:tcPr>
            <w:tcW w:w="338" w:type="pct"/>
            <w:vMerge w:val="continue"/>
            <w:tcBorders>
              <w:top w:val="single" w:color="000000" w:sz="4" w:space="0"/>
              <w:left w:val="single" w:color="000000" w:sz="4" w:space="0"/>
              <w:bottom w:val="single" w:color="000000" w:sz="4" w:space="0"/>
              <w:right w:val="single" w:color="000000" w:sz="4" w:space="0"/>
            </w:tcBorders>
            <w:noWrap w:val="0"/>
            <w:vAlign w:val="center"/>
          </w:tcPr>
          <w:p w14:paraId="0643DEF5">
            <w:pPr>
              <w:spacing w:line="240" w:lineRule="auto"/>
              <w:jc w:val="center"/>
              <w:rPr>
                <w:rFonts w:hint="default" w:ascii="Times New Roman" w:hAnsi="Times New Roman" w:eastAsia="宋体" w:cs="Times New Roman"/>
                <w:b/>
                <w:bCs/>
                <w:i w:val="0"/>
                <w:iCs w:val="0"/>
                <w:color w:val="auto"/>
                <w:sz w:val="21"/>
                <w:szCs w:val="21"/>
                <w:highlight w:val="none"/>
                <w:u w:val="none"/>
              </w:rPr>
            </w:pPr>
          </w:p>
        </w:tc>
        <w:tc>
          <w:tcPr>
            <w:tcW w:w="519" w:type="pct"/>
            <w:vMerge w:val="continue"/>
            <w:tcBorders>
              <w:top w:val="single" w:color="000000" w:sz="4" w:space="0"/>
              <w:left w:val="single" w:color="000000" w:sz="4" w:space="0"/>
              <w:bottom w:val="single" w:color="000000" w:sz="4" w:space="0"/>
              <w:right w:val="single" w:color="000000" w:sz="4" w:space="0"/>
            </w:tcBorders>
            <w:noWrap w:val="0"/>
            <w:vAlign w:val="center"/>
          </w:tcPr>
          <w:p w14:paraId="58CC8D08">
            <w:pPr>
              <w:spacing w:line="240" w:lineRule="auto"/>
              <w:jc w:val="center"/>
              <w:rPr>
                <w:rFonts w:hint="default" w:ascii="Times New Roman" w:hAnsi="Times New Roman" w:eastAsia="宋体" w:cs="Times New Roman"/>
                <w:b/>
                <w:bCs/>
                <w:i w:val="0"/>
                <w:iCs w:val="0"/>
                <w:color w:val="auto"/>
                <w:sz w:val="21"/>
                <w:szCs w:val="21"/>
                <w:highlight w:val="none"/>
                <w:u w:val="none"/>
              </w:rPr>
            </w:pPr>
          </w:p>
        </w:tc>
      </w:tr>
      <w:tr w14:paraId="3F024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blHeader/>
        </w:trPr>
        <w:tc>
          <w:tcPr>
            <w:tcW w:w="630" w:type="pct"/>
            <w:vMerge w:val="continue"/>
            <w:tcBorders>
              <w:top w:val="single" w:color="000000" w:sz="4" w:space="0"/>
              <w:left w:val="single" w:color="000000" w:sz="4" w:space="0"/>
              <w:bottom w:val="single" w:color="000000" w:sz="4" w:space="0"/>
              <w:right w:val="single" w:color="000000" w:sz="4" w:space="0"/>
            </w:tcBorders>
            <w:noWrap w:val="0"/>
            <w:vAlign w:val="center"/>
          </w:tcPr>
          <w:p w14:paraId="618606A2">
            <w:pPr>
              <w:spacing w:line="240" w:lineRule="auto"/>
              <w:jc w:val="center"/>
              <w:rPr>
                <w:rFonts w:hint="default" w:ascii="Times New Roman" w:hAnsi="Times New Roman" w:eastAsia="宋体" w:cs="Times New Roman"/>
                <w:b/>
                <w:bCs/>
                <w:i w:val="0"/>
                <w:iCs w:val="0"/>
                <w:color w:val="auto"/>
                <w:sz w:val="21"/>
                <w:szCs w:val="21"/>
                <w:highlight w:val="none"/>
                <w:u w:val="none"/>
              </w:rPr>
            </w:pPr>
          </w:p>
        </w:tc>
        <w:tc>
          <w:tcPr>
            <w:tcW w:w="495" w:type="pct"/>
            <w:vMerge w:val="continue"/>
            <w:tcBorders>
              <w:top w:val="single" w:color="000000" w:sz="4" w:space="0"/>
              <w:left w:val="single" w:color="000000" w:sz="4" w:space="0"/>
              <w:bottom w:val="single" w:color="000000" w:sz="4" w:space="0"/>
              <w:right w:val="single" w:color="000000" w:sz="4" w:space="0"/>
            </w:tcBorders>
            <w:noWrap w:val="0"/>
            <w:vAlign w:val="center"/>
          </w:tcPr>
          <w:p w14:paraId="3F915670">
            <w:pPr>
              <w:spacing w:line="240" w:lineRule="auto"/>
              <w:jc w:val="center"/>
              <w:rPr>
                <w:rFonts w:hint="default" w:ascii="Times New Roman" w:hAnsi="Times New Roman" w:eastAsia="宋体" w:cs="Times New Roman"/>
                <w:b/>
                <w:bCs/>
                <w:i w:val="0"/>
                <w:iCs w:val="0"/>
                <w:color w:val="auto"/>
                <w:sz w:val="21"/>
                <w:szCs w:val="21"/>
                <w:highlight w:val="none"/>
                <w:u w:val="none"/>
              </w:rPr>
            </w:pPr>
          </w:p>
        </w:tc>
        <w:tc>
          <w:tcPr>
            <w:tcW w:w="3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734CF9B5">
            <w:pPr>
              <w:spacing w:line="240" w:lineRule="auto"/>
              <w:jc w:val="center"/>
              <w:rPr>
                <w:rFonts w:hint="default" w:ascii="Times New Roman" w:hAnsi="Times New Roman" w:eastAsia="宋体" w:cs="Times New Roman"/>
                <w:b/>
                <w:bCs/>
                <w:i w:val="0"/>
                <w:iCs w:val="0"/>
                <w:color w:val="auto"/>
                <w:sz w:val="21"/>
                <w:szCs w:val="21"/>
                <w:highlight w:val="none"/>
                <w:u w:val="none"/>
              </w:rPr>
            </w:pPr>
          </w:p>
        </w:tc>
        <w:tc>
          <w:tcPr>
            <w:tcW w:w="310" w:type="pct"/>
            <w:vMerge w:val="continue"/>
            <w:tcBorders>
              <w:top w:val="single" w:color="000000" w:sz="4" w:space="0"/>
              <w:left w:val="single" w:color="000000" w:sz="4" w:space="0"/>
              <w:bottom w:val="single" w:color="000000" w:sz="4" w:space="0"/>
              <w:right w:val="single" w:color="000000" w:sz="4" w:space="0"/>
            </w:tcBorders>
            <w:noWrap w:val="0"/>
            <w:vAlign w:val="center"/>
          </w:tcPr>
          <w:p w14:paraId="63C8FA5D">
            <w:pPr>
              <w:spacing w:line="240" w:lineRule="auto"/>
              <w:jc w:val="center"/>
              <w:rPr>
                <w:rFonts w:hint="default" w:ascii="Times New Roman" w:hAnsi="Times New Roman" w:eastAsia="宋体" w:cs="Times New Roman"/>
                <w:b/>
                <w:bCs/>
                <w:i w:val="0"/>
                <w:iCs w:val="0"/>
                <w:color w:val="auto"/>
                <w:sz w:val="21"/>
                <w:szCs w:val="21"/>
                <w:highlight w:val="none"/>
                <w:u w:val="none"/>
              </w:rPr>
            </w:pPr>
          </w:p>
        </w:tc>
        <w:tc>
          <w:tcPr>
            <w:tcW w:w="288" w:type="pct"/>
            <w:vMerge w:val="continue"/>
            <w:tcBorders>
              <w:top w:val="single" w:color="000000" w:sz="4" w:space="0"/>
              <w:left w:val="single" w:color="000000" w:sz="4" w:space="0"/>
              <w:bottom w:val="single" w:color="000000" w:sz="4" w:space="0"/>
              <w:right w:val="single" w:color="000000" w:sz="4" w:space="0"/>
            </w:tcBorders>
            <w:noWrap w:val="0"/>
            <w:vAlign w:val="center"/>
          </w:tcPr>
          <w:p w14:paraId="17CF1623">
            <w:pPr>
              <w:spacing w:line="240" w:lineRule="auto"/>
              <w:jc w:val="center"/>
              <w:rPr>
                <w:rFonts w:hint="default" w:ascii="Times New Roman" w:hAnsi="Times New Roman" w:eastAsia="宋体" w:cs="Times New Roman"/>
                <w:b/>
                <w:bCs/>
                <w:i w:val="0"/>
                <w:iCs w:val="0"/>
                <w:color w:val="auto"/>
                <w:sz w:val="21"/>
                <w:szCs w:val="21"/>
                <w:highlight w:val="none"/>
                <w:u w:val="none"/>
              </w:rPr>
            </w:pPr>
          </w:p>
        </w:tc>
        <w:tc>
          <w:tcPr>
            <w:tcW w:w="338" w:type="pct"/>
            <w:vMerge w:val="continue"/>
            <w:tcBorders>
              <w:top w:val="single" w:color="000000" w:sz="4" w:space="0"/>
              <w:left w:val="single" w:color="000000" w:sz="4" w:space="0"/>
              <w:bottom w:val="single" w:color="000000" w:sz="4" w:space="0"/>
              <w:right w:val="single" w:color="000000" w:sz="4" w:space="0"/>
            </w:tcBorders>
            <w:noWrap w:val="0"/>
            <w:vAlign w:val="center"/>
          </w:tcPr>
          <w:p w14:paraId="36C60DCF">
            <w:pPr>
              <w:spacing w:line="240" w:lineRule="auto"/>
              <w:jc w:val="center"/>
              <w:rPr>
                <w:rFonts w:hint="default" w:ascii="Times New Roman" w:hAnsi="Times New Roman" w:eastAsia="宋体" w:cs="Times New Roman"/>
                <w:b/>
                <w:bCs/>
                <w:i w:val="0"/>
                <w:iCs w:val="0"/>
                <w:color w:val="auto"/>
                <w:sz w:val="21"/>
                <w:szCs w:val="21"/>
                <w:highlight w:val="none"/>
                <w:u w:val="none"/>
              </w:rPr>
            </w:pPr>
          </w:p>
        </w:tc>
        <w:tc>
          <w:tcPr>
            <w:tcW w:w="341" w:type="pct"/>
            <w:vMerge w:val="continue"/>
            <w:tcBorders>
              <w:top w:val="single" w:color="000000" w:sz="4" w:space="0"/>
              <w:left w:val="single" w:color="000000" w:sz="4" w:space="0"/>
              <w:bottom w:val="single" w:color="000000" w:sz="4" w:space="0"/>
              <w:right w:val="single" w:color="000000" w:sz="4" w:space="0"/>
            </w:tcBorders>
            <w:noWrap w:val="0"/>
            <w:vAlign w:val="center"/>
          </w:tcPr>
          <w:p w14:paraId="4886D1C3">
            <w:pPr>
              <w:spacing w:line="240" w:lineRule="auto"/>
              <w:jc w:val="center"/>
              <w:rPr>
                <w:rFonts w:hint="default" w:ascii="Times New Roman" w:hAnsi="Times New Roman" w:eastAsia="宋体" w:cs="Times New Roman"/>
                <w:b/>
                <w:bCs/>
                <w:i w:val="0"/>
                <w:iCs w:val="0"/>
                <w:color w:val="auto"/>
                <w:sz w:val="21"/>
                <w:szCs w:val="21"/>
                <w:highlight w:val="none"/>
                <w:u w:val="none"/>
              </w:rPr>
            </w:pPr>
          </w:p>
        </w:tc>
        <w:tc>
          <w:tcPr>
            <w:tcW w:w="338" w:type="pct"/>
            <w:vMerge w:val="continue"/>
            <w:tcBorders>
              <w:top w:val="single" w:color="000000" w:sz="4" w:space="0"/>
              <w:left w:val="single" w:color="000000" w:sz="4" w:space="0"/>
              <w:bottom w:val="single" w:color="000000" w:sz="4" w:space="0"/>
              <w:right w:val="single" w:color="000000" w:sz="4" w:space="0"/>
            </w:tcBorders>
            <w:noWrap w:val="0"/>
            <w:vAlign w:val="center"/>
          </w:tcPr>
          <w:p w14:paraId="68C76BC8">
            <w:pPr>
              <w:spacing w:line="240" w:lineRule="auto"/>
              <w:jc w:val="center"/>
              <w:rPr>
                <w:rFonts w:hint="default" w:ascii="Times New Roman" w:hAnsi="Times New Roman" w:eastAsia="宋体" w:cs="Times New Roman"/>
                <w:b/>
                <w:bCs/>
                <w:i w:val="0"/>
                <w:iCs w:val="0"/>
                <w:color w:val="auto"/>
                <w:sz w:val="21"/>
                <w:szCs w:val="21"/>
                <w:highlight w:val="none"/>
                <w:u w:val="none"/>
              </w:rPr>
            </w:pPr>
          </w:p>
        </w:tc>
        <w:tc>
          <w:tcPr>
            <w:tcW w:w="338" w:type="pct"/>
            <w:vMerge w:val="continue"/>
            <w:tcBorders>
              <w:top w:val="single" w:color="000000" w:sz="4" w:space="0"/>
              <w:left w:val="single" w:color="000000" w:sz="4" w:space="0"/>
              <w:bottom w:val="single" w:color="000000" w:sz="4" w:space="0"/>
              <w:right w:val="single" w:color="000000" w:sz="4" w:space="0"/>
            </w:tcBorders>
            <w:noWrap w:val="0"/>
            <w:vAlign w:val="center"/>
          </w:tcPr>
          <w:p w14:paraId="06F10254">
            <w:pPr>
              <w:spacing w:line="240" w:lineRule="auto"/>
              <w:jc w:val="center"/>
              <w:rPr>
                <w:rFonts w:hint="default" w:ascii="Times New Roman" w:hAnsi="Times New Roman" w:eastAsia="宋体" w:cs="Times New Roman"/>
                <w:b/>
                <w:bCs/>
                <w:i w:val="0"/>
                <w:iCs w:val="0"/>
                <w:color w:val="auto"/>
                <w:sz w:val="21"/>
                <w:szCs w:val="21"/>
                <w:highlight w:val="none"/>
                <w:u w:val="none"/>
              </w:rPr>
            </w:pPr>
          </w:p>
        </w:tc>
        <w:tc>
          <w:tcPr>
            <w:tcW w:w="341" w:type="pct"/>
            <w:vMerge w:val="continue"/>
            <w:tcBorders>
              <w:top w:val="single" w:color="000000" w:sz="4" w:space="0"/>
              <w:left w:val="single" w:color="000000" w:sz="4" w:space="0"/>
              <w:bottom w:val="single" w:color="000000" w:sz="4" w:space="0"/>
              <w:right w:val="single" w:color="000000" w:sz="4" w:space="0"/>
            </w:tcBorders>
            <w:noWrap w:val="0"/>
            <w:vAlign w:val="center"/>
          </w:tcPr>
          <w:p w14:paraId="7069AFD5">
            <w:pPr>
              <w:spacing w:line="240" w:lineRule="auto"/>
              <w:jc w:val="center"/>
              <w:rPr>
                <w:rFonts w:hint="default" w:ascii="Times New Roman" w:hAnsi="Times New Roman" w:eastAsia="宋体" w:cs="Times New Roman"/>
                <w:b/>
                <w:bCs/>
                <w:i w:val="0"/>
                <w:iCs w:val="0"/>
                <w:color w:val="auto"/>
                <w:sz w:val="21"/>
                <w:szCs w:val="21"/>
                <w:highlight w:val="none"/>
                <w:u w:val="none"/>
              </w:rPr>
            </w:pPr>
          </w:p>
        </w:tc>
        <w:tc>
          <w:tcPr>
            <w:tcW w:w="338" w:type="pct"/>
            <w:vMerge w:val="continue"/>
            <w:tcBorders>
              <w:top w:val="single" w:color="000000" w:sz="4" w:space="0"/>
              <w:left w:val="single" w:color="000000" w:sz="4" w:space="0"/>
              <w:bottom w:val="single" w:color="000000" w:sz="4" w:space="0"/>
              <w:right w:val="single" w:color="000000" w:sz="4" w:space="0"/>
            </w:tcBorders>
            <w:noWrap w:val="0"/>
            <w:vAlign w:val="center"/>
          </w:tcPr>
          <w:p w14:paraId="61E7485B">
            <w:pPr>
              <w:spacing w:line="240" w:lineRule="auto"/>
              <w:jc w:val="center"/>
              <w:rPr>
                <w:rFonts w:hint="default" w:ascii="Times New Roman" w:hAnsi="Times New Roman" w:eastAsia="宋体" w:cs="Times New Roman"/>
                <w:b/>
                <w:bCs/>
                <w:i w:val="0"/>
                <w:iCs w:val="0"/>
                <w:color w:val="auto"/>
                <w:sz w:val="21"/>
                <w:szCs w:val="21"/>
                <w:highlight w:val="none"/>
                <w:u w:val="none"/>
              </w:rPr>
            </w:pPr>
          </w:p>
        </w:tc>
        <w:tc>
          <w:tcPr>
            <w:tcW w:w="338" w:type="pct"/>
            <w:vMerge w:val="continue"/>
            <w:tcBorders>
              <w:top w:val="single" w:color="000000" w:sz="4" w:space="0"/>
              <w:left w:val="single" w:color="000000" w:sz="4" w:space="0"/>
              <w:bottom w:val="single" w:color="000000" w:sz="4" w:space="0"/>
              <w:right w:val="single" w:color="000000" w:sz="4" w:space="0"/>
            </w:tcBorders>
            <w:noWrap w:val="0"/>
            <w:vAlign w:val="center"/>
          </w:tcPr>
          <w:p w14:paraId="5463A1B4">
            <w:pPr>
              <w:spacing w:line="240" w:lineRule="auto"/>
              <w:jc w:val="center"/>
              <w:rPr>
                <w:rFonts w:hint="default" w:ascii="Times New Roman" w:hAnsi="Times New Roman" w:eastAsia="宋体" w:cs="Times New Roman"/>
                <w:b/>
                <w:bCs/>
                <w:i w:val="0"/>
                <w:iCs w:val="0"/>
                <w:color w:val="auto"/>
                <w:sz w:val="21"/>
                <w:szCs w:val="21"/>
                <w:highlight w:val="none"/>
                <w:u w:val="none"/>
              </w:rPr>
            </w:pPr>
          </w:p>
        </w:tc>
        <w:tc>
          <w:tcPr>
            <w:tcW w:w="519" w:type="pct"/>
            <w:vMerge w:val="continue"/>
            <w:tcBorders>
              <w:top w:val="single" w:color="000000" w:sz="4" w:space="0"/>
              <w:left w:val="single" w:color="000000" w:sz="4" w:space="0"/>
              <w:bottom w:val="single" w:color="000000" w:sz="4" w:space="0"/>
              <w:right w:val="single" w:color="000000" w:sz="4" w:space="0"/>
            </w:tcBorders>
            <w:noWrap w:val="0"/>
            <w:vAlign w:val="center"/>
          </w:tcPr>
          <w:p w14:paraId="4B0A2AD3">
            <w:pPr>
              <w:spacing w:line="240" w:lineRule="auto"/>
              <w:jc w:val="center"/>
              <w:rPr>
                <w:rFonts w:hint="default" w:ascii="Times New Roman" w:hAnsi="Times New Roman" w:eastAsia="宋体" w:cs="Times New Roman"/>
                <w:b/>
                <w:bCs/>
                <w:i w:val="0"/>
                <w:iCs w:val="0"/>
                <w:color w:val="auto"/>
                <w:sz w:val="21"/>
                <w:szCs w:val="21"/>
                <w:highlight w:val="none"/>
                <w:u w:val="none"/>
              </w:rPr>
            </w:pPr>
          </w:p>
        </w:tc>
      </w:tr>
      <w:tr w14:paraId="647F0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3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DD933A">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G207450421L0200</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255036">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大新桥</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F9A7B9">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3699.875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39D68B">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G207</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F309DB">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大桥</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49C740">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3</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678B1E">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7B8228">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A13619">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D1A509">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3</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E23C24">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三柱式墩</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BD54D3">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桩基础</w:t>
            </w:r>
          </w:p>
        </w:tc>
        <w:tc>
          <w:tcPr>
            <w:tcW w:w="519" w:type="pct"/>
            <w:tcBorders>
              <w:top w:val="single" w:color="000000" w:sz="4" w:space="0"/>
              <w:left w:val="single" w:color="000000" w:sz="4" w:space="0"/>
              <w:bottom w:val="single" w:color="000000" w:sz="4" w:space="0"/>
              <w:right w:val="single" w:color="000000" w:sz="4" w:space="0"/>
            </w:tcBorders>
            <w:shd w:val="clear" w:color="800000" w:fill="FFFFFF"/>
            <w:noWrap w:val="0"/>
            <w:vAlign w:val="center"/>
          </w:tcPr>
          <w:p w14:paraId="0235492D">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苍梧公路养护中心</w:t>
            </w:r>
          </w:p>
        </w:tc>
      </w:tr>
      <w:tr w14:paraId="6A3B7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3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2FF7FA">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S304450421L0030</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7414F8">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表水桥</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9AB228">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15.300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886B2A">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S304</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27D0EC">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中桥</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96F23D">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2</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9595DB">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79685D">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E1A834">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6FCFC1">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E8D0AD">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重力式墩</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EE6AFB">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扩大基础</w:t>
            </w:r>
          </w:p>
        </w:tc>
        <w:tc>
          <w:tcPr>
            <w:tcW w:w="519" w:type="pct"/>
            <w:tcBorders>
              <w:top w:val="single" w:color="000000" w:sz="4" w:space="0"/>
              <w:left w:val="single" w:color="000000" w:sz="4" w:space="0"/>
              <w:bottom w:val="single" w:color="000000" w:sz="4" w:space="0"/>
              <w:right w:val="single" w:color="000000" w:sz="4" w:space="0"/>
            </w:tcBorders>
            <w:shd w:val="clear" w:color="800000" w:fill="FFFFFF"/>
            <w:noWrap w:val="0"/>
            <w:vAlign w:val="center"/>
          </w:tcPr>
          <w:p w14:paraId="5CD55C24">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苍梧公路养护中心</w:t>
            </w:r>
          </w:p>
        </w:tc>
      </w:tr>
      <w:tr w14:paraId="316B4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3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7BBFEA">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S304450421L0060</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C2B629">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福传桥</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EAB347">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33.138</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89D955">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S304</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D2DB12">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中桥</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B9174E">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1</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2DF654">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460A80">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9E8026">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B21D2A">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3D4E64">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重力式墩</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2EB4FC">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扩大基础</w:t>
            </w:r>
          </w:p>
        </w:tc>
        <w:tc>
          <w:tcPr>
            <w:tcW w:w="519" w:type="pct"/>
            <w:tcBorders>
              <w:top w:val="single" w:color="000000" w:sz="4" w:space="0"/>
              <w:left w:val="single" w:color="000000" w:sz="4" w:space="0"/>
              <w:bottom w:val="single" w:color="000000" w:sz="4" w:space="0"/>
              <w:right w:val="single" w:color="000000" w:sz="4" w:space="0"/>
            </w:tcBorders>
            <w:shd w:val="clear" w:color="800000" w:fill="FFFFFF"/>
            <w:noWrap w:val="0"/>
            <w:vAlign w:val="center"/>
          </w:tcPr>
          <w:p w14:paraId="7E66E19D">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苍梧公路养护中心</w:t>
            </w:r>
          </w:p>
        </w:tc>
      </w:tr>
      <w:tr w14:paraId="72FD7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3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8027C4">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S310450481L0050</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35FBDB">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上道中桥</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37A733">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17.170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B1F154">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S310</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F38C3F">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中桥</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F2F3E8">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2</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C66A80">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753BD9">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5BFF60">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6D9F47">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33FDBB">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双柱式墩</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B83492">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桩基础</w:t>
            </w:r>
          </w:p>
        </w:tc>
        <w:tc>
          <w:tcPr>
            <w:tcW w:w="519" w:type="pct"/>
            <w:tcBorders>
              <w:top w:val="single" w:color="000000" w:sz="4" w:space="0"/>
              <w:left w:val="single" w:color="000000" w:sz="4" w:space="0"/>
              <w:bottom w:val="single" w:color="000000" w:sz="4" w:space="0"/>
              <w:right w:val="single" w:color="000000" w:sz="4" w:space="0"/>
            </w:tcBorders>
            <w:shd w:val="clear" w:color="800000" w:fill="FFFFFF"/>
            <w:noWrap w:val="0"/>
            <w:vAlign w:val="center"/>
          </w:tcPr>
          <w:p w14:paraId="37C2B7A1">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岑溪公路养护中心</w:t>
            </w:r>
          </w:p>
        </w:tc>
      </w:tr>
      <w:tr w14:paraId="7AB05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3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987FC4">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S310450481L0070</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843431">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义昌河大桥</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5174EF">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21.207</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283FA3">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S310</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DA514D">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大桥</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1A6CE5">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2</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F92465">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5BE546">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FB2EC7">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2866FB">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6465A1">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双柱式墩</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11403D">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桩基础</w:t>
            </w:r>
          </w:p>
        </w:tc>
        <w:tc>
          <w:tcPr>
            <w:tcW w:w="519" w:type="pct"/>
            <w:tcBorders>
              <w:top w:val="single" w:color="000000" w:sz="4" w:space="0"/>
              <w:left w:val="single" w:color="000000" w:sz="4" w:space="0"/>
              <w:bottom w:val="single" w:color="000000" w:sz="4" w:space="0"/>
              <w:right w:val="single" w:color="000000" w:sz="4" w:space="0"/>
            </w:tcBorders>
            <w:shd w:val="clear" w:color="800000" w:fill="FFFFFF"/>
            <w:noWrap w:val="0"/>
            <w:vAlign w:val="center"/>
          </w:tcPr>
          <w:p w14:paraId="4D71D56C">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岑溪公路养护中心</w:t>
            </w:r>
          </w:p>
        </w:tc>
      </w:tr>
      <w:tr w14:paraId="5F38D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3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DCCB05">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G241450422L0020</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41B5AB">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塘村桥</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1C88EF">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3083.227</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668FFF">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G241</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8E4249">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小桥</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4DE7CF">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2</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64D81D">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0EE006">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重力式桥台</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783695">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扩大基础</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EE6A5F">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055BEF">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C399E8">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w:t>
            </w:r>
          </w:p>
        </w:tc>
        <w:tc>
          <w:tcPr>
            <w:tcW w:w="519" w:type="pct"/>
            <w:tcBorders>
              <w:top w:val="single" w:color="000000" w:sz="4" w:space="0"/>
              <w:left w:val="single" w:color="000000" w:sz="4" w:space="0"/>
              <w:bottom w:val="single" w:color="000000" w:sz="4" w:space="0"/>
              <w:right w:val="single" w:color="000000" w:sz="4" w:space="0"/>
            </w:tcBorders>
            <w:shd w:val="clear" w:color="800000" w:fill="FFFFFF"/>
            <w:noWrap w:val="0"/>
            <w:vAlign w:val="center"/>
          </w:tcPr>
          <w:p w14:paraId="7165BF5F">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藤县公路养护中心</w:t>
            </w:r>
          </w:p>
        </w:tc>
      </w:tr>
      <w:tr w14:paraId="37981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3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3802F4">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G241450422L0030</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994C1F">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下六桥</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E8DBCF">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3084.354</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73D499">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G241</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F64F46">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小桥</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BB50CE">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2</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7CAC8F">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967C26">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重力式桥台</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1C592B">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扩大基础</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BC4151">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8217F3">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060C19">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w:t>
            </w:r>
          </w:p>
        </w:tc>
        <w:tc>
          <w:tcPr>
            <w:tcW w:w="519" w:type="pct"/>
            <w:tcBorders>
              <w:top w:val="single" w:color="000000" w:sz="4" w:space="0"/>
              <w:left w:val="single" w:color="000000" w:sz="4" w:space="0"/>
              <w:bottom w:val="single" w:color="000000" w:sz="4" w:space="0"/>
              <w:right w:val="single" w:color="000000" w:sz="4" w:space="0"/>
            </w:tcBorders>
            <w:shd w:val="clear" w:color="800000" w:fill="FFFFFF"/>
            <w:noWrap w:val="0"/>
            <w:vAlign w:val="center"/>
          </w:tcPr>
          <w:p w14:paraId="4B2A755E">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藤县公路养护中心</w:t>
            </w:r>
          </w:p>
        </w:tc>
      </w:tr>
      <w:tr w14:paraId="2762F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3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514A63">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G241450422L0040</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4F3E80">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上峡桥</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EA81DE">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3084.866</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427036">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G241</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D1A69D">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小桥</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D83EC5">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2</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46507E">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8810AB">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重力式桥台</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640743">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扩大基础</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B934B2">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B3363F">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D76D5A">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w:t>
            </w:r>
          </w:p>
        </w:tc>
        <w:tc>
          <w:tcPr>
            <w:tcW w:w="519" w:type="pct"/>
            <w:tcBorders>
              <w:top w:val="single" w:color="000000" w:sz="4" w:space="0"/>
              <w:left w:val="single" w:color="000000" w:sz="4" w:space="0"/>
              <w:bottom w:val="single" w:color="000000" w:sz="4" w:space="0"/>
              <w:right w:val="single" w:color="000000" w:sz="4" w:space="0"/>
            </w:tcBorders>
            <w:shd w:val="clear" w:color="800000" w:fill="FFFFFF"/>
            <w:noWrap w:val="0"/>
            <w:vAlign w:val="center"/>
          </w:tcPr>
          <w:p w14:paraId="29E78D3B">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藤县公路养护中心</w:t>
            </w:r>
          </w:p>
        </w:tc>
      </w:tr>
      <w:tr w14:paraId="1FD53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3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F817F2">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G241450422L0050</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04BB4A">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三角桥</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78A8C4">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3085.440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CED5A8">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G241</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9954B5">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小桥</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7AF2B7">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2</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4585B7">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098B9D">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重力式桥台</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2B9CB0">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扩大基础</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24EDA3">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31588D">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19E39F">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w:t>
            </w:r>
          </w:p>
        </w:tc>
        <w:tc>
          <w:tcPr>
            <w:tcW w:w="519" w:type="pct"/>
            <w:tcBorders>
              <w:top w:val="single" w:color="000000" w:sz="4" w:space="0"/>
              <w:left w:val="single" w:color="000000" w:sz="4" w:space="0"/>
              <w:bottom w:val="single" w:color="000000" w:sz="4" w:space="0"/>
              <w:right w:val="single" w:color="000000" w:sz="4" w:space="0"/>
            </w:tcBorders>
            <w:shd w:val="clear" w:color="800000" w:fill="FFFFFF"/>
            <w:noWrap w:val="0"/>
            <w:vAlign w:val="center"/>
          </w:tcPr>
          <w:p w14:paraId="7A3637FE">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藤县公路养护中心</w:t>
            </w:r>
          </w:p>
        </w:tc>
      </w:tr>
      <w:tr w14:paraId="53F8B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3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8CEAF9">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G358450422L0160</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6F032B">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高楼岭桥</w:t>
            </w:r>
          </w:p>
        </w:tc>
        <w:tc>
          <w:tcPr>
            <w:tcW w:w="380" w:type="pct"/>
            <w:tcBorders>
              <w:top w:val="single" w:color="000000" w:sz="4" w:space="0"/>
              <w:left w:val="single" w:color="000000" w:sz="4" w:space="0"/>
              <w:bottom w:val="single" w:color="000000" w:sz="4" w:space="0"/>
              <w:right w:val="single" w:color="000000" w:sz="4" w:space="0"/>
            </w:tcBorders>
            <w:shd w:val="clear" w:color="800000" w:fill="FFFFFF"/>
            <w:noWrap w:val="0"/>
            <w:vAlign w:val="center"/>
          </w:tcPr>
          <w:p w14:paraId="25C04750">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1359.348</w:t>
            </w:r>
          </w:p>
        </w:tc>
        <w:tc>
          <w:tcPr>
            <w:tcW w:w="310" w:type="pct"/>
            <w:tcBorders>
              <w:top w:val="single" w:color="000000" w:sz="4" w:space="0"/>
              <w:left w:val="single" w:color="000000" w:sz="4" w:space="0"/>
              <w:bottom w:val="single" w:color="000000" w:sz="4" w:space="0"/>
              <w:right w:val="single" w:color="000000" w:sz="4" w:space="0"/>
            </w:tcBorders>
            <w:shd w:val="clear" w:color="800000" w:fill="FFFFFF"/>
            <w:noWrap w:val="0"/>
            <w:vAlign w:val="center"/>
          </w:tcPr>
          <w:p w14:paraId="4118513C">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G358</w:t>
            </w:r>
          </w:p>
        </w:tc>
        <w:tc>
          <w:tcPr>
            <w:tcW w:w="288" w:type="pct"/>
            <w:tcBorders>
              <w:top w:val="single" w:color="000000" w:sz="4" w:space="0"/>
              <w:left w:val="single" w:color="000000" w:sz="4" w:space="0"/>
              <w:bottom w:val="single" w:color="000000" w:sz="4" w:space="0"/>
              <w:right w:val="single" w:color="000000" w:sz="4" w:space="0"/>
            </w:tcBorders>
            <w:shd w:val="clear" w:color="800000" w:fill="FFFFFF"/>
            <w:noWrap w:val="0"/>
            <w:vAlign w:val="center"/>
          </w:tcPr>
          <w:p w14:paraId="4B22C271">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中桥</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6C25A3">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1</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9C4C4A">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A89BF5">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9394F3">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978099">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310B8D">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双柱式墩</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552ACD">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桩基础</w:t>
            </w:r>
          </w:p>
        </w:tc>
        <w:tc>
          <w:tcPr>
            <w:tcW w:w="519" w:type="pct"/>
            <w:tcBorders>
              <w:top w:val="single" w:color="000000" w:sz="4" w:space="0"/>
              <w:left w:val="single" w:color="000000" w:sz="4" w:space="0"/>
              <w:bottom w:val="single" w:color="000000" w:sz="4" w:space="0"/>
              <w:right w:val="single" w:color="000000" w:sz="4" w:space="0"/>
            </w:tcBorders>
            <w:shd w:val="clear" w:color="800000" w:fill="FFFFFF"/>
            <w:noWrap w:val="0"/>
            <w:vAlign w:val="center"/>
          </w:tcPr>
          <w:p w14:paraId="07D35122">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藤县公路养护中心</w:t>
            </w:r>
          </w:p>
        </w:tc>
      </w:tr>
      <w:tr w14:paraId="517F9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3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521AC9">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S310450422L0010</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69EA24">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黄华河大桥</w:t>
            </w:r>
          </w:p>
        </w:tc>
        <w:tc>
          <w:tcPr>
            <w:tcW w:w="380" w:type="pct"/>
            <w:tcBorders>
              <w:top w:val="single" w:color="000000" w:sz="4" w:space="0"/>
              <w:left w:val="single" w:color="000000" w:sz="4" w:space="0"/>
              <w:bottom w:val="single" w:color="000000" w:sz="4" w:space="0"/>
              <w:right w:val="single" w:color="000000" w:sz="4" w:space="0"/>
            </w:tcBorders>
            <w:shd w:val="clear" w:color="800000" w:fill="FFFFFF"/>
            <w:noWrap w:val="0"/>
            <w:vAlign w:val="center"/>
          </w:tcPr>
          <w:p w14:paraId="37E5535A">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32.497</w:t>
            </w:r>
          </w:p>
        </w:tc>
        <w:tc>
          <w:tcPr>
            <w:tcW w:w="310" w:type="pct"/>
            <w:tcBorders>
              <w:top w:val="single" w:color="000000" w:sz="4" w:space="0"/>
              <w:left w:val="single" w:color="000000" w:sz="4" w:space="0"/>
              <w:bottom w:val="single" w:color="000000" w:sz="4" w:space="0"/>
              <w:right w:val="single" w:color="000000" w:sz="4" w:space="0"/>
            </w:tcBorders>
            <w:shd w:val="clear" w:color="800000" w:fill="FFFFFF"/>
            <w:noWrap w:val="0"/>
            <w:vAlign w:val="center"/>
          </w:tcPr>
          <w:p w14:paraId="4ED79595">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S310</w:t>
            </w:r>
          </w:p>
        </w:tc>
        <w:tc>
          <w:tcPr>
            <w:tcW w:w="288" w:type="pct"/>
            <w:tcBorders>
              <w:top w:val="single" w:color="000000" w:sz="4" w:space="0"/>
              <w:left w:val="single" w:color="000000" w:sz="4" w:space="0"/>
              <w:bottom w:val="single" w:color="000000" w:sz="4" w:space="0"/>
              <w:right w:val="single" w:color="000000" w:sz="4" w:space="0"/>
            </w:tcBorders>
            <w:shd w:val="clear" w:color="800000" w:fill="FFFFFF"/>
            <w:noWrap w:val="0"/>
            <w:vAlign w:val="center"/>
          </w:tcPr>
          <w:p w14:paraId="46628665">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大桥</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6DA59D">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3</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A77326">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87594C">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D88F9C">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575216">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3</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3818C9">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双柱式墩</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8F8C36">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桩基础</w:t>
            </w:r>
          </w:p>
        </w:tc>
        <w:tc>
          <w:tcPr>
            <w:tcW w:w="519" w:type="pct"/>
            <w:tcBorders>
              <w:top w:val="single" w:color="000000" w:sz="4" w:space="0"/>
              <w:left w:val="single" w:color="000000" w:sz="4" w:space="0"/>
              <w:bottom w:val="single" w:color="000000" w:sz="4" w:space="0"/>
              <w:right w:val="single" w:color="000000" w:sz="4" w:space="0"/>
            </w:tcBorders>
            <w:shd w:val="clear" w:color="800000" w:fill="FFFFFF"/>
            <w:noWrap w:val="0"/>
            <w:vAlign w:val="center"/>
          </w:tcPr>
          <w:p w14:paraId="024B7CEB">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藤县公路养护中心</w:t>
            </w:r>
          </w:p>
        </w:tc>
      </w:tr>
      <w:tr w14:paraId="245A7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3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39FE87">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S310450422L0020</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5C28C7">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镇安北流河大桥</w:t>
            </w:r>
          </w:p>
        </w:tc>
        <w:tc>
          <w:tcPr>
            <w:tcW w:w="380" w:type="pct"/>
            <w:tcBorders>
              <w:top w:val="single" w:color="000000" w:sz="4" w:space="0"/>
              <w:left w:val="single" w:color="000000" w:sz="4" w:space="0"/>
              <w:bottom w:val="single" w:color="000000" w:sz="4" w:space="0"/>
              <w:right w:val="single" w:color="000000" w:sz="4" w:space="0"/>
            </w:tcBorders>
            <w:shd w:val="clear" w:color="800000" w:fill="FFFFFF"/>
            <w:noWrap w:val="0"/>
            <w:vAlign w:val="center"/>
          </w:tcPr>
          <w:p w14:paraId="35594B6A">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36.582</w:t>
            </w:r>
          </w:p>
        </w:tc>
        <w:tc>
          <w:tcPr>
            <w:tcW w:w="310" w:type="pct"/>
            <w:tcBorders>
              <w:top w:val="single" w:color="000000" w:sz="4" w:space="0"/>
              <w:left w:val="single" w:color="000000" w:sz="4" w:space="0"/>
              <w:bottom w:val="single" w:color="000000" w:sz="4" w:space="0"/>
              <w:right w:val="single" w:color="000000" w:sz="4" w:space="0"/>
            </w:tcBorders>
            <w:shd w:val="clear" w:color="800000" w:fill="FFFFFF"/>
            <w:noWrap w:val="0"/>
            <w:vAlign w:val="center"/>
          </w:tcPr>
          <w:p w14:paraId="4C782F3E">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S310</w:t>
            </w:r>
          </w:p>
        </w:tc>
        <w:tc>
          <w:tcPr>
            <w:tcW w:w="288" w:type="pct"/>
            <w:tcBorders>
              <w:top w:val="single" w:color="000000" w:sz="4" w:space="0"/>
              <w:left w:val="single" w:color="000000" w:sz="4" w:space="0"/>
              <w:bottom w:val="single" w:color="000000" w:sz="4" w:space="0"/>
              <w:right w:val="single" w:color="000000" w:sz="4" w:space="0"/>
            </w:tcBorders>
            <w:shd w:val="clear" w:color="800000" w:fill="FFFFFF"/>
            <w:noWrap w:val="0"/>
            <w:vAlign w:val="center"/>
          </w:tcPr>
          <w:p w14:paraId="2453F8AE">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大桥</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8B3FB7">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2</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43D78C">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0CF0E6">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3AF54B">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299E11">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27C682">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实体墩</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286FF2">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桩基础</w:t>
            </w:r>
          </w:p>
        </w:tc>
        <w:tc>
          <w:tcPr>
            <w:tcW w:w="519" w:type="pct"/>
            <w:tcBorders>
              <w:top w:val="single" w:color="000000" w:sz="4" w:space="0"/>
              <w:left w:val="single" w:color="000000" w:sz="4" w:space="0"/>
              <w:bottom w:val="single" w:color="000000" w:sz="4" w:space="0"/>
              <w:right w:val="single" w:color="000000" w:sz="4" w:space="0"/>
            </w:tcBorders>
            <w:shd w:val="clear" w:color="800000" w:fill="FFFFFF"/>
            <w:noWrap w:val="0"/>
            <w:vAlign w:val="center"/>
          </w:tcPr>
          <w:p w14:paraId="0C930058">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藤县公路养护中心</w:t>
            </w:r>
          </w:p>
        </w:tc>
      </w:tr>
      <w:tr w14:paraId="063FB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3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37DDCD">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G241450423L0020</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1C91BF">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黄村大桥</w:t>
            </w:r>
          </w:p>
        </w:tc>
        <w:tc>
          <w:tcPr>
            <w:tcW w:w="380" w:type="pct"/>
            <w:tcBorders>
              <w:top w:val="single" w:color="000000" w:sz="4" w:space="0"/>
              <w:left w:val="single" w:color="000000" w:sz="4" w:space="0"/>
              <w:bottom w:val="single" w:color="000000" w:sz="4" w:space="0"/>
              <w:right w:val="single" w:color="000000" w:sz="4" w:space="0"/>
            </w:tcBorders>
            <w:shd w:val="clear" w:color="800000" w:fill="FFFFFF"/>
            <w:noWrap w:val="0"/>
            <w:vAlign w:val="center"/>
          </w:tcPr>
          <w:p w14:paraId="4E3FCED0">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3048.209</w:t>
            </w:r>
          </w:p>
        </w:tc>
        <w:tc>
          <w:tcPr>
            <w:tcW w:w="310" w:type="pct"/>
            <w:tcBorders>
              <w:top w:val="single" w:color="000000" w:sz="4" w:space="0"/>
              <w:left w:val="single" w:color="000000" w:sz="4" w:space="0"/>
              <w:bottom w:val="single" w:color="000000" w:sz="4" w:space="0"/>
              <w:right w:val="single" w:color="000000" w:sz="4" w:space="0"/>
            </w:tcBorders>
            <w:shd w:val="clear" w:color="800000" w:fill="FFFFFF"/>
            <w:noWrap w:val="0"/>
            <w:vAlign w:val="center"/>
          </w:tcPr>
          <w:p w14:paraId="7FEA1839">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G241</w:t>
            </w:r>
          </w:p>
        </w:tc>
        <w:tc>
          <w:tcPr>
            <w:tcW w:w="288" w:type="pct"/>
            <w:tcBorders>
              <w:top w:val="single" w:color="000000" w:sz="4" w:space="0"/>
              <w:left w:val="single" w:color="000000" w:sz="4" w:space="0"/>
              <w:bottom w:val="single" w:color="000000" w:sz="4" w:space="0"/>
              <w:right w:val="single" w:color="000000" w:sz="4" w:space="0"/>
            </w:tcBorders>
            <w:shd w:val="clear" w:color="800000" w:fill="FFFFFF"/>
            <w:noWrap w:val="0"/>
            <w:vAlign w:val="center"/>
          </w:tcPr>
          <w:p w14:paraId="0CAF2953">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大桥</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872D66">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4</w:t>
            </w:r>
          </w:p>
        </w:tc>
        <w:tc>
          <w:tcPr>
            <w:tcW w:w="341" w:type="pct"/>
            <w:tcBorders>
              <w:top w:val="single" w:color="000000" w:sz="4" w:space="0"/>
              <w:left w:val="single" w:color="000000" w:sz="4" w:space="0"/>
              <w:bottom w:val="single" w:color="000000" w:sz="4" w:space="0"/>
              <w:right w:val="single" w:color="000000" w:sz="4" w:space="0"/>
            </w:tcBorders>
            <w:shd w:val="clear" w:color="800000" w:fill="FFFFFF"/>
            <w:noWrap w:val="0"/>
            <w:vAlign w:val="center"/>
          </w:tcPr>
          <w:p w14:paraId="347EB274">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338" w:type="pct"/>
            <w:tcBorders>
              <w:top w:val="single" w:color="000000" w:sz="4" w:space="0"/>
              <w:left w:val="single" w:color="000000" w:sz="4" w:space="0"/>
              <w:bottom w:val="single" w:color="000000" w:sz="4" w:space="0"/>
              <w:right w:val="single" w:color="000000" w:sz="4" w:space="0"/>
            </w:tcBorders>
            <w:shd w:val="clear" w:color="800000" w:fill="FFFFFF"/>
            <w:noWrap w:val="0"/>
            <w:vAlign w:val="center"/>
          </w:tcPr>
          <w:p w14:paraId="2D42663C">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w:t>
            </w:r>
          </w:p>
        </w:tc>
        <w:tc>
          <w:tcPr>
            <w:tcW w:w="338" w:type="pct"/>
            <w:tcBorders>
              <w:top w:val="single" w:color="000000" w:sz="4" w:space="0"/>
              <w:left w:val="single" w:color="000000" w:sz="4" w:space="0"/>
              <w:bottom w:val="single" w:color="000000" w:sz="4" w:space="0"/>
              <w:right w:val="single" w:color="000000" w:sz="4" w:space="0"/>
            </w:tcBorders>
            <w:shd w:val="clear" w:color="800000" w:fill="FFFFFF"/>
            <w:noWrap w:val="0"/>
            <w:vAlign w:val="center"/>
          </w:tcPr>
          <w:p w14:paraId="1485EDDA">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w:t>
            </w:r>
          </w:p>
        </w:tc>
        <w:tc>
          <w:tcPr>
            <w:tcW w:w="341" w:type="pct"/>
            <w:tcBorders>
              <w:top w:val="single" w:color="000000" w:sz="4" w:space="0"/>
              <w:left w:val="single" w:color="000000" w:sz="4" w:space="0"/>
              <w:bottom w:val="single" w:color="000000" w:sz="4" w:space="0"/>
              <w:right w:val="single" w:color="000000" w:sz="4" w:space="0"/>
            </w:tcBorders>
            <w:shd w:val="clear" w:color="800000" w:fill="FFFFFF"/>
            <w:noWrap w:val="0"/>
            <w:vAlign w:val="center"/>
          </w:tcPr>
          <w:p w14:paraId="19B3BB85">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4</w:t>
            </w:r>
          </w:p>
        </w:tc>
        <w:tc>
          <w:tcPr>
            <w:tcW w:w="338" w:type="pct"/>
            <w:tcBorders>
              <w:top w:val="single" w:color="000000" w:sz="4" w:space="0"/>
              <w:left w:val="single" w:color="000000" w:sz="4" w:space="0"/>
              <w:bottom w:val="single" w:color="000000" w:sz="4" w:space="0"/>
              <w:right w:val="single" w:color="000000" w:sz="4" w:space="0"/>
            </w:tcBorders>
            <w:shd w:val="clear" w:color="800000" w:fill="FFFFFF"/>
            <w:noWrap w:val="0"/>
            <w:vAlign w:val="center"/>
          </w:tcPr>
          <w:p w14:paraId="0DB643F2">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双柱式墩</w:t>
            </w:r>
          </w:p>
        </w:tc>
        <w:tc>
          <w:tcPr>
            <w:tcW w:w="338" w:type="pct"/>
            <w:tcBorders>
              <w:top w:val="single" w:color="000000" w:sz="4" w:space="0"/>
              <w:left w:val="single" w:color="000000" w:sz="4" w:space="0"/>
              <w:bottom w:val="single" w:color="000000" w:sz="4" w:space="0"/>
              <w:right w:val="single" w:color="000000" w:sz="4" w:space="0"/>
            </w:tcBorders>
            <w:shd w:val="clear" w:color="800000" w:fill="FFFFFF"/>
            <w:noWrap w:val="0"/>
            <w:vAlign w:val="center"/>
          </w:tcPr>
          <w:p w14:paraId="3B94D77B">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扩大基础</w:t>
            </w:r>
          </w:p>
        </w:tc>
        <w:tc>
          <w:tcPr>
            <w:tcW w:w="519" w:type="pct"/>
            <w:tcBorders>
              <w:top w:val="single" w:color="000000" w:sz="4" w:space="0"/>
              <w:left w:val="single" w:color="000000" w:sz="4" w:space="0"/>
              <w:bottom w:val="single" w:color="000000" w:sz="4" w:space="0"/>
              <w:right w:val="single" w:color="000000" w:sz="4" w:space="0"/>
            </w:tcBorders>
            <w:shd w:val="clear" w:color="800000" w:fill="FFFFFF"/>
            <w:noWrap w:val="0"/>
            <w:vAlign w:val="center"/>
          </w:tcPr>
          <w:p w14:paraId="19EFBE8C">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蒙山公路养护中心</w:t>
            </w:r>
          </w:p>
        </w:tc>
      </w:tr>
      <w:tr w14:paraId="1C733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3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49B8C9">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G207451102L0220</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D38540">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绿兰桥</w:t>
            </w:r>
          </w:p>
        </w:tc>
        <w:tc>
          <w:tcPr>
            <w:tcW w:w="380" w:type="pct"/>
            <w:tcBorders>
              <w:top w:val="single" w:color="000000" w:sz="4" w:space="0"/>
              <w:left w:val="single" w:color="000000" w:sz="4" w:space="0"/>
              <w:bottom w:val="single" w:color="000000" w:sz="4" w:space="0"/>
              <w:right w:val="single" w:color="000000" w:sz="4" w:space="0"/>
            </w:tcBorders>
            <w:shd w:val="clear" w:color="800000" w:fill="FFFFFF"/>
            <w:noWrap w:val="0"/>
            <w:vAlign w:val="center"/>
          </w:tcPr>
          <w:p w14:paraId="275D3662">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3627.328</w:t>
            </w:r>
          </w:p>
        </w:tc>
        <w:tc>
          <w:tcPr>
            <w:tcW w:w="310" w:type="pct"/>
            <w:tcBorders>
              <w:top w:val="single" w:color="000000" w:sz="4" w:space="0"/>
              <w:left w:val="single" w:color="000000" w:sz="4" w:space="0"/>
              <w:bottom w:val="single" w:color="000000" w:sz="4" w:space="0"/>
              <w:right w:val="single" w:color="000000" w:sz="4" w:space="0"/>
            </w:tcBorders>
            <w:shd w:val="clear" w:color="800000" w:fill="FFFFFF"/>
            <w:noWrap w:val="0"/>
            <w:vAlign w:val="center"/>
          </w:tcPr>
          <w:p w14:paraId="70F1C902">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G207</w:t>
            </w:r>
          </w:p>
        </w:tc>
        <w:tc>
          <w:tcPr>
            <w:tcW w:w="288" w:type="pct"/>
            <w:tcBorders>
              <w:top w:val="single" w:color="000000" w:sz="4" w:space="0"/>
              <w:left w:val="single" w:color="000000" w:sz="4" w:space="0"/>
              <w:bottom w:val="single" w:color="000000" w:sz="4" w:space="0"/>
              <w:right w:val="single" w:color="000000" w:sz="4" w:space="0"/>
            </w:tcBorders>
            <w:shd w:val="clear" w:color="800000" w:fill="FFFFFF"/>
            <w:noWrap w:val="0"/>
            <w:vAlign w:val="center"/>
          </w:tcPr>
          <w:p w14:paraId="6BD218F1">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中桥</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CC9109">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2</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A63C5E">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B90CB6">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0B0868">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49CFEC">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793873">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三柱式墩</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729E22">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扩大基础</w:t>
            </w:r>
          </w:p>
        </w:tc>
        <w:tc>
          <w:tcPr>
            <w:tcW w:w="519" w:type="pct"/>
            <w:tcBorders>
              <w:top w:val="single" w:color="000000" w:sz="4" w:space="0"/>
              <w:left w:val="single" w:color="000000" w:sz="4" w:space="0"/>
              <w:bottom w:val="single" w:color="000000" w:sz="4" w:space="0"/>
              <w:right w:val="single" w:color="000000" w:sz="4" w:space="0"/>
            </w:tcBorders>
            <w:shd w:val="clear" w:color="800000" w:fill="FFFFFF"/>
            <w:noWrap w:val="0"/>
            <w:vAlign w:val="center"/>
          </w:tcPr>
          <w:p w14:paraId="2BB132EB">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八步公路养护中心</w:t>
            </w:r>
          </w:p>
        </w:tc>
      </w:tr>
      <w:tr w14:paraId="44C59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3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E35419">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G323451102L0030</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57B5A9">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吐水河中桥</w:t>
            </w:r>
          </w:p>
        </w:tc>
        <w:tc>
          <w:tcPr>
            <w:tcW w:w="380" w:type="pct"/>
            <w:tcBorders>
              <w:top w:val="single" w:color="000000" w:sz="4" w:space="0"/>
              <w:left w:val="single" w:color="000000" w:sz="4" w:space="0"/>
              <w:bottom w:val="single" w:color="000000" w:sz="4" w:space="0"/>
              <w:right w:val="single" w:color="000000" w:sz="4" w:space="0"/>
            </w:tcBorders>
            <w:shd w:val="clear" w:color="800000" w:fill="FFFFFF"/>
            <w:noWrap w:val="0"/>
            <w:vAlign w:val="center"/>
          </w:tcPr>
          <w:p w14:paraId="6C7301D3">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633.431</w:t>
            </w:r>
          </w:p>
        </w:tc>
        <w:tc>
          <w:tcPr>
            <w:tcW w:w="310" w:type="pct"/>
            <w:tcBorders>
              <w:top w:val="single" w:color="000000" w:sz="4" w:space="0"/>
              <w:left w:val="single" w:color="000000" w:sz="4" w:space="0"/>
              <w:bottom w:val="single" w:color="000000" w:sz="4" w:space="0"/>
              <w:right w:val="single" w:color="000000" w:sz="4" w:space="0"/>
            </w:tcBorders>
            <w:shd w:val="clear" w:color="800000" w:fill="FFFFFF"/>
            <w:noWrap w:val="0"/>
            <w:vAlign w:val="center"/>
          </w:tcPr>
          <w:p w14:paraId="02C3382C">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G323</w:t>
            </w:r>
          </w:p>
        </w:tc>
        <w:tc>
          <w:tcPr>
            <w:tcW w:w="288" w:type="pct"/>
            <w:tcBorders>
              <w:top w:val="single" w:color="000000" w:sz="4" w:space="0"/>
              <w:left w:val="single" w:color="000000" w:sz="4" w:space="0"/>
              <w:bottom w:val="single" w:color="000000" w:sz="4" w:space="0"/>
              <w:right w:val="single" w:color="000000" w:sz="4" w:space="0"/>
            </w:tcBorders>
            <w:shd w:val="clear" w:color="800000" w:fill="FFFFFF"/>
            <w:noWrap w:val="0"/>
            <w:vAlign w:val="center"/>
          </w:tcPr>
          <w:p w14:paraId="1E3B1009">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中桥</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204903">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3</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13B004">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8B70FA">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2ACC7B">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94F3A4">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3</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518587">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双柱式墩</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45B354">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桩基础</w:t>
            </w:r>
          </w:p>
        </w:tc>
        <w:tc>
          <w:tcPr>
            <w:tcW w:w="519" w:type="pct"/>
            <w:tcBorders>
              <w:top w:val="single" w:color="000000" w:sz="4" w:space="0"/>
              <w:left w:val="single" w:color="000000" w:sz="4" w:space="0"/>
              <w:bottom w:val="single" w:color="000000" w:sz="4" w:space="0"/>
              <w:right w:val="single" w:color="000000" w:sz="4" w:space="0"/>
            </w:tcBorders>
            <w:shd w:val="clear" w:color="800000" w:fill="FFFFFF"/>
            <w:noWrap w:val="0"/>
            <w:vAlign w:val="center"/>
          </w:tcPr>
          <w:p w14:paraId="685E942F">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八步公路养护中心</w:t>
            </w:r>
          </w:p>
        </w:tc>
      </w:tr>
      <w:tr w14:paraId="6674D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3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A90B5A">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G323451103L0010</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282F8E">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坪滩桥</w:t>
            </w:r>
          </w:p>
        </w:tc>
        <w:tc>
          <w:tcPr>
            <w:tcW w:w="380" w:type="pct"/>
            <w:tcBorders>
              <w:top w:val="single" w:color="000000" w:sz="4" w:space="0"/>
              <w:left w:val="single" w:color="000000" w:sz="4" w:space="0"/>
              <w:bottom w:val="single" w:color="000000" w:sz="4" w:space="0"/>
              <w:right w:val="single" w:color="000000" w:sz="4" w:space="0"/>
            </w:tcBorders>
            <w:shd w:val="clear" w:color="800000" w:fill="FFFFFF"/>
            <w:noWrap w:val="0"/>
            <w:vAlign w:val="center"/>
          </w:tcPr>
          <w:p w14:paraId="2AE51F6E">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698.971</w:t>
            </w:r>
          </w:p>
        </w:tc>
        <w:tc>
          <w:tcPr>
            <w:tcW w:w="310" w:type="pct"/>
            <w:tcBorders>
              <w:top w:val="single" w:color="000000" w:sz="4" w:space="0"/>
              <w:left w:val="single" w:color="000000" w:sz="4" w:space="0"/>
              <w:bottom w:val="single" w:color="000000" w:sz="4" w:space="0"/>
              <w:right w:val="single" w:color="000000" w:sz="4" w:space="0"/>
            </w:tcBorders>
            <w:shd w:val="clear" w:color="800000" w:fill="FFFFFF"/>
            <w:noWrap w:val="0"/>
            <w:vAlign w:val="center"/>
          </w:tcPr>
          <w:p w14:paraId="0EB0B9CD">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G323</w:t>
            </w:r>
          </w:p>
        </w:tc>
        <w:tc>
          <w:tcPr>
            <w:tcW w:w="288" w:type="pct"/>
            <w:tcBorders>
              <w:top w:val="single" w:color="000000" w:sz="4" w:space="0"/>
              <w:left w:val="single" w:color="000000" w:sz="4" w:space="0"/>
              <w:bottom w:val="single" w:color="000000" w:sz="4" w:space="0"/>
              <w:right w:val="single" w:color="000000" w:sz="4" w:space="0"/>
            </w:tcBorders>
            <w:shd w:val="clear" w:color="800000" w:fill="FFFFFF"/>
            <w:noWrap w:val="0"/>
            <w:vAlign w:val="center"/>
          </w:tcPr>
          <w:p w14:paraId="40E15310">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大桥</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DD19A8">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1</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9C6273">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499483">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343C2E">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879BB8">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B718D5">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多柱式墩</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68DCA5">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桩基础</w:t>
            </w:r>
          </w:p>
        </w:tc>
        <w:tc>
          <w:tcPr>
            <w:tcW w:w="519" w:type="pct"/>
            <w:tcBorders>
              <w:top w:val="single" w:color="000000" w:sz="4" w:space="0"/>
              <w:left w:val="single" w:color="000000" w:sz="4" w:space="0"/>
              <w:bottom w:val="single" w:color="000000" w:sz="4" w:space="0"/>
              <w:right w:val="single" w:color="000000" w:sz="4" w:space="0"/>
            </w:tcBorders>
            <w:shd w:val="clear" w:color="800000" w:fill="FFFFFF"/>
            <w:noWrap w:val="0"/>
            <w:vAlign w:val="center"/>
          </w:tcPr>
          <w:p w14:paraId="3C6FCCA2">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钟山公路养护中心</w:t>
            </w:r>
          </w:p>
        </w:tc>
      </w:tr>
      <w:tr w14:paraId="0C717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3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E83C4E">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S201451103L0030</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41CE8B">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通坪桥</w:t>
            </w:r>
          </w:p>
        </w:tc>
        <w:tc>
          <w:tcPr>
            <w:tcW w:w="380" w:type="pct"/>
            <w:tcBorders>
              <w:top w:val="single" w:color="000000" w:sz="4" w:space="0"/>
              <w:left w:val="single" w:color="000000" w:sz="4" w:space="0"/>
              <w:bottom w:val="single" w:color="000000" w:sz="4" w:space="0"/>
              <w:right w:val="single" w:color="000000" w:sz="4" w:space="0"/>
            </w:tcBorders>
            <w:shd w:val="clear" w:color="800000" w:fill="FFFFFF"/>
            <w:noWrap w:val="0"/>
            <w:vAlign w:val="center"/>
          </w:tcPr>
          <w:p w14:paraId="06FB138B">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38.231</w:t>
            </w:r>
          </w:p>
        </w:tc>
        <w:tc>
          <w:tcPr>
            <w:tcW w:w="310" w:type="pct"/>
            <w:tcBorders>
              <w:top w:val="single" w:color="000000" w:sz="4" w:space="0"/>
              <w:left w:val="single" w:color="000000" w:sz="4" w:space="0"/>
              <w:bottom w:val="single" w:color="000000" w:sz="4" w:space="0"/>
              <w:right w:val="single" w:color="000000" w:sz="4" w:space="0"/>
            </w:tcBorders>
            <w:shd w:val="clear" w:color="800000" w:fill="FFFFFF"/>
            <w:noWrap w:val="0"/>
            <w:vAlign w:val="center"/>
          </w:tcPr>
          <w:p w14:paraId="1864DD67">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S201</w:t>
            </w:r>
          </w:p>
        </w:tc>
        <w:tc>
          <w:tcPr>
            <w:tcW w:w="288" w:type="pct"/>
            <w:tcBorders>
              <w:top w:val="single" w:color="000000" w:sz="4" w:space="0"/>
              <w:left w:val="single" w:color="000000" w:sz="4" w:space="0"/>
              <w:bottom w:val="single" w:color="000000" w:sz="4" w:space="0"/>
              <w:right w:val="single" w:color="000000" w:sz="4" w:space="0"/>
            </w:tcBorders>
            <w:shd w:val="clear" w:color="800000" w:fill="FFFFFF"/>
            <w:noWrap w:val="0"/>
            <w:vAlign w:val="center"/>
          </w:tcPr>
          <w:p w14:paraId="690B76CB">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中桥</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A12B43">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2</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359B8A">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0FBE51">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7E9038">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EE830A">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282F78">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双柱式墩</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595D98">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扩大基础</w:t>
            </w:r>
          </w:p>
        </w:tc>
        <w:tc>
          <w:tcPr>
            <w:tcW w:w="519" w:type="pct"/>
            <w:tcBorders>
              <w:top w:val="single" w:color="000000" w:sz="4" w:space="0"/>
              <w:left w:val="single" w:color="000000" w:sz="4" w:space="0"/>
              <w:bottom w:val="single" w:color="000000" w:sz="4" w:space="0"/>
              <w:right w:val="single" w:color="000000" w:sz="4" w:space="0"/>
            </w:tcBorders>
            <w:shd w:val="clear" w:color="800000" w:fill="FFFFFF"/>
            <w:noWrap w:val="0"/>
            <w:vAlign w:val="center"/>
          </w:tcPr>
          <w:p w14:paraId="1ABB585A">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钟山公路养护中心</w:t>
            </w:r>
          </w:p>
        </w:tc>
      </w:tr>
      <w:tr w14:paraId="04A99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3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6DC865">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G241451121L0150</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C20426">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白鸠小桥</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6D5F62">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3002.059</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7AC7E7">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G241</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7B66E1">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小桥</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95A8F8">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1</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10FB6B">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820AEF">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086C70">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65580A">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F50E4B">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双柱式墩</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6366EA">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桩基础</w:t>
            </w:r>
          </w:p>
        </w:tc>
        <w:tc>
          <w:tcPr>
            <w:tcW w:w="519" w:type="pct"/>
            <w:tcBorders>
              <w:top w:val="single" w:color="000000" w:sz="4" w:space="0"/>
              <w:left w:val="single" w:color="000000" w:sz="4" w:space="0"/>
              <w:bottom w:val="single" w:color="000000" w:sz="4" w:space="0"/>
              <w:right w:val="single" w:color="000000" w:sz="4" w:space="0"/>
            </w:tcBorders>
            <w:shd w:val="clear" w:color="800000" w:fill="FFFFFF"/>
            <w:noWrap w:val="0"/>
            <w:vAlign w:val="center"/>
          </w:tcPr>
          <w:p w14:paraId="14B74F71">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昭平公路养护中心</w:t>
            </w:r>
          </w:p>
        </w:tc>
      </w:tr>
      <w:tr w14:paraId="5B55D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3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3746D6">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G241451121L0210</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E1B2D9">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富裕中桥</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E10A6F">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3020.046</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7B3B5A">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G241</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44BC04">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小桥</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3DFA0D">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2</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8AF804">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1E1818">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49BABE">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150BF0">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B18AAF">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双柱式墩</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001F45">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桩基础</w:t>
            </w:r>
          </w:p>
        </w:tc>
        <w:tc>
          <w:tcPr>
            <w:tcW w:w="519" w:type="pct"/>
            <w:tcBorders>
              <w:top w:val="single" w:color="000000" w:sz="4" w:space="0"/>
              <w:left w:val="single" w:color="000000" w:sz="4" w:space="0"/>
              <w:bottom w:val="single" w:color="000000" w:sz="4" w:space="0"/>
              <w:right w:val="single" w:color="000000" w:sz="4" w:space="0"/>
            </w:tcBorders>
            <w:shd w:val="clear" w:color="800000" w:fill="FFFFFF"/>
            <w:noWrap w:val="0"/>
            <w:vAlign w:val="center"/>
          </w:tcPr>
          <w:p w14:paraId="135C1E79">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昭平公路养护中心</w:t>
            </w:r>
          </w:p>
        </w:tc>
      </w:tr>
      <w:tr w14:paraId="13B12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3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04338B">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G355451121L0060</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820DAA">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平寨桥</w:t>
            </w:r>
          </w:p>
        </w:tc>
        <w:tc>
          <w:tcPr>
            <w:tcW w:w="380" w:type="pct"/>
            <w:tcBorders>
              <w:top w:val="single" w:color="000000" w:sz="4" w:space="0"/>
              <w:left w:val="single" w:color="000000" w:sz="4" w:space="0"/>
              <w:bottom w:val="single" w:color="000000" w:sz="4" w:space="0"/>
              <w:right w:val="single" w:color="000000" w:sz="4" w:space="0"/>
            </w:tcBorders>
            <w:shd w:val="clear" w:color="800000" w:fill="FFFFFF"/>
            <w:noWrap w:val="0"/>
            <w:vAlign w:val="center"/>
          </w:tcPr>
          <w:p w14:paraId="195BA4D2">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1483.822</w:t>
            </w:r>
          </w:p>
        </w:tc>
        <w:tc>
          <w:tcPr>
            <w:tcW w:w="310" w:type="pct"/>
            <w:tcBorders>
              <w:top w:val="single" w:color="000000" w:sz="4" w:space="0"/>
              <w:left w:val="single" w:color="000000" w:sz="4" w:space="0"/>
              <w:bottom w:val="single" w:color="000000" w:sz="4" w:space="0"/>
              <w:right w:val="single" w:color="000000" w:sz="4" w:space="0"/>
            </w:tcBorders>
            <w:shd w:val="clear" w:color="800000" w:fill="FFFFFF"/>
            <w:noWrap w:val="0"/>
            <w:vAlign w:val="center"/>
          </w:tcPr>
          <w:p w14:paraId="1557395B">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G355</w:t>
            </w:r>
          </w:p>
        </w:tc>
        <w:tc>
          <w:tcPr>
            <w:tcW w:w="288" w:type="pct"/>
            <w:tcBorders>
              <w:top w:val="single" w:color="000000" w:sz="4" w:space="0"/>
              <w:left w:val="single" w:color="000000" w:sz="4" w:space="0"/>
              <w:bottom w:val="single" w:color="000000" w:sz="4" w:space="0"/>
              <w:right w:val="single" w:color="000000" w:sz="4" w:space="0"/>
            </w:tcBorders>
            <w:shd w:val="clear" w:color="800000" w:fill="FFFFFF"/>
            <w:noWrap w:val="0"/>
            <w:vAlign w:val="center"/>
          </w:tcPr>
          <w:p w14:paraId="5D629045">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中桥</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A33E41">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2</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65740B">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9DBD28">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重力式桥台</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BB7E78">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扩大基础</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AC43D4">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23C134">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AE6CDF">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w:t>
            </w:r>
          </w:p>
        </w:tc>
        <w:tc>
          <w:tcPr>
            <w:tcW w:w="519" w:type="pct"/>
            <w:tcBorders>
              <w:top w:val="single" w:color="000000" w:sz="4" w:space="0"/>
              <w:left w:val="single" w:color="000000" w:sz="4" w:space="0"/>
              <w:bottom w:val="single" w:color="000000" w:sz="4" w:space="0"/>
              <w:right w:val="single" w:color="000000" w:sz="4" w:space="0"/>
            </w:tcBorders>
            <w:shd w:val="clear" w:color="800000" w:fill="FFFFFF"/>
            <w:noWrap w:val="0"/>
            <w:vAlign w:val="center"/>
          </w:tcPr>
          <w:p w14:paraId="54754DC1">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昭平公路养护中心</w:t>
            </w:r>
          </w:p>
        </w:tc>
      </w:tr>
      <w:tr w14:paraId="2CD95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3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A43F92">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G355451121L0070</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BF8E32">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新庆桥</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B68B9E">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1486.759</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57819D">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G355</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4FDCDC">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小桥</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7490D3">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5</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7A2A45">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E47517">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重力式桥台</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A63034">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扩大基础</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3128BA">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3</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F2574E">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双柱式墩</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3BF9E2">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扩大基础</w:t>
            </w:r>
          </w:p>
        </w:tc>
        <w:tc>
          <w:tcPr>
            <w:tcW w:w="519" w:type="pct"/>
            <w:tcBorders>
              <w:top w:val="single" w:color="000000" w:sz="4" w:space="0"/>
              <w:left w:val="single" w:color="000000" w:sz="4" w:space="0"/>
              <w:bottom w:val="single" w:color="000000" w:sz="4" w:space="0"/>
              <w:right w:val="single" w:color="000000" w:sz="4" w:space="0"/>
            </w:tcBorders>
            <w:shd w:val="clear" w:color="800000" w:fill="FFFFFF"/>
            <w:noWrap w:val="0"/>
            <w:vAlign w:val="center"/>
          </w:tcPr>
          <w:p w14:paraId="1A89D4AE">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昭平公路养护中心</w:t>
            </w:r>
          </w:p>
        </w:tc>
      </w:tr>
      <w:tr w14:paraId="63BCD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3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473DAA">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G355451121L0090</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036286">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金矿桥</w:t>
            </w:r>
          </w:p>
        </w:tc>
        <w:tc>
          <w:tcPr>
            <w:tcW w:w="380" w:type="pct"/>
            <w:tcBorders>
              <w:top w:val="single" w:color="000000" w:sz="4" w:space="0"/>
              <w:left w:val="single" w:color="000000" w:sz="4" w:space="0"/>
              <w:bottom w:val="single" w:color="000000" w:sz="4" w:space="0"/>
              <w:right w:val="single" w:color="000000" w:sz="4" w:space="0"/>
            </w:tcBorders>
            <w:shd w:val="clear" w:color="800000" w:fill="FFFFFF"/>
            <w:noWrap w:val="0"/>
            <w:vAlign w:val="center"/>
          </w:tcPr>
          <w:p w14:paraId="0C73D9AF">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1487.752</w:t>
            </w:r>
          </w:p>
        </w:tc>
        <w:tc>
          <w:tcPr>
            <w:tcW w:w="310" w:type="pct"/>
            <w:tcBorders>
              <w:top w:val="single" w:color="000000" w:sz="4" w:space="0"/>
              <w:left w:val="single" w:color="000000" w:sz="4" w:space="0"/>
              <w:bottom w:val="single" w:color="000000" w:sz="4" w:space="0"/>
              <w:right w:val="single" w:color="000000" w:sz="4" w:space="0"/>
            </w:tcBorders>
            <w:shd w:val="clear" w:color="800000" w:fill="FFFFFF"/>
            <w:noWrap w:val="0"/>
            <w:vAlign w:val="center"/>
          </w:tcPr>
          <w:p w14:paraId="510E8862">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G355</w:t>
            </w:r>
          </w:p>
        </w:tc>
        <w:tc>
          <w:tcPr>
            <w:tcW w:w="288" w:type="pct"/>
            <w:tcBorders>
              <w:top w:val="single" w:color="000000" w:sz="4" w:space="0"/>
              <w:left w:val="single" w:color="000000" w:sz="4" w:space="0"/>
              <w:bottom w:val="single" w:color="000000" w:sz="4" w:space="0"/>
              <w:right w:val="single" w:color="000000" w:sz="4" w:space="0"/>
            </w:tcBorders>
            <w:shd w:val="clear" w:color="800000" w:fill="FFFFFF"/>
            <w:noWrap w:val="0"/>
            <w:vAlign w:val="center"/>
          </w:tcPr>
          <w:p w14:paraId="37F10FA1">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小桥</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4A45FF">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4</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AE162D">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5D282F">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重力式桥台</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BEAB8E">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扩大基础</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2CB537">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2B84F8">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重力式墩</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2DB566">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扩大基础</w:t>
            </w:r>
          </w:p>
        </w:tc>
        <w:tc>
          <w:tcPr>
            <w:tcW w:w="519" w:type="pct"/>
            <w:tcBorders>
              <w:top w:val="single" w:color="000000" w:sz="4" w:space="0"/>
              <w:left w:val="single" w:color="000000" w:sz="4" w:space="0"/>
              <w:bottom w:val="single" w:color="000000" w:sz="4" w:space="0"/>
              <w:right w:val="single" w:color="000000" w:sz="4" w:space="0"/>
            </w:tcBorders>
            <w:shd w:val="clear" w:color="800000" w:fill="FFFFFF"/>
            <w:noWrap w:val="0"/>
            <w:vAlign w:val="center"/>
          </w:tcPr>
          <w:p w14:paraId="2CDACAE8">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昭平公路养护中心</w:t>
            </w:r>
          </w:p>
        </w:tc>
      </w:tr>
      <w:tr w14:paraId="1E9AB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3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272869">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G355451121L0110</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C349F5">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古袍桥</w:t>
            </w:r>
          </w:p>
        </w:tc>
        <w:tc>
          <w:tcPr>
            <w:tcW w:w="380" w:type="pct"/>
            <w:tcBorders>
              <w:top w:val="single" w:color="000000" w:sz="4" w:space="0"/>
              <w:left w:val="single" w:color="000000" w:sz="4" w:space="0"/>
              <w:bottom w:val="single" w:color="000000" w:sz="4" w:space="0"/>
              <w:right w:val="single" w:color="000000" w:sz="4" w:space="0"/>
            </w:tcBorders>
            <w:shd w:val="clear" w:color="800000" w:fill="FFFFFF"/>
            <w:noWrap w:val="0"/>
            <w:vAlign w:val="center"/>
          </w:tcPr>
          <w:p w14:paraId="56A6143D">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1490.403</w:t>
            </w:r>
          </w:p>
        </w:tc>
        <w:tc>
          <w:tcPr>
            <w:tcW w:w="310" w:type="pct"/>
            <w:tcBorders>
              <w:top w:val="single" w:color="000000" w:sz="4" w:space="0"/>
              <w:left w:val="single" w:color="000000" w:sz="4" w:space="0"/>
              <w:bottom w:val="single" w:color="000000" w:sz="4" w:space="0"/>
              <w:right w:val="single" w:color="000000" w:sz="4" w:space="0"/>
            </w:tcBorders>
            <w:shd w:val="clear" w:color="800000" w:fill="FFFFFF"/>
            <w:noWrap w:val="0"/>
            <w:vAlign w:val="center"/>
          </w:tcPr>
          <w:p w14:paraId="75716E0C">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G355</w:t>
            </w:r>
          </w:p>
        </w:tc>
        <w:tc>
          <w:tcPr>
            <w:tcW w:w="288" w:type="pct"/>
            <w:tcBorders>
              <w:top w:val="single" w:color="000000" w:sz="4" w:space="0"/>
              <w:left w:val="single" w:color="000000" w:sz="4" w:space="0"/>
              <w:bottom w:val="single" w:color="000000" w:sz="4" w:space="0"/>
              <w:right w:val="single" w:color="000000" w:sz="4" w:space="0"/>
            </w:tcBorders>
            <w:shd w:val="clear" w:color="800000" w:fill="FFFFFF"/>
            <w:noWrap w:val="0"/>
            <w:vAlign w:val="center"/>
          </w:tcPr>
          <w:p w14:paraId="01F051D6">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中桥</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FDEAB2">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6</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27E2E3">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20AFCD">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重力式桥台</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C4ADCB">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扩大基础</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851B90">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4</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D7C2CC">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双柱式墩</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54BD2E">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扩大基础</w:t>
            </w:r>
          </w:p>
        </w:tc>
        <w:tc>
          <w:tcPr>
            <w:tcW w:w="519" w:type="pct"/>
            <w:tcBorders>
              <w:top w:val="single" w:color="000000" w:sz="4" w:space="0"/>
              <w:left w:val="single" w:color="000000" w:sz="4" w:space="0"/>
              <w:bottom w:val="single" w:color="000000" w:sz="4" w:space="0"/>
              <w:right w:val="single" w:color="000000" w:sz="4" w:space="0"/>
            </w:tcBorders>
            <w:shd w:val="clear" w:color="800000" w:fill="FFFFFF"/>
            <w:noWrap w:val="0"/>
            <w:vAlign w:val="center"/>
          </w:tcPr>
          <w:p w14:paraId="2A6D7380">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昭平公路养护中心</w:t>
            </w:r>
          </w:p>
        </w:tc>
      </w:tr>
      <w:tr w14:paraId="25747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3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0A7642">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G355451121L0200</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06B58D">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富裕桥</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B05816">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1523.096</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B1A0F3">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G355</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A4CFEA">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中桥</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2E2C23">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3</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7388AE">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2B08ED">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重力式桥台</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C99CF7">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扩大基础</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0780C1">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1A507B">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重力式墩</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C70EF2">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扩大基础</w:t>
            </w:r>
          </w:p>
        </w:tc>
        <w:tc>
          <w:tcPr>
            <w:tcW w:w="519" w:type="pct"/>
            <w:tcBorders>
              <w:top w:val="single" w:color="000000" w:sz="4" w:space="0"/>
              <w:left w:val="single" w:color="000000" w:sz="4" w:space="0"/>
              <w:bottom w:val="single" w:color="000000" w:sz="4" w:space="0"/>
              <w:right w:val="single" w:color="000000" w:sz="4" w:space="0"/>
            </w:tcBorders>
            <w:shd w:val="clear" w:color="800000" w:fill="FFFFFF"/>
            <w:noWrap w:val="0"/>
            <w:vAlign w:val="center"/>
          </w:tcPr>
          <w:p w14:paraId="30A6F2CA">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昭平公路养护中心</w:t>
            </w:r>
          </w:p>
        </w:tc>
      </w:tr>
      <w:tr w14:paraId="2730D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3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4E8175">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S201451121L0240</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1D3166">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勒竹桥</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B87302">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171.966</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313846">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S201</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4EE418">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小桥</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38613B">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2</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9E322C">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D26C1B">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重力式桥台</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6830C8">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扩大基础</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85686C">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4A0676">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5F19DF">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w:t>
            </w:r>
          </w:p>
        </w:tc>
        <w:tc>
          <w:tcPr>
            <w:tcW w:w="519" w:type="pct"/>
            <w:tcBorders>
              <w:top w:val="single" w:color="000000" w:sz="4" w:space="0"/>
              <w:left w:val="single" w:color="000000" w:sz="4" w:space="0"/>
              <w:bottom w:val="single" w:color="000000" w:sz="4" w:space="0"/>
              <w:right w:val="single" w:color="000000" w:sz="4" w:space="0"/>
            </w:tcBorders>
            <w:shd w:val="clear" w:color="800000" w:fill="FFFFFF"/>
            <w:noWrap w:val="0"/>
            <w:vAlign w:val="center"/>
          </w:tcPr>
          <w:p w14:paraId="43168A9A">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昭平公路养护中心</w:t>
            </w:r>
          </w:p>
        </w:tc>
      </w:tr>
      <w:tr w14:paraId="7D255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63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883B5D">
            <w:pPr>
              <w:spacing w:line="240" w:lineRule="auto"/>
              <w:jc w:val="center"/>
              <w:rPr>
                <w:rFonts w:hint="default" w:ascii="Times New Roman" w:hAnsi="Times New Roman" w:eastAsia="宋体" w:cs="Times New Roman"/>
                <w:i w:val="0"/>
                <w:iCs w:val="0"/>
                <w:color w:val="auto"/>
                <w:sz w:val="21"/>
                <w:szCs w:val="21"/>
                <w:highlight w:val="none"/>
                <w:u w:val="none"/>
              </w:rPr>
            </w:pP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324F4F">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总计</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1DADAD">
            <w:pPr>
              <w:spacing w:line="240" w:lineRule="auto"/>
              <w:jc w:val="center"/>
              <w:rPr>
                <w:rFonts w:hint="default" w:ascii="Times New Roman" w:hAnsi="Times New Roman" w:eastAsia="宋体" w:cs="Times New Roman"/>
                <w:i w:val="0"/>
                <w:iCs w:val="0"/>
                <w:color w:val="auto"/>
                <w:sz w:val="21"/>
                <w:szCs w:val="21"/>
                <w:highlight w:val="none"/>
                <w:u w:val="none"/>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27203E">
            <w:pPr>
              <w:spacing w:line="240" w:lineRule="auto"/>
              <w:jc w:val="center"/>
              <w:rPr>
                <w:rFonts w:hint="default" w:ascii="Times New Roman" w:hAnsi="Times New Roman" w:eastAsia="宋体" w:cs="Times New Roman"/>
                <w:i w:val="0"/>
                <w:iCs w:val="0"/>
                <w:color w:val="auto"/>
                <w:sz w:val="21"/>
                <w:szCs w:val="21"/>
                <w:highlight w:val="none"/>
                <w:u w:val="none"/>
              </w:rPr>
            </w:pP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AE35CC">
            <w:pPr>
              <w:spacing w:line="240" w:lineRule="auto"/>
              <w:jc w:val="center"/>
              <w:rPr>
                <w:rFonts w:hint="default" w:ascii="Times New Roman" w:hAnsi="Times New Roman" w:eastAsia="宋体" w:cs="Times New Roman"/>
                <w:i w:val="0"/>
                <w:iCs w:val="0"/>
                <w:color w:val="auto"/>
                <w:sz w:val="21"/>
                <w:szCs w:val="21"/>
                <w:highlight w:val="none"/>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ED1F9C">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61</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9A79A8">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20</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E38CE9">
            <w:pPr>
              <w:spacing w:line="240" w:lineRule="auto"/>
              <w:jc w:val="center"/>
              <w:rPr>
                <w:rFonts w:hint="default" w:ascii="Times New Roman" w:hAnsi="Times New Roman" w:eastAsia="宋体" w:cs="Times New Roman"/>
                <w:i w:val="0"/>
                <w:iCs w:val="0"/>
                <w:color w:val="auto"/>
                <w:sz w:val="21"/>
                <w:szCs w:val="21"/>
                <w:highlight w:val="none"/>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C148F3">
            <w:pPr>
              <w:spacing w:line="240" w:lineRule="auto"/>
              <w:jc w:val="center"/>
              <w:rPr>
                <w:rFonts w:hint="default" w:ascii="Times New Roman" w:hAnsi="Times New Roman" w:eastAsia="宋体" w:cs="Times New Roman"/>
                <w:i w:val="0"/>
                <w:iCs w:val="0"/>
                <w:color w:val="auto"/>
                <w:sz w:val="21"/>
                <w:szCs w:val="21"/>
                <w:highlight w:val="none"/>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A0066A">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41</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AF2D4F">
            <w:pPr>
              <w:spacing w:line="240" w:lineRule="auto"/>
              <w:jc w:val="center"/>
              <w:rPr>
                <w:rFonts w:hint="default" w:ascii="Times New Roman" w:hAnsi="Times New Roman" w:eastAsia="宋体" w:cs="Times New Roman"/>
                <w:i w:val="0"/>
                <w:iCs w:val="0"/>
                <w:color w:val="auto"/>
                <w:sz w:val="21"/>
                <w:szCs w:val="21"/>
                <w:highlight w:val="none"/>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A69953">
            <w:pPr>
              <w:spacing w:line="240" w:lineRule="auto"/>
              <w:jc w:val="center"/>
              <w:rPr>
                <w:rFonts w:hint="default" w:ascii="Times New Roman" w:hAnsi="Times New Roman" w:eastAsia="宋体" w:cs="Times New Roman"/>
                <w:i w:val="0"/>
                <w:iCs w:val="0"/>
                <w:color w:val="auto"/>
                <w:sz w:val="21"/>
                <w:szCs w:val="21"/>
                <w:highlight w:val="none"/>
                <w:u w:val="none"/>
              </w:rPr>
            </w:pPr>
          </w:p>
        </w:tc>
        <w:tc>
          <w:tcPr>
            <w:tcW w:w="519" w:type="pct"/>
            <w:tcBorders>
              <w:top w:val="single" w:color="000000" w:sz="4" w:space="0"/>
              <w:left w:val="single" w:color="000000" w:sz="4" w:space="0"/>
              <w:bottom w:val="single" w:color="000000" w:sz="4" w:space="0"/>
              <w:right w:val="single" w:color="000000" w:sz="4" w:space="0"/>
            </w:tcBorders>
            <w:shd w:val="clear" w:color="800000" w:fill="FFFFFF"/>
            <w:noWrap w:val="0"/>
            <w:vAlign w:val="center"/>
          </w:tcPr>
          <w:p w14:paraId="32F84A7A">
            <w:pPr>
              <w:spacing w:line="240" w:lineRule="auto"/>
              <w:jc w:val="center"/>
              <w:rPr>
                <w:rFonts w:hint="default" w:ascii="Times New Roman" w:hAnsi="Times New Roman" w:eastAsia="宋体" w:cs="Times New Roman"/>
                <w:i w:val="0"/>
                <w:iCs w:val="0"/>
                <w:color w:val="auto"/>
                <w:sz w:val="21"/>
                <w:szCs w:val="21"/>
                <w:highlight w:val="none"/>
                <w:u w:val="none"/>
              </w:rPr>
            </w:pPr>
          </w:p>
        </w:tc>
      </w:tr>
    </w:tbl>
    <w:p w14:paraId="56E7BDD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i w:val="0"/>
          <w:iCs w:val="0"/>
          <w:color w:val="auto"/>
          <w:kern w:val="0"/>
          <w:sz w:val="24"/>
          <w:szCs w:val="24"/>
          <w:highlight w:val="none"/>
          <w:u w:val="none"/>
          <w:lang w:val="en-US" w:eastAsia="zh-CN" w:bidi="ar"/>
        </w:rPr>
        <w:sectPr>
          <w:pgSz w:w="16838" w:h="11905" w:orient="landscape"/>
          <w:pgMar w:top="964" w:right="1247" w:bottom="907" w:left="1247" w:header="851" w:footer="992" w:gutter="0"/>
          <w:pgBorders w:offsetFrom="page">
            <w:top w:val="none" w:sz="0" w:space="0"/>
            <w:left w:val="none" w:sz="0" w:space="0"/>
            <w:bottom w:val="none" w:sz="0" w:space="0"/>
            <w:right w:val="none" w:sz="0" w:space="0"/>
          </w:pgBorders>
          <w:pgNumType w:start="1"/>
          <w:cols w:space="720" w:num="1"/>
          <w:titlePg/>
          <w:rtlGutter w:val="0"/>
          <w:docGrid w:type="lines" w:linePitch="321" w:charSpace="0"/>
        </w:sectPr>
      </w:pPr>
    </w:p>
    <w:p w14:paraId="15EFB52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3"/>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附表4  设置涉水桥梁防洪标识，编制涉水桥梁防洪标识设置报告一览表</w:t>
      </w:r>
    </w:p>
    <w:tbl>
      <w:tblPr>
        <w:tblStyle w:val="47"/>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79"/>
        <w:gridCol w:w="2505"/>
        <w:gridCol w:w="2073"/>
        <w:gridCol w:w="1825"/>
        <w:gridCol w:w="2567"/>
      </w:tblGrid>
      <w:tr w14:paraId="39D83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blHeader/>
        </w:trPr>
        <w:tc>
          <w:tcPr>
            <w:tcW w:w="446" w:type="pct"/>
            <w:tcBorders>
              <w:top w:val="single" w:color="000000" w:sz="4" w:space="0"/>
              <w:left w:val="single" w:color="000000" w:sz="4" w:space="0"/>
              <w:bottom w:val="single" w:color="000000" w:sz="4" w:space="0"/>
              <w:right w:val="single" w:color="000000" w:sz="4" w:space="0"/>
            </w:tcBorders>
            <w:noWrap w:val="0"/>
            <w:vAlign w:val="center"/>
          </w:tcPr>
          <w:p w14:paraId="490AA83A">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序号</w:t>
            </w:r>
          </w:p>
        </w:tc>
        <w:tc>
          <w:tcPr>
            <w:tcW w:w="1271" w:type="pct"/>
            <w:tcBorders>
              <w:top w:val="single" w:color="000000" w:sz="4" w:space="0"/>
              <w:left w:val="single" w:color="000000" w:sz="4" w:space="0"/>
              <w:bottom w:val="single" w:color="000000" w:sz="4" w:space="0"/>
              <w:right w:val="single" w:color="000000" w:sz="4" w:space="0"/>
            </w:tcBorders>
            <w:noWrap w:val="0"/>
            <w:vAlign w:val="center"/>
          </w:tcPr>
          <w:p w14:paraId="5702D003">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桥梁名称</w:t>
            </w:r>
          </w:p>
        </w:tc>
        <w:tc>
          <w:tcPr>
            <w:tcW w:w="1052" w:type="pct"/>
            <w:tcBorders>
              <w:top w:val="single" w:color="000000" w:sz="4" w:space="0"/>
              <w:left w:val="single" w:color="000000" w:sz="4" w:space="0"/>
              <w:bottom w:val="single" w:color="000000" w:sz="4" w:space="0"/>
              <w:right w:val="single" w:color="000000" w:sz="4" w:space="0"/>
            </w:tcBorders>
            <w:noWrap w:val="0"/>
            <w:vAlign w:val="center"/>
          </w:tcPr>
          <w:p w14:paraId="332353F6">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路线编号</w:t>
            </w:r>
          </w:p>
        </w:tc>
        <w:tc>
          <w:tcPr>
            <w:tcW w:w="926" w:type="pct"/>
            <w:tcBorders>
              <w:top w:val="single" w:color="000000" w:sz="4" w:space="0"/>
              <w:left w:val="single" w:color="000000" w:sz="4" w:space="0"/>
              <w:bottom w:val="single" w:color="000000" w:sz="4" w:space="0"/>
              <w:right w:val="single" w:color="000000" w:sz="4" w:space="0"/>
            </w:tcBorders>
            <w:noWrap w:val="0"/>
            <w:vAlign w:val="center"/>
          </w:tcPr>
          <w:p w14:paraId="6860047E">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桥梁桩号</w:t>
            </w:r>
          </w:p>
        </w:tc>
        <w:tc>
          <w:tcPr>
            <w:tcW w:w="1302" w:type="pct"/>
            <w:tcBorders>
              <w:top w:val="single" w:color="000000" w:sz="4" w:space="0"/>
              <w:left w:val="single" w:color="000000" w:sz="4" w:space="0"/>
              <w:bottom w:val="single" w:color="000000" w:sz="4" w:space="0"/>
              <w:right w:val="single" w:color="000000" w:sz="4" w:space="0"/>
            </w:tcBorders>
            <w:noWrap w:val="0"/>
            <w:vAlign w:val="center"/>
          </w:tcPr>
          <w:p w14:paraId="3C89193D">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管养单位</w:t>
            </w:r>
          </w:p>
        </w:tc>
      </w:tr>
      <w:tr w14:paraId="2ECB5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4C6702D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1B68EB1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新地桥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5DFDA4F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G207</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36BD2B6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3746.42</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6EE48E8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苍梧公路养护中心</w:t>
            </w:r>
          </w:p>
        </w:tc>
      </w:tr>
      <w:tr w14:paraId="09BDF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368DA99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763AC15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太平桥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44E4ECF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G207</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3BA908B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3751.079</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050D8A2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苍梧公路养护中心</w:t>
            </w:r>
          </w:p>
        </w:tc>
      </w:tr>
      <w:tr w14:paraId="38AFB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16AD323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3FCCC4E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新铺小桥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352CDAC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G207</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143A23C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3752.517</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12122D3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苍梧公路养护中心</w:t>
            </w:r>
          </w:p>
        </w:tc>
      </w:tr>
      <w:tr w14:paraId="595B8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037AB48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75FA6A9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回龙桥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33EAAE7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G207</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07D5181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3758.013</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6FB6499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苍梧公路养护中心</w:t>
            </w:r>
          </w:p>
        </w:tc>
      </w:tr>
      <w:tr w14:paraId="39880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44FB221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506015A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下小河大桥-下行</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76F8FFF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G207</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2AB4ADB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3724.43</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745CCBA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苍梧公路养护中心</w:t>
            </w:r>
          </w:p>
        </w:tc>
      </w:tr>
      <w:tr w14:paraId="2BF95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4190A4A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07F76CE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下小河大桥-上行</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4F306D1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G207</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421FD96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3724.43</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64C6536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苍梧公路养护中心</w:t>
            </w:r>
          </w:p>
        </w:tc>
      </w:tr>
      <w:tr w14:paraId="51BED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4FB3E3E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6EEEA0B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新地桥(拼宽右幅)</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43AD877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G207</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1140D14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3746.421</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1254209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苍梧公路养护中心</w:t>
            </w:r>
          </w:p>
        </w:tc>
      </w:tr>
      <w:tr w14:paraId="03B98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0EC63C3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562A668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新铺小桥(拼宽右幅)</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05268B7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G207</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0F51BAC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3752.52</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3B57958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苍梧公路养护中心</w:t>
            </w:r>
          </w:p>
        </w:tc>
      </w:tr>
      <w:tr w14:paraId="3E503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5B5622E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6E7380A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尚义桥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1F3C61A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G207</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78145DB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3633.926</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6ED9A65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苍梧公路养护中心</w:t>
            </w:r>
          </w:p>
        </w:tc>
      </w:tr>
      <w:tr w14:paraId="2737F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442FC7E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7A151F4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金桥一桥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7F17716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G207</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7774DFA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3635.846</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5ADE18D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苍梧公路养护中心</w:t>
            </w:r>
          </w:p>
        </w:tc>
      </w:tr>
      <w:tr w14:paraId="06107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69953CD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1A01ACB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东安桥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5F44CA1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G207</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1E3DA70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3642.31</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364F613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苍梧公路养护中心</w:t>
            </w:r>
          </w:p>
        </w:tc>
      </w:tr>
      <w:tr w14:paraId="4C3E1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2D7E633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1106C98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石塘桥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795A79B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G207</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0D2C01B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3644.138</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0235004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苍梧公路养护中心</w:t>
            </w:r>
          </w:p>
        </w:tc>
      </w:tr>
      <w:tr w14:paraId="3F248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0D459DF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4FF8E60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牛骨桥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4A59318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G207</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7779EC0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3645.679</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0AC898A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苍梧公路养护中心</w:t>
            </w:r>
          </w:p>
        </w:tc>
      </w:tr>
      <w:tr w14:paraId="30C7C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0A78148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0F897F6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石桥桥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00854C4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G207</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2FF5BB7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3653.924</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4E29DBB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苍梧公路养护中心</w:t>
            </w:r>
          </w:p>
        </w:tc>
      </w:tr>
      <w:tr w14:paraId="39547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7458D9D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70C8FA9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金斧桥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0127F05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G207</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6D4856F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3667.728</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22D8378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苍梧公路养护中心</w:t>
            </w:r>
          </w:p>
        </w:tc>
      </w:tr>
      <w:tr w14:paraId="2B40F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3705394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17DF5CC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基头桥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5033F98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G207</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73B4736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3676.124</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6615F7D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苍梧公路养护中心</w:t>
            </w:r>
          </w:p>
        </w:tc>
      </w:tr>
      <w:tr w14:paraId="6760F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5E4BBFD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2824D84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清境桥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4FEB7A7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G207</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00E3A55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3679.109</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0B09288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苍梧公路养护中心</w:t>
            </w:r>
          </w:p>
        </w:tc>
      </w:tr>
      <w:tr w14:paraId="388D1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11CD403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0A8724B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老义2号桥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46F86E6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G207</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3E78F11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3680.734</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796B9FD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苍梧公路养护中心</w:t>
            </w:r>
          </w:p>
        </w:tc>
      </w:tr>
      <w:tr w14:paraId="7A38F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712CFB0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06D72A9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老义1号桥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0E836D5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G207</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5C0A879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3682.341</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1B18DC3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苍梧公路养护中心</w:t>
            </w:r>
          </w:p>
        </w:tc>
      </w:tr>
      <w:tr w14:paraId="74C65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6A432F1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2889920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古邓2号桥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4B4539C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G207</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2282F60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3686.536</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41736C4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苍梧公路养护中心</w:t>
            </w:r>
          </w:p>
        </w:tc>
      </w:tr>
      <w:tr w14:paraId="14B16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3DD183E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5AE5794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古邓1号桥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24A8A9B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G207</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2E06616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3687.03</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4EE1D8D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苍梧公路养护中心</w:t>
            </w:r>
          </w:p>
        </w:tc>
      </w:tr>
      <w:tr w14:paraId="6E31B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7A3BC57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3CE3429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米口桥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717E34D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G207</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5D5EF96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3689.95</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6122A62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苍梧公路养护中心</w:t>
            </w:r>
          </w:p>
        </w:tc>
      </w:tr>
      <w:tr w14:paraId="5F568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5F07459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69BB1CC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四新桥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622E48E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G207</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56B7F0F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3694.532</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5703CD1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苍梧公路养护中心</w:t>
            </w:r>
          </w:p>
        </w:tc>
      </w:tr>
      <w:tr w14:paraId="5CD0A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16D7B1F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24</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55CDF11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合水桥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7D14310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G207</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232D193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3696.945</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241D8BD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苍梧公路养护中心</w:t>
            </w:r>
          </w:p>
        </w:tc>
      </w:tr>
      <w:tr w14:paraId="4DEDE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1DC9A9D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25</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635F711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大新桥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0F502C5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G207</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32A5FBD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3699.875</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052D3CF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苍梧公路养护中心</w:t>
            </w:r>
          </w:p>
        </w:tc>
      </w:tr>
      <w:tr w14:paraId="067C9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4A5D94E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26</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4973063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梨埠桥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3914359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G207</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366A834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3663.458</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39AAF80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苍梧公路养护中心</w:t>
            </w:r>
          </w:p>
        </w:tc>
      </w:tr>
      <w:tr w14:paraId="234D5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03C2887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27</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6BC45D7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金桥一桥(拼宽右幅)</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4344BD2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G207</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6DAED73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3635.85</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4191E38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苍梧公路养护中心</w:t>
            </w:r>
          </w:p>
        </w:tc>
      </w:tr>
      <w:tr w14:paraId="0610F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3C984D7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28</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7B5E28F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东安桥(拼宽右幅)</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4D1DB47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G207</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3FBB39F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3642.31</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1E4ABE5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苍梧公路养护中心</w:t>
            </w:r>
          </w:p>
        </w:tc>
      </w:tr>
      <w:tr w14:paraId="34A99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3365271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29</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6FD06C2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石桥桥(拼宽右幅)</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474C346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G207</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0D8065B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3653.92</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609B9AA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苍梧公路养护中心</w:t>
            </w:r>
          </w:p>
        </w:tc>
      </w:tr>
      <w:tr w14:paraId="42A6A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29D8C10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4B9946C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清境桥(拼宽右幅)</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3D52A8F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G207</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42342A3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3679.11</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671779B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苍梧公路养护中心</w:t>
            </w:r>
          </w:p>
        </w:tc>
      </w:tr>
      <w:tr w14:paraId="1DA00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5777424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0C4BD34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老义1号桥(拼宽右幅)</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4EA869F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G207</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58D067A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3682.34</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70C0EE2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苍梧公路养护中心</w:t>
            </w:r>
          </w:p>
        </w:tc>
      </w:tr>
      <w:tr w14:paraId="60184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732BD6B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32</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417CF66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米口桥(拼宽右幅)</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4BEDEFF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G207</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33E22E1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3689.95</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0D0B1CB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苍梧公路养护中心</w:t>
            </w:r>
          </w:p>
        </w:tc>
      </w:tr>
      <w:tr w14:paraId="751DA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354D7DF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33</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05F7D09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四新桥(拼宽右幅)</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438AF2D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G207</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68958F2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3694.53</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4A61AFC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苍梧公路养护中心</w:t>
            </w:r>
          </w:p>
        </w:tc>
      </w:tr>
      <w:tr w14:paraId="084CF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4A00B50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34</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68B76D6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狗儿桥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5B1B551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G207</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1454A10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3765.545</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73647A3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岑溪公路养护中心</w:t>
            </w:r>
          </w:p>
        </w:tc>
      </w:tr>
      <w:tr w14:paraId="3D0B1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74662F9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35</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4CC4B4E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古平桥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4909366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G207</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610A75A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3773.822</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540060D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岑溪公路养护中心</w:t>
            </w:r>
          </w:p>
        </w:tc>
      </w:tr>
      <w:tr w14:paraId="5BF74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4CB1DDF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36</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7F21897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白鹤桥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7C8598C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G207</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7822F7C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3777.53</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18C738C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岑溪公路养护中心</w:t>
            </w:r>
          </w:p>
        </w:tc>
      </w:tr>
      <w:tr w14:paraId="18A7A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73ABB83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37</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0D538AE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望良桥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68B28F0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G207</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7976A28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3779.101</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5A3A38A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岑溪公路养护中心</w:t>
            </w:r>
          </w:p>
        </w:tc>
      </w:tr>
      <w:tr w14:paraId="723ED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04984A5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38</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2E92FBA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沙河桥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2C3FD6E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G207</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5F7C816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3779.402</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2E96EC8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岑溪公路养护中心</w:t>
            </w:r>
          </w:p>
        </w:tc>
      </w:tr>
      <w:tr w14:paraId="71A5A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31D694D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39</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54835DC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新塘桥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36CA439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G207</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61DFC16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3781.75</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3409D96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岑溪公路养护中心</w:t>
            </w:r>
          </w:p>
        </w:tc>
      </w:tr>
      <w:tr w14:paraId="772FC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17D3218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40</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1292BEF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法冲桥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0381670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G207</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4A80754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3783.846</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04E3374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岑溪公路养护中心</w:t>
            </w:r>
          </w:p>
        </w:tc>
      </w:tr>
      <w:tr w14:paraId="369FA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50A5877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41</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491CED3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更口桥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4C763D1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G207</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5AF7338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3803.04</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0BCC843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岑溪公路养护中心</w:t>
            </w:r>
          </w:p>
        </w:tc>
      </w:tr>
      <w:tr w14:paraId="09A09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032DB29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42</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723F96B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马路桥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0933619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G207</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23C8861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3803.86</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2030940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岑溪公路养护中心</w:t>
            </w:r>
          </w:p>
        </w:tc>
      </w:tr>
      <w:tr w14:paraId="023CF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34C446C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43</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656EDF2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过水小桥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286EB3B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G207</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3B34B1B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3821.696</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3D6C003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岑溪公路养护中心</w:t>
            </w:r>
          </w:p>
        </w:tc>
      </w:tr>
      <w:tr w14:paraId="54666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089D0F7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44</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075C762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义修桥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62A9D6B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G207</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2608413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3833.225</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3BC06D4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岑溪公路养护中心</w:t>
            </w:r>
          </w:p>
        </w:tc>
      </w:tr>
      <w:tr w14:paraId="1A239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289BD7F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45</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4EA6332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木龙垌桥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503E42D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G207</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5B612BC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3840.208</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3E55CBE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岑溪公路养护中心</w:t>
            </w:r>
          </w:p>
        </w:tc>
      </w:tr>
      <w:tr w14:paraId="5681A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662BF07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46</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28704A9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定子一桥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665FD6E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G207</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0BB50D0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3840.595</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0D3DC27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岑溪公路养护中心</w:t>
            </w:r>
          </w:p>
        </w:tc>
      </w:tr>
      <w:tr w14:paraId="2ADDE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032132C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47</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305CCF5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定子二桥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1B36F49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G207</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2ED4FDD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3841.252</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10AF39C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岑溪公路养护中心</w:t>
            </w:r>
          </w:p>
        </w:tc>
      </w:tr>
      <w:tr w14:paraId="5615F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28183EB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48</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2A6E8F4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雷庙小桥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740FB3F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G207</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147753C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3842.23</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43E2CB0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岑溪公路养护中心</w:t>
            </w:r>
          </w:p>
        </w:tc>
      </w:tr>
      <w:tr w14:paraId="09CED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02F090A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49</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2F70A78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南六二桥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62F17AB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G207</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0C0570C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3850.174</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5390811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岑溪公路养护中心</w:t>
            </w:r>
          </w:p>
        </w:tc>
      </w:tr>
      <w:tr w14:paraId="07AF3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4072D29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6EA5429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水汶大桥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51D7A1F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G207</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131D9F9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3853.943</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5390A03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岑溪公路养护中心</w:t>
            </w:r>
          </w:p>
        </w:tc>
      </w:tr>
      <w:tr w14:paraId="2FBEB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322A4AA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51</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2163CC3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南六一桥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4F011FB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G207</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06A0343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3849.733</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75642F7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岑溪公路养护中心</w:t>
            </w:r>
          </w:p>
        </w:tc>
      </w:tr>
      <w:tr w14:paraId="5F89E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22BF100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52</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4A9DC0D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成美桥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2388994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G207</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51FD8F2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3768.527</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474AB03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岑溪公路养护中心</w:t>
            </w:r>
          </w:p>
        </w:tc>
      </w:tr>
      <w:tr w14:paraId="50F15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7D9B8E2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53</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3420199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狗儿桥(拼宽右幅)</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5BFF0D0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G207</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38C33B9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3765.55</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1B4CAD3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岑溪公路养护中心</w:t>
            </w:r>
          </w:p>
        </w:tc>
      </w:tr>
      <w:tr w14:paraId="5D24E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1E75364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54</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1973B7E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古平桥(拼宽右幅)</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2F91E3D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G207</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3522FB1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3773.82</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77E15DE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岑溪公路养护中心</w:t>
            </w:r>
          </w:p>
        </w:tc>
      </w:tr>
      <w:tr w14:paraId="7AAE7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315097A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55</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2D83C25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白鹤桥(拼宽右幅)</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71796D8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G207</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07FEBB7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3777.53</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2BCC9B5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岑溪公路养护中心</w:t>
            </w:r>
          </w:p>
        </w:tc>
      </w:tr>
      <w:tr w14:paraId="6253D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66CBEC4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56</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47E7805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沙河桥(拼宽右幅)</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7F27FDD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G207</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745CBF2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3779.4</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423976C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岑溪公路养护中心</w:t>
            </w:r>
          </w:p>
        </w:tc>
      </w:tr>
      <w:tr w14:paraId="039ED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5E5BDC7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57</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3C44334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法冲桥(拼宽右幅)</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0BA6A99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G207</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6F5DDE1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3783.85</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1CA50DF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岑溪公路养护中心</w:t>
            </w:r>
          </w:p>
        </w:tc>
      </w:tr>
      <w:tr w14:paraId="05DE0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3B24C44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58</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09312A4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信都新联小桥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2B2BC76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G207</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6BB13B7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3618.369</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0DF97EA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八步公路养护中心</w:t>
            </w:r>
          </w:p>
        </w:tc>
      </w:tr>
      <w:tr w14:paraId="130B8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4857CA3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59</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376C05B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信都车站小桥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103A87A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G207</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4F6AD41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3618.091</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09F067B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八步公路养护中心</w:t>
            </w:r>
          </w:p>
        </w:tc>
      </w:tr>
      <w:tr w14:paraId="1498E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65711B3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60</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40EA88A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东鹿小桥-下行</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189C455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G207</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7D910CF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3568.017</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3D06083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八步公路养护中心</w:t>
            </w:r>
          </w:p>
        </w:tc>
      </w:tr>
      <w:tr w14:paraId="473DA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1CF4BAE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61</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4DF542D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贺街小桥-下行</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2BFDDDC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G207</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036E8D3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3568.801</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14F716F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八步公路养护中心</w:t>
            </w:r>
          </w:p>
        </w:tc>
      </w:tr>
      <w:tr w14:paraId="0ABDA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5CA24B6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62</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05FEB96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三步梯桥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60DDA17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G207</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5AA483B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3577.816</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6DA502B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八步公路养护中心</w:t>
            </w:r>
          </w:p>
        </w:tc>
      </w:tr>
      <w:tr w14:paraId="5C8F8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566CFAF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63</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1A7F981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石井小桥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56EA528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G207</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68BD2AE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3581.761</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13DD476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八步公路养护中心</w:t>
            </w:r>
          </w:p>
        </w:tc>
      </w:tr>
      <w:tr w14:paraId="210C2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73C770D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64</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6EB3125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梅花中桥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520418F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G207</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1232874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3592.054</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25B0F87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八步公路养护中心</w:t>
            </w:r>
          </w:p>
        </w:tc>
      </w:tr>
      <w:tr w14:paraId="61D57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2D75656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65</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307A6C1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燕坪桥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1597CD1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G207</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62E36E9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3594.723</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4D0D5B7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八步公路养护中心</w:t>
            </w:r>
          </w:p>
        </w:tc>
      </w:tr>
      <w:tr w14:paraId="2FF74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7FE048D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66</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74784E3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东叶桥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5330056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G207</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428A8D2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3604.807</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47E933D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八步公路养护中心</w:t>
            </w:r>
          </w:p>
        </w:tc>
      </w:tr>
      <w:tr w14:paraId="72282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52EE2F9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67</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650ED2A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林洞二桥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4713DC2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G207</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1587C3A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3625.972</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3CD8AAB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八步公路养护中心</w:t>
            </w:r>
          </w:p>
        </w:tc>
      </w:tr>
      <w:tr w14:paraId="51476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4628BEC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68</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72C5A81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林洞一桥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68C6BF9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G207</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6EC5508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3625.74</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3925F0C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八步公路养护中心</w:t>
            </w:r>
          </w:p>
        </w:tc>
      </w:tr>
      <w:tr w14:paraId="01DB2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1763D2C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69</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3D4967A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绿兰桥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1BF033B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G207</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56AFC63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3627.328</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4C77B5D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八步公路养护中心</w:t>
            </w:r>
          </w:p>
        </w:tc>
      </w:tr>
      <w:tr w14:paraId="4BD1C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35DE766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70</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577295A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官扶桥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20203BD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G207</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28CDD53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3628.613</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33BEDE9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八步公路养护中心</w:t>
            </w:r>
          </w:p>
        </w:tc>
      </w:tr>
      <w:tr w14:paraId="3FDB8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4FF929A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71</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7B4F9B6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仁义小桥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4B73A9F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G207</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5AAD091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3631.517</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1AB1313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八步公路养护中心</w:t>
            </w:r>
          </w:p>
        </w:tc>
      </w:tr>
      <w:tr w14:paraId="59026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119B339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72</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461FBFA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东鹿小桥-上行</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2C8FA1E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G207</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7BAD15A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3568.02</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75CB3E7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八步公路养护中心</w:t>
            </w:r>
          </w:p>
        </w:tc>
      </w:tr>
      <w:tr w14:paraId="19EDB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1C39E66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73</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13124E9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贺街小桥-上行</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1DCD0B0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G207</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2487EE5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3568.8</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1E6EBED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八步公路养护中心</w:t>
            </w:r>
          </w:p>
        </w:tc>
      </w:tr>
      <w:tr w14:paraId="4AFB5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7FCD181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74</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3F9C4DD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望高三桥-下行</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25A6D5C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G207</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365CED9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3531.276</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09A6009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钟山公路养护中心</w:t>
            </w:r>
          </w:p>
        </w:tc>
      </w:tr>
      <w:tr w14:paraId="18C5B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333FDAD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75</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5A75773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望高四桥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638D752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G207</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3FE7663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3533.15</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31AFCF6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钟山公路养护中心</w:t>
            </w:r>
          </w:p>
        </w:tc>
      </w:tr>
      <w:tr w14:paraId="553F0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2A7DCDC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76</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1B4EC2E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五拱水桥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4EBD342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G207</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6F32FA1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3543.973</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33CC6F6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钟山公路养护中心</w:t>
            </w:r>
          </w:p>
        </w:tc>
      </w:tr>
      <w:tr w14:paraId="5DC50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4B6BDBE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77</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4FC51A3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望高三桥-上行</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6901960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G207</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5271D88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3531.276</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310472B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钟山公路养护中心</w:t>
            </w:r>
          </w:p>
        </w:tc>
      </w:tr>
      <w:tr w14:paraId="6A4BA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561D2BD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78</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6F94166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黄板二桥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6ABFB80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G207</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2B883F5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3519.392</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33BD29E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富川公路养护中心</w:t>
            </w:r>
          </w:p>
        </w:tc>
      </w:tr>
      <w:tr w14:paraId="44A17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0105BC4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79</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62CD834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朱仔桥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7C59BBB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G207</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45E4ACB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3521.947</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5A3BCFE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富川公路养护中心</w:t>
            </w:r>
          </w:p>
        </w:tc>
      </w:tr>
      <w:tr w14:paraId="1F92D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5D92535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80</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214327B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白沙中桥-下行</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1DF1B23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G207</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3FBC450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3524.128</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38FE431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富川公路养护中心</w:t>
            </w:r>
          </w:p>
        </w:tc>
      </w:tr>
      <w:tr w14:paraId="110E4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721A310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81</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1F14C59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黄板一桥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23507C0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G207</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6B950DF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3519.727</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2775A82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富川公路养护中心</w:t>
            </w:r>
          </w:p>
        </w:tc>
      </w:tr>
      <w:tr w14:paraId="45452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737BE9D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82</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0BBA2CD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白沙中桥-上行</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24D0085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G207</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4A13188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3524.128</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53AD87B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富川公路养护中心</w:t>
            </w:r>
          </w:p>
        </w:tc>
      </w:tr>
      <w:tr w14:paraId="18AFF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1F882BA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83</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2DCF491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下垌桥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3E5BFF6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G241</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4228EAE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3079.925</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2FA5F27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藤县公路养护中心</w:t>
            </w:r>
          </w:p>
        </w:tc>
      </w:tr>
      <w:tr w14:paraId="46816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6144527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84</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4A0E7E6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塘村桥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2CB7A9B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G241</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35ECB56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3083.227</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1E6A09E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藤县公路养护中心</w:t>
            </w:r>
          </w:p>
        </w:tc>
      </w:tr>
      <w:tr w14:paraId="1BE67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2011D0D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85</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7DAD550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下六桥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660E592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G241</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6F51F88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3084.354</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33C8573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藤县公路养护中心</w:t>
            </w:r>
          </w:p>
        </w:tc>
      </w:tr>
      <w:tr w14:paraId="5C14A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35767EA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86</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43F170A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上峡桥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6005B90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G241</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3A7758F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3084.866</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088B0A2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藤县公路养护中心</w:t>
            </w:r>
          </w:p>
        </w:tc>
      </w:tr>
      <w:tr w14:paraId="61348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6EBC2F5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87</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4ED0515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三角桥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644C76F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G241</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25A62F0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3085.44</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0A60FD5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藤县公路养护中心</w:t>
            </w:r>
          </w:p>
        </w:tc>
      </w:tr>
      <w:tr w14:paraId="2CCDE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2B5C2ED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88</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220FF8F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均常桥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25C05EE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G241</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2446F91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3090.852</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068558E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藤县公路养护中心</w:t>
            </w:r>
          </w:p>
        </w:tc>
      </w:tr>
      <w:tr w14:paraId="7181A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2A331CD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89</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40C71D6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大带桥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0EB3AB8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G241</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22FC32F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3095.604</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6CF6FBF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藤县公路养护中心</w:t>
            </w:r>
          </w:p>
        </w:tc>
      </w:tr>
      <w:tr w14:paraId="7987A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61CDF96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90</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1F019F6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勒竹新桥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5B9F60E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G241</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008C892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3108.67</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35A3719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藤县公路养护中心</w:t>
            </w:r>
          </w:p>
        </w:tc>
      </w:tr>
      <w:tr w14:paraId="7FCCB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7120B49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91</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030C9CF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社龙桥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33EFACE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G241</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3F2BB9C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3116.745</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41C022B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藤县公路养护中心</w:t>
            </w:r>
          </w:p>
        </w:tc>
      </w:tr>
      <w:tr w14:paraId="46B0A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1A081BE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92</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011BC6B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石桥大桥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62492A1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G241</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71F842D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3124.533</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765F596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藤县公路养护中心</w:t>
            </w:r>
          </w:p>
        </w:tc>
      </w:tr>
      <w:tr w14:paraId="6B5D1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2E14A26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93</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6E32146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荔枝桥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27862A1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G241</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12FD8B3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3126.085</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63177CE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藤县公路养护中心</w:t>
            </w:r>
          </w:p>
        </w:tc>
      </w:tr>
      <w:tr w14:paraId="398DC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69A3666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94</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0095100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黄村中桥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0081477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G241</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7529809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3047.984</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340B3C0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蒙山公路养护中心</w:t>
            </w:r>
          </w:p>
        </w:tc>
      </w:tr>
      <w:tr w14:paraId="67422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282B85E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95</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2096237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黄村大桥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17C4748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G241</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602136E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3048.209</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7317FE7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蒙山公路养护中心</w:t>
            </w:r>
          </w:p>
        </w:tc>
      </w:tr>
      <w:tr w14:paraId="0CB77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5EB9515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96</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530FD2E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良洞桥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06DF782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G241</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2C98CDF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3048.716</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321B4DE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蒙山公路养护中心</w:t>
            </w:r>
          </w:p>
        </w:tc>
      </w:tr>
      <w:tr w14:paraId="1B280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7C47951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97</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38A3B22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六黎桥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2B1879C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G241</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3563295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3052.015</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7603301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蒙山公路养护中心</w:t>
            </w:r>
          </w:p>
        </w:tc>
      </w:tr>
      <w:tr w14:paraId="31998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0006509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98</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7EE7D3F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洞社桥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61B67D1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G241</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733CF59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3055.375</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7E7C578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蒙山公路养护中心</w:t>
            </w:r>
          </w:p>
        </w:tc>
      </w:tr>
      <w:tr w14:paraId="09FBB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0703CDA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99</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5E7D6B3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三门大桥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470C5AE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G241</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6321A41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3057.382</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6ACA444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蒙山公路养护中心</w:t>
            </w:r>
          </w:p>
        </w:tc>
      </w:tr>
      <w:tr w14:paraId="7D187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6D681B3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77909F7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东营桥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0C6D592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G241</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4BCC7CB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3070.999</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5814FE7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蒙山公路养护中心</w:t>
            </w:r>
          </w:p>
        </w:tc>
      </w:tr>
      <w:tr w14:paraId="77178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325F1A0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101</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6B014B3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西坪冲口桥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2CB3183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G241</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27EADB4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2974.087</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440F1BC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昭平公路养护中心</w:t>
            </w:r>
          </w:p>
        </w:tc>
      </w:tr>
      <w:tr w14:paraId="3C5D9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64173EB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102</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7194A0A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西坪桥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5B1569D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G241</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2C6D56E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2974.283</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3010902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昭平公路养护中心</w:t>
            </w:r>
          </w:p>
        </w:tc>
      </w:tr>
      <w:tr w14:paraId="69CD0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7FC56C7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103</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57F245B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宝冲中桥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06C0365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G241</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68EF990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2977.505</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25B2CAD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昭平公路养护中心</w:t>
            </w:r>
          </w:p>
        </w:tc>
      </w:tr>
      <w:tr w14:paraId="519BB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2A1CF09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104</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5E4EDD7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裕路大桥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09290AA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G241</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4D74275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2979.264</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167A0CF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昭平公路养护中心</w:t>
            </w:r>
          </w:p>
        </w:tc>
      </w:tr>
      <w:tr w14:paraId="66C46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73CCCE6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105</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6AC2467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贝冲小桥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5165F91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G241</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6A20228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2981.783</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6E2C9C7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昭平公路养护中心</w:t>
            </w:r>
          </w:p>
        </w:tc>
      </w:tr>
      <w:tr w14:paraId="01CC8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6011556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106</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5AF3D67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芦笛冲小桥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4D42E1F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G241</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34107EE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2984.291</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7E0CC0B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昭平公路养护中心</w:t>
            </w:r>
          </w:p>
        </w:tc>
      </w:tr>
      <w:tr w14:paraId="74C68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48E03BE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107</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6C40916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走马一号中桥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3E6871E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G241</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090456B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2984.948</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0C7D231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昭平公路养护中心</w:t>
            </w:r>
          </w:p>
        </w:tc>
      </w:tr>
      <w:tr w14:paraId="458C6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6C39893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108</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4F88553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走马二号中桥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5634671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G241</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1DBBC0F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2985.534</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0A07353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昭平公路养护中心</w:t>
            </w:r>
          </w:p>
        </w:tc>
      </w:tr>
      <w:tr w14:paraId="7794E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7BE887C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109</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2DAA2AE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庙伢小桥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12BFCE1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G241</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6AC9543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2992.35</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747A0D2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昭平公路养护中心</w:t>
            </w:r>
          </w:p>
        </w:tc>
      </w:tr>
      <w:tr w14:paraId="666A4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56675B0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110</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716EA1E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龙弯桥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7CB027A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G241</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16EC769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2994.171</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520F2AB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昭平公路养护中心</w:t>
            </w:r>
          </w:p>
        </w:tc>
      </w:tr>
      <w:tr w14:paraId="55889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35BF139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111</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7C3A7A8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相逢冲中桥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4BCF889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G241</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3D02F9B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2997.426</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243B1BD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昭平公路养护中心</w:t>
            </w:r>
          </w:p>
        </w:tc>
      </w:tr>
      <w:tr w14:paraId="7159D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6C11ACB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112</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090559D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福行中桥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57AC9FA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G241</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45B4BE0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3000.115</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5B4980E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昭平公路养护中心</w:t>
            </w:r>
          </w:p>
        </w:tc>
      </w:tr>
      <w:tr w14:paraId="62045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1F3FC28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113</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35AF60F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苏龙冲小桥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01B9D76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G241</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4EECE4F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3001.246</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2B3C147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昭平公路养护中心</w:t>
            </w:r>
          </w:p>
        </w:tc>
      </w:tr>
      <w:tr w14:paraId="0639D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43382A8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114</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79CF3D5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白鸠小桥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02E4ECD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G241</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3B7B896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3002.059</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788C30E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昭平公路养护中心</w:t>
            </w:r>
          </w:p>
        </w:tc>
      </w:tr>
      <w:tr w14:paraId="4C758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2376E9D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115</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17EB289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三门滩大桥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261D37F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G241</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21F8A1E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3004.792</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30D0FC9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昭平公路养护中心</w:t>
            </w:r>
          </w:p>
        </w:tc>
      </w:tr>
      <w:tr w14:paraId="2CDF4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2AC8110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116</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73308EC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上岸一桥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371F0D4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G241</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78443C8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3009.026</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4D429CB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昭平公路养护中心</w:t>
            </w:r>
          </w:p>
        </w:tc>
      </w:tr>
      <w:tr w14:paraId="69059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3C1D82D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117</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059E985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鸭背中桥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1588120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G241</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545757D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3010.648</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2B075E7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昭平公路养护中心</w:t>
            </w:r>
          </w:p>
        </w:tc>
      </w:tr>
      <w:tr w14:paraId="36A0F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0957BA8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118</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7B2F9A6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马滩大桥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1D83227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G241</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5AEB704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3012.708</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0490612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昭平公路养护中心</w:t>
            </w:r>
          </w:p>
        </w:tc>
      </w:tr>
      <w:tr w14:paraId="26E6E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63FA61E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119</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169D2DF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富裕中桥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5236783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G241</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003D2EF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3020.046</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7360BEA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昭平公路养护中心</w:t>
            </w:r>
          </w:p>
        </w:tc>
      </w:tr>
      <w:tr w14:paraId="4A5BF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617BA00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120</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637D801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塘山中桥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6477043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G241</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4458231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3027.484</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6D31B51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昭平公路养护中心</w:t>
            </w:r>
          </w:p>
        </w:tc>
      </w:tr>
      <w:tr w14:paraId="55FEF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7C497B3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121</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7AA219B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排碗中桥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59A47ED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G241</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5D5D9D0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3029.697</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25903F9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昭平公路养护中心</w:t>
            </w:r>
          </w:p>
        </w:tc>
      </w:tr>
      <w:tr w14:paraId="0CA8F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1C36DFC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122</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4D5BC23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白黄四桥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7FE9729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G241</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2E1F6C7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2957.786</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5ADC02A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钟山公路养护中心</w:t>
            </w:r>
          </w:p>
        </w:tc>
      </w:tr>
      <w:tr w14:paraId="049C6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0B4893C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123</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4B1BB99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白黄五桥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20602A6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G241</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31FB009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2960.66</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4AB9F13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钟山公路养护中心</w:t>
            </w:r>
          </w:p>
        </w:tc>
      </w:tr>
      <w:tr w14:paraId="30165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2EAC65A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124</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3D81BAC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大爽桥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003FA16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G241</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45468B2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2964.599</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685E9C8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钟山公路养护中心</w:t>
            </w:r>
          </w:p>
        </w:tc>
      </w:tr>
      <w:tr w14:paraId="47DA7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13B7574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125</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70DD5C7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上小河中桥-下行</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731182C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G321</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43043F5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279.492</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4DD9D25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苍梧公路养护中心</w:t>
            </w:r>
          </w:p>
        </w:tc>
      </w:tr>
      <w:tr w14:paraId="0E90A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1BE211F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126</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279037D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上小河中桥-上行</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194F0E7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G321</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558E6C1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279.463</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362FDED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苍梧公路养护中心</w:t>
            </w:r>
          </w:p>
        </w:tc>
      </w:tr>
      <w:tr w14:paraId="28039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735C9B7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127</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5AF63CD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大地桥-下行</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0A765FA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G321</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2004F1E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289.434</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5D4B6D2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藤县公路养护中心</w:t>
            </w:r>
          </w:p>
        </w:tc>
      </w:tr>
      <w:tr w14:paraId="52166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77C047E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128</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2FAFF38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塘步桥-下行</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204ED66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G321</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4705D51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294.38</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0C79FA1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藤县公路养护中心</w:t>
            </w:r>
          </w:p>
        </w:tc>
      </w:tr>
      <w:tr w14:paraId="252DE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3360B1D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129</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4442FB5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西江大桥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1C87075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G321</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7F929F4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310.931</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4FA9A53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藤县公路养护中心</w:t>
            </w:r>
          </w:p>
        </w:tc>
      </w:tr>
      <w:tr w14:paraId="150F7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4BCA767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130</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20BA900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上冲河中桥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1A38300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G321</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22AC429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322.594</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65D91CA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藤县公路养护中心</w:t>
            </w:r>
          </w:p>
        </w:tc>
      </w:tr>
      <w:tr w14:paraId="7A21A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377941E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131</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757BB18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上垌头中桥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3BEBCFE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G321</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0F23C9B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328.39</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220347D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藤县公路养护中心</w:t>
            </w:r>
          </w:p>
        </w:tc>
      </w:tr>
      <w:tr w14:paraId="78C0D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4757575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132</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3BAD5F2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合水河中桥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0201EED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G321</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3C49155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330.99</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6DC8445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藤县公路养护中心</w:t>
            </w:r>
          </w:p>
        </w:tc>
      </w:tr>
      <w:tr w14:paraId="38D67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7375849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133</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138E5FA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盘龙桥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26D2F4E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G321</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7391F10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340.472</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0241546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藤县公路养护中心</w:t>
            </w:r>
          </w:p>
        </w:tc>
      </w:tr>
      <w:tr w14:paraId="3218C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536DA42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134</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092BA2A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平山中桥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4C1916F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G321</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346E07D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344.791</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15CEF02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藤县公路养护中心</w:t>
            </w:r>
          </w:p>
        </w:tc>
      </w:tr>
      <w:tr w14:paraId="2996B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28FC3E2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135</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47F8E3C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六堤小桥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68BC0F2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G321</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0A710E2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346.64</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6695860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藤县公路养护中心</w:t>
            </w:r>
          </w:p>
        </w:tc>
      </w:tr>
      <w:tr w14:paraId="5BE7F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51241FC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136</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1877D9D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双桥小桥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5521C27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G321</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75ED359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346.837</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50238AC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藤县公路养护中心</w:t>
            </w:r>
          </w:p>
        </w:tc>
      </w:tr>
      <w:tr w14:paraId="0152B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192AA3A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137</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4F2B451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大地桥-上行</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2C54442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G321</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45DDC4F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289.434</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2FCE3DC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藤县公路养护中心</w:t>
            </w:r>
          </w:p>
        </w:tc>
      </w:tr>
      <w:tr w14:paraId="1D60B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3172363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138</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439B0EA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塘步桥-上行</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4EB5F51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G321</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3D692E2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294.38</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5D970E8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藤县公路养护中心</w:t>
            </w:r>
          </w:p>
        </w:tc>
      </w:tr>
      <w:tr w14:paraId="24C24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1F48D33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139</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6EB9C17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古湄桥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17C1984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G321</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13DF980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425.765</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2724BFA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蒙山公路养护中心</w:t>
            </w:r>
          </w:p>
        </w:tc>
      </w:tr>
      <w:tr w14:paraId="62030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15577BE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140</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5FA5322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龙蟠桥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5AFAF1D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G321</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78DC8A2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431.728</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25F8D06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蒙山公路养护中心</w:t>
            </w:r>
          </w:p>
        </w:tc>
      </w:tr>
      <w:tr w14:paraId="2C362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2632B60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141</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40791A6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石龙冲小桥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6C01F10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G321</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0E326D1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443.517</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4C7337A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蒙山公路养护中心</w:t>
            </w:r>
          </w:p>
        </w:tc>
      </w:tr>
      <w:tr w14:paraId="03E01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09E542C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142</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2FD4348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古排大桥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3D02122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G321</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4B4B81E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445.286</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5752443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蒙山公路养护中心</w:t>
            </w:r>
          </w:p>
        </w:tc>
      </w:tr>
      <w:tr w14:paraId="741CF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7F347E4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143</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2A153EE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旱桥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55ACE57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G321</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6288747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446.086</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140394E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蒙山公路养护中心</w:t>
            </w:r>
          </w:p>
        </w:tc>
      </w:tr>
      <w:tr w14:paraId="00E0F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5835E05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144</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105EC5B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木茅小桥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01E4C87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G321</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447869F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453.039</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1CB311C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蒙山公路养护中心</w:t>
            </w:r>
          </w:p>
        </w:tc>
      </w:tr>
      <w:tr w14:paraId="17311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58C8035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145</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01A6F04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古凿小桥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773AAFC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G321</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1F3430A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457.365</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4E4E197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蒙山公路养护中心</w:t>
            </w:r>
          </w:p>
        </w:tc>
      </w:tr>
      <w:tr w14:paraId="1D224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6679C28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146</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555DD94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壮村一桥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2AF68A6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G321</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6098AE9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453.612</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77CDED6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蒙山公路养护中心</w:t>
            </w:r>
          </w:p>
        </w:tc>
      </w:tr>
      <w:tr w14:paraId="77F42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597D3CA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147</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5817E9A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龙蟠桥(拼宽右幅)</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747508F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G321</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67E5515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431.728</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2DA6D3A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蒙山公路养护中心</w:t>
            </w:r>
          </w:p>
        </w:tc>
      </w:tr>
      <w:tr w14:paraId="74258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2A6CD08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148</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2478E1C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古排大桥(拼宽右幅)</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4B1FD31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G321</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20B60A5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445.286</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1BAED9D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蒙山公路养护中心</w:t>
            </w:r>
          </w:p>
        </w:tc>
      </w:tr>
      <w:tr w14:paraId="486E1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6204F40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149</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2BA9805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旱桥(拼宽右幅)</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2F22C72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G321</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3F4A5BF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446.086</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4A39B2D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蒙山公路养护中心</w:t>
            </w:r>
          </w:p>
        </w:tc>
      </w:tr>
      <w:tr w14:paraId="45090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3599B7D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150</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63CF0A0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芦冲口大桥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333D6D1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G323</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7DB3C7D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622.988</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7873B12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八步公路养护中心</w:t>
            </w:r>
          </w:p>
        </w:tc>
      </w:tr>
      <w:tr w14:paraId="58A72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7ADD650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151</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2FE8510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芦冲口中桥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538D376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G323</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2C59AA4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623.255</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256B021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八步公路养护中心</w:t>
            </w:r>
          </w:p>
        </w:tc>
      </w:tr>
      <w:tr w14:paraId="0B864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3278D53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152</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7C3ECBA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吐水河中桥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3B6EAC4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G323</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754106A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633.431</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48E25DC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八步公路养护中心</w:t>
            </w:r>
          </w:p>
        </w:tc>
      </w:tr>
      <w:tr w14:paraId="6938D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775297D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153</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3DF1423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赖村大宁河大桥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370860A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G323</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6313FA4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636.429</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46A09D0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八步公路养护中心</w:t>
            </w:r>
          </w:p>
        </w:tc>
      </w:tr>
      <w:tr w14:paraId="58E1B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0026FB8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154</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0FD6E3C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螺石口中桥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65A0193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G323</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23C3769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648.867</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3613DE1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八步公路养护中心</w:t>
            </w:r>
          </w:p>
        </w:tc>
      </w:tr>
      <w:tr w14:paraId="54899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6F9CAB3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155</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3B1A698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三岐小桥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69C29C8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G323</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3DC9550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653.623</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4AC2F30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八步公路养护中心</w:t>
            </w:r>
          </w:p>
        </w:tc>
      </w:tr>
      <w:tr w14:paraId="7B700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73B6D6D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156</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5484F6E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大芮中桥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225DFDC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G323</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3E8E175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655.299</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794CA9F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八步公路养护中心</w:t>
            </w:r>
          </w:p>
        </w:tc>
      </w:tr>
      <w:tr w14:paraId="3D3DC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1006D78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157</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4BB3BFB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黄洞大桥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2D5FA01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G323</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38CA4FB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664.699</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301CD44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八步公路养护中心</w:t>
            </w:r>
          </w:p>
        </w:tc>
      </w:tr>
      <w:tr w14:paraId="1433C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5072086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158</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070CE47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草寺中桥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161D727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G323</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460C4B2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626.566</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41059E3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八步公路养护中心</w:t>
            </w:r>
          </w:p>
        </w:tc>
      </w:tr>
      <w:tr w14:paraId="0802E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518F81C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159</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6E669A5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坪滩桥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3816E54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G323</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0CBC49C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698.971</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1DA6195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钟山公路养护中心</w:t>
            </w:r>
          </w:p>
        </w:tc>
      </w:tr>
      <w:tr w14:paraId="5D35D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638CDF0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160</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45BCBE2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勾冲桥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1258C27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G323</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0EA02E7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702.643</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0E7743C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钟山公路养护中心</w:t>
            </w:r>
          </w:p>
        </w:tc>
      </w:tr>
      <w:tr w14:paraId="31821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134AF08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161</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67CA62B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水利三桥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3146B50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G323</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13FD955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735.18</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38DDC1F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钟山公路养护中心</w:t>
            </w:r>
          </w:p>
        </w:tc>
      </w:tr>
      <w:tr w14:paraId="15C08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2FA4F52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162</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4F3A8EB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水利四桥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41EAAF5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G323</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4C732AA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735.618</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6F07B9F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钟山公路养护中心</w:t>
            </w:r>
          </w:p>
        </w:tc>
      </w:tr>
      <w:tr w14:paraId="21B8C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130CD82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163</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36850DD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十二车桥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1CDB4B0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G323</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5CCFD8D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740.735</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05AB62A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钟山公路养护中心</w:t>
            </w:r>
          </w:p>
        </w:tc>
      </w:tr>
      <w:tr w14:paraId="6F041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7D07689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164</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4B09FC5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白沙井小桥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364A45C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G323</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5783CC9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744.442</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77FCDEE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钟山公路养护中心</w:t>
            </w:r>
          </w:p>
        </w:tc>
      </w:tr>
      <w:tr w14:paraId="6F4C1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1D19200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165</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225A291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白沙井桥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562DC3A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G323</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4DB4272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744.64</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3CA4C11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钟山公路养护中心</w:t>
            </w:r>
          </w:p>
        </w:tc>
      </w:tr>
      <w:tr w14:paraId="56B00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6F2AB6F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166</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318FABB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马头一桥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532EAE4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G323</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32800A5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720.327</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548AD92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钟山公路养护中心</w:t>
            </w:r>
          </w:p>
        </w:tc>
      </w:tr>
      <w:tr w14:paraId="4633C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40BFDB0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167</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7047DE1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筋竹一桥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79EFFBF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G324</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563174D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1301.937</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0E74B48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岑溪公路养护中心</w:t>
            </w:r>
          </w:p>
        </w:tc>
      </w:tr>
      <w:tr w14:paraId="1728B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556A2C5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168</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5831E1F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筋竹二桥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10A3853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G324</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09E0A9F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1302.082</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4DD4577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岑溪公路养护中心</w:t>
            </w:r>
          </w:p>
        </w:tc>
      </w:tr>
      <w:tr w14:paraId="73EE0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41CDF04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169</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1078035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筋竹三桥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5A87FA0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G324</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4A87824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1302.306</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2D4F9E6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岑溪公路养护中心</w:t>
            </w:r>
          </w:p>
        </w:tc>
      </w:tr>
      <w:tr w14:paraId="68C80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762A11A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170</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05AC81E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筋竹四桥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4B42AA8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G324</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7E54CD8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1302.435</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2056432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岑溪公路养护中心</w:t>
            </w:r>
          </w:p>
        </w:tc>
      </w:tr>
      <w:tr w14:paraId="15AFD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5AEB690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171</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356B853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筋竹五桥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381DF2B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G324</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2E7E706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1302.772</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10ABCBF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岑溪公路养护中心</w:t>
            </w:r>
          </w:p>
        </w:tc>
      </w:tr>
      <w:tr w14:paraId="08DD3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4EC0550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172</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105E4B7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筋竹六桥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7C55612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G324</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01A7585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1303.767</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44A5407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岑溪公路养护中心</w:t>
            </w:r>
          </w:p>
        </w:tc>
      </w:tr>
      <w:tr w14:paraId="5513F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766E63A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173</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33FEB00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筋竹七桥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4D67A5D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G324</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7AA6775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1303.89</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1E562F3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岑溪公路养护中心</w:t>
            </w:r>
          </w:p>
        </w:tc>
      </w:tr>
      <w:tr w14:paraId="03333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49A0BDC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174</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35CA135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榃保一桥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52445BF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G324</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2417550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1304.488</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2FD62C6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岑溪公路养护中心</w:t>
            </w:r>
          </w:p>
        </w:tc>
      </w:tr>
      <w:tr w14:paraId="49765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4CCA8C1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175</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6F4560A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榃保二桥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5A30653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G324</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75DC677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1304.603</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13078A3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岑溪公路养护中心</w:t>
            </w:r>
          </w:p>
        </w:tc>
      </w:tr>
      <w:tr w14:paraId="769A2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226C90D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176</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7B37CB4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望闾桥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074B7D9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G324</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249BC49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1309.665</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1D9C1B1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岑溪公路养护中心</w:t>
            </w:r>
          </w:p>
        </w:tc>
      </w:tr>
      <w:tr w14:paraId="3E6DE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19AC773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177</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23C2A04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大业二桥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589C795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G324</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7CCE2C7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1315.81</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457B5DC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岑溪公路养护中心</w:t>
            </w:r>
          </w:p>
        </w:tc>
      </w:tr>
      <w:tr w14:paraId="54B7E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258CD65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178</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512C72F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思塘桥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7A47F0A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G324</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6EF3E0D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1319.328</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4C5FC0D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岑溪公路养护中心</w:t>
            </w:r>
          </w:p>
        </w:tc>
      </w:tr>
      <w:tr w14:paraId="5F08A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2BB8130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179</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5C8C694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荔枝桥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3053733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G324</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0541CD9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1322.367</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00D78B7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岑溪公路养护中心</w:t>
            </w:r>
          </w:p>
        </w:tc>
      </w:tr>
      <w:tr w14:paraId="3B451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5307BD6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180</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0DFE4FA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金鸡桥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6A71289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G324</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60AEECE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1328.877</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7F9A462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岑溪公路养护中心</w:t>
            </w:r>
          </w:p>
        </w:tc>
      </w:tr>
      <w:tr w14:paraId="17577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30D0D9E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181</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406888E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北村三桥-下行</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6F92FC1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G324</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7CDB448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1348.462</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2510DD7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岑溪公路养护中心</w:t>
            </w:r>
          </w:p>
        </w:tc>
      </w:tr>
      <w:tr w14:paraId="0FA75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5CEBB83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182</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1C2D9F9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北村二桥-下行</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4880F40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G324</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29CD172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1348.904</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2EFF6B6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岑溪公路养护中心</w:t>
            </w:r>
          </w:p>
        </w:tc>
      </w:tr>
      <w:tr w14:paraId="5A89D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7BB6060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183</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4903515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北村一桥-下行</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36DB6BB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G324</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5C82855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1349.934</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78C137B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岑溪公路养护中心</w:t>
            </w:r>
          </w:p>
        </w:tc>
      </w:tr>
      <w:tr w14:paraId="3CE7C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374C367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184</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599D889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黄华河大桥-下行</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69AB197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G324</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3EBDF5F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1355.861</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0DBACF9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岑溪公路养护中心</w:t>
            </w:r>
          </w:p>
        </w:tc>
      </w:tr>
      <w:tr w14:paraId="4E770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49B340C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185</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2918183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河口中桥-下行</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53CF5BD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G324</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3229ABC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1356.271</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6D96F90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岑溪公路养护中心</w:t>
            </w:r>
          </w:p>
        </w:tc>
      </w:tr>
      <w:tr w14:paraId="3819A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6709017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186</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7745D61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都功中桥-下行</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3441515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G324</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3838EE0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1359.203</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6445B0B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岑溪公路养护中心</w:t>
            </w:r>
          </w:p>
        </w:tc>
      </w:tr>
      <w:tr w14:paraId="6AE67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0271752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187</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750261F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五星小桥-下行</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58C5864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G324</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230BE48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1363.591</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4290681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岑溪公路养护中心</w:t>
            </w:r>
          </w:p>
        </w:tc>
      </w:tr>
      <w:tr w14:paraId="219BA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62851DF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188</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125B924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永固小桥-下行</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5C14675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G324</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71F0A80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1363.987</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7753D70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岑溪公路养护中心</w:t>
            </w:r>
          </w:p>
        </w:tc>
      </w:tr>
      <w:tr w14:paraId="36751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5ABE35D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189</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223F03E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新桥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02B894E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G324</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5CCB834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1325.056</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303473D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岑溪公路养护中心</w:t>
            </w:r>
          </w:p>
        </w:tc>
      </w:tr>
      <w:tr w14:paraId="0BBA1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79C1DF2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190</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11887C9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思塘桥(拼宽右幅)</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406D815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G324</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45D0101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1319.33</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07DCDCC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岑溪公路养护中心</w:t>
            </w:r>
          </w:p>
        </w:tc>
      </w:tr>
      <w:tr w14:paraId="67C3B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30BF43D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191</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5023D92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金鸡桥(拼宽右幅)</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4C68EF5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G324</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043B39A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1328.88</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74B7C5D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岑溪公路养护中心</w:t>
            </w:r>
          </w:p>
        </w:tc>
      </w:tr>
      <w:tr w14:paraId="419A6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6678DC1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192</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2F32817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北村三桥-上行</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1566B53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G324</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49F7B82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1348.46</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1DED1D3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岑溪公路养护中心</w:t>
            </w:r>
          </w:p>
        </w:tc>
      </w:tr>
      <w:tr w14:paraId="15C0F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6EEFD3B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193</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18FCC80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北村二桥-上行</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4D7E5F3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G324</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051ED84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1348.9</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2E0E4F5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岑溪公路养护中心</w:t>
            </w:r>
          </w:p>
        </w:tc>
      </w:tr>
      <w:tr w14:paraId="710AA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379F1DD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194</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3D7F661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北村一桥-上行</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04DFABA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G324</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7D9F6CB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1349.93</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400CCC0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岑溪公路养护中心</w:t>
            </w:r>
          </w:p>
        </w:tc>
      </w:tr>
      <w:tr w14:paraId="18F04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313B847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195</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7733E16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黄华河大桥-上行</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487BC22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G324</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71E080C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1355.86</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4900861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岑溪公路养护中心</w:t>
            </w:r>
          </w:p>
        </w:tc>
      </w:tr>
      <w:tr w14:paraId="15E9C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128B888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196</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076D7EB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河口中桥-上行</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2EEDD9D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G324</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6915BEE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1356.27</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0F8E88D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岑溪公路养护中心</w:t>
            </w:r>
          </w:p>
        </w:tc>
      </w:tr>
      <w:tr w14:paraId="3D4A8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11A219E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197</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23AA51B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都功中桥-上行</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5812AB9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G324</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7D25128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1359.2</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261389C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岑溪公路养护中心</w:t>
            </w:r>
          </w:p>
        </w:tc>
      </w:tr>
      <w:tr w14:paraId="76CC4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53A3F59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198</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6FA867D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五星小桥-上行</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5C421B7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G324</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53725BA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1363.59</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63A88AE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岑溪公路养护中心</w:t>
            </w:r>
          </w:p>
        </w:tc>
      </w:tr>
      <w:tr w14:paraId="29AA1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34FD768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199</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047D218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永固小桥-上行</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3C884C0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G324</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4B4472D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1363.99</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1BABC8E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岑溪公路养护中心</w:t>
            </w:r>
          </w:p>
        </w:tc>
      </w:tr>
      <w:tr w14:paraId="5BF80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52899D1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200</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1016E89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连浪桥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3CF1434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G355</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127F5D7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1379.426</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63018A5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苍梧公路养护中心</w:t>
            </w:r>
          </w:p>
        </w:tc>
      </w:tr>
      <w:tr w14:paraId="7D024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67A01D1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63F5964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凤仪桥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52D1825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G355</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375F7F5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1380.577</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7391EDB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苍梧公路养护中心</w:t>
            </w:r>
          </w:p>
        </w:tc>
      </w:tr>
      <w:tr w14:paraId="0E45E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3D99D9B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6D5AAC1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六堡一号桥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480C590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G355</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0E60086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1389.65</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72E013F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苍梧公路养护中心</w:t>
            </w:r>
          </w:p>
        </w:tc>
      </w:tr>
      <w:tr w14:paraId="337B2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145DDDF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203</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7AE5E29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六堡二号桥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7138C8E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G355</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2ADE51D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1390.039</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22BD6FF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苍梧公路养护中心</w:t>
            </w:r>
          </w:p>
        </w:tc>
      </w:tr>
      <w:tr w14:paraId="533FA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7782CF4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204</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54EF052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大中村桥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768CEA5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G355</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7659D4F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1391.293</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3B29CFF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苍梧公路养护中心</w:t>
            </w:r>
          </w:p>
        </w:tc>
      </w:tr>
      <w:tr w14:paraId="0F226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7AB36B4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205</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2A8232A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六堡三号桥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4CD8BDF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G355</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51602D9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1394.062</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40590B6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苍梧公路养护中心</w:t>
            </w:r>
          </w:p>
        </w:tc>
      </w:tr>
      <w:tr w14:paraId="20668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7748F4E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206</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035A1F5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安乐一号桥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44EC1A8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G355</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08E696C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1413.943</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77FDB60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苍梧公路养护中心</w:t>
            </w:r>
          </w:p>
        </w:tc>
      </w:tr>
      <w:tr w14:paraId="7361C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0935E8E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207</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13E0434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安乐二号桥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148ED82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G355</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6A21144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1415.266</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1FC6CC3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苍梧公路养护中心</w:t>
            </w:r>
          </w:p>
        </w:tc>
      </w:tr>
      <w:tr w14:paraId="2EBE3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48EB7CA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208</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7E1C515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思丰桥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09B09EB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G355</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5498B05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1421.254</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5DD774C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苍梧公路养护中心</w:t>
            </w:r>
          </w:p>
        </w:tc>
      </w:tr>
      <w:tr w14:paraId="53E91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11F0716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209</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6DB0887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大立岐桥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429139C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G355</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54CFF70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1428.826</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76EF707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苍梧公路养护中心</w:t>
            </w:r>
          </w:p>
        </w:tc>
      </w:tr>
      <w:tr w14:paraId="286E7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749EDE8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210</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54BE57C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丹竹小桥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29950EB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G355</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6ECA617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1430.537</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7D4ABE1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苍梧公路养护中心</w:t>
            </w:r>
          </w:p>
        </w:tc>
      </w:tr>
      <w:tr w14:paraId="4E59D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3BD5364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211</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74D8C66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狮寨桥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30BE315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G355</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28F5873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1431.273</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05F672D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苍梧公路养护中心</w:t>
            </w:r>
          </w:p>
        </w:tc>
      </w:tr>
      <w:tr w14:paraId="18A98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08DC306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212</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6DF68A3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大垌桥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1125B61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G355</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6876314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1437.337</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145D1CA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苍梧公路养护中心</w:t>
            </w:r>
          </w:p>
        </w:tc>
      </w:tr>
      <w:tr w14:paraId="5C852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08A05C1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213</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3D63C4B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新圩桥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5BEFB81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G355</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097B26E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1585.064</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1EA11AC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蒙山公路养护中心</w:t>
            </w:r>
          </w:p>
        </w:tc>
      </w:tr>
      <w:tr w14:paraId="4E7A6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1E59139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214</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636658E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玉村中桥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0885663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G355</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4FCD94D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1586.728</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1DA8768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蒙山公路养护中心</w:t>
            </w:r>
          </w:p>
        </w:tc>
      </w:tr>
      <w:tr w14:paraId="67BA4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38110CA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215</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7027696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荷村中桥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7BA7175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G355</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7E26929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1588.145</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4D00208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蒙山公路养护中心</w:t>
            </w:r>
          </w:p>
        </w:tc>
      </w:tr>
      <w:tr w14:paraId="47031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5E1B76D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216</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3A2E547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新圩桥(拼宽右幅)</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57EDF34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G355</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1EF1131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1585.064</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4AC7B8E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蒙山公路养护中心</w:t>
            </w:r>
          </w:p>
        </w:tc>
      </w:tr>
      <w:tr w14:paraId="63F79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68A08DC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217</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31CC05F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牛围小桥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71CB5D0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G355</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6264771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1300.761</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51A98AC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八步公路养护中心</w:t>
            </w:r>
          </w:p>
        </w:tc>
      </w:tr>
      <w:tr w14:paraId="7DE9C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361DDA6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218</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35BE903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竹山中桥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77EA996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G355</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16EFAD6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1304.355</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5F03627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八步公路养护中心</w:t>
            </w:r>
          </w:p>
        </w:tc>
      </w:tr>
      <w:tr w14:paraId="78FB8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2050507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219</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6F01581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石耿中桥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7557DB8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G355</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32D699C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1306.912</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3A605BA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八步公路养护中心</w:t>
            </w:r>
          </w:p>
        </w:tc>
      </w:tr>
      <w:tr w14:paraId="0F7CE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3D4509D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220</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3D24D8A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大车中桥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4C2AB09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G355</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64D20CE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1308.129</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0DE9066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八步公路养护中心</w:t>
            </w:r>
          </w:p>
        </w:tc>
      </w:tr>
      <w:tr w14:paraId="2DDFE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163E90C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221</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6941AF8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牛尾中桥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7076BC7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G355</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309B012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1317.241</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791852C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八步公路养护中心</w:t>
            </w:r>
          </w:p>
        </w:tc>
      </w:tr>
      <w:tr w14:paraId="27F75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18135FE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222</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6BA2EAC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水细中桥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56598FE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G355</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50C264D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1299.91</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768B34D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八步公路养护中心</w:t>
            </w:r>
          </w:p>
        </w:tc>
      </w:tr>
      <w:tr w14:paraId="73BFC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10E3011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223</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61007A2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牛围小桥(拼宽右幅)</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7DAC2F0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G355</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7331DD1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1300.75</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66868C1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八步公路养护中心</w:t>
            </w:r>
          </w:p>
        </w:tc>
      </w:tr>
      <w:tr w14:paraId="116F2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66D5011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224</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1F7228F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低冲桥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34C0684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G355</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4C94B68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1481.431</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00E3AFB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昭平公路养护中心</w:t>
            </w:r>
          </w:p>
        </w:tc>
      </w:tr>
      <w:tr w14:paraId="59DAC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7F4FC2E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225</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3055641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长冲桥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48678F8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G355</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0DA291B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1482.177</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6B624B0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昭平公路养护中心</w:t>
            </w:r>
          </w:p>
        </w:tc>
      </w:tr>
      <w:tr w14:paraId="7F216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6094847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226</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0EE4E49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平寨桥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42C1EA1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G355</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2EB1BCF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1483.822</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4BA1E3F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昭平公路养护中心</w:t>
            </w:r>
          </w:p>
        </w:tc>
      </w:tr>
      <w:tr w14:paraId="3E79B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3218553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227</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7AC46AC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新庆桥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4F9C66E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G355</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4E579E0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1486.759</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14DC994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昭平公路养护中心</w:t>
            </w:r>
          </w:p>
        </w:tc>
      </w:tr>
      <w:tr w14:paraId="451F6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5D52BE7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228</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5BA171B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金矿桥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5910728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G355</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64E8966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1487.752</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27040C1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昭平公路养护中心</w:t>
            </w:r>
          </w:p>
        </w:tc>
      </w:tr>
      <w:tr w14:paraId="29BDE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190FF9D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229</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0081F7A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礼仪桥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4F888F6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G355</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32AC89E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1488.437</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3D1E957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昭平公路养护中心</w:t>
            </w:r>
          </w:p>
        </w:tc>
      </w:tr>
      <w:tr w14:paraId="3F595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2D90A72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230</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463D31C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古袍桥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3B8E948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G355</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116DCA3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1490.403</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47DADB6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昭平公路养护中心</w:t>
            </w:r>
          </w:p>
        </w:tc>
      </w:tr>
      <w:tr w14:paraId="61198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38A2433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231</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625A6BC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下白沙桥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1736FAC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G355</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2151B17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1493.833</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6390BA4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昭平公路养护中心</w:t>
            </w:r>
          </w:p>
        </w:tc>
      </w:tr>
      <w:tr w14:paraId="5DAB6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7E8F2BA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232</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404CA89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上白沙桥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7F846E3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G355</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14573BE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1494.5</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44D7F42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昭平公路养护中心</w:t>
            </w:r>
          </w:p>
        </w:tc>
      </w:tr>
      <w:tr w14:paraId="6A93B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3BEEDF4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233</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0CEE888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扶利桥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727C97D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G355</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04D587B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1500.011</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0F029C3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昭平公路养护中心</w:t>
            </w:r>
          </w:p>
        </w:tc>
      </w:tr>
      <w:tr w14:paraId="79008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10806F6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234</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72E97E9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四旺桥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6699611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G355</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08CA87A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1505.159</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72D1B2C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昭平公路养护中心</w:t>
            </w:r>
          </w:p>
        </w:tc>
      </w:tr>
      <w:tr w14:paraId="69944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38B00C3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235</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3C5193C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五将桥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2BFE5E9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G355</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26A7C6A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1509.256</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2C3B2BE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昭平公路养护中心</w:t>
            </w:r>
          </w:p>
        </w:tc>
      </w:tr>
      <w:tr w14:paraId="766BD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263E85C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236</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0BEE4ED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白石桥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31F0DB4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G355</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0A49A53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1511.14</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32ABE44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昭平公路养护中心</w:t>
            </w:r>
          </w:p>
        </w:tc>
      </w:tr>
      <w:tr w14:paraId="4797B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36261AF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237</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75E9F92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玉河桥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31CF20A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G355</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36B3200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1518.151</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600352D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昭平公路养护中心</w:t>
            </w:r>
          </w:p>
        </w:tc>
      </w:tr>
      <w:tr w14:paraId="4C69C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74C5F60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238</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08A3539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公石桥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69E1F06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G355</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53DADF0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1520.967</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7EEF5C2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昭平公路养护中心</w:t>
            </w:r>
          </w:p>
        </w:tc>
      </w:tr>
      <w:tr w14:paraId="056DD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393A74F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239</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2301ECD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富裕桥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2659AA3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G355</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0B8D89C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1523.096</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4087D4C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昭平公路养护中心</w:t>
            </w:r>
          </w:p>
        </w:tc>
      </w:tr>
      <w:tr w14:paraId="18A04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4B2B38A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240</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27044B3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富群江大桥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57EDB54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G355</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06BB6C6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1445.103</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4952BB9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昭平公路养护中心</w:t>
            </w:r>
          </w:p>
        </w:tc>
      </w:tr>
      <w:tr w14:paraId="78679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0121391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241</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58E540D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桂江大桥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23FFB5D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G355</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60F2915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1448.934</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605B728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昭平公路养护中心</w:t>
            </w:r>
          </w:p>
        </w:tc>
      </w:tr>
      <w:tr w14:paraId="02E7B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215EADF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242</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419AE7D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富吉大桥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70D8A76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G358</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227B65C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1351.664</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4015566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藤县公路养护中心</w:t>
            </w:r>
          </w:p>
        </w:tc>
      </w:tr>
      <w:tr w14:paraId="713B2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4315DBF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243</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60435CA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河口桥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7D9F3EB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G358</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2F858E7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1358.366</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428FDB3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藤县公路养护中心</w:t>
            </w:r>
          </w:p>
        </w:tc>
      </w:tr>
      <w:tr w14:paraId="1F331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070382D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244</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73EC94C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天平中桥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350067D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G358</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2F809CA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1372.598</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6DC3F2E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藤县公路养护中心</w:t>
            </w:r>
          </w:p>
        </w:tc>
      </w:tr>
      <w:tr w14:paraId="1A595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53748F3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245</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3DB1159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罗平小桥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5A7859B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G358</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141729E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1378.256</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3E64738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藤县公路养护中心</w:t>
            </w:r>
          </w:p>
        </w:tc>
      </w:tr>
      <w:tr w14:paraId="6D72A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010F96A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246</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3A157F7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黄塘中桥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1301F06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G358</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3C3C234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1381.097</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6383C0C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藤县公路养护中心</w:t>
            </w:r>
          </w:p>
        </w:tc>
      </w:tr>
      <w:tr w14:paraId="6125F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73B0E51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247</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5766476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新路头桥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207EAB6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G358</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28601B3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1360.775</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091ECB6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藤县公路养护中心</w:t>
            </w:r>
          </w:p>
        </w:tc>
      </w:tr>
      <w:tr w14:paraId="61C80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1D777DE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248</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073ECC9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高楼岭桥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3D14A5C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G358</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785AD5D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1359.348</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454570F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藤县公路养护中心</w:t>
            </w:r>
          </w:p>
        </w:tc>
      </w:tr>
      <w:tr w14:paraId="309F7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35A86A3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249</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5469A04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舍山桥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535BFB2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G358</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754848E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1377.355</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40AD22D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藤县公路养护中心</w:t>
            </w:r>
          </w:p>
        </w:tc>
      </w:tr>
      <w:tr w14:paraId="13CD4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49AD9FF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250</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2A472A6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黄冲桥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1E95644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G358</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75DB88B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1343.881</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53FE513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藤县公路养护中心</w:t>
            </w:r>
          </w:p>
        </w:tc>
      </w:tr>
      <w:tr w14:paraId="087AF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5D23EFD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251</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3528C8F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龟石大桥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706E1A2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G538</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6987463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113.19</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6725736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钟山公路养护中心</w:t>
            </w:r>
          </w:p>
        </w:tc>
      </w:tr>
      <w:tr w14:paraId="50113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26AE3CD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252</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2C72974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麦岭桥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5BA5C5F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G538</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08DAB34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62.883</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6227B32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富川公路养护中心</w:t>
            </w:r>
          </w:p>
        </w:tc>
      </w:tr>
      <w:tr w14:paraId="4CBCD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54EB833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253</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5428477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谷母井桥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64E34A6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G538</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1A676F6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68.405</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7BCD5DA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富川公路养护中心</w:t>
            </w:r>
          </w:p>
        </w:tc>
      </w:tr>
      <w:tr w14:paraId="74C82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2F89929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254</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28E3A0D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盘溪桥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650F7DA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G538</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32D216D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77.708</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7A3DAF7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富川公路养护中心</w:t>
            </w:r>
          </w:p>
        </w:tc>
      </w:tr>
      <w:tr w14:paraId="731B0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561482B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255</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6AB0DD8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水石桥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13B6A41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G538</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11CC11F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80.716</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2F66298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富川公路养护中心</w:t>
            </w:r>
          </w:p>
        </w:tc>
      </w:tr>
      <w:tr w14:paraId="02006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7204109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256</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1648A39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木榔桥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6DB1FDA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G538</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11D7238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91.489</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17E6C78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富川公路养护中心</w:t>
            </w:r>
          </w:p>
        </w:tc>
      </w:tr>
      <w:tr w14:paraId="71EE1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2C92FFD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257</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2CE85DC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淮南桥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2BA3826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G538</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7663958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99.194</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041CFCC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富川公路养护中心</w:t>
            </w:r>
          </w:p>
        </w:tc>
      </w:tr>
      <w:tr w14:paraId="18EE1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7C3D255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258</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742DDD8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老山桥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7B51EFD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S201</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27ADED9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204.453</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2857063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苍梧公路养护中心</w:t>
            </w:r>
          </w:p>
        </w:tc>
      </w:tr>
      <w:tr w14:paraId="54763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2B67625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259</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58E0C94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大桥桥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3C3D963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S201</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1997861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220.333</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590A6DF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苍梧公路养护中心</w:t>
            </w:r>
          </w:p>
        </w:tc>
      </w:tr>
      <w:tr w14:paraId="61D29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1B664ED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260</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26F3886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倒水桥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6188001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S201</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7385AAB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214.965</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457787E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苍梧公路养护中心</w:t>
            </w:r>
          </w:p>
        </w:tc>
      </w:tr>
      <w:tr w14:paraId="5D3B4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2B3FB9A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261</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51B6914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百办桥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5DD14E1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S201</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4BA9038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209.661</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02D9E91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苍梧公路养护中心</w:t>
            </w:r>
          </w:p>
        </w:tc>
      </w:tr>
      <w:tr w14:paraId="526B3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2639AA1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262</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0FFE0F3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龙柱桥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352F5CD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S201</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69F1713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200.748</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09223C3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苍梧公路养护中心</w:t>
            </w:r>
          </w:p>
        </w:tc>
      </w:tr>
      <w:tr w14:paraId="02CAC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1DCB3B9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263</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2B61C45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等村桥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081DE32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S201</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7FE2AA1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221.926</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24A3E13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苍梧公路养护中心</w:t>
            </w:r>
          </w:p>
        </w:tc>
      </w:tr>
      <w:tr w14:paraId="7E02E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13EAD91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264</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43D6FFF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群底山桥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7827386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S201</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20F4F09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191.617</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3FF070D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苍梧公路养护中心</w:t>
            </w:r>
          </w:p>
        </w:tc>
      </w:tr>
      <w:tr w14:paraId="6D838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031ECE3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265</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5389D8A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赊脚桥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0AC3D4A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S201</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67AB07C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193.308</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1B0DA25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苍梧公路养护中心</w:t>
            </w:r>
          </w:p>
        </w:tc>
      </w:tr>
      <w:tr w14:paraId="5F735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52913F6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266</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1C1186E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望高一桥-下行</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384C223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S201</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56D6BAD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30.438</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067A857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钟山公路养护中心</w:t>
            </w:r>
          </w:p>
        </w:tc>
      </w:tr>
      <w:tr w14:paraId="54F96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6D4D84E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267</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6134DC3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通坪桥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2C66538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S201</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02E26BC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38.231</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24F2D55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钟山公路养护中心</w:t>
            </w:r>
          </w:p>
        </w:tc>
      </w:tr>
      <w:tr w14:paraId="0F38E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47ADA80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268</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1CF021E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大岩河中桥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370B4DA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S201</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6554960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89.12</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3306475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八步公路养护中心</w:t>
            </w:r>
          </w:p>
        </w:tc>
      </w:tr>
      <w:tr w14:paraId="01CAD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783013E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269</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0D79C55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望高一桥-上行</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1CCA7B9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S201</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1EC2EBC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30.438</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14DF6B5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钟山公路养护中心</w:t>
            </w:r>
          </w:p>
        </w:tc>
      </w:tr>
      <w:tr w14:paraId="32AA2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70B95D6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270</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63254B3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三官洞中桥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33670DB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S201</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302628C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93.65</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4C37E5F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昭平公路养护中心</w:t>
            </w:r>
          </w:p>
        </w:tc>
      </w:tr>
      <w:tr w14:paraId="12AC1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2E2F147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271</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42AAF2F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新华1号中桥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3958364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S201</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3A08820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98.823</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78C406D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昭平公路养护中心</w:t>
            </w:r>
          </w:p>
        </w:tc>
      </w:tr>
      <w:tr w14:paraId="5437A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7CDA3B2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272</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2F0B09C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新华2号中桥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4883240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S201</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3F06123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99.04</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1037783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昭平公路养护中心</w:t>
            </w:r>
          </w:p>
        </w:tc>
      </w:tr>
      <w:tr w14:paraId="6EF0E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5DF09DE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273</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5D41F84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水龙中桥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385FFBC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S201</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1239D26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100.292</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33D53B3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昭平公路养护中心</w:t>
            </w:r>
          </w:p>
        </w:tc>
      </w:tr>
      <w:tr w14:paraId="4D326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7173EE9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274</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0D8AF69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潮江桥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7E60F3C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S201</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2B98AFB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102.344</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4EBED22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昭平公路养护中心</w:t>
            </w:r>
          </w:p>
        </w:tc>
      </w:tr>
      <w:tr w14:paraId="6BC49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68B57FE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275</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63A46C7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砂子桥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2FCB17D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S201</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4CA1C67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116.21</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3FF68F8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昭平公路养护中心</w:t>
            </w:r>
          </w:p>
        </w:tc>
      </w:tr>
      <w:tr w14:paraId="12557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6EA219C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276</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6EE0087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金龙桥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2EF1DFE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S201</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42FD6AD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133.816</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402FB72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昭平公路养护中心</w:t>
            </w:r>
          </w:p>
        </w:tc>
      </w:tr>
      <w:tr w14:paraId="69C0E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5984D27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277</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5D2B559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三合桥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6AC3600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S201</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7C1CD93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142.247</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09662E6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昭平公路养护中心</w:t>
            </w:r>
          </w:p>
        </w:tc>
      </w:tr>
      <w:tr w14:paraId="50BF2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4B98F80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278</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0689541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回龙二桥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1959C23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S201</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0702366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147.784</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28A0688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昭平公路养护中心</w:t>
            </w:r>
          </w:p>
        </w:tc>
      </w:tr>
      <w:tr w14:paraId="61FDA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510209A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279</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0DD8202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盐田桥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0045D4E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S201</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49156B5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149.904</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72C2998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昭平公路养护中心</w:t>
            </w:r>
          </w:p>
        </w:tc>
      </w:tr>
      <w:tr w14:paraId="6F546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449C10E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280</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2F2B189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花冲桥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08AC5EE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S201</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133DE48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152.08</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44D8D63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昭平公路养护中心</w:t>
            </w:r>
          </w:p>
        </w:tc>
      </w:tr>
      <w:tr w14:paraId="0EDE4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5ABD854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281</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065E930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陆洞桥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7302F3A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S201</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543E25D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159.418</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05490C6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昭平公路养护中心</w:t>
            </w:r>
          </w:p>
        </w:tc>
      </w:tr>
      <w:tr w14:paraId="5D1E9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6C793DB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282</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58B5B35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陆木桥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52540E4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S201</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72B8C27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161.243</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3CC2367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昭平公路养护中心</w:t>
            </w:r>
          </w:p>
        </w:tc>
      </w:tr>
      <w:tr w14:paraId="2F4C5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4543E34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283</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239B050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富约桥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285464E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S201</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370BA00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165.783</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30E403C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昭平公路养护中心</w:t>
            </w:r>
          </w:p>
        </w:tc>
      </w:tr>
      <w:tr w14:paraId="22023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0E9510F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284</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02A0A3C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勒竹桥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2142E0A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S201</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5E19153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171.966</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36E78AC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昭平公路养护中心</w:t>
            </w:r>
          </w:p>
        </w:tc>
      </w:tr>
      <w:tr w14:paraId="3DCD9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1229100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285</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12345D2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穴口桥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4024A5B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S201</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22D751E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173.456</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0D070FC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昭平公路养护中心</w:t>
            </w:r>
          </w:p>
        </w:tc>
      </w:tr>
      <w:tr w14:paraId="5C67D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2C73B02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286</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774B89C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白梅桥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06ED6F4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S201</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2377173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157.69</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3B55A29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昭平公路养护中心</w:t>
            </w:r>
          </w:p>
        </w:tc>
      </w:tr>
      <w:tr w14:paraId="1A500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4D6FC93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287</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4E84752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垭头桥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0FCFF62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S201</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0BC931A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164.748</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7C4948A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昭平公路养护中心</w:t>
            </w:r>
          </w:p>
        </w:tc>
      </w:tr>
      <w:tr w14:paraId="5C863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6A2ADEB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288</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51D4F51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木格桥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17485AE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S201</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174EF89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167.836</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011B26D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昭平公路养护中心</w:t>
            </w:r>
          </w:p>
        </w:tc>
      </w:tr>
      <w:tr w14:paraId="45364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255C397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289</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0BC71EF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古莲桥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6F6C3EB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S201</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681244F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109.109</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12E2243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昭平公路养护中心</w:t>
            </w:r>
          </w:p>
        </w:tc>
      </w:tr>
      <w:tr w14:paraId="24815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07777A1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290</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3D0D9A0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四维桥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4B7A92B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S201</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31ECB2A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118.848</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0582166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昭平公路养护中心</w:t>
            </w:r>
          </w:p>
        </w:tc>
      </w:tr>
      <w:tr w14:paraId="559A1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6A0EA59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291</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58424F8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石龙小桥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5319CA0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S201</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33D84F3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57.625</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6BC3365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钟山公路养护中心</w:t>
            </w:r>
          </w:p>
        </w:tc>
      </w:tr>
      <w:tr w14:paraId="707B7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14219C6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292</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3B5EF25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凤翔桥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54EC102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S201</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7A868E8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64.39</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030E618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钟山公路养护中心</w:t>
            </w:r>
          </w:p>
        </w:tc>
      </w:tr>
      <w:tr w14:paraId="33D1D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62C27E3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293</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31D29CF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石龙桥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41EEFF0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S201</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0C3E998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57.48</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70A3CFB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钟山公路养护中心</w:t>
            </w:r>
          </w:p>
        </w:tc>
      </w:tr>
      <w:tr w14:paraId="5DEF8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0A54607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294</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08BCD7F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凤翔桥(拼宽右幅)</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277014A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S201</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60473EA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64.39</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5DA5F57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钟山公路养护中心</w:t>
            </w:r>
          </w:p>
        </w:tc>
      </w:tr>
      <w:tr w14:paraId="63E39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44D1C24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295</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3942026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井山中桥-下行</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19F6FF3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S201</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31C1FF3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16.9</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24E7B0F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富川公路养护中心</w:t>
            </w:r>
          </w:p>
        </w:tc>
      </w:tr>
      <w:tr w14:paraId="45D19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0603553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296</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19C8A05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莲山一桥-下行</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1546BD5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S201</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6FF5D46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9.632</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078BDE0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富川公路养护中心</w:t>
            </w:r>
          </w:p>
        </w:tc>
      </w:tr>
      <w:tr w14:paraId="750A1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4A88E98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297</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6AF0068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莲山二桥-下行</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5590C7B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S201</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5E896F0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8.294</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555C46F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富川公路养护中心</w:t>
            </w:r>
          </w:p>
        </w:tc>
      </w:tr>
      <w:tr w14:paraId="14AA8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18A6451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298</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1F263EA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东庄一桥-下行</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26D32E4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S201</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68B2328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6.392</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4B25823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富川公路养护中心</w:t>
            </w:r>
          </w:p>
        </w:tc>
      </w:tr>
      <w:tr w14:paraId="4BA68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505BFC5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299</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3A85D73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东庄二桥-下行</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4C4AE2E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S201</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2D4D26F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5.443</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2BBEB07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富川公路养护中心</w:t>
            </w:r>
          </w:p>
        </w:tc>
      </w:tr>
      <w:tr w14:paraId="1A3AC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1D742C2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300</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49E0048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古城小桥-下行</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262E3E0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S201</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6F41D7E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2.878</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71C14EE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富川公路养护中心</w:t>
            </w:r>
          </w:p>
        </w:tc>
      </w:tr>
      <w:tr w14:paraId="5C449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785EB6D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301</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17E75E1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富阳中桥-下行</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39ACC1E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S201</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2C7DE99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1.088</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344A355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富川公路养护中心</w:t>
            </w:r>
          </w:p>
        </w:tc>
      </w:tr>
      <w:tr w14:paraId="0ADB2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6E8B758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302</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104CCE8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富阳中桥-上行</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430E068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S201</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1FD24B0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1.107</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20CB7E9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富川公路养护中心</w:t>
            </w:r>
          </w:p>
        </w:tc>
      </w:tr>
      <w:tr w14:paraId="5F39D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59ADA55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303</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73472A6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古城小桥-上行</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13F6B90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S201</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20AC457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2.886</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76D73AF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富川公路养护中心</w:t>
            </w:r>
          </w:p>
        </w:tc>
      </w:tr>
      <w:tr w14:paraId="416FD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10AA174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304</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3BBA90B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东庄二桥-上行</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19CAA8F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S201</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580B922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5.44</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4E2EC07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富川公路养护中心</w:t>
            </w:r>
          </w:p>
        </w:tc>
      </w:tr>
      <w:tr w14:paraId="7973D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6AC2186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305</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6835942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东庄一桥-上行</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294B0F7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S201</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091C297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6.382</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59E256D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富川公路养护中心</w:t>
            </w:r>
          </w:p>
        </w:tc>
      </w:tr>
      <w:tr w14:paraId="6D252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09BBE1C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306</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0266484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莲山二桥-上行</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24637C4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S201</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0F350B4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8.256</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5C0664C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富川公路养护中心</w:t>
            </w:r>
          </w:p>
        </w:tc>
      </w:tr>
      <w:tr w14:paraId="34704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3E2A354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307</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4F69004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莲山一桥-上行</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152384B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S201</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0D64DD5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9.641</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528E79C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富川公路养护中心</w:t>
            </w:r>
          </w:p>
        </w:tc>
      </w:tr>
      <w:tr w14:paraId="30759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1FEABE6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308</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123023F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井山中桥-上行</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3CDD737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S201</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7BA8F87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16.9</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49D25A4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富川公路养护中心</w:t>
            </w:r>
          </w:p>
        </w:tc>
      </w:tr>
      <w:tr w14:paraId="1F9D1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3B835CA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309</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606A290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深水桥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4D2230C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S203</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0C6FCC1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6.362</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6F34A65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藤县公路养护中心</w:t>
            </w:r>
          </w:p>
        </w:tc>
      </w:tr>
      <w:tr w14:paraId="788C9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7F7AED0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310</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16200D2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陶垌桥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190F9F6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S203</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77EEFAB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18.565</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7603AFF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藤县公路养护中心</w:t>
            </w:r>
          </w:p>
        </w:tc>
      </w:tr>
      <w:tr w14:paraId="3BFF4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5FE3738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311</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4F79CD9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黄沙河中桥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3198DE1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S203</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723E2FF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27.076</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7E1C7F0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藤县公路养护中心</w:t>
            </w:r>
          </w:p>
        </w:tc>
      </w:tr>
      <w:tr w14:paraId="54E0D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7E3294F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312</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4F3E2D7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岭景桥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45298FD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S203</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40A2992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44.28</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4F75F34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藤县公路养护中心</w:t>
            </w:r>
          </w:p>
        </w:tc>
      </w:tr>
      <w:tr w14:paraId="5A3D1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15B5D63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313</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46E0B54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岭景小桥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3207CA0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S203</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14BCF42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45.527</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51CD8B4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藤县公路养护中心</w:t>
            </w:r>
          </w:p>
        </w:tc>
      </w:tr>
      <w:tr w14:paraId="3C1C9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2BB9F4E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314</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132B0DD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秀才桥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1DF697D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S204</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14684F9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2.841</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266A7DE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蒙山公路养护中心</w:t>
            </w:r>
          </w:p>
        </w:tc>
      </w:tr>
      <w:tr w14:paraId="50950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29F9360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315</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413B4DE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古樟中桥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38BB8F5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S204</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3CD07C5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7.291</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793FD2F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蒙山公路养护中心</w:t>
            </w:r>
          </w:p>
        </w:tc>
      </w:tr>
      <w:tr w14:paraId="74703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7CBE923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316</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1C2F41D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木护桥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5BA242C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S204</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3C478B9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12.69</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30B7F2B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蒙山公路养护中心</w:t>
            </w:r>
          </w:p>
        </w:tc>
      </w:tr>
      <w:tr w14:paraId="5322C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7FD9279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317</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4D8D9B4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士吉桥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78CEEC5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S204</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74A2814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20.691</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540E9BF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蒙山公路养护中心</w:t>
            </w:r>
          </w:p>
        </w:tc>
      </w:tr>
      <w:tr w14:paraId="126F1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2BD055A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318</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4E5F87D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大竹坪桥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7A039AF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S302</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5196904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47.443</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7843534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钟山公路养护中心</w:t>
            </w:r>
          </w:p>
        </w:tc>
      </w:tr>
      <w:tr w14:paraId="7081A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30A0E58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319</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1C2513D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平地村小桥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43A5EE4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S302</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6911D58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50.265</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7B6A4A3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钟山公路养护中心</w:t>
            </w:r>
          </w:p>
        </w:tc>
      </w:tr>
      <w:tr w14:paraId="167B6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371A10E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320</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70B438C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龙窝桥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4A9256E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S302</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509EABB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58.083</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26916B7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钟山公路养护中心</w:t>
            </w:r>
          </w:p>
        </w:tc>
      </w:tr>
      <w:tr w14:paraId="04598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223FEEF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321</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5BB0A82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岩口桥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4D927D0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S302</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127EA69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60.292</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126A30F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钟山公路养护中心</w:t>
            </w:r>
          </w:p>
        </w:tc>
      </w:tr>
      <w:tr w14:paraId="2E64B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260A8CD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322</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4B4FFD2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星寨桥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2D6942F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S302</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410EBFE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61.627</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6F9E77F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钟山公路养护中心</w:t>
            </w:r>
          </w:p>
        </w:tc>
      </w:tr>
      <w:tr w14:paraId="24039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05147D1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323</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759BDE3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沙坪一桥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466EE12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S302</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659F1B9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64.145</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5FF3C5C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钟山公路养护中心</w:t>
            </w:r>
          </w:p>
        </w:tc>
      </w:tr>
      <w:tr w14:paraId="4F5BC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652570D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324</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51B49FC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沙坪二桥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2BFB6B3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S302</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2089C1D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64.85</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582D139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钟山公路养护中心</w:t>
            </w:r>
          </w:p>
        </w:tc>
      </w:tr>
      <w:tr w14:paraId="6E91D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2BABF75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325</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5C01554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沟边小桥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22E0E86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S302</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0E9145C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6.605</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4F05332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富川公路养护中心</w:t>
            </w:r>
          </w:p>
        </w:tc>
      </w:tr>
      <w:tr w14:paraId="77E7B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3A46AAD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326</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2E16122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张家桥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7D94696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S302</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1AAC760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14.35</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0CF679B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富川公路养护中心</w:t>
            </w:r>
          </w:p>
        </w:tc>
      </w:tr>
      <w:tr w14:paraId="03814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586B3B1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327</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11208D2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西安桥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3987A20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S302</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26D0EB6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19.311</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0916BDC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富川公路养护中心</w:t>
            </w:r>
          </w:p>
        </w:tc>
      </w:tr>
      <w:tr w14:paraId="312D3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740D296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328</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33A1FE4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西河口桥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7CD3F78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S304</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7AD07F5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22.552</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0753A5F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苍梧公路养护中心</w:t>
            </w:r>
          </w:p>
        </w:tc>
      </w:tr>
      <w:tr w14:paraId="401A1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421722B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329</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095E40C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龙潭桥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2FC8DA2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S304</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0F96E10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20.016</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4AE60A7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苍梧公路养护中心</w:t>
            </w:r>
          </w:p>
        </w:tc>
      </w:tr>
      <w:tr w14:paraId="3385B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53F6C3A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330</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1CCBD6B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表水桥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40EBF6C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S304</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0F66CF1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15.3</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381D3B2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苍梧公路养护中心</w:t>
            </w:r>
          </w:p>
        </w:tc>
      </w:tr>
      <w:tr w14:paraId="072CE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0F3AC9D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331</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3F3F3B5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山根桥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027C5C9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S304</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7F8E7F9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27.654</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34BC59F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苍梧公路养护中心</w:t>
            </w:r>
          </w:p>
        </w:tc>
      </w:tr>
      <w:tr w14:paraId="2D877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58428EA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332</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702F7FD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镇江桥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3C35F7C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S304</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608B4CD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28.095</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79BDD11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苍梧公路养护中心</w:t>
            </w:r>
          </w:p>
        </w:tc>
      </w:tr>
      <w:tr w14:paraId="282D1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03EAC5C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333</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5CD1CF4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福传桥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1E26147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S304</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38D6549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33.138</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629D6F9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苍梧公路养护中心</w:t>
            </w:r>
          </w:p>
        </w:tc>
      </w:tr>
      <w:tr w14:paraId="78A81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637ED8D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334</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07AA24D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濛江大桥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495F7E2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S304</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01F55E5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74.204</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0D52B8B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藤县公路养护中心</w:t>
            </w:r>
          </w:p>
        </w:tc>
      </w:tr>
      <w:tr w14:paraId="3D7F6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6D395FF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335</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36AF89E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外良桥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5B00C1A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S304</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689C09E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77.005</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477CA62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藤县公路养护中心</w:t>
            </w:r>
          </w:p>
        </w:tc>
      </w:tr>
      <w:tr w14:paraId="6532B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76CFDF3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336</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25C327B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黄华河大桥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09D282E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S310</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3C63FD8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32.497</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6B17021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藤县公路养护中心</w:t>
            </w:r>
          </w:p>
        </w:tc>
      </w:tr>
      <w:tr w14:paraId="5BB1F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62FC28D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337</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6A08DDC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镇安北流河大桥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0AD16EB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S310</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0D58ECF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36.582</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7C49E50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藤县公路养护中心</w:t>
            </w:r>
          </w:p>
        </w:tc>
      </w:tr>
      <w:tr w14:paraId="5F146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75C4007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338</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3500E98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翰塘中桥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5C6936A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S310</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2292C87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44.558</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26073F3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藤县公路养护中心</w:t>
            </w:r>
          </w:p>
        </w:tc>
      </w:tr>
      <w:tr w14:paraId="124B6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25E8C70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339</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4868284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泗罗河大桥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5A2C07D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S310</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40A51B5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66.319</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0498622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藤县公路养护中心</w:t>
            </w:r>
          </w:p>
        </w:tc>
      </w:tr>
      <w:tr w14:paraId="36069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31EACD0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340</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0BAF56E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大竹中桥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6FF3582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S310</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3C4AE55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0.968</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487B477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岑溪公路养护中心</w:t>
            </w:r>
          </w:p>
        </w:tc>
      </w:tr>
      <w:tr w14:paraId="06507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15B9A80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341</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14EC22D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上道中桥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2B28185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S310</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79064A0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17.17</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1217C8D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岑溪公路养护中心</w:t>
            </w:r>
          </w:p>
        </w:tc>
      </w:tr>
      <w:tr w14:paraId="7C548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4728A14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342</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7AC8EB6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旺山口中桥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6FB8F0B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S310</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2103D5F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18.515</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62A0979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岑溪公路养护中心</w:t>
            </w:r>
          </w:p>
        </w:tc>
      </w:tr>
      <w:tr w14:paraId="73CAB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71DA4F0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343</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54817CE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义昌河大桥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742DE60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S310</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394B062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21.207</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04C3654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岑溪公路养护中心</w:t>
            </w:r>
          </w:p>
        </w:tc>
      </w:tr>
      <w:tr w14:paraId="7B959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03801EE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344</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065F391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道石小桥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7ECD041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S503</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7DBC14B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6.87</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797DBCC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八步公路养护中心</w:t>
            </w:r>
          </w:p>
        </w:tc>
      </w:tr>
      <w:tr w14:paraId="05F72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6631E7E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345</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4FB32DD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狮洞小桥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08439BF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S503</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697AC73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18.642</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2605B1D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八步公路养护中心</w:t>
            </w:r>
          </w:p>
        </w:tc>
      </w:tr>
      <w:tr w14:paraId="64358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2765402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346</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1854602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松木小桥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1D7C67C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S503</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4FF7007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22.762</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359ABCA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八步公路养护中心</w:t>
            </w:r>
          </w:p>
        </w:tc>
      </w:tr>
      <w:tr w14:paraId="5AC5B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5EEFAEF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347</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5BFF5AE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木冲小桥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077AD8B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S503</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57A2BD6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24.547</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4F42345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八步公路养护中心</w:t>
            </w:r>
          </w:p>
        </w:tc>
      </w:tr>
      <w:tr w14:paraId="57542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64F39BE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348</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3109A7E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东冲大桥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2A13C30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S503</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41C236C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32.431</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5FE9CB8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八步公路养护中心</w:t>
            </w:r>
          </w:p>
        </w:tc>
      </w:tr>
      <w:tr w14:paraId="43838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4C7330E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349</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01C66F5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潮江中桥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21C95FB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S503</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2C69CA9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52.451</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6034431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昭平公路养护中心</w:t>
            </w:r>
          </w:p>
        </w:tc>
      </w:tr>
      <w:tr w14:paraId="73F9F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35F6CE8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350</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7D9E622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灵风洞小桥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6A6A011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S503</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1A0A04C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55.27</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67FEB8B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昭平公路养护中心</w:t>
            </w:r>
          </w:p>
        </w:tc>
      </w:tr>
      <w:tr w14:paraId="219BD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7EBB020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351</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6CEDA23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武田中桥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58705DF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S503</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52AF6FC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57.781</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7776FAA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昭平公路养护中心</w:t>
            </w:r>
          </w:p>
        </w:tc>
      </w:tr>
      <w:tr w14:paraId="766CA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4395D44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352</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5A15261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毕头中桥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4A3CB1A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S503</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48E2524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59.111</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2C3E678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昭平公路养护中心</w:t>
            </w:r>
          </w:p>
        </w:tc>
      </w:tr>
      <w:tr w14:paraId="521F9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25BC699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353</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3FF48B2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接米一号中桥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43F8B75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S503</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65D4F69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78.156</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62A7ED7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昭平公路养护中心</w:t>
            </w:r>
          </w:p>
        </w:tc>
      </w:tr>
      <w:tr w14:paraId="63067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7F7D311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354</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7795D5A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接米二号桥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3D1CDC8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S503</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6432E0F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79.126</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4F32B39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昭平公路养护中心</w:t>
            </w:r>
          </w:p>
        </w:tc>
      </w:tr>
      <w:tr w14:paraId="5C42C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234C3B0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355</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7400114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东坪冲中桥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4EFA20C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S503</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6622E76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80.992</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3776145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昭平公路养护中心</w:t>
            </w:r>
          </w:p>
        </w:tc>
      </w:tr>
      <w:tr w14:paraId="4E553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624C1F3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356</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50FDCB1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河步桥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7871E5A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S505</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5BF6F80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9.803</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64F6739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苍梧公路养护中心</w:t>
            </w:r>
          </w:p>
        </w:tc>
      </w:tr>
      <w:tr w14:paraId="324A1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2FAF11B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357</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7173EE7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大坡中桥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449D013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S505</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56CA68E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19.277</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6470B10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苍梧公路养护中心</w:t>
            </w:r>
          </w:p>
        </w:tc>
      </w:tr>
      <w:tr w14:paraId="3C76E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4D2CA4D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358</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78BD067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新地中桥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4A531C5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S505</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1F56569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43.169</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00340D4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苍梧公路养护中心</w:t>
            </w:r>
          </w:p>
        </w:tc>
      </w:tr>
      <w:tr w14:paraId="7BE52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5F96890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359</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0395FEA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埌南新桥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79CCC4E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S505</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07DED3B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54.746</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0079A94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藤县公路养护中心</w:t>
            </w:r>
          </w:p>
        </w:tc>
      </w:tr>
      <w:tr w14:paraId="1700F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3F762EA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360</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42F6C50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新光桥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3B460E9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S505</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74E328B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56.713</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74B0A92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藤县公路养护中心</w:t>
            </w:r>
          </w:p>
        </w:tc>
      </w:tr>
      <w:tr w14:paraId="36D3E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428FB98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361</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06943BA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沙黄桥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1D4FE77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S505</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4061027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59.216</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6B1058B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藤县公路养护中心</w:t>
            </w:r>
          </w:p>
        </w:tc>
      </w:tr>
      <w:tr w14:paraId="03345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093D789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362</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203356B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马地桥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4D6A3BE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S505</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2F8B91A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62.482</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4C1637E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藤县公路养护中心</w:t>
            </w:r>
          </w:p>
        </w:tc>
      </w:tr>
      <w:tr w14:paraId="4E052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4944E3B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363</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6F879D9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石河中桥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3955823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S508</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5AF61D7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3.767</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40359F5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岑溪公路养护中心</w:t>
            </w:r>
          </w:p>
        </w:tc>
      </w:tr>
      <w:tr w14:paraId="7B170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003ACCA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364</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4A25E3A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荔汰桥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3085527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CA02</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3C948BC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1.059</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71BAE9D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岑溪公路养护中心</w:t>
            </w:r>
          </w:p>
        </w:tc>
      </w:tr>
      <w:tr w14:paraId="3BAB9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0A29B3D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365</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0A48D6A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邓家坝桥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5C556D2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Y300</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3BE84CE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1.177</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4031A09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富川公路养护中心</w:t>
            </w:r>
          </w:p>
        </w:tc>
      </w:tr>
      <w:tr w14:paraId="3FE65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37878B2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366</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001B719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老寨一桥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6C3E330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Y300</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6AA9398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2.504</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4180339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富川公路养护中心</w:t>
            </w:r>
          </w:p>
        </w:tc>
      </w:tr>
      <w:tr w14:paraId="2754C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13EFA00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367</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4FF0A6A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老寨二桥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2072E2C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Y300</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4BC67FE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3.209</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1E290CD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富川公路养护中心</w:t>
            </w:r>
          </w:p>
        </w:tc>
      </w:tr>
      <w:tr w14:paraId="3DC7A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5583501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368</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1ECEAED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大竹桥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544DEF7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Y401</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388AF39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0.749</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39D7586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岑溪公路养护中心</w:t>
            </w:r>
          </w:p>
        </w:tc>
      </w:tr>
      <w:tr w14:paraId="29D78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2FEC240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369</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50ED439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三美大桥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72BCEEE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Y402</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29AB66C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1.694</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2664569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岑溪公路养护中心</w:t>
            </w:r>
          </w:p>
        </w:tc>
      </w:tr>
      <w:tr w14:paraId="2B3FE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438E77D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370</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5EF8E7B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旱冲桥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0A11234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Y801</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6862BA6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1.045</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0E305AC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藤县公路养护中心</w:t>
            </w:r>
          </w:p>
        </w:tc>
      </w:tr>
      <w:tr w14:paraId="46AB6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0C60767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371</w:t>
            </w: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0E68897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和好桥</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5C7C2B7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Y802</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0BE5BF0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4.953</w:t>
            </w: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0A10F65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藤县公路养护中心</w:t>
            </w:r>
          </w:p>
        </w:tc>
      </w:tr>
      <w:tr w14:paraId="39E9B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14:paraId="115C508F">
            <w:pPr>
              <w:jc w:val="center"/>
              <w:rPr>
                <w:rFonts w:hint="eastAsia" w:ascii="宋体" w:hAnsi="宋体" w:eastAsia="宋体" w:cs="宋体"/>
                <w:i w:val="0"/>
                <w:iCs w:val="0"/>
                <w:color w:val="auto"/>
                <w:sz w:val="20"/>
                <w:szCs w:val="20"/>
                <w:highlight w:val="none"/>
                <w:u w:val="none"/>
              </w:rPr>
            </w:pPr>
          </w:p>
        </w:tc>
        <w:tc>
          <w:tcPr>
            <w:tcW w:w="1271" w:type="pct"/>
            <w:tcBorders>
              <w:top w:val="single" w:color="000000" w:sz="4" w:space="0"/>
              <w:left w:val="single" w:color="000000" w:sz="4" w:space="0"/>
              <w:bottom w:val="single" w:color="000000" w:sz="4" w:space="0"/>
              <w:right w:val="single" w:color="000000" w:sz="4" w:space="0"/>
            </w:tcBorders>
            <w:noWrap/>
            <w:vAlign w:val="center"/>
          </w:tcPr>
          <w:p w14:paraId="529D64FD">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桥梁合计</w:t>
            </w:r>
          </w:p>
        </w:tc>
        <w:tc>
          <w:tcPr>
            <w:tcW w:w="1052" w:type="pct"/>
            <w:tcBorders>
              <w:top w:val="single" w:color="000000" w:sz="4" w:space="0"/>
              <w:left w:val="single" w:color="000000" w:sz="4" w:space="0"/>
              <w:bottom w:val="single" w:color="000000" w:sz="4" w:space="0"/>
              <w:right w:val="single" w:color="000000" w:sz="4" w:space="0"/>
            </w:tcBorders>
            <w:noWrap/>
            <w:vAlign w:val="center"/>
          </w:tcPr>
          <w:p w14:paraId="5AAEC357">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371座</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5383143A">
            <w:pPr>
              <w:jc w:val="center"/>
              <w:rPr>
                <w:rFonts w:hint="eastAsia" w:ascii="宋体" w:hAnsi="宋体" w:eastAsia="宋体" w:cs="宋体"/>
                <w:i w:val="0"/>
                <w:iCs w:val="0"/>
                <w:color w:val="auto"/>
                <w:sz w:val="20"/>
                <w:szCs w:val="20"/>
                <w:highlight w:val="none"/>
                <w:u w:val="none"/>
              </w:rPr>
            </w:pPr>
          </w:p>
        </w:tc>
        <w:tc>
          <w:tcPr>
            <w:tcW w:w="1302" w:type="pct"/>
            <w:tcBorders>
              <w:top w:val="single" w:color="000000" w:sz="4" w:space="0"/>
              <w:left w:val="single" w:color="000000" w:sz="4" w:space="0"/>
              <w:bottom w:val="single" w:color="000000" w:sz="4" w:space="0"/>
              <w:right w:val="single" w:color="000000" w:sz="4" w:space="0"/>
            </w:tcBorders>
            <w:noWrap/>
            <w:vAlign w:val="center"/>
          </w:tcPr>
          <w:p w14:paraId="637BB8DB">
            <w:pPr>
              <w:jc w:val="center"/>
              <w:rPr>
                <w:rFonts w:hint="eastAsia" w:ascii="宋体" w:hAnsi="宋体" w:eastAsia="宋体" w:cs="宋体"/>
                <w:i w:val="0"/>
                <w:iCs w:val="0"/>
                <w:color w:val="auto"/>
                <w:sz w:val="20"/>
                <w:szCs w:val="20"/>
                <w:highlight w:val="none"/>
                <w:u w:val="none"/>
              </w:rPr>
            </w:pPr>
          </w:p>
        </w:tc>
      </w:tr>
    </w:tbl>
    <w:p w14:paraId="7AE825F8">
      <w:pPr>
        <w:widowControl w:val="0"/>
        <w:spacing w:line="380" w:lineRule="exact"/>
        <w:jc w:val="both"/>
        <w:rPr>
          <w:rFonts w:hint="eastAsia" w:ascii="宋体" w:hAnsi="宋体" w:eastAsia="宋体" w:cs="宋体"/>
          <w:b/>
          <w:bCs/>
          <w:i w:val="0"/>
          <w:iCs w:val="0"/>
          <w:color w:val="auto"/>
          <w:kern w:val="0"/>
          <w:sz w:val="24"/>
          <w:szCs w:val="24"/>
          <w:highlight w:val="none"/>
          <w:u w:val="none"/>
          <w:lang w:val="en-US" w:eastAsia="zh-CN" w:bidi="ar"/>
        </w:rPr>
      </w:pPr>
    </w:p>
    <w:p w14:paraId="354AEFE7">
      <w:pPr>
        <w:rPr>
          <w:rFonts w:hint="eastAsia" w:ascii="宋体" w:hAnsi="宋体" w:eastAsia="宋体" w:cs="宋体"/>
          <w:b/>
          <w:bCs/>
          <w:i w:val="0"/>
          <w:iCs w:val="0"/>
          <w:color w:val="auto"/>
          <w:kern w:val="0"/>
          <w:sz w:val="24"/>
          <w:szCs w:val="24"/>
          <w:highlight w:val="none"/>
          <w:u w:val="none"/>
          <w:lang w:val="en-US" w:eastAsia="zh-CN" w:bidi="ar"/>
        </w:rPr>
      </w:pPr>
    </w:p>
    <w:p w14:paraId="23EF5B2B">
      <w:pPr>
        <w:widowControl w:val="0"/>
        <w:spacing w:line="380" w:lineRule="exact"/>
        <w:jc w:val="both"/>
        <w:rPr>
          <w:rFonts w:hint="eastAsia" w:ascii="宋体" w:hAnsi="宋体" w:eastAsia="宋体" w:cs="宋体"/>
          <w:b/>
          <w:bCs/>
          <w:i w:val="0"/>
          <w:iCs w:val="0"/>
          <w:color w:val="auto"/>
          <w:kern w:val="0"/>
          <w:sz w:val="24"/>
          <w:szCs w:val="24"/>
          <w:highlight w:val="none"/>
          <w:u w:val="none"/>
          <w:lang w:val="en-US" w:eastAsia="zh-CN" w:bidi="ar"/>
        </w:rPr>
      </w:pPr>
    </w:p>
    <w:p w14:paraId="12001442">
      <w:pPr>
        <w:rPr>
          <w:rFonts w:hint="eastAsia" w:ascii="宋体" w:hAnsi="宋体" w:eastAsia="宋体" w:cs="宋体"/>
          <w:b/>
          <w:bCs/>
          <w:i w:val="0"/>
          <w:iCs w:val="0"/>
          <w:color w:val="auto"/>
          <w:kern w:val="0"/>
          <w:sz w:val="24"/>
          <w:szCs w:val="24"/>
          <w:highlight w:val="none"/>
          <w:u w:val="none"/>
          <w:lang w:val="en-US" w:eastAsia="zh-CN" w:bidi="ar"/>
        </w:rPr>
      </w:pPr>
    </w:p>
    <w:p w14:paraId="09BA2048">
      <w:pPr>
        <w:widowControl w:val="0"/>
        <w:spacing w:line="380" w:lineRule="exact"/>
        <w:jc w:val="both"/>
        <w:rPr>
          <w:rFonts w:hint="eastAsia" w:ascii="宋体" w:hAnsi="宋体" w:eastAsia="宋体" w:cs="宋体"/>
          <w:b/>
          <w:bCs/>
          <w:i w:val="0"/>
          <w:iCs w:val="0"/>
          <w:color w:val="auto"/>
          <w:kern w:val="0"/>
          <w:sz w:val="24"/>
          <w:szCs w:val="24"/>
          <w:highlight w:val="none"/>
          <w:u w:val="none"/>
          <w:lang w:val="en-US" w:eastAsia="zh-CN" w:bidi="ar"/>
        </w:rPr>
      </w:pPr>
    </w:p>
    <w:p w14:paraId="4C7B20E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i w:val="0"/>
          <w:iCs w:val="0"/>
          <w:color w:val="auto"/>
          <w:kern w:val="0"/>
          <w:sz w:val="24"/>
          <w:szCs w:val="24"/>
          <w:highlight w:val="none"/>
          <w:u w:val="none"/>
          <w:lang w:val="en-US" w:eastAsia="zh-CN" w:bidi="ar"/>
        </w:rPr>
        <w:sectPr>
          <w:pgSz w:w="11905" w:h="16838"/>
          <w:pgMar w:top="1247" w:right="1134" w:bottom="1247" w:left="1134" w:header="851" w:footer="992" w:gutter="0"/>
          <w:pgBorders w:offsetFrom="page">
            <w:top w:val="none" w:sz="0" w:space="0"/>
            <w:left w:val="none" w:sz="0" w:space="0"/>
            <w:bottom w:val="none" w:sz="0" w:space="0"/>
            <w:right w:val="none" w:sz="0" w:space="0"/>
          </w:pgBorders>
          <w:pgNumType w:start="1"/>
          <w:cols w:space="720" w:num="1"/>
          <w:titlePg/>
          <w:rtlGutter w:val="0"/>
          <w:docGrid w:type="lines" w:linePitch="321" w:charSpace="0"/>
        </w:sectPr>
      </w:pPr>
    </w:p>
    <w:p w14:paraId="5DF04B2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3"/>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附表5  2026年隧道定期检查及技术状况评定、编制定检隧道科学决策报告一览表</w:t>
      </w:r>
    </w:p>
    <w:tbl>
      <w:tblPr>
        <w:tblStyle w:val="47"/>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010"/>
        <w:gridCol w:w="1932"/>
        <w:gridCol w:w="1450"/>
        <w:gridCol w:w="1184"/>
        <w:gridCol w:w="1105"/>
        <w:gridCol w:w="1450"/>
        <w:gridCol w:w="1459"/>
        <w:gridCol w:w="1949"/>
        <w:gridCol w:w="1956"/>
      </w:tblGrid>
      <w:tr w14:paraId="6D101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93" w:type="pct"/>
            <w:tcBorders>
              <w:top w:val="single" w:color="000000" w:sz="4" w:space="0"/>
              <w:left w:val="single" w:color="000000" w:sz="4" w:space="0"/>
              <w:bottom w:val="single" w:color="000000" w:sz="4" w:space="0"/>
              <w:right w:val="single" w:color="000000" w:sz="4" w:space="0"/>
            </w:tcBorders>
            <w:noWrap w:val="0"/>
            <w:vAlign w:val="center"/>
          </w:tcPr>
          <w:p w14:paraId="4FFC411D">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隧道代码</w:t>
            </w:r>
          </w:p>
        </w:tc>
        <w:tc>
          <w:tcPr>
            <w:tcW w:w="666" w:type="pct"/>
            <w:tcBorders>
              <w:top w:val="single" w:color="000000" w:sz="4" w:space="0"/>
              <w:left w:val="single" w:color="000000" w:sz="4" w:space="0"/>
              <w:bottom w:val="single" w:color="000000" w:sz="4" w:space="0"/>
              <w:right w:val="single" w:color="000000" w:sz="4" w:space="0"/>
            </w:tcBorders>
            <w:noWrap w:val="0"/>
            <w:vAlign w:val="center"/>
          </w:tcPr>
          <w:p w14:paraId="66A70637">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隧道名称</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1D1B4CA7">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中心桩号</w:t>
            </w:r>
            <w:r>
              <w:rPr>
                <w:rFonts w:hint="default" w:ascii="Times New Roman" w:hAnsi="Times New Roman" w:eastAsia="宋体" w:cs="Times New Roman"/>
                <w:b/>
                <w:bCs/>
                <w:i w:val="0"/>
                <w:iCs w:val="0"/>
                <w:color w:val="auto"/>
                <w:kern w:val="0"/>
                <w:sz w:val="21"/>
                <w:szCs w:val="21"/>
                <w:highlight w:val="none"/>
                <w:u w:val="none"/>
                <w:lang w:val="en-US" w:eastAsia="zh-CN" w:bidi="ar"/>
              </w:rPr>
              <w:br w:type="textWrapping"/>
            </w:r>
            <w:r>
              <w:rPr>
                <w:rFonts w:hint="default" w:ascii="Times New Roman" w:hAnsi="Times New Roman" w:eastAsia="宋体" w:cs="Times New Roman"/>
                <w:b/>
                <w:bCs/>
                <w:i w:val="0"/>
                <w:iCs w:val="0"/>
                <w:color w:val="auto"/>
                <w:kern w:val="0"/>
                <w:sz w:val="21"/>
                <w:szCs w:val="21"/>
                <w:highlight w:val="none"/>
                <w:u w:val="none"/>
                <w:lang w:val="en-US" w:eastAsia="zh-CN" w:bidi="ar"/>
              </w:rPr>
              <w:t>(公里)</w:t>
            </w:r>
          </w:p>
        </w:tc>
        <w:tc>
          <w:tcPr>
            <w:tcW w:w="408" w:type="pct"/>
            <w:tcBorders>
              <w:top w:val="single" w:color="000000" w:sz="4" w:space="0"/>
              <w:left w:val="single" w:color="000000" w:sz="4" w:space="0"/>
              <w:bottom w:val="single" w:color="000000" w:sz="4" w:space="0"/>
              <w:right w:val="single" w:color="000000" w:sz="4" w:space="0"/>
            </w:tcBorders>
            <w:noWrap w:val="0"/>
            <w:vAlign w:val="center"/>
          </w:tcPr>
          <w:p w14:paraId="6C33B94D">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隧道路线</w:t>
            </w:r>
          </w:p>
        </w:tc>
        <w:tc>
          <w:tcPr>
            <w:tcW w:w="380" w:type="pct"/>
            <w:tcBorders>
              <w:top w:val="single" w:color="000000" w:sz="4" w:space="0"/>
              <w:left w:val="single" w:color="000000" w:sz="4" w:space="0"/>
              <w:bottom w:val="nil"/>
              <w:right w:val="single" w:color="000000" w:sz="4" w:space="0"/>
            </w:tcBorders>
            <w:noWrap w:val="0"/>
            <w:vAlign w:val="center"/>
          </w:tcPr>
          <w:p w14:paraId="0DEC11B5">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隧道类型</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6BE0E6E3">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隧道全长</w:t>
            </w:r>
            <w:r>
              <w:rPr>
                <w:rFonts w:hint="default" w:ascii="Times New Roman" w:hAnsi="Times New Roman" w:eastAsia="宋体" w:cs="Times New Roman"/>
                <w:b/>
                <w:bCs/>
                <w:i w:val="0"/>
                <w:iCs w:val="0"/>
                <w:color w:val="auto"/>
                <w:kern w:val="0"/>
                <w:sz w:val="21"/>
                <w:szCs w:val="21"/>
                <w:highlight w:val="none"/>
                <w:u w:val="none"/>
                <w:lang w:val="en-US" w:eastAsia="zh-CN" w:bidi="ar"/>
              </w:rPr>
              <w:br w:type="textWrapping"/>
            </w:r>
            <w:r>
              <w:rPr>
                <w:rFonts w:hint="default" w:ascii="Times New Roman" w:hAnsi="Times New Roman" w:eastAsia="宋体" w:cs="Times New Roman"/>
                <w:b/>
                <w:bCs/>
                <w:i w:val="0"/>
                <w:iCs w:val="0"/>
                <w:color w:val="auto"/>
                <w:kern w:val="0"/>
                <w:sz w:val="21"/>
                <w:szCs w:val="21"/>
                <w:highlight w:val="none"/>
                <w:u w:val="none"/>
                <w:lang w:val="en-US" w:eastAsia="zh-CN" w:bidi="ar"/>
              </w:rPr>
              <w:t>(米)</w:t>
            </w:r>
          </w:p>
        </w:tc>
        <w:tc>
          <w:tcPr>
            <w:tcW w:w="503" w:type="pct"/>
            <w:tcBorders>
              <w:top w:val="single" w:color="000000" w:sz="4" w:space="0"/>
              <w:left w:val="single" w:color="000000" w:sz="4" w:space="0"/>
              <w:bottom w:val="single" w:color="000000" w:sz="4" w:space="0"/>
              <w:right w:val="single" w:color="000000" w:sz="4" w:space="0"/>
            </w:tcBorders>
            <w:noWrap w:val="0"/>
            <w:vAlign w:val="center"/>
          </w:tcPr>
          <w:p w14:paraId="21A1E122">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21"/>
                <w:szCs w:val="21"/>
                <w:highlight w:val="none"/>
                <w:u w:val="none"/>
                <w:lang w:val="en-US" w:eastAsia="zh-CN" w:bidi="ar"/>
              </w:rPr>
            </w:pPr>
            <w:r>
              <w:rPr>
                <w:rFonts w:hint="default" w:ascii="Times New Roman" w:hAnsi="Times New Roman" w:eastAsia="宋体" w:cs="Times New Roman"/>
                <w:b/>
                <w:bCs/>
                <w:i w:val="0"/>
                <w:iCs w:val="0"/>
                <w:color w:val="auto"/>
                <w:kern w:val="0"/>
                <w:sz w:val="21"/>
                <w:szCs w:val="21"/>
                <w:highlight w:val="none"/>
                <w:u w:val="none"/>
                <w:lang w:val="en-US" w:eastAsia="zh-CN" w:bidi="ar"/>
              </w:rPr>
              <w:t>衬砌面积</w:t>
            </w:r>
          </w:p>
          <w:p w14:paraId="16BBF2B4">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(平方米)</w:t>
            </w:r>
          </w:p>
        </w:tc>
        <w:tc>
          <w:tcPr>
            <w:tcW w:w="672" w:type="pct"/>
            <w:tcBorders>
              <w:top w:val="single" w:color="000000" w:sz="4" w:space="0"/>
              <w:left w:val="single" w:color="000000" w:sz="4" w:space="0"/>
              <w:bottom w:val="single" w:color="000000" w:sz="4" w:space="0"/>
              <w:right w:val="single" w:color="000000" w:sz="4" w:space="0"/>
            </w:tcBorders>
            <w:noWrap w:val="0"/>
            <w:vAlign w:val="center"/>
          </w:tcPr>
          <w:p w14:paraId="24559783">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管养单位</w:t>
            </w:r>
          </w:p>
        </w:tc>
        <w:tc>
          <w:tcPr>
            <w:tcW w:w="674" w:type="pct"/>
            <w:tcBorders>
              <w:top w:val="single" w:color="000000" w:sz="4" w:space="0"/>
              <w:left w:val="nil"/>
              <w:bottom w:val="single" w:color="000000" w:sz="4" w:space="0"/>
              <w:right w:val="single" w:color="000000" w:sz="4" w:space="0"/>
            </w:tcBorders>
            <w:noWrap w:val="0"/>
            <w:vAlign w:val="center"/>
          </w:tcPr>
          <w:p w14:paraId="7ADF237C">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检测项目</w:t>
            </w:r>
          </w:p>
        </w:tc>
      </w:tr>
      <w:tr w14:paraId="2C629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93" w:type="pct"/>
            <w:tcBorders>
              <w:top w:val="single" w:color="000000" w:sz="4" w:space="0"/>
              <w:left w:val="single" w:color="000000" w:sz="4" w:space="0"/>
              <w:bottom w:val="single" w:color="000000" w:sz="4" w:space="0"/>
              <w:right w:val="single" w:color="000000" w:sz="4" w:space="0"/>
            </w:tcBorders>
            <w:noWrap w:val="0"/>
            <w:vAlign w:val="center"/>
          </w:tcPr>
          <w:p w14:paraId="395056A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G321450406U0010</w:t>
            </w:r>
          </w:p>
        </w:tc>
        <w:tc>
          <w:tcPr>
            <w:tcW w:w="666" w:type="pct"/>
            <w:tcBorders>
              <w:top w:val="single" w:color="000000" w:sz="4" w:space="0"/>
              <w:left w:val="single" w:color="000000" w:sz="4" w:space="0"/>
              <w:bottom w:val="single" w:color="000000" w:sz="4" w:space="0"/>
              <w:right w:val="single" w:color="000000" w:sz="4" w:space="0"/>
            </w:tcBorders>
            <w:noWrap w:val="0"/>
            <w:vAlign w:val="center"/>
          </w:tcPr>
          <w:p w14:paraId="5B6DE33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盘龙坳隧道-上行</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22D2325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K277+640</w:t>
            </w:r>
          </w:p>
        </w:tc>
        <w:tc>
          <w:tcPr>
            <w:tcW w:w="408" w:type="pct"/>
            <w:tcBorders>
              <w:top w:val="single" w:color="000000" w:sz="4" w:space="0"/>
              <w:left w:val="single" w:color="000000" w:sz="4" w:space="0"/>
              <w:bottom w:val="single" w:color="000000" w:sz="4" w:space="0"/>
              <w:right w:val="single" w:color="000000" w:sz="4" w:space="0"/>
            </w:tcBorders>
            <w:noWrap w:val="0"/>
            <w:vAlign w:val="center"/>
          </w:tcPr>
          <w:p w14:paraId="24FEF7A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G321</w:t>
            </w:r>
          </w:p>
        </w:tc>
        <w:tc>
          <w:tcPr>
            <w:tcW w:w="380" w:type="pct"/>
            <w:tcBorders>
              <w:top w:val="single" w:color="000000" w:sz="4" w:space="0"/>
              <w:left w:val="single" w:color="000000" w:sz="4" w:space="0"/>
              <w:bottom w:val="single" w:color="000000" w:sz="4" w:space="0"/>
              <w:right w:val="single" w:color="000000" w:sz="4" w:space="0"/>
            </w:tcBorders>
            <w:noWrap w:val="0"/>
            <w:vAlign w:val="center"/>
          </w:tcPr>
          <w:p w14:paraId="40B53BB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短隧道</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6D9E009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131.3</w:t>
            </w:r>
          </w:p>
        </w:tc>
        <w:tc>
          <w:tcPr>
            <w:tcW w:w="503" w:type="pct"/>
            <w:tcBorders>
              <w:top w:val="single" w:color="000000" w:sz="4" w:space="0"/>
              <w:left w:val="single" w:color="000000" w:sz="4" w:space="0"/>
              <w:bottom w:val="single" w:color="000000" w:sz="4" w:space="0"/>
              <w:right w:val="single" w:color="000000" w:sz="4" w:space="0"/>
            </w:tcBorders>
            <w:noWrap w:val="0"/>
            <w:vAlign w:val="center"/>
          </w:tcPr>
          <w:p w14:paraId="65D56EB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2252.58 </w:t>
            </w:r>
          </w:p>
        </w:tc>
        <w:tc>
          <w:tcPr>
            <w:tcW w:w="672" w:type="pct"/>
            <w:tcBorders>
              <w:top w:val="single" w:color="000000" w:sz="4" w:space="0"/>
              <w:left w:val="single" w:color="000000" w:sz="4" w:space="0"/>
              <w:bottom w:val="single" w:color="000000" w:sz="4" w:space="0"/>
              <w:right w:val="single" w:color="000000" w:sz="4" w:space="0"/>
            </w:tcBorders>
            <w:noWrap w:val="0"/>
            <w:vAlign w:val="center"/>
          </w:tcPr>
          <w:p w14:paraId="3F459A2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苍梧公路养护中心</w:t>
            </w:r>
          </w:p>
        </w:tc>
        <w:tc>
          <w:tcPr>
            <w:tcW w:w="674" w:type="pct"/>
            <w:tcBorders>
              <w:top w:val="single" w:color="000000" w:sz="4" w:space="0"/>
              <w:left w:val="nil"/>
              <w:bottom w:val="single" w:color="000000" w:sz="4" w:space="0"/>
              <w:right w:val="single" w:color="000000" w:sz="4" w:space="0"/>
            </w:tcBorders>
            <w:noWrap w:val="0"/>
            <w:vAlign w:val="center"/>
          </w:tcPr>
          <w:p w14:paraId="08BAC23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土建结构、机电设施、其他工程设施</w:t>
            </w:r>
          </w:p>
        </w:tc>
      </w:tr>
      <w:tr w14:paraId="65789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3" w:type="pct"/>
            <w:tcBorders>
              <w:top w:val="single" w:color="000000" w:sz="4" w:space="0"/>
              <w:left w:val="single" w:color="000000" w:sz="4" w:space="0"/>
              <w:bottom w:val="single" w:color="000000" w:sz="4" w:space="0"/>
              <w:right w:val="single" w:color="000000" w:sz="4" w:space="0"/>
            </w:tcBorders>
            <w:noWrap w:val="0"/>
            <w:vAlign w:val="center"/>
          </w:tcPr>
          <w:p w14:paraId="06F98AA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G321450406U0020</w:t>
            </w:r>
          </w:p>
        </w:tc>
        <w:tc>
          <w:tcPr>
            <w:tcW w:w="666" w:type="pct"/>
            <w:tcBorders>
              <w:top w:val="single" w:color="000000" w:sz="4" w:space="0"/>
              <w:left w:val="single" w:color="000000" w:sz="4" w:space="0"/>
              <w:bottom w:val="single" w:color="000000" w:sz="4" w:space="0"/>
              <w:right w:val="single" w:color="000000" w:sz="4" w:space="0"/>
            </w:tcBorders>
            <w:noWrap w:val="0"/>
            <w:vAlign w:val="center"/>
          </w:tcPr>
          <w:p w14:paraId="6EC52C3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盘龙坳隧道-下行</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0F89C1A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K278+270</w:t>
            </w:r>
          </w:p>
        </w:tc>
        <w:tc>
          <w:tcPr>
            <w:tcW w:w="408" w:type="pct"/>
            <w:tcBorders>
              <w:top w:val="single" w:color="000000" w:sz="4" w:space="0"/>
              <w:left w:val="single" w:color="000000" w:sz="4" w:space="0"/>
              <w:bottom w:val="single" w:color="000000" w:sz="4" w:space="0"/>
              <w:right w:val="single" w:color="000000" w:sz="4" w:space="0"/>
            </w:tcBorders>
            <w:noWrap w:val="0"/>
            <w:vAlign w:val="center"/>
          </w:tcPr>
          <w:p w14:paraId="63EF2E6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G321</w:t>
            </w:r>
          </w:p>
        </w:tc>
        <w:tc>
          <w:tcPr>
            <w:tcW w:w="380" w:type="pct"/>
            <w:tcBorders>
              <w:top w:val="single" w:color="000000" w:sz="4" w:space="0"/>
              <w:left w:val="single" w:color="000000" w:sz="4" w:space="0"/>
              <w:bottom w:val="single" w:color="000000" w:sz="4" w:space="0"/>
              <w:right w:val="single" w:color="000000" w:sz="4" w:space="0"/>
            </w:tcBorders>
            <w:noWrap w:val="0"/>
            <w:vAlign w:val="center"/>
          </w:tcPr>
          <w:p w14:paraId="62D5CF3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中隧道</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3B31FC6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560</w:t>
            </w:r>
          </w:p>
        </w:tc>
        <w:tc>
          <w:tcPr>
            <w:tcW w:w="503" w:type="pct"/>
            <w:tcBorders>
              <w:top w:val="single" w:color="000000" w:sz="4" w:space="0"/>
              <w:left w:val="single" w:color="000000" w:sz="4" w:space="0"/>
              <w:bottom w:val="single" w:color="000000" w:sz="4" w:space="0"/>
              <w:right w:val="single" w:color="000000" w:sz="4" w:space="0"/>
            </w:tcBorders>
            <w:noWrap w:val="0"/>
            <w:vAlign w:val="center"/>
          </w:tcPr>
          <w:p w14:paraId="51DC179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11169.20 </w:t>
            </w:r>
          </w:p>
        </w:tc>
        <w:tc>
          <w:tcPr>
            <w:tcW w:w="672" w:type="pct"/>
            <w:tcBorders>
              <w:top w:val="single" w:color="000000" w:sz="4" w:space="0"/>
              <w:left w:val="single" w:color="000000" w:sz="4" w:space="0"/>
              <w:bottom w:val="single" w:color="000000" w:sz="4" w:space="0"/>
              <w:right w:val="single" w:color="000000" w:sz="4" w:space="0"/>
            </w:tcBorders>
            <w:noWrap w:val="0"/>
            <w:vAlign w:val="center"/>
          </w:tcPr>
          <w:p w14:paraId="7405538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苍梧公路养护中心</w:t>
            </w:r>
          </w:p>
        </w:tc>
        <w:tc>
          <w:tcPr>
            <w:tcW w:w="674" w:type="pct"/>
            <w:tcBorders>
              <w:top w:val="single" w:color="000000" w:sz="4" w:space="0"/>
              <w:left w:val="nil"/>
              <w:bottom w:val="single" w:color="000000" w:sz="4" w:space="0"/>
              <w:right w:val="single" w:color="000000" w:sz="4" w:space="0"/>
            </w:tcBorders>
            <w:noWrap w:val="0"/>
            <w:vAlign w:val="center"/>
          </w:tcPr>
          <w:p w14:paraId="266E038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土建结构、机电设施、其他工程设施</w:t>
            </w:r>
          </w:p>
        </w:tc>
      </w:tr>
      <w:tr w14:paraId="40E43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3" w:type="pct"/>
            <w:tcBorders>
              <w:top w:val="single" w:color="000000" w:sz="4" w:space="0"/>
              <w:left w:val="single" w:color="000000" w:sz="4" w:space="0"/>
              <w:bottom w:val="single" w:color="000000" w:sz="4" w:space="0"/>
              <w:right w:val="single" w:color="000000" w:sz="4" w:space="0"/>
            </w:tcBorders>
            <w:noWrap w:val="0"/>
            <w:vAlign w:val="center"/>
          </w:tcPr>
          <w:p w14:paraId="393EFCF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G355450421U0010</w:t>
            </w:r>
          </w:p>
        </w:tc>
        <w:tc>
          <w:tcPr>
            <w:tcW w:w="666" w:type="pct"/>
            <w:tcBorders>
              <w:top w:val="single" w:color="000000" w:sz="4" w:space="0"/>
              <w:left w:val="single" w:color="000000" w:sz="4" w:space="0"/>
              <w:bottom w:val="single" w:color="000000" w:sz="4" w:space="0"/>
              <w:right w:val="single" w:color="000000" w:sz="4" w:space="0"/>
            </w:tcBorders>
            <w:noWrap w:val="0"/>
            <w:vAlign w:val="center"/>
          </w:tcPr>
          <w:p w14:paraId="4E83BF8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大界隧道</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5048207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K1410+415</w:t>
            </w:r>
          </w:p>
        </w:tc>
        <w:tc>
          <w:tcPr>
            <w:tcW w:w="408" w:type="pct"/>
            <w:tcBorders>
              <w:top w:val="single" w:color="000000" w:sz="4" w:space="0"/>
              <w:left w:val="single" w:color="000000" w:sz="4" w:space="0"/>
              <w:bottom w:val="single" w:color="000000" w:sz="4" w:space="0"/>
              <w:right w:val="single" w:color="000000" w:sz="4" w:space="0"/>
            </w:tcBorders>
            <w:noWrap w:val="0"/>
            <w:vAlign w:val="center"/>
          </w:tcPr>
          <w:p w14:paraId="5C04CC6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G355</w:t>
            </w:r>
          </w:p>
        </w:tc>
        <w:tc>
          <w:tcPr>
            <w:tcW w:w="380" w:type="pct"/>
            <w:tcBorders>
              <w:top w:val="single" w:color="000000" w:sz="4" w:space="0"/>
              <w:left w:val="single" w:color="000000" w:sz="4" w:space="0"/>
              <w:bottom w:val="single" w:color="000000" w:sz="4" w:space="0"/>
              <w:right w:val="single" w:color="000000" w:sz="4" w:space="0"/>
            </w:tcBorders>
            <w:noWrap w:val="0"/>
            <w:vAlign w:val="center"/>
          </w:tcPr>
          <w:p w14:paraId="0515176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中隧道</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4E7F259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998</w:t>
            </w:r>
          </w:p>
        </w:tc>
        <w:tc>
          <w:tcPr>
            <w:tcW w:w="503" w:type="pct"/>
            <w:tcBorders>
              <w:top w:val="single" w:color="000000" w:sz="4" w:space="0"/>
              <w:left w:val="single" w:color="000000" w:sz="4" w:space="0"/>
              <w:bottom w:val="single" w:color="000000" w:sz="4" w:space="0"/>
              <w:right w:val="single" w:color="000000" w:sz="4" w:space="0"/>
            </w:tcBorders>
            <w:noWrap w:val="0"/>
            <w:vAlign w:val="center"/>
          </w:tcPr>
          <w:p w14:paraId="3FC0205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19544.83 </w:t>
            </w:r>
          </w:p>
        </w:tc>
        <w:tc>
          <w:tcPr>
            <w:tcW w:w="672" w:type="pct"/>
            <w:tcBorders>
              <w:top w:val="single" w:color="000000" w:sz="4" w:space="0"/>
              <w:left w:val="single" w:color="000000" w:sz="4" w:space="0"/>
              <w:bottom w:val="single" w:color="000000" w:sz="4" w:space="0"/>
              <w:right w:val="single" w:color="000000" w:sz="4" w:space="0"/>
            </w:tcBorders>
            <w:noWrap w:val="0"/>
            <w:vAlign w:val="center"/>
          </w:tcPr>
          <w:p w14:paraId="1386D49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苍梧公路养护中心</w:t>
            </w:r>
          </w:p>
        </w:tc>
        <w:tc>
          <w:tcPr>
            <w:tcW w:w="674" w:type="pct"/>
            <w:tcBorders>
              <w:top w:val="single" w:color="000000" w:sz="4" w:space="0"/>
              <w:left w:val="nil"/>
              <w:bottom w:val="single" w:color="000000" w:sz="4" w:space="0"/>
              <w:right w:val="single" w:color="000000" w:sz="4" w:space="0"/>
            </w:tcBorders>
            <w:noWrap w:val="0"/>
            <w:vAlign w:val="center"/>
          </w:tcPr>
          <w:p w14:paraId="231B2EA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土建结构、机电设施、其他工程设施</w:t>
            </w:r>
          </w:p>
        </w:tc>
      </w:tr>
      <w:tr w14:paraId="4E011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3" w:type="pct"/>
            <w:tcBorders>
              <w:top w:val="single" w:color="000000" w:sz="4" w:space="0"/>
              <w:left w:val="single" w:color="000000" w:sz="4" w:space="0"/>
              <w:bottom w:val="single" w:color="000000" w:sz="4" w:space="0"/>
              <w:right w:val="single" w:color="000000" w:sz="4" w:space="0"/>
            </w:tcBorders>
            <w:noWrap w:val="0"/>
            <w:vAlign w:val="center"/>
          </w:tcPr>
          <w:p w14:paraId="364DAAA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G355450421U0030</w:t>
            </w:r>
          </w:p>
        </w:tc>
        <w:tc>
          <w:tcPr>
            <w:tcW w:w="666" w:type="pct"/>
            <w:tcBorders>
              <w:top w:val="single" w:color="000000" w:sz="4" w:space="0"/>
              <w:left w:val="single" w:color="000000" w:sz="4" w:space="0"/>
              <w:bottom w:val="single" w:color="000000" w:sz="4" w:space="0"/>
              <w:right w:val="single" w:color="000000" w:sz="4" w:space="0"/>
            </w:tcBorders>
            <w:noWrap w:val="0"/>
            <w:vAlign w:val="center"/>
          </w:tcPr>
          <w:p w14:paraId="11D0CD5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新安隧道</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568B59A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K1439+918</w:t>
            </w:r>
          </w:p>
        </w:tc>
        <w:tc>
          <w:tcPr>
            <w:tcW w:w="408" w:type="pct"/>
            <w:tcBorders>
              <w:top w:val="single" w:color="000000" w:sz="4" w:space="0"/>
              <w:left w:val="nil"/>
              <w:bottom w:val="single" w:color="000000" w:sz="4" w:space="0"/>
              <w:right w:val="single" w:color="000000" w:sz="4" w:space="0"/>
            </w:tcBorders>
            <w:noWrap w:val="0"/>
            <w:vAlign w:val="center"/>
          </w:tcPr>
          <w:p w14:paraId="1B8D662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G355</w:t>
            </w:r>
          </w:p>
        </w:tc>
        <w:tc>
          <w:tcPr>
            <w:tcW w:w="380" w:type="pct"/>
            <w:tcBorders>
              <w:top w:val="single" w:color="000000" w:sz="4" w:space="0"/>
              <w:left w:val="single" w:color="000000" w:sz="4" w:space="0"/>
              <w:bottom w:val="single" w:color="000000" w:sz="4" w:space="0"/>
              <w:right w:val="single" w:color="000000" w:sz="4" w:space="0"/>
            </w:tcBorders>
            <w:noWrap w:val="0"/>
            <w:vAlign w:val="center"/>
          </w:tcPr>
          <w:p w14:paraId="22E714F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中隧道</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1982CE7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660</w:t>
            </w:r>
          </w:p>
        </w:tc>
        <w:tc>
          <w:tcPr>
            <w:tcW w:w="503" w:type="pct"/>
            <w:tcBorders>
              <w:top w:val="single" w:color="000000" w:sz="4" w:space="0"/>
              <w:left w:val="single" w:color="000000" w:sz="4" w:space="0"/>
              <w:bottom w:val="single" w:color="000000" w:sz="4" w:space="0"/>
              <w:right w:val="single" w:color="000000" w:sz="4" w:space="0"/>
            </w:tcBorders>
            <w:noWrap w:val="0"/>
            <w:vAlign w:val="center"/>
          </w:tcPr>
          <w:p w14:paraId="061F0DB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12925.44 </w:t>
            </w:r>
          </w:p>
        </w:tc>
        <w:tc>
          <w:tcPr>
            <w:tcW w:w="672" w:type="pct"/>
            <w:tcBorders>
              <w:top w:val="single" w:color="000000" w:sz="4" w:space="0"/>
              <w:left w:val="single" w:color="000000" w:sz="4" w:space="0"/>
              <w:bottom w:val="single" w:color="000000" w:sz="4" w:space="0"/>
              <w:right w:val="single" w:color="000000" w:sz="4" w:space="0"/>
            </w:tcBorders>
            <w:noWrap w:val="0"/>
            <w:vAlign w:val="center"/>
          </w:tcPr>
          <w:p w14:paraId="4AD5CD3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苍梧公路养护中心</w:t>
            </w:r>
          </w:p>
        </w:tc>
        <w:tc>
          <w:tcPr>
            <w:tcW w:w="674" w:type="pct"/>
            <w:tcBorders>
              <w:top w:val="single" w:color="000000" w:sz="4" w:space="0"/>
              <w:left w:val="nil"/>
              <w:bottom w:val="single" w:color="000000" w:sz="4" w:space="0"/>
              <w:right w:val="single" w:color="000000" w:sz="4" w:space="0"/>
            </w:tcBorders>
            <w:noWrap w:val="0"/>
            <w:vAlign w:val="center"/>
          </w:tcPr>
          <w:p w14:paraId="605FB37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土建结构、机电设施、其他工程设施</w:t>
            </w:r>
          </w:p>
        </w:tc>
      </w:tr>
      <w:tr w14:paraId="5AB53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3" w:type="pct"/>
            <w:tcBorders>
              <w:top w:val="single" w:color="000000" w:sz="4" w:space="0"/>
              <w:left w:val="single" w:color="000000" w:sz="4" w:space="0"/>
              <w:bottom w:val="single" w:color="000000" w:sz="4" w:space="0"/>
              <w:right w:val="single" w:color="000000" w:sz="4" w:space="0"/>
            </w:tcBorders>
            <w:noWrap w:val="0"/>
            <w:vAlign w:val="center"/>
          </w:tcPr>
          <w:p w14:paraId="7B5768A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G323451102U0010</w:t>
            </w:r>
          </w:p>
        </w:tc>
        <w:tc>
          <w:tcPr>
            <w:tcW w:w="666" w:type="pct"/>
            <w:tcBorders>
              <w:top w:val="single" w:color="000000" w:sz="4" w:space="0"/>
              <w:left w:val="single" w:color="000000" w:sz="4" w:space="0"/>
              <w:bottom w:val="single" w:color="000000" w:sz="4" w:space="0"/>
              <w:right w:val="single" w:color="000000" w:sz="4" w:space="0"/>
            </w:tcBorders>
            <w:noWrap w:val="0"/>
            <w:vAlign w:val="center"/>
          </w:tcPr>
          <w:p w14:paraId="7D5BD1C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鹰扬关隧道</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05228C5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K622+393</w:t>
            </w:r>
          </w:p>
        </w:tc>
        <w:tc>
          <w:tcPr>
            <w:tcW w:w="408" w:type="pct"/>
            <w:tcBorders>
              <w:top w:val="single" w:color="000000" w:sz="4" w:space="0"/>
              <w:left w:val="single" w:color="000000" w:sz="4" w:space="0"/>
              <w:bottom w:val="single" w:color="000000" w:sz="4" w:space="0"/>
              <w:right w:val="single" w:color="000000" w:sz="4" w:space="0"/>
            </w:tcBorders>
            <w:noWrap w:val="0"/>
            <w:vAlign w:val="center"/>
          </w:tcPr>
          <w:p w14:paraId="6F24203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G323</w:t>
            </w:r>
          </w:p>
        </w:tc>
        <w:tc>
          <w:tcPr>
            <w:tcW w:w="380" w:type="pct"/>
            <w:tcBorders>
              <w:top w:val="single" w:color="000000" w:sz="4" w:space="0"/>
              <w:left w:val="single" w:color="000000" w:sz="4" w:space="0"/>
              <w:bottom w:val="single" w:color="000000" w:sz="4" w:space="0"/>
              <w:right w:val="single" w:color="000000" w:sz="4" w:space="0"/>
            </w:tcBorders>
            <w:noWrap w:val="0"/>
            <w:vAlign w:val="center"/>
          </w:tcPr>
          <w:p w14:paraId="1901761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中隧道</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703FB33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535</w:t>
            </w:r>
          </w:p>
        </w:tc>
        <w:tc>
          <w:tcPr>
            <w:tcW w:w="503" w:type="pct"/>
            <w:tcBorders>
              <w:top w:val="single" w:color="000000" w:sz="4" w:space="0"/>
              <w:left w:val="single" w:color="000000" w:sz="4" w:space="0"/>
              <w:bottom w:val="single" w:color="000000" w:sz="4" w:space="0"/>
              <w:right w:val="single" w:color="000000" w:sz="4" w:space="0"/>
            </w:tcBorders>
            <w:noWrap w:val="0"/>
            <w:vAlign w:val="center"/>
          </w:tcPr>
          <w:p w14:paraId="2A91C3C6">
            <w:pPr>
              <w:keepNext w:val="0"/>
              <w:keepLines w:val="0"/>
              <w:widowControl/>
              <w:suppressLineNumbers w:val="0"/>
              <w:jc w:val="center"/>
              <w:textAlignment w:val="center"/>
              <w:rPr>
                <w:rFonts w:hint="default"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 xml:space="preserve">10609.59 </w:t>
            </w:r>
          </w:p>
        </w:tc>
        <w:tc>
          <w:tcPr>
            <w:tcW w:w="672" w:type="pct"/>
            <w:tcBorders>
              <w:top w:val="single" w:color="000000" w:sz="4" w:space="0"/>
              <w:left w:val="single" w:color="000000" w:sz="4" w:space="0"/>
              <w:bottom w:val="single" w:color="000000" w:sz="4" w:space="0"/>
              <w:right w:val="single" w:color="000000" w:sz="4" w:space="0"/>
            </w:tcBorders>
            <w:noWrap w:val="0"/>
            <w:vAlign w:val="center"/>
          </w:tcPr>
          <w:p w14:paraId="3433AB1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八步公路养护中心</w:t>
            </w:r>
          </w:p>
        </w:tc>
        <w:tc>
          <w:tcPr>
            <w:tcW w:w="674" w:type="pct"/>
            <w:tcBorders>
              <w:top w:val="single" w:color="000000" w:sz="4" w:space="0"/>
              <w:left w:val="nil"/>
              <w:bottom w:val="single" w:color="000000" w:sz="4" w:space="0"/>
              <w:right w:val="single" w:color="000000" w:sz="4" w:space="0"/>
            </w:tcBorders>
            <w:noWrap w:val="0"/>
            <w:vAlign w:val="center"/>
          </w:tcPr>
          <w:p w14:paraId="5FADC5D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土建结构、机电设施、其他工程设施</w:t>
            </w:r>
          </w:p>
        </w:tc>
      </w:tr>
      <w:tr w14:paraId="215B1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3" w:type="pct"/>
            <w:tcBorders>
              <w:top w:val="single" w:color="000000" w:sz="4" w:space="0"/>
              <w:left w:val="single" w:color="000000" w:sz="4" w:space="0"/>
              <w:bottom w:val="single" w:color="000000" w:sz="4" w:space="0"/>
              <w:right w:val="single" w:color="000000" w:sz="4" w:space="0"/>
            </w:tcBorders>
            <w:noWrap w:val="0"/>
            <w:vAlign w:val="center"/>
          </w:tcPr>
          <w:p w14:paraId="333C44A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S503451121U0010</w:t>
            </w:r>
          </w:p>
        </w:tc>
        <w:tc>
          <w:tcPr>
            <w:tcW w:w="666" w:type="pct"/>
            <w:tcBorders>
              <w:top w:val="single" w:color="000000" w:sz="4" w:space="0"/>
              <w:left w:val="single" w:color="000000" w:sz="4" w:space="0"/>
              <w:bottom w:val="single" w:color="000000" w:sz="4" w:space="0"/>
              <w:right w:val="single" w:color="000000" w:sz="4" w:space="0"/>
            </w:tcBorders>
            <w:noWrap w:val="0"/>
            <w:vAlign w:val="center"/>
          </w:tcPr>
          <w:p w14:paraId="52EF920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大风坳隧道</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1ECCDAD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K73+063</w:t>
            </w:r>
          </w:p>
        </w:tc>
        <w:tc>
          <w:tcPr>
            <w:tcW w:w="408" w:type="pct"/>
            <w:tcBorders>
              <w:top w:val="single" w:color="000000" w:sz="4" w:space="0"/>
              <w:left w:val="single" w:color="000000" w:sz="4" w:space="0"/>
              <w:bottom w:val="single" w:color="000000" w:sz="4" w:space="0"/>
              <w:right w:val="single" w:color="000000" w:sz="4" w:space="0"/>
            </w:tcBorders>
            <w:noWrap w:val="0"/>
            <w:vAlign w:val="center"/>
          </w:tcPr>
          <w:p w14:paraId="4AF4257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S503</w:t>
            </w:r>
          </w:p>
        </w:tc>
        <w:tc>
          <w:tcPr>
            <w:tcW w:w="380" w:type="pct"/>
            <w:tcBorders>
              <w:top w:val="single" w:color="000000" w:sz="4" w:space="0"/>
              <w:left w:val="single" w:color="000000" w:sz="4" w:space="0"/>
              <w:bottom w:val="single" w:color="000000" w:sz="4" w:space="0"/>
              <w:right w:val="single" w:color="000000" w:sz="4" w:space="0"/>
            </w:tcBorders>
            <w:noWrap w:val="0"/>
            <w:vAlign w:val="center"/>
          </w:tcPr>
          <w:p w14:paraId="644DFB8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长隧道</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26EAB27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1558</w:t>
            </w:r>
          </w:p>
        </w:tc>
        <w:tc>
          <w:tcPr>
            <w:tcW w:w="503" w:type="pct"/>
            <w:tcBorders>
              <w:top w:val="single" w:color="000000" w:sz="4" w:space="0"/>
              <w:left w:val="single" w:color="000000" w:sz="4" w:space="0"/>
              <w:bottom w:val="single" w:color="000000" w:sz="4" w:space="0"/>
              <w:right w:val="single" w:color="000000" w:sz="4" w:space="0"/>
            </w:tcBorders>
            <w:noWrap w:val="0"/>
            <w:vAlign w:val="center"/>
          </w:tcPr>
          <w:p w14:paraId="477DA8F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31054.06 </w:t>
            </w:r>
          </w:p>
        </w:tc>
        <w:tc>
          <w:tcPr>
            <w:tcW w:w="672" w:type="pct"/>
            <w:tcBorders>
              <w:top w:val="single" w:color="000000" w:sz="4" w:space="0"/>
              <w:left w:val="single" w:color="000000" w:sz="4" w:space="0"/>
              <w:bottom w:val="single" w:color="000000" w:sz="4" w:space="0"/>
              <w:right w:val="single" w:color="000000" w:sz="4" w:space="0"/>
            </w:tcBorders>
            <w:noWrap w:val="0"/>
            <w:vAlign w:val="center"/>
          </w:tcPr>
          <w:p w14:paraId="536958F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昭平公路养护中心</w:t>
            </w:r>
          </w:p>
        </w:tc>
        <w:tc>
          <w:tcPr>
            <w:tcW w:w="674" w:type="pct"/>
            <w:tcBorders>
              <w:top w:val="single" w:color="000000" w:sz="4" w:space="0"/>
              <w:left w:val="nil"/>
              <w:bottom w:val="single" w:color="000000" w:sz="4" w:space="0"/>
              <w:right w:val="single" w:color="000000" w:sz="4" w:space="0"/>
            </w:tcBorders>
            <w:noWrap w:val="0"/>
            <w:vAlign w:val="center"/>
          </w:tcPr>
          <w:p w14:paraId="67645D0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土建结构、机电设施、其他工程设施</w:t>
            </w:r>
          </w:p>
        </w:tc>
      </w:tr>
      <w:tr w14:paraId="6C84E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3" w:type="pct"/>
            <w:tcBorders>
              <w:top w:val="single" w:color="000000" w:sz="4" w:space="0"/>
              <w:left w:val="single" w:color="000000" w:sz="4" w:space="0"/>
              <w:bottom w:val="single" w:color="000000" w:sz="4" w:space="0"/>
              <w:right w:val="single" w:color="000000" w:sz="4" w:space="0"/>
            </w:tcBorders>
            <w:noWrap w:val="0"/>
            <w:vAlign w:val="center"/>
          </w:tcPr>
          <w:p w14:paraId="1935313F">
            <w:pPr>
              <w:jc w:val="center"/>
              <w:rPr>
                <w:rFonts w:hint="default" w:ascii="Times New Roman" w:hAnsi="Times New Roman" w:eastAsia="宋体" w:cs="Times New Roman"/>
                <w:i w:val="0"/>
                <w:iCs w:val="0"/>
                <w:color w:val="auto"/>
                <w:sz w:val="21"/>
                <w:szCs w:val="21"/>
                <w:highlight w:val="none"/>
                <w:u w:val="none"/>
              </w:rPr>
            </w:pPr>
          </w:p>
        </w:tc>
        <w:tc>
          <w:tcPr>
            <w:tcW w:w="666" w:type="pct"/>
            <w:tcBorders>
              <w:top w:val="single" w:color="000000" w:sz="4" w:space="0"/>
              <w:left w:val="single" w:color="000000" w:sz="4" w:space="0"/>
              <w:bottom w:val="single" w:color="000000" w:sz="4" w:space="0"/>
              <w:right w:val="single" w:color="000000" w:sz="4" w:space="0"/>
            </w:tcBorders>
            <w:noWrap w:val="0"/>
            <w:vAlign w:val="center"/>
          </w:tcPr>
          <w:p w14:paraId="2F2D97E1">
            <w:pPr>
              <w:jc w:val="center"/>
              <w:rPr>
                <w:rFonts w:hint="default" w:ascii="Times New Roman" w:hAnsi="Times New Roman" w:eastAsia="宋体" w:cs="Times New Roman"/>
                <w:i w:val="0"/>
                <w:iCs w:val="0"/>
                <w:color w:val="auto"/>
                <w:sz w:val="21"/>
                <w:szCs w:val="21"/>
                <w:highlight w:val="none"/>
                <w:u w:val="none"/>
              </w:rPr>
            </w:pPr>
          </w:p>
        </w:tc>
        <w:tc>
          <w:tcPr>
            <w:tcW w:w="1289" w:type="pct"/>
            <w:gridSpan w:val="3"/>
            <w:tcBorders>
              <w:top w:val="single" w:color="000000" w:sz="4" w:space="0"/>
              <w:left w:val="single" w:color="000000" w:sz="4" w:space="0"/>
              <w:bottom w:val="single" w:color="000000" w:sz="4" w:space="0"/>
              <w:right w:val="single" w:color="000000" w:sz="4" w:space="0"/>
            </w:tcBorders>
            <w:noWrap w:val="0"/>
            <w:vAlign w:val="center"/>
          </w:tcPr>
          <w:p w14:paraId="48E1A380">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隧道数量合计</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2D4C23B7">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4442.3</w:t>
            </w:r>
          </w:p>
        </w:tc>
        <w:tc>
          <w:tcPr>
            <w:tcW w:w="503" w:type="pct"/>
            <w:tcBorders>
              <w:top w:val="single" w:color="000000" w:sz="4" w:space="0"/>
              <w:left w:val="single" w:color="000000" w:sz="4" w:space="0"/>
              <w:bottom w:val="single" w:color="000000" w:sz="4" w:space="0"/>
              <w:right w:val="single" w:color="000000" w:sz="4" w:space="0"/>
            </w:tcBorders>
            <w:noWrap w:val="0"/>
            <w:vAlign w:val="center"/>
          </w:tcPr>
          <w:p w14:paraId="504256FD">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87555.70</w:t>
            </w:r>
          </w:p>
        </w:tc>
        <w:tc>
          <w:tcPr>
            <w:tcW w:w="672" w:type="pct"/>
            <w:tcBorders>
              <w:top w:val="single" w:color="000000" w:sz="4" w:space="0"/>
              <w:left w:val="single" w:color="000000" w:sz="4" w:space="0"/>
              <w:bottom w:val="single" w:color="000000" w:sz="4" w:space="0"/>
              <w:right w:val="single" w:color="000000" w:sz="4" w:space="0"/>
            </w:tcBorders>
            <w:noWrap w:val="0"/>
            <w:vAlign w:val="center"/>
          </w:tcPr>
          <w:p w14:paraId="35583F63">
            <w:pPr>
              <w:jc w:val="center"/>
              <w:rPr>
                <w:rFonts w:hint="default" w:ascii="Times New Roman" w:hAnsi="Times New Roman" w:eastAsia="宋体" w:cs="Times New Roman"/>
                <w:i w:val="0"/>
                <w:iCs w:val="0"/>
                <w:color w:val="auto"/>
                <w:sz w:val="21"/>
                <w:szCs w:val="21"/>
                <w:highlight w:val="none"/>
                <w:u w:val="none"/>
              </w:rPr>
            </w:pPr>
          </w:p>
        </w:tc>
        <w:tc>
          <w:tcPr>
            <w:tcW w:w="674" w:type="pct"/>
            <w:tcBorders>
              <w:top w:val="single" w:color="000000" w:sz="4" w:space="0"/>
              <w:left w:val="nil"/>
              <w:bottom w:val="single" w:color="000000" w:sz="4" w:space="0"/>
              <w:right w:val="single" w:color="000000" w:sz="4" w:space="0"/>
            </w:tcBorders>
            <w:noWrap w:val="0"/>
            <w:vAlign w:val="center"/>
          </w:tcPr>
          <w:p w14:paraId="396DC0DC">
            <w:pPr>
              <w:jc w:val="center"/>
              <w:rPr>
                <w:rFonts w:hint="default" w:ascii="Times New Roman" w:hAnsi="Times New Roman" w:eastAsia="宋体" w:cs="Times New Roman"/>
                <w:i w:val="0"/>
                <w:iCs w:val="0"/>
                <w:color w:val="auto"/>
                <w:sz w:val="21"/>
                <w:szCs w:val="21"/>
                <w:highlight w:val="none"/>
                <w:u w:val="none"/>
              </w:rPr>
            </w:pPr>
          </w:p>
        </w:tc>
      </w:tr>
    </w:tbl>
    <w:p w14:paraId="4E998A4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宋体" w:hAnsi="宋体"/>
          <w:b/>
          <w:color w:val="auto"/>
          <w:kern w:val="0"/>
          <w:sz w:val="28"/>
          <w:szCs w:val="28"/>
          <w:highlight w:val="none"/>
        </w:rPr>
      </w:pPr>
    </w:p>
    <w:p w14:paraId="1BD9D338">
      <w:pPr>
        <w:pStyle w:val="8"/>
        <w:ind w:firstLine="0"/>
        <w:rPr>
          <w:rFonts w:hint="eastAsia" w:ascii="宋体" w:hAnsi="宋体" w:cs="宋体"/>
          <w:color w:val="auto"/>
          <w:highlight w:val="none"/>
        </w:rPr>
      </w:pPr>
    </w:p>
    <w:p w14:paraId="2D2431DA">
      <w:pPr>
        <w:pStyle w:val="8"/>
        <w:ind w:firstLine="0"/>
        <w:rPr>
          <w:rFonts w:hint="eastAsia" w:ascii="宋体" w:hAnsi="宋体" w:cs="宋体"/>
          <w:color w:val="auto"/>
          <w:highlight w:val="none"/>
        </w:rPr>
        <w:sectPr>
          <w:pgSz w:w="16840" w:h="11910" w:orient="landscape"/>
          <w:pgMar w:top="1418" w:right="1418" w:bottom="1418" w:left="1134" w:header="720" w:footer="720" w:gutter="0"/>
          <w:cols w:space="720" w:num="1"/>
        </w:sectPr>
      </w:pPr>
    </w:p>
    <w:p w14:paraId="60993E07">
      <w:pPr>
        <w:pStyle w:val="8"/>
        <w:ind w:firstLine="0"/>
        <w:outlineLvl w:val="2"/>
        <w:rPr>
          <w:rFonts w:hint="eastAsia" w:ascii="宋体" w:hAnsi="宋体" w:cs="宋体"/>
          <w:color w:val="auto"/>
          <w:highlight w:val="none"/>
        </w:rPr>
      </w:pPr>
      <w:r>
        <w:rPr>
          <w:rFonts w:hint="eastAsia" w:ascii="宋体" w:hAnsi="宋体" w:cs="宋体"/>
          <w:b/>
          <w:bCs/>
          <w:color w:val="auto"/>
          <w:sz w:val="24"/>
          <w:szCs w:val="24"/>
          <w:highlight w:val="none"/>
        </w:rPr>
        <w:t>附件2</w:t>
      </w:r>
    </w:p>
    <w:p w14:paraId="71ED7778">
      <w:pPr>
        <w:spacing w:line="460" w:lineRule="exact"/>
        <w:jc w:val="center"/>
        <w:rPr>
          <w:rFonts w:hint="eastAsia" w:ascii="宋体" w:hAnsi="宋体" w:cs="宋体"/>
          <w:b/>
          <w:bCs/>
          <w:color w:val="auto"/>
          <w:sz w:val="32"/>
          <w:szCs w:val="32"/>
          <w:highlight w:val="none"/>
        </w:rPr>
      </w:pPr>
      <w:bookmarkStart w:id="45" w:name="_Toc25688"/>
    </w:p>
    <w:p w14:paraId="3E0D2A22">
      <w:pPr>
        <w:pStyle w:val="2"/>
        <w:jc w:val="center"/>
        <w:rPr>
          <w:b/>
          <w:color w:val="auto"/>
          <w:sz w:val="28"/>
          <w:szCs w:val="28"/>
          <w:highlight w:val="none"/>
        </w:rPr>
      </w:pPr>
      <w:r>
        <w:rPr>
          <w:rFonts w:hint="eastAsia"/>
          <w:b/>
          <w:color w:val="auto"/>
          <w:sz w:val="28"/>
          <w:szCs w:val="28"/>
          <w:highlight w:val="none"/>
        </w:rPr>
        <w:t>中小企业划型标准规定</w:t>
      </w:r>
    </w:p>
    <w:p w14:paraId="1A1637CA">
      <w:pPr>
        <w:pStyle w:val="2"/>
        <w:jc w:val="center"/>
        <w:rPr>
          <w:rFonts w:hint="eastAsia" w:ascii="宋体" w:hAnsi="宋体"/>
          <w:color w:val="auto"/>
          <w:sz w:val="21"/>
          <w:szCs w:val="21"/>
          <w:highlight w:val="none"/>
        </w:rPr>
      </w:pPr>
      <w:r>
        <w:rPr>
          <w:rFonts w:hint="eastAsia" w:ascii="宋体" w:hAnsi="宋体"/>
          <w:color w:val="auto"/>
          <w:szCs w:val="21"/>
          <w:highlight w:val="none"/>
        </w:rPr>
        <w:t>工信部联企业〔2011〕300号</w:t>
      </w:r>
    </w:p>
    <w:p w14:paraId="61670743">
      <w:pPr>
        <w:pStyle w:val="2"/>
        <w:rPr>
          <w:color w:val="auto"/>
          <w:szCs w:val="21"/>
          <w:highlight w:val="none"/>
        </w:rPr>
      </w:pPr>
    </w:p>
    <w:p w14:paraId="488E8F19">
      <w:pPr>
        <w:pStyle w:val="2"/>
        <w:rPr>
          <w:color w:val="auto"/>
          <w:szCs w:val="21"/>
          <w:highlight w:val="none"/>
        </w:rPr>
      </w:pPr>
      <w:r>
        <w:rPr>
          <w:rFonts w:hint="eastAsia"/>
          <w:color w:val="auto"/>
          <w:szCs w:val="21"/>
          <w:highlight w:val="none"/>
        </w:rPr>
        <w:t>　　一、根据《中华人民共和国中小企业促进法》和《国务院关于进一步促进中小企业发展的若干意见》</w:t>
      </w:r>
      <w:r>
        <w:rPr>
          <w:color w:val="auto"/>
          <w:szCs w:val="21"/>
          <w:highlight w:val="none"/>
        </w:rPr>
        <w:t>(</w:t>
      </w:r>
      <w:r>
        <w:rPr>
          <w:rFonts w:hint="eastAsia"/>
          <w:color w:val="auto"/>
          <w:szCs w:val="21"/>
          <w:highlight w:val="none"/>
        </w:rPr>
        <w:t>国发〔2009〕36号</w:t>
      </w:r>
      <w:r>
        <w:rPr>
          <w:color w:val="auto"/>
          <w:szCs w:val="21"/>
          <w:highlight w:val="none"/>
        </w:rPr>
        <w:t>)</w:t>
      </w:r>
      <w:r>
        <w:rPr>
          <w:rFonts w:hint="eastAsia"/>
          <w:color w:val="auto"/>
          <w:szCs w:val="21"/>
          <w:highlight w:val="none"/>
        </w:rPr>
        <w:t>，制定本规定。</w:t>
      </w:r>
    </w:p>
    <w:p w14:paraId="2014924B">
      <w:pPr>
        <w:pStyle w:val="2"/>
        <w:rPr>
          <w:color w:val="auto"/>
          <w:szCs w:val="21"/>
          <w:highlight w:val="none"/>
        </w:rPr>
      </w:pPr>
      <w:r>
        <w:rPr>
          <w:rFonts w:hint="eastAsia"/>
          <w:color w:val="auto"/>
          <w:szCs w:val="21"/>
          <w:highlight w:val="none"/>
        </w:rPr>
        <w:t>　　二、中小企业划分为中型、小型、微型三种类型，具体标准根据企业从业人员、营业收入、资产总额等指标，结合行业特点制定。</w:t>
      </w:r>
    </w:p>
    <w:p w14:paraId="503D036A">
      <w:pPr>
        <w:pStyle w:val="2"/>
        <w:rPr>
          <w:color w:val="auto"/>
          <w:szCs w:val="21"/>
          <w:highlight w:val="none"/>
        </w:rPr>
      </w:pPr>
      <w:r>
        <w:rPr>
          <w:rFonts w:hint="eastAsia"/>
          <w:color w:val="auto"/>
          <w:szCs w:val="21"/>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4FB8CDE0">
      <w:pPr>
        <w:pStyle w:val="2"/>
        <w:rPr>
          <w:color w:val="auto"/>
          <w:szCs w:val="21"/>
          <w:highlight w:val="none"/>
        </w:rPr>
      </w:pPr>
      <w:r>
        <w:rPr>
          <w:rFonts w:hint="eastAsia"/>
          <w:color w:val="auto"/>
          <w:szCs w:val="21"/>
          <w:highlight w:val="none"/>
        </w:rPr>
        <w:t>　　四、各行业划型标准为：</w:t>
      </w:r>
    </w:p>
    <w:p w14:paraId="7FBEF871">
      <w:pPr>
        <w:pStyle w:val="2"/>
        <w:rPr>
          <w:color w:val="auto"/>
          <w:szCs w:val="21"/>
          <w:highlight w:val="none"/>
        </w:rPr>
      </w:pPr>
      <w:r>
        <w:rPr>
          <w:rFonts w:hint="eastAsia"/>
          <w:color w:val="auto"/>
          <w:szCs w:val="21"/>
          <w:highlight w:val="none"/>
        </w:rPr>
        <w:t>　　（一）农、林、牧、渔业。营业收入</w:t>
      </w:r>
      <w:r>
        <w:rPr>
          <w:color w:val="auto"/>
          <w:szCs w:val="21"/>
          <w:highlight w:val="none"/>
        </w:rPr>
        <w:t>20000</w:t>
      </w:r>
      <w:r>
        <w:rPr>
          <w:rFonts w:hint="eastAsia"/>
          <w:color w:val="auto"/>
          <w:szCs w:val="21"/>
          <w:highlight w:val="none"/>
        </w:rPr>
        <w:t>万元以下的为中小微型企业。其中，营业收入</w:t>
      </w:r>
      <w:r>
        <w:rPr>
          <w:color w:val="auto"/>
          <w:szCs w:val="21"/>
          <w:highlight w:val="none"/>
        </w:rPr>
        <w:t>500</w:t>
      </w:r>
      <w:r>
        <w:rPr>
          <w:rFonts w:hint="eastAsia"/>
          <w:color w:val="auto"/>
          <w:szCs w:val="21"/>
          <w:highlight w:val="none"/>
        </w:rPr>
        <w:t>万元及以上的为中型企业，营业收入</w:t>
      </w:r>
      <w:r>
        <w:rPr>
          <w:color w:val="auto"/>
          <w:szCs w:val="21"/>
          <w:highlight w:val="none"/>
        </w:rPr>
        <w:t>50</w:t>
      </w:r>
      <w:r>
        <w:rPr>
          <w:rFonts w:hint="eastAsia"/>
          <w:color w:val="auto"/>
          <w:szCs w:val="21"/>
          <w:highlight w:val="none"/>
        </w:rPr>
        <w:t>万元及以上的为小型企业，营业收入</w:t>
      </w:r>
      <w:r>
        <w:rPr>
          <w:color w:val="auto"/>
          <w:szCs w:val="21"/>
          <w:highlight w:val="none"/>
        </w:rPr>
        <w:t>50</w:t>
      </w:r>
      <w:r>
        <w:rPr>
          <w:rFonts w:hint="eastAsia"/>
          <w:color w:val="auto"/>
          <w:szCs w:val="21"/>
          <w:highlight w:val="none"/>
        </w:rPr>
        <w:t>万元以下的为微型企业。</w:t>
      </w:r>
    </w:p>
    <w:p w14:paraId="5C4E00BC">
      <w:pPr>
        <w:pStyle w:val="2"/>
        <w:rPr>
          <w:color w:val="auto"/>
          <w:szCs w:val="21"/>
          <w:highlight w:val="none"/>
        </w:rPr>
      </w:pPr>
      <w:r>
        <w:rPr>
          <w:rFonts w:hint="eastAsia"/>
          <w:color w:val="auto"/>
          <w:szCs w:val="21"/>
          <w:highlight w:val="none"/>
        </w:rPr>
        <w:t>　　（二）工业。从业人员</w:t>
      </w:r>
      <w:r>
        <w:rPr>
          <w:color w:val="auto"/>
          <w:szCs w:val="21"/>
          <w:highlight w:val="none"/>
        </w:rPr>
        <w:t>1000</w:t>
      </w:r>
      <w:r>
        <w:rPr>
          <w:rFonts w:hint="eastAsia"/>
          <w:color w:val="auto"/>
          <w:szCs w:val="21"/>
          <w:highlight w:val="none"/>
        </w:rPr>
        <w:t>人以下或营业收入</w:t>
      </w:r>
      <w:r>
        <w:rPr>
          <w:color w:val="auto"/>
          <w:szCs w:val="21"/>
          <w:highlight w:val="none"/>
        </w:rPr>
        <w:t>40000</w:t>
      </w:r>
      <w:r>
        <w:rPr>
          <w:rFonts w:hint="eastAsia"/>
          <w:color w:val="auto"/>
          <w:szCs w:val="21"/>
          <w:highlight w:val="none"/>
        </w:rPr>
        <w:t>万元以下的为中小微型企业。其中，从业人员</w:t>
      </w:r>
      <w:r>
        <w:rPr>
          <w:color w:val="auto"/>
          <w:szCs w:val="21"/>
          <w:highlight w:val="none"/>
        </w:rPr>
        <w:t>300</w:t>
      </w:r>
      <w:r>
        <w:rPr>
          <w:rFonts w:hint="eastAsia"/>
          <w:color w:val="auto"/>
          <w:szCs w:val="21"/>
          <w:highlight w:val="none"/>
        </w:rPr>
        <w:t>人及以上，且营业收入</w:t>
      </w:r>
      <w:r>
        <w:rPr>
          <w:color w:val="auto"/>
          <w:szCs w:val="21"/>
          <w:highlight w:val="none"/>
        </w:rPr>
        <w:t>2000</w:t>
      </w:r>
      <w:r>
        <w:rPr>
          <w:rFonts w:hint="eastAsia"/>
          <w:color w:val="auto"/>
          <w:szCs w:val="21"/>
          <w:highlight w:val="none"/>
        </w:rPr>
        <w:t>万元及以上的为中型企业；从业人员</w:t>
      </w:r>
      <w:r>
        <w:rPr>
          <w:color w:val="auto"/>
          <w:szCs w:val="21"/>
          <w:highlight w:val="none"/>
        </w:rPr>
        <w:t>20</w:t>
      </w:r>
      <w:r>
        <w:rPr>
          <w:rFonts w:hint="eastAsia"/>
          <w:color w:val="auto"/>
          <w:szCs w:val="21"/>
          <w:highlight w:val="none"/>
        </w:rPr>
        <w:t>人及以上，且营业收入</w:t>
      </w:r>
      <w:r>
        <w:rPr>
          <w:color w:val="auto"/>
          <w:szCs w:val="21"/>
          <w:highlight w:val="none"/>
        </w:rPr>
        <w:t>300</w:t>
      </w:r>
      <w:r>
        <w:rPr>
          <w:rFonts w:hint="eastAsia"/>
          <w:color w:val="auto"/>
          <w:szCs w:val="21"/>
          <w:highlight w:val="none"/>
        </w:rPr>
        <w:t>万元及以上的为小型企业；从业人员</w:t>
      </w:r>
      <w:r>
        <w:rPr>
          <w:color w:val="auto"/>
          <w:szCs w:val="21"/>
          <w:highlight w:val="none"/>
        </w:rPr>
        <w:t>20</w:t>
      </w:r>
      <w:r>
        <w:rPr>
          <w:rFonts w:hint="eastAsia"/>
          <w:color w:val="auto"/>
          <w:szCs w:val="21"/>
          <w:highlight w:val="none"/>
        </w:rPr>
        <w:t>人以下或营业收入</w:t>
      </w:r>
      <w:r>
        <w:rPr>
          <w:color w:val="auto"/>
          <w:szCs w:val="21"/>
          <w:highlight w:val="none"/>
        </w:rPr>
        <w:t>300</w:t>
      </w:r>
      <w:r>
        <w:rPr>
          <w:rFonts w:hint="eastAsia"/>
          <w:color w:val="auto"/>
          <w:szCs w:val="21"/>
          <w:highlight w:val="none"/>
        </w:rPr>
        <w:t>万元以下的为微型企业。</w:t>
      </w:r>
    </w:p>
    <w:p w14:paraId="377F058A">
      <w:pPr>
        <w:pStyle w:val="2"/>
        <w:rPr>
          <w:color w:val="auto"/>
          <w:szCs w:val="21"/>
          <w:highlight w:val="none"/>
        </w:rPr>
      </w:pPr>
      <w:r>
        <w:rPr>
          <w:rFonts w:hint="eastAsia"/>
          <w:color w:val="auto"/>
          <w:szCs w:val="21"/>
          <w:highlight w:val="none"/>
        </w:rPr>
        <w:t>　　（三）建筑业。营业收入</w:t>
      </w:r>
      <w:r>
        <w:rPr>
          <w:color w:val="auto"/>
          <w:szCs w:val="21"/>
          <w:highlight w:val="none"/>
        </w:rPr>
        <w:t>80000</w:t>
      </w:r>
      <w:r>
        <w:rPr>
          <w:rFonts w:hint="eastAsia"/>
          <w:color w:val="auto"/>
          <w:szCs w:val="21"/>
          <w:highlight w:val="none"/>
        </w:rPr>
        <w:t>万元以下或资产总额</w:t>
      </w:r>
      <w:r>
        <w:rPr>
          <w:color w:val="auto"/>
          <w:szCs w:val="21"/>
          <w:highlight w:val="none"/>
        </w:rPr>
        <w:t>80000</w:t>
      </w:r>
      <w:r>
        <w:rPr>
          <w:rFonts w:hint="eastAsia"/>
          <w:color w:val="auto"/>
          <w:szCs w:val="21"/>
          <w:highlight w:val="none"/>
        </w:rPr>
        <w:t>万元以下的为中小微型企业。其中，营业收入</w:t>
      </w:r>
      <w:r>
        <w:rPr>
          <w:color w:val="auto"/>
          <w:szCs w:val="21"/>
          <w:highlight w:val="none"/>
        </w:rPr>
        <w:t>6000</w:t>
      </w:r>
      <w:r>
        <w:rPr>
          <w:rFonts w:hint="eastAsia"/>
          <w:color w:val="auto"/>
          <w:szCs w:val="21"/>
          <w:highlight w:val="none"/>
        </w:rPr>
        <w:t>万元及以上，且资产总额</w:t>
      </w:r>
      <w:r>
        <w:rPr>
          <w:color w:val="auto"/>
          <w:szCs w:val="21"/>
          <w:highlight w:val="none"/>
        </w:rPr>
        <w:t>5000</w:t>
      </w:r>
      <w:r>
        <w:rPr>
          <w:rFonts w:hint="eastAsia"/>
          <w:color w:val="auto"/>
          <w:szCs w:val="21"/>
          <w:highlight w:val="none"/>
        </w:rPr>
        <w:t>万元及以上的为中型企业；营业收入</w:t>
      </w:r>
      <w:r>
        <w:rPr>
          <w:color w:val="auto"/>
          <w:szCs w:val="21"/>
          <w:highlight w:val="none"/>
        </w:rPr>
        <w:t>300</w:t>
      </w:r>
      <w:r>
        <w:rPr>
          <w:rFonts w:hint="eastAsia"/>
          <w:color w:val="auto"/>
          <w:szCs w:val="21"/>
          <w:highlight w:val="none"/>
        </w:rPr>
        <w:t>万元及以上，且资产总额</w:t>
      </w:r>
      <w:r>
        <w:rPr>
          <w:color w:val="auto"/>
          <w:szCs w:val="21"/>
          <w:highlight w:val="none"/>
        </w:rPr>
        <w:t>300</w:t>
      </w:r>
      <w:r>
        <w:rPr>
          <w:rFonts w:hint="eastAsia"/>
          <w:color w:val="auto"/>
          <w:szCs w:val="21"/>
          <w:highlight w:val="none"/>
        </w:rPr>
        <w:t>万元及以上的为小型企业；营业收入</w:t>
      </w:r>
      <w:r>
        <w:rPr>
          <w:color w:val="auto"/>
          <w:szCs w:val="21"/>
          <w:highlight w:val="none"/>
        </w:rPr>
        <w:t>300</w:t>
      </w:r>
      <w:r>
        <w:rPr>
          <w:rFonts w:hint="eastAsia"/>
          <w:color w:val="auto"/>
          <w:szCs w:val="21"/>
          <w:highlight w:val="none"/>
        </w:rPr>
        <w:t>万元以下或资产总额</w:t>
      </w:r>
      <w:r>
        <w:rPr>
          <w:color w:val="auto"/>
          <w:szCs w:val="21"/>
          <w:highlight w:val="none"/>
        </w:rPr>
        <w:t>300</w:t>
      </w:r>
      <w:r>
        <w:rPr>
          <w:rFonts w:hint="eastAsia"/>
          <w:color w:val="auto"/>
          <w:szCs w:val="21"/>
          <w:highlight w:val="none"/>
        </w:rPr>
        <w:t>万元以下的为微型企业。</w:t>
      </w:r>
    </w:p>
    <w:p w14:paraId="1F043F6C">
      <w:pPr>
        <w:pStyle w:val="2"/>
        <w:rPr>
          <w:color w:val="auto"/>
          <w:szCs w:val="21"/>
          <w:highlight w:val="none"/>
        </w:rPr>
      </w:pPr>
      <w:r>
        <w:rPr>
          <w:rFonts w:hint="eastAsia"/>
          <w:color w:val="auto"/>
          <w:szCs w:val="21"/>
          <w:highlight w:val="none"/>
        </w:rPr>
        <w:t>　　（四）批发业。从业人员</w:t>
      </w:r>
      <w:r>
        <w:rPr>
          <w:color w:val="auto"/>
          <w:szCs w:val="21"/>
          <w:highlight w:val="none"/>
        </w:rPr>
        <w:t>200</w:t>
      </w:r>
      <w:r>
        <w:rPr>
          <w:rFonts w:hint="eastAsia"/>
          <w:color w:val="auto"/>
          <w:szCs w:val="21"/>
          <w:highlight w:val="none"/>
        </w:rPr>
        <w:t>人以下或营业收入</w:t>
      </w:r>
      <w:r>
        <w:rPr>
          <w:color w:val="auto"/>
          <w:szCs w:val="21"/>
          <w:highlight w:val="none"/>
        </w:rPr>
        <w:t>40000</w:t>
      </w:r>
      <w:r>
        <w:rPr>
          <w:rFonts w:hint="eastAsia"/>
          <w:color w:val="auto"/>
          <w:szCs w:val="21"/>
          <w:highlight w:val="none"/>
        </w:rPr>
        <w:t>万元以下的为中小微型企业。其中，从业人员</w:t>
      </w:r>
      <w:r>
        <w:rPr>
          <w:color w:val="auto"/>
          <w:szCs w:val="21"/>
          <w:highlight w:val="none"/>
        </w:rPr>
        <w:t>20</w:t>
      </w:r>
      <w:r>
        <w:rPr>
          <w:rFonts w:hint="eastAsia"/>
          <w:color w:val="auto"/>
          <w:szCs w:val="21"/>
          <w:highlight w:val="none"/>
        </w:rPr>
        <w:t>人及以上，且营业收入</w:t>
      </w:r>
      <w:r>
        <w:rPr>
          <w:color w:val="auto"/>
          <w:szCs w:val="21"/>
          <w:highlight w:val="none"/>
        </w:rPr>
        <w:t>5000</w:t>
      </w:r>
      <w:r>
        <w:rPr>
          <w:rFonts w:hint="eastAsia"/>
          <w:color w:val="auto"/>
          <w:szCs w:val="21"/>
          <w:highlight w:val="none"/>
        </w:rPr>
        <w:t>万元及以上的为中型企业；从业人员</w:t>
      </w:r>
      <w:r>
        <w:rPr>
          <w:color w:val="auto"/>
          <w:szCs w:val="21"/>
          <w:highlight w:val="none"/>
        </w:rPr>
        <w:t>5</w:t>
      </w:r>
      <w:r>
        <w:rPr>
          <w:rFonts w:hint="eastAsia"/>
          <w:color w:val="auto"/>
          <w:szCs w:val="21"/>
          <w:highlight w:val="none"/>
        </w:rPr>
        <w:t>人及以上，且营业收入</w:t>
      </w:r>
      <w:r>
        <w:rPr>
          <w:color w:val="auto"/>
          <w:szCs w:val="21"/>
          <w:highlight w:val="none"/>
        </w:rPr>
        <w:t>1000</w:t>
      </w:r>
      <w:r>
        <w:rPr>
          <w:rFonts w:hint="eastAsia"/>
          <w:color w:val="auto"/>
          <w:szCs w:val="21"/>
          <w:highlight w:val="none"/>
        </w:rPr>
        <w:t>万元及以上的为小型企业；从业人员</w:t>
      </w:r>
      <w:r>
        <w:rPr>
          <w:color w:val="auto"/>
          <w:szCs w:val="21"/>
          <w:highlight w:val="none"/>
        </w:rPr>
        <w:t>5</w:t>
      </w:r>
      <w:r>
        <w:rPr>
          <w:rFonts w:hint="eastAsia"/>
          <w:color w:val="auto"/>
          <w:szCs w:val="21"/>
          <w:highlight w:val="none"/>
        </w:rPr>
        <w:t>人以下或营业收入</w:t>
      </w:r>
      <w:r>
        <w:rPr>
          <w:color w:val="auto"/>
          <w:szCs w:val="21"/>
          <w:highlight w:val="none"/>
        </w:rPr>
        <w:t>1000</w:t>
      </w:r>
      <w:r>
        <w:rPr>
          <w:rFonts w:hint="eastAsia"/>
          <w:color w:val="auto"/>
          <w:szCs w:val="21"/>
          <w:highlight w:val="none"/>
        </w:rPr>
        <w:t>万元以下的为微型企业。</w:t>
      </w:r>
    </w:p>
    <w:p w14:paraId="0101E63C">
      <w:pPr>
        <w:pStyle w:val="2"/>
        <w:rPr>
          <w:color w:val="auto"/>
          <w:szCs w:val="21"/>
          <w:highlight w:val="none"/>
        </w:rPr>
      </w:pPr>
      <w:r>
        <w:rPr>
          <w:rFonts w:hint="eastAsia"/>
          <w:color w:val="auto"/>
          <w:szCs w:val="21"/>
          <w:highlight w:val="none"/>
        </w:rPr>
        <w:t>　　（五）零售业。从业人员</w:t>
      </w:r>
      <w:r>
        <w:rPr>
          <w:color w:val="auto"/>
          <w:szCs w:val="21"/>
          <w:highlight w:val="none"/>
        </w:rPr>
        <w:t>300</w:t>
      </w:r>
      <w:r>
        <w:rPr>
          <w:rFonts w:hint="eastAsia"/>
          <w:color w:val="auto"/>
          <w:szCs w:val="21"/>
          <w:highlight w:val="none"/>
        </w:rPr>
        <w:t>人以下或营业收入</w:t>
      </w:r>
      <w:r>
        <w:rPr>
          <w:color w:val="auto"/>
          <w:szCs w:val="21"/>
          <w:highlight w:val="none"/>
        </w:rPr>
        <w:t>20000</w:t>
      </w:r>
      <w:r>
        <w:rPr>
          <w:rFonts w:hint="eastAsia"/>
          <w:color w:val="auto"/>
          <w:szCs w:val="21"/>
          <w:highlight w:val="none"/>
        </w:rPr>
        <w:t>万元以下的为中小微型企业。其中，从业人员</w:t>
      </w:r>
      <w:r>
        <w:rPr>
          <w:color w:val="auto"/>
          <w:szCs w:val="21"/>
          <w:highlight w:val="none"/>
        </w:rPr>
        <w:t>50</w:t>
      </w:r>
      <w:r>
        <w:rPr>
          <w:rFonts w:hint="eastAsia"/>
          <w:color w:val="auto"/>
          <w:szCs w:val="21"/>
          <w:highlight w:val="none"/>
        </w:rPr>
        <w:t>人及以上，且营业收入</w:t>
      </w:r>
      <w:r>
        <w:rPr>
          <w:color w:val="auto"/>
          <w:szCs w:val="21"/>
          <w:highlight w:val="none"/>
        </w:rPr>
        <w:t>500</w:t>
      </w:r>
      <w:r>
        <w:rPr>
          <w:rFonts w:hint="eastAsia"/>
          <w:color w:val="auto"/>
          <w:szCs w:val="21"/>
          <w:highlight w:val="none"/>
        </w:rPr>
        <w:t>万元及以上的为中型企业；从业人员</w:t>
      </w:r>
      <w:r>
        <w:rPr>
          <w:color w:val="auto"/>
          <w:szCs w:val="21"/>
          <w:highlight w:val="none"/>
        </w:rPr>
        <w:t>10</w:t>
      </w:r>
      <w:r>
        <w:rPr>
          <w:rFonts w:hint="eastAsia"/>
          <w:color w:val="auto"/>
          <w:szCs w:val="21"/>
          <w:highlight w:val="none"/>
        </w:rPr>
        <w:t>人及以上，且营业收入</w:t>
      </w:r>
      <w:r>
        <w:rPr>
          <w:color w:val="auto"/>
          <w:szCs w:val="21"/>
          <w:highlight w:val="none"/>
        </w:rPr>
        <w:t>100</w:t>
      </w:r>
      <w:r>
        <w:rPr>
          <w:rFonts w:hint="eastAsia"/>
          <w:color w:val="auto"/>
          <w:szCs w:val="21"/>
          <w:highlight w:val="none"/>
        </w:rPr>
        <w:t>万元及以上的为小型企业；从业人员</w:t>
      </w:r>
      <w:r>
        <w:rPr>
          <w:color w:val="auto"/>
          <w:szCs w:val="21"/>
          <w:highlight w:val="none"/>
        </w:rPr>
        <w:t>10</w:t>
      </w:r>
      <w:r>
        <w:rPr>
          <w:rFonts w:hint="eastAsia"/>
          <w:color w:val="auto"/>
          <w:szCs w:val="21"/>
          <w:highlight w:val="none"/>
        </w:rPr>
        <w:t>人以下或营业收入</w:t>
      </w:r>
      <w:r>
        <w:rPr>
          <w:color w:val="auto"/>
          <w:szCs w:val="21"/>
          <w:highlight w:val="none"/>
        </w:rPr>
        <w:t>100</w:t>
      </w:r>
      <w:r>
        <w:rPr>
          <w:rFonts w:hint="eastAsia"/>
          <w:color w:val="auto"/>
          <w:szCs w:val="21"/>
          <w:highlight w:val="none"/>
        </w:rPr>
        <w:t>万元以下的为微型企业。</w:t>
      </w:r>
    </w:p>
    <w:p w14:paraId="40EA30A9">
      <w:pPr>
        <w:pStyle w:val="2"/>
        <w:rPr>
          <w:color w:val="auto"/>
          <w:szCs w:val="21"/>
          <w:highlight w:val="none"/>
        </w:rPr>
      </w:pPr>
      <w:r>
        <w:rPr>
          <w:rFonts w:hint="eastAsia"/>
          <w:color w:val="auto"/>
          <w:szCs w:val="21"/>
          <w:highlight w:val="none"/>
        </w:rPr>
        <w:t>　　（六）交通运输业。从业人员</w:t>
      </w:r>
      <w:r>
        <w:rPr>
          <w:color w:val="auto"/>
          <w:szCs w:val="21"/>
          <w:highlight w:val="none"/>
        </w:rPr>
        <w:t>1000</w:t>
      </w:r>
      <w:r>
        <w:rPr>
          <w:rFonts w:hint="eastAsia"/>
          <w:color w:val="auto"/>
          <w:szCs w:val="21"/>
          <w:highlight w:val="none"/>
        </w:rPr>
        <w:t>人以下或营业收入</w:t>
      </w:r>
      <w:r>
        <w:rPr>
          <w:color w:val="auto"/>
          <w:szCs w:val="21"/>
          <w:highlight w:val="none"/>
        </w:rPr>
        <w:t>30000</w:t>
      </w:r>
      <w:r>
        <w:rPr>
          <w:rFonts w:hint="eastAsia"/>
          <w:color w:val="auto"/>
          <w:szCs w:val="21"/>
          <w:highlight w:val="none"/>
        </w:rPr>
        <w:t>万元以下的为中小微型企业。其中，从业人员</w:t>
      </w:r>
      <w:r>
        <w:rPr>
          <w:color w:val="auto"/>
          <w:szCs w:val="21"/>
          <w:highlight w:val="none"/>
        </w:rPr>
        <w:t>300</w:t>
      </w:r>
      <w:r>
        <w:rPr>
          <w:rFonts w:hint="eastAsia"/>
          <w:color w:val="auto"/>
          <w:szCs w:val="21"/>
          <w:highlight w:val="none"/>
        </w:rPr>
        <w:t>人及以上，且营业收入</w:t>
      </w:r>
      <w:r>
        <w:rPr>
          <w:color w:val="auto"/>
          <w:szCs w:val="21"/>
          <w:highlight w:val="none"/>
        </w:rPr>
        <w:t>3000</w:t>
      </w:r>
      <w:r>
        <w:rPr>
          <w:rFonts w:hint="eastAsia"/>
          <w:color w:val="auto"/>
          <w:szCs w:val="21"/>
          <w:highlight w:val="none"/>
        </w:rPr>
        <w:t>万元及以上的为中型企业；从业人员</w:t>
      </w:r>
      <w:r>
        <w:rPr>
          <w:color w:val="auto"/>
          <w:szCs w:val="21"/>
          <w:highlight w:val="none"/>
        </w:rPr>
        <w:t>20</w:t>
      </w:r>
      <w:r>
        <w:rPr>
          <w:rFonts w:hint="eastAsia"/>
          <w:color w:val="auto"/>
          <w:szCs w:val="21"/>
          <w:highlight w:val="none"/>
        </w:rPr>
        <w:t>人及以上，且营业收入</w:t>
      </w:r>
      <w:r>
        <w:rPr>
          <w:color w:val="auto"/>
          <w:szCs w:val="21"/>
          <w:highlight w:val="none"/>
        </w:rPr>
        <w:t>200</w:t>
      </w:r>
      <w:r>
        <w:rPr>
          <w:rFonts w:hint="eastAsia"/>
          <w:color w:val="auto"/>
          <w:szCs w:val="21"/>
          <w:highlight w:val="none"/>
        </w:rPr>
        <w:t>万元及以上的为小型企业；从业人员</w:t>
      </w:r>
      <w:r>
        <w:rPr>
          <w:color w:val="auto"/>
          <w:szCs w:val="21"/>
          <w:highlight w:val="none"/>
        </w:rPr>
        <w:t>20</w:t>
      </w:r>
      <w:r>
        <w:rPr>
          <w:rFonts w:hint="eastAsia"/>
          <w:color w:val="auto"/>
          <w:szCs w:val="21"/>
          <w:highlight w:val="none"/>
        </w:rPr>
        <w:t>人以下或营业收入</w:t>
      </w:r>
      <w:r>
        <w:rPr>
          <w:color w:val="auto"/>
          <w:szCs w:val="21"/>
          <w:highlight w:val="none"/>
        </w:rPr>
        <w:t>200</w:t>
      </w:r>
      <w:r>
        <w:rPr>
          <w:rFonts w:hint="eastAsia"/>
          <w:color w:val="auto"/>
          <w:szCs w:val="21"/>
          <w:highlight w:val="none"/>
        </w:rPr>
        <w:t>万元以下的为微型企业。</w:t>
      </w:r>
    </w:p>
    <w:p w14:paraId="7359AB52">
      <w:pPr>
        <w:pStyle w:val="2"/>
        <w:rPr>
          <w:color w:val="auto"/>
          <w:szCs w:val="21"/>
          <w:highlight w:val="none"/>
        </w:rPr>
      </w:pPr>
      <w:r>
        <w:rPr>
          <w:rFonts w:hint="eastAsia"/>
          <w:color w:val="auto"/>
          <w:szCs w:val="21"/>
          <w:highlight w:val="none"/>
        </w:rPr>
        <w:t>　　（七）仓储业。从业人员</w:t>
      </w:r>
      <w:r>
        <w:rPr>
          <w:color w:val="auto"/>
          <w:szCs w:val="21"/>
          <w:highlight w:val="none"/>
        </w:rPr>
        <w:t>200</w:t>
      </w:r>
      <w:r>
        <w:rPr>
          <w:rFonts w:hint="eastAsia"/>
          <w:color w:val="auto"/>
          <w:szCs w:val="21"/>
          <w:highlight w:val="none"/>
        </w:rPr>
        <w:t>人以下或营业收入</w:t>
      </w:r>
      <w:r>
        <w:rPr>
          <w:color w:val="auto"/>
          <w:szCs w:val="21"/>
          <w:highlight w:val="none"/>
        </w:rPr>
        <w:t>30000</w:t>
      </w:r>
      <w:r>
        <w:rPr>
          <w:rFonts w:hint="eastAsia"/>
          <w:color w:val="auto"/>
          <w:szCs w:val="21"/>
          <w:highlight w:val="none"/>
        </w:rPr>
        <w:t>万元以下的为中小微型企业。其中，从业人员</w:t>
      </w:r>
      <w:r>
        <w:rPr>
          <w:color w:val="auto"/>
          <w:szCs w:val="21"/>
          <w:highlight w:val="none"/>
        </w:rPr>
        <w:t>100</w:t>
      </w:r>
      <w:r>
        <w:rPr>
          <w:rFonts w:hint="eastAsia"/>
          <w:color w:val="auto"/>
          <w:szCs w:val="21"/>
          <w:highlight w:val="none"/>
        </w:rPr>
        <w:t>人及以上，且营业收入</w:t>
      </w:r>
      <w:r>
        <w:rPr>
          <w:color w:val="auto"/>
          <w:szCs w:val="21"/>
          <w:highlight w:val="none"/>
        </w:rPr>
        <w:t>1000</w:t>
      </w:r>
      <w:r>
        <w:rPr>
          <w:rFonts w:hint="eastAsia"/>
          <w:color w:val="auto"/>
          <w:szCs w:val="21"/>
          <w:highlight w:val="none"/>
        </w:rPr>
        <w:t>万元及以上的为中型企业；从业人员</w:t>
      </w:r>
      <w:r>
        <w:rPr>
          <w:color w:val="auto"/>
          <w:szCs w:val="21"/>
          <w:highlight w:val="none"/>
        </w:rPr>
        <w:t>20</w:t>
      </w:r>
      <w:r>
        <w:rPr>
          <w:rFonts w:hint="eastAsia"/>
          <w:color w:val="auto"/>
          <w:szCs w:val="21"/>
          <w:highlight w:val="none"/>
        </w:rPr>
        <w:t>人及以上，且营业收入</w:t>
      </w:r>
      <w:r>
        <w:rPr>
          <w:color w:val="auto"/>
          <w:szCs w:val="21"/>
          <w:highlight w:val="none"/>
        </w:rPr>
        <w:t>100</w:t>
      </w:r>
      <w:r>
        <w:rPr>
          <w:rFonts w:hint="eastAsia"/>
          <w:color w:val="auto"/>
          <w:szCs w:val="21"/>
          <w:highlight w:val="none"/>
        </w:rPr>
        <w:t>万元及以上的为小型企业；从业人员</w:t>
      </w:r>
      <w:r>
        <w:rPr>
          <w:color w:val="auto"/>
          <w:szCs w:val="21"/>
          <w:highlight w:val="none"/>
        </w:rPr>
        <w:t>20</w:t>
      </w:r>
      <w:r>
        <w:rPr>
          <w:rFonts w:hint="eastAsia"/>
          <w:color w:val="auto"/>
          <w:szCs w:val="21"/>
          <w:highlight w:val="none"/>
        </w:rPr>
        <w:t>人以下或营业收入</w:t>
      </w:r>
      <w:r>
        <w:rPr>
          <w:color w:val="auto"/>
          <w:szCs w:val="21"/>
          <w:highlight w:val="none"/>
        </w:rPr>
        <w:t>100</w:t>
      </w:r>
      <w:r>
        <w:rPr>
          <w:rFonts w:hint="eastAsia"/>
          <w:color w:val="auto"/>
          <w:szCs w:val="21"/>
          <w:highlight w:val="none"/>
        </w:rPr>
        <w:t>万元以下的为微型企业。</w:t>
      </w:r>
    </w:p>
    <w:p w14:paraId="520E4B9E">
      <w:pPr>
        <w:pStyle w:val="2"/>
        <w:rPr>
          <w:color w:val="auto"/>
          <w:szCs w:val="21"/>
          <w:highlight w:val="none"/>
        </w:rPr>
      </w:pPr>
      <w:r>
        <w:rPr>
          <w:rFonts w:hint="eastAsia"/>
          <w:color w:val="auto"/>
          <w:szCs w:val="21"/>
          <w:highlight w:val="none"/>
        </w:rPr>
        <w:t>　　（八）邮政业。从业人员</w:t>
      </w:r>
      <w:r>
        <w:rPr>
          <w:color w:val="auto"/>
          <w:szCs w:val="21"/>
          <w:highlight w:val="none"/>
        </w:rPr>
        <w:t>1000</w:t>
      </w:r>
      <w:r>
        <w:rPr>
          <w:rFonts w:hint="eastAsia"/>
          <w:color w:val="auto"/>
          <w:szCs w:val="21"/>
          <w:highlight w:val="none"/>
        </w:rPr>
        <w:t>人以下或营业收入</w:t>
      </w:r>
      <w:r>
        <w:rPr>
          <w:color w:val="auto"/>
          <w:szCs w:val="21"/>
          <w:highlight w:val="none"/>
        </w:rPr>
        <w:t>30000</w:t>
      </w:r>
      <w:r>
        <w:rPr>
          <w:rFonts w:hint="eastAsia"/>
          <w:color w:val="auto"/>
          <w:szCs w:val="21"/>
          <w:highlight w:val="none"/>
        </w:rPr>
        <w:t>万元以下的为中小微型企业。其中，从业人员</w:t>
      </w:r>
      <w:r>
        <w:rPr>
          <w:color w:val="auto"/>
          <w:szCs w:val="21"/>
          <w:highlight w:val="none"/>
        </w:rPr>
        <w:t>300</w:t>
      </w:r>
      <w:r>
        <w:rPr>
          <w:rFonts w:hint="eastAsia"/>
          <w:color w:val="auto"/>
          <w:szCs w:val="21"/>
          <w:highlight w:val="none"/>
        </w:rPr>
        <w:t>人及以上，且营业收入</w:t>
      </w:r>
      <w:r>
        <w:rPr>
          <w:color w:val="auto"/>
          <w:szCs w:val="21"/>
          <w:highlight w:val="none"/>
        </w:rPr>
        <w:t>2000</w:t>
      </w:r>
      <w:r>
        <w:rPr>
          <w:rFonts w:hint="eastAsia"/>
          <w:color w:val="auto"/>
          <w:szCs w:val="21"/>
          <w:highlight w:val="none"/>
        </w:rPr>
        <w:t>万元及以上的为中型企业；从业人员</w:t>
      </w:r>
      <w:r>
        <w:rPr>
          <w:color w:val="auto"/>
          <w:szCs w:val="21"/>
          <w:highlight w:val="none"/>
        </w:rPr>
        <w:t>20</w:t>
      </w:r>
      <w:r>
        <w:rPr>
          <w:rFonts w:hint="eastAsia"/>
          <w:color w:val="auto"/>
          <w:szCs w:val="21"/>
          <w:highlight w:val="none"/>
        </w:rPr>
        <w:t>人及以上，且营业收入</w:t>
      </w:r>
      <w:r>
        <w:rPr>
          <w:color w:val="auto"/>
          <w:szCs w:val="21"/>
          <w:highlight w:val="none"/>
        </w:rPr>
        <w:t>100</w:t>
      </w:r>
      <w:r>
        <w:rPr>
          <w:rFonts w:hint="eastAsia"/>
          <w:color w:val="auto"/>
          <w:szCs w:val="21"/>
          <w:highlight w:val="none"/>
        </w:rPr>
        <w:t>万元及以上的为小型企业；从业人员</w:t>
      </w:r>
      <w:r>
        <w:rPr>
          <w:color w:val="auto"/>
          <w:szCs w:val="21"/>
          <w:highlight w:val="none"/>
        </w:rPr>
        <w:t>20</w:t>
      </w:r>
      <w:r>
        <w:rPr>
          <w:rFonts w:hint="eastAsia"/>
          <w:color w:val="auto"/>
          <w:szCs w:val="21"/>
          <w:highlight w:val="none"/>
        </w:rPr>
        <w:t>人以下或营业收入</w:t>
      </w:r>
      <w:r>
        <w:rPr>
          <w:color w:val="auto"/>
          <w:szCs w:val="21"/>
          <w:highlight w:val="none"/>
        </w:rPr>
        <w:t>100</w:t>
      </w:r>
      <w:r>
        <w:rPr>
          <w:rFonts w:hint="eastAsia"/>
          <w:color w:val="auto"/>
          <w:szCs w:val="21"/>
          <w:highlight w:val="none"/>
        </w:rPr>
        <w:t>万元以下的为微型企业。</w:t>
      </w:r>
    </w:p>
    <w:p w14:paraId="0977DCB8">
      <w:pPr>
        <w:pStyle w:val="2"/>
        <w:rPr>
          <w:color w:val="auto"/>
          <w:szCs w:val="21"/>
          <w:highlight w:val="none"/>
        </w:rPr>
      </w:pPr>
      <w:r>
        <w:rPr>
          <w:rFonts w:hint="eastAsia"/>
          <w:color w:val="auto"/>
          <w:szCs w:val="21"/>
          <w:highlight w:val="none"/>
        </w:rPr>
        <w:t>　　（九）住宿业。从业人员</w:t>
      </w:r>
      <w:r>
        <w:rPr>
          <w:color w:val="auto"/>
          <w:szCs w:val="21"/>
          <w:highlight w:val="none"/>
        </w:rPr>
        <w:t>300</w:t>
      </w:r>
      <w:r>
        <w:rPr>
          <w:rFonts w:hint="eastAsia"/>
          <w:color w:val="auto"/>
          <w:szCs w:val="21"/>
          <w:highlight w:val="none"/>
        </w:rPr>
        <w:t>人以下或营业收入</w:t>
      </w:r>
      <w:r>
        <w:rPr>
          <w:color w:val="auto"/>
          <w:szCs w:val="21"/>
          <w:highlight w:val="none"/>
        </w:rPr>
        <w:t>10000</w:t>
      </w:r>
      <w:r>
        <w:rPr>
          <w:rFonts w:hint="eastAsia"/>
          <w:color w:val="auto"/>
          <w:szCs w:val="21"/>
          <w:highlight w:val="none"/>
        </w:rPr>
        <w:t>万元以下的为中小微型企业。其中，从业人员</w:t>
      </w:r>
      <w:r>
        <w:rPr>
          <w:color w:val="auto"/>
          <w:szCs w:val="21"/>
          <w:highlight w:val="none"/>
        </w:rPr>
        <w:t>100</w:t>
      </w:r>
      <w:r>
        <w:rPr>
          <w:rFonts w:hint="eastAsia"/>
          <w:color w:val="auto"/>
          <w:szCs w:val="21"/>
          <w:highlight w:val="none"/>
        </w:rPr>
        <w:t>人及以上，且营业收入</w:t>
      </w:r>
      <w:r>
        <w:rPr>
          <w:color w:val="auto"/>
          <w:szCs w:val="21"/>
          <w:highlight w:val="none"/>
        </w:rPr>
        <w:t>2000</w:t>
      </w:r>
      <w:r>
        <w:rPr>
          <w:rFonts w:hint="eastAsia"/>
          <w:color w:val="auto"/>
          <w:szCs w:val="21"/>
          <w:highlight w:val="none"/>
        </w:rPr>
        <w:t>万元及以上的为中型企业；从业人员</w:t>
      </w:r>
      <w:r>
        <w:rPr>
          <w:color w:val="auto"/>
          <w:szCs w:val="21"/>
          <w:highlight w:val="none"/>
        </w:rPr>
        <w:t>10</w:t>
      </w:r>
      <w:r>
        <w:rPr>
          <w:rFonts w:hint="eastAsia"/>
          <w:color w:val="auto"/>
          <w:szCs w:val="21"/>
          <w:highlight w:val="none"/>
        </w:rPr>
        <w:t>人及以上，且营业收入</w:t>
      </w:r>
      <w:r>
        <w:rPr>
          <w:color w:val="auto"/>
          <w:szCs w:val="21"/>
          <w:highlight w:val="none"/>
        </w:rPr>
        <w:t>100</w:t>
      </w:r>
      <w:r>
        <w:rPr>
          <w:rFonts w:hint="eastAsia"/>
          <w:color w:val="auto"/>
          <w:szCs w:val="21"/>
          <w:highlight w:val="none"/>
        </w:rPr>
        <w:t>万元及以上的为小型企业；从业人员</w:t>
      </w:r>
      <w:r>
        <w:rPr>
          <w:color w:val="auto"/>
          <w:szCs w:val="21"/>
          <w:highlight w:val="none"/>
        </w:rPr>
        <w:t>10</w:t>
      </w:r>
      <w:r>
        <w:rPr>
          <w:rFonts w:hint="eastAsia"/>
          <w:color w:val="auto"/>
          <w:szCs w:val="21"/>
          <w:highlight w:val="none"/>
        </w:rPr>
        <w:t>人以下或营业收入</w:t>
      </w:r>
      <w:r>
        <w:rPr>
          <w:color w:val="auto"/>
          <w:szCs w:val="21"/>
          <w:highlight w:val="none"/>
        </w:rPr>
        <w:t>100</w:t>
      </w:r>
      <w:r>
        <w:rPr>
          <w:rFonts w:hint="eastAsia"/>
          <w:color w:val="auto"/>
          <w:szCs w:val="21"/>
          <w:highlight w:val="none"/>
        </w:rPr>
        <w:t>万元以下的为微型企业。</w:t>
      </w:r>
    </w:p>
    <w:p w14:paraId="565B3D08">
      <w:pPr>
        <w:pStyle w:val="2"/>
        <w:rPr>
          <w:color w:val="auto"/>
          <w:szCs w:val="21"/>
          <w:highlight w:val="none"/>
        </w:rPr>
      </w:pPr>
      <w:r>
        <w:rPr>
          <w:rFonts w:hint="eastAsia"/>
          <w:color w:val="auto"/>
          <w:szCs w:val="21"/>
          <w:highlight w:val="none"/>
        </w:rPr>
        <w:t>　　（十）餐饮业。从业人员</w:t>
      </w:r>
      <w:r>
        <w:rPr>
          <w:color w:val="auto"/>
          <w:szCs w:val="21"/>
          <w:highlight w:val="none"/>
        </w:rPr>
        <w:t>300</w:t>
      </w:r>
      <w:r>
        <w:rPr>
          <w:rFonts w:hint="eastAsia"/>
          <w:color w:val="auto"/>
          <w:szCs w:val="21"/>
          <w:highlight w:val="none"/>
        </w:rPr>
        <w:t>人以下或营业收入</w:t>
      </w:r>
      <w:r>
        <w:rPr>
          <w:color w:val="auto"/>
          <w:szCs w:val="21"/>
          <w:highlight w:val="none"/>
        </w:rPr>
        <w:t>10000</w:t>
      </w:r>
      <w:r>
        <w:rPr>
          <w:rFonts w:hint="eastAsia"/>
          <w:color w:val="auto"/>
          <w:szCs w:val="21"/>
          <w:highlight w:val="none"/>
        </w:rPr>
        <w:t>万元以下的为中小微型企业。其中，从业人员</w:t>
      </w:r>
      <w:r>
        <w:rPr>
          <w:color w:val="auto"/>
          <w:szCs w:val="21"/>
          <w:highlight w:val="none"/>
        </w:rPr>
        <w:t>100</w:t>
      </w:r>
      <w:r>
        <w:rPr>
          <w:rFonts w:hint="eastAsia"/>
          <w:color w:val="auto"/>
          <w:szCs w:val="21"/>
          <w:highlight w:val="none"/>
        </w:rPr>
        <w:t>人及以上，且营业收入</w:t>
      </w:r>
      <w:r>
        <w:rPr>
          <w:color w:val="auto"/>
          <w:szCs w:val="21"/>
          <w:highlight w:val="none"/>
        </w:rPr>
        <w:t>2000</w:t>
      </w:r>
      <w:r>
        <w:rPr>
          <w:rFonts w:hint="eastAsia"/>
          <w:color w:val="auto"/>
          <w:szCs w:val="21"/>
          <w:highlight w:val="none"/>
        </w:rPr>
        <w:t>万元及以上的为中型企业；从业人员</w:t>
      </w:r>
      <w:r>
        <w:rPr>
          <w:color w:val="auto"/>
          <w:szCs w:val="21"/>
          <w:highlight w:val="none"/>
        </w:rPr>
        <w:t>10</w:t>
      </w:r>
      <w:r>
        <w:rPr>
          <w:rFonts w:hint="eastAsia"/>
          <w:color w:val="auto"/>
          <w:szCs w:val="21"/>
          <w:highlight w:val="none"/>
        </w:rPr>
        <w:t>人及以上，且营业收入</w:t>
      </w:r>
      <w:r>
        <w:rPr>
          <w:color w:val="auto"/>
          <w:szCs w:val="21"/>
          <w:highlight w:val="none"/>
        </w:rPr>
        <w:t>100</w:t>
      </w:r>
      <w:r>
        <w:rPr>
          <w:rFonts w:hint="eastAsia"/>
          <w:color w:val="auto"/>
          <w:szCs w:val="21"/>
          <w:highlight w:val="none"/>
        </w:rPr>
        <w:t>万元及以上的为小型企业；从业人员</w:t>
      </w:r>
      <w:r>
        <w:rPr>
          <w:color w:val="auto"/>
          <w:szCs w:val="21"/>
          <w:highlight w:val="none"/>
        </w:rPr>
        <w:t>10</w:t>
      </w:r>
      <w:r>
        <w:rPr>
          <w:rFonts w:hint="eastAsia"/>
          <w:color w:val="auto"/>
          <w:szCs w:val="21"/>
          <w:highlight w:val="none"/>
        </w:rPr>
        <w:t>人以下或营业收入</w:t>
      </w:r>
      <w:r>
        <w:rPr>
          <w:color w:val="auto"/>
          <w:szCs w:val="21"/>
          <w:highlight w:val="none"/>
        </w:rPr>
        <w:t>100</w:t>
      </w:r>
      <w:r>
        <w:rPr>
          <w:rFonts w:hint="eastAsia"/>
          <w:color w:val="auto"/>
          <w:szCs w:val="21"/>
          <w:highlight w:val="none"/>
        </w:rPr>
        <w:t>万元以下的为微型企业。</w:t>
      </w:r>
    </w:p>
    <w:p w14:paraId="054152F9">
      <w:pPr>
        <w:pStyle w:val="2"/>
        <w:rPr>
          <w:color w:val="auto"/>
          <w:szCs w:val="21"/>
          <w:highlight w:val="none"/>
        </w:rPr>
      </w:pPr>
      <w:r>
        <w:rPr>
          <w:rFonts w:hint="eastAsia"/>
          <w:color w:val="auto"/>
          <w:szCs w:val="21"/>
          <w:highlight w:val="none"/>
        </w:rPr>
        <w:t>　　（十一）信息传输业。从业人员</w:t>
      </w:r>
      <w:r>
        <w:rPr>
          <w:color w:val="auto"/>
          <w:szCs w:val="21"/>
          <w:highlight w:val="none"/>
        </w:rPr>
        <w:t>2000</w:t>
      </w:r>
      <w:r>
        <w:rPr>
          <w:rFonts w:hint="eastAsia"/>
          <w:color w:val="auto"/>
          <w:szCs w:val="21"/>
          <w:highlight w:val="none"/>
        </w:rPr>
        <w:t>人以下或营业收入</w:t>
      </w:r>
      <w:r>
        <w:rPr>
          <w:color w:val="auto"/>
          <w:szCs w:val="21"/>
          <w:highlight w:val="none"/>
        </w:rPr>
        <w:t>100000</w:t>
      </w:r>
      <w:r>
        <w:rPr>
          <w:rFonts w:hint="eastAsia"/>
          <w:color w:val="auto"/>
          <w:szCs w:val="21"/>
          <w:highlight w:val="none"/>
        </w:rPr>
        <w:t>万元以下的为中小微型企业。其中，从业人员</w:t>
      </w:r>
      <w:r>
        <w:rPr>
          <w:color w:val="auto"/>
          <w:szCs w:val="21"/>
          <w:highlight w:val="none"/>
        </w:rPr>
        <w:t>100</w:t>
      </w:r>
      <w:r>
        <w:rPr>
          <w:rFonts w:hint="eastAsia"/>
          <w:color w:val="auto"/>
          <w:szCs w:val="21"/>
          <w:highlight w:val="none"/>
        </w:rPr>
        <w:t>人及以上，且营业收入</w:t>
      </w:r>
      <w:r>
        <w:rPr>
          <w:color w:val="auto"/>
          <w:szCs w:val="21"/>
          <w:highlight w:val="none"/>
        </w:rPr>
        <w:t>1000</w:t>
      </w:r>
      <w:r>
        <w:rPr>
          <w:rFonts w:hint="eastAsia"/>
          <w:color w:val="auto"/>
          <w:szCs w:val="21"/>
          <w:highlight w:val="none"/>
        </w:rPr>
        <w:t>万元及以上的为中型企业；从业人员</w:t>
      </w:r>
      <w:r>
        <w:rPr>
          <w:color w:val="auto"/>
          <w:szCs w:val="21"/>
          <w:highlight w:val="none"/>
        </w:rPr>
        <w:t>10</w:t>
      </w:r>
      <w:r>
        <w:rPr>
          <w:rFonts w:hint="eastAsia"/>
          <w:color w:val="auto"/>
          <w:szCs w:val="21"/>
          <w:highlight w:val="none"/>
        </w:rPr>
        <w:t>人及以上，且营业收入</w:t>
      </w:r>
      <w:r>
        <w:rPr>
          <w:color w:val="auto"/>
          <w:szCs w:val="21"/>
          <w:highlight w:val="none"/>
        </w:rPr>
        <w:t>100</w:t>
      </w:r>
      <w:r>
        <w:rPr>
          <w:rFonts w:hint="eastAsia"/>
          <w:color w:val="auto"/>
          <w:szCs w:val="21"/>
          <w:highlight w:val="none"/>
        </w:rPr>
        <w:t>万元及以上的为小型企业；从业人员</w:t>
      </w:r>
      <w:r>
        <w:rPr>
          <w:color w:val="auto"/>
          <w:szCs w:val="21"/>
          <w:highlight w:val="none"/>
        </w:rPr>
        <w:t>10</w:t>
      </w:r>
      <w:r>
        <w:rPr>
          <w:rFonts w:hint="eastAsia"/>
          <w:color w:val="auto"/>
          <w:szCs w:val="21"/>
          <w:highlight w:val="none"/>
        </w:rPr>
        <w:t>人以下或营业收入</w:t>
      </w:r>
      <w:r>
        <w:rPr>
          <w:color w:val="auto"/>
          <w:szCs w:val="21"/>
          <w:highlight w:val="none"/>
        </w:rPr>
        <w:t>100</w:t>
      </w:r>
      <w:r>
        <w:rPr>
          <w:rFonts w:hint="eastAsia"/>
          <w:color w:val="auto"/>
          <w:szCs w:val="21"/>
          <w:highlight w:val="none"/>
        </w:rPr>
        <w:t>万元以下的为微型企业。</w:t>
      </w:r>
    </w:p>
    <w:p w14:paraId="3618BF9F">
      <w:pPr>
        <w:pStyle w:val="2"/>
        <w:rPr>
          <w:color w:val="auto"/>
          <w:szCs w:val="21"/>
          <w:highlight w:val="none"/>
        </w:rPr>
      </w:pPr>
      <w:r>
        <w:rPr>
          <w:rFonts w:hint="eastAsia"/>
          <w:color w:val="auto"/>
          <w:szCs w:val="21"/>
          <w:highlight w:val="none"/>
        </w:rPr>
        <w:t>　　（十二）软件和信息技术服务业。从业人员</w:t>
      </w:r>
      <w:r>
        <w:rPr>
          <w:color w:val="auto"/>
          <w:szCs w:val="21"/>
          <w:highlight w:val="none"/>
        </w:rPr>
        <w:t>300</w:t>
      </w:r>
      <w:r>
        <w:rPr>
          <w:rFonts w:hint="eastAsia"/>
          <w:color w:val="auto"/>
          <w:szCs w:val="21"/>
          <w:highlight w:val="none"/>
        </w:rPr>
        <w:t>人以下或营业收入</w:t>
      </w:r>
      <w:r>
        <w:rPr>
          <w:color w:val="auto"/>
          <w:szCs w:val="21"/>
          <w:highlight w:val="none"/>
        </w:rPr>
        <w:t>10000</w:t>
      </w:r>
      <w:r>
        <w:rPr>
          <w:rFonts w:hint="eastAsia"/>
          <w:color w:val="auto"/>
          <w:szCs w:val="21"/>
          <w:highlight w:val="none"/>
        </w:rPr>
        <w:t>万元以下的为中小微型企业。其中，从业人员</w:t>
      </w:r>
      <w:r>
        <w:rPr>
          <w:color w:val="auto"/>
          <w:szCs w:val="21"/>
          <w:highlight w:val="none"/>
        </w:rPr>
        <w:t>100</w:t>
      </w:r>
      <w:r>
        <w:rPr>
          <w:rFonts w:hint="eastAsia"/>
          <w:color w:val="auto"/>
          <w:szCs w:val="21"/>
          <w:highlight w:val="none"/>
        </w:rPr>
        <w:t>人及以上，且营业收入</w:t>
      </w:r>
      <w:r>
        <w:rPr>
          <w:color w:val="auto"/>
          <w:szCs w:val="21"/>
          <w:highlight w:val="none"/>
        </w:rPr>
        <w:t>1000</w:t>
      </w:r>
      <w:r>
        <w:rPr>
          <w:rFonts w:hint="eastAsia"/>
          <w:color w:val="auto"/>
          <w:szCs w:val="21"/>
          <w:highlight w:val="none"/>
        </w:rPr>
        <w:t>万元及以上的为中型企业；从业人员</w:t>
      </w:r>
      <w:r>
        <w:rPr>
          <w:color w:val="auto"/>
          <w:szCs w:val="21"/>
          <w:highlight w:val="none"/>
        </w:rPr>
        <w:t>10</w:t>
      </w:r>
      <w:r>
        <w:rPr>
          <w:rFonts w:hint="eastAsia"/>
          <w:color w:val="auto"/>
          <w:szCs w:val="21"/>
          <w:highlight w:val="none"/>
        </w:rPr>
        <w:t>人及以上，且营业收入</w:t>
      </w:r>
      <w:r>
        <w:rPr>
          <w:color w:val="auto"/>
          <w:szCs w:val="21"/>
          <w:highlight w:val="none"/>
        </w:rPr>
        <w:t>50</w:t>
      </w:r>
      <w:r>
        <w:rPr>
          <w:rFonts w:hint="eastAsia"/>
          <w:color w:val="auto"/>
          <w:szCs w:val="21"/>
          <w:highlight w:val="none"/>
        </w:rPr>
        <w:t>万元及以上的为小型企业；从业人员</w:t>
      </w:r>
      <w:r>
        <w:rPr>
          <w:color w:val="auto"/>
          <w:szCs w:val="21"/>
          <w:highlight w:val="none"/>
        </w:rPr>
        <w:t>10</w:t>
      </w:r>
      <w:r>
        <w:rPr>
          <w:rFonts w:hint="eastAsia"/>
          <w:color w:val="auto"/>
          <w:szCs w:val="21"/>
          <w:highlight w:val="none"/>
        </w:rPr>
        <w:t>人以下或营业收入</w:t>
      </w:r>
      <w:r>
        <w:rPr>
          <w:color w:val="auto"/>
          <w:szCs w:val="21"/>
          <w:highlight w:val="none"/>
        </w:rPr>
        <w:t>50</w:t>
      </w:r>
      <w:r>
        <w:rPr>
          <w:rFonts w:hint="eastAsia"/>
          <w:color w:val="auto"/>
          <w:szCs w:val="21"/>
          <w:highlight w:val="none"/>
        </w:rPr>
        <w:t>万元以下的为微型企业。</w:t>
      </w:r>
    </w:p>
    <w:p w14:paraId="6E7C1432">
      <w:pPr>
        <w:pStyle w:val="2"/>
        <w:rPr>
          <w:color w:val="auto"/>
          <w:szCs w:val="21"/>
          <w:highlight w:val="none"/>
        </w:rPr>
      </w:pPr>
      <w:r>
        <w:rPr>
          <w:rFonts w:hint="eastAsia"/>
          <w:color w:val="auto"/>
          <w:szCs w:val="21"/>
          <w:highlight w:val="none"/>
        </w:rPr>
        <w:t>　　（十三）房地产开发经营。营业收入</w:t>
      </w:r>
      <w:r>
        <w:rPr>
          <w:color w:val="auto"/>
          <w:szCs w:val="21"/>
          <w:highlight w:val="none"/>
        </w:rPr>
        <w:t>200000</w:t>
      </w:r>
      <w:r>
        <w:rPr>
          <w:rFonts w:hint="eastAsia"/>
          <w:color w:val="auto"/>
          <w:szCs w:val="21"/>
          <w:highlight w:val="none"/>
        </w:rPr>
        <w:t>万元以下或资产总额</w:t>
      </w:r>
      <w:r>
        <w:rPr>
          <w:color w:val="auto"/>
          <w:szCs w:val="21"/>
          <w:highlight w:val="none"/>
        </w:rPr>
        <w:t>10000</w:t>
      </w:r>
      <w:r>
        <w:rPr>
          <w:rFonts w:hint="eastAsia"/>
          <w:color w:val="auto"/>
          <w:szCs w:val="21"/>
          <w:highlight w:val="none"/>
        </w:rPr>
        <w:t>万元以下的为中小微型企业。其中，营业收入</w:t>
      </w:r>
      <w:r>
        <w:rPr>
          <w:color w:val="auto"/>
          <w:szCs w:val="21"/>
          <w:highlight w:val="none"/>
        </w:rPr>
        <w:t>1000</w:t>
      </w:r>
      <w:r>
        <w:rPr>
          <w:rFonts w:hint="eastAsia"/>
          <w:color w:val="auto"/>
          <w:szCs w:val="21"/>
          <w:highlight w:val="none"/>
        </w:rPr>
        <w:t>万元及以上，且资产总额</w:t>
      </w:r>
      <w:r>
        <w:rPr>
          <w:color w:val="auto"/>
          <w:szCs w:val="21"/>
          <w:highlight w:val="none"/>
        </w:rPr>
        <w:t>5000</w:t>
      </w:r>
      <w:r>
        <w:rPr>
          <w:rFonts w:hint="eastAsia"/>
          <w:color w:val="auto"/>
          <w:szCs w:val="21"/>
          <w:highlight w:val="none"/>
        </w:rPr>
        <w:t>万元及以上的为中型企业；营业收入</w:t>
      </w:r>
      <w:r>
        <w:rPr>
          <w:color w:val="auto"/>
          <w:szCs w:val="21"/>
          <w:highlight w:val="none"/>
        </w:rPr>
        <w:t>100</w:t>
      </w:r>
      <w:r>
        <w:rPr>
          <w:rFonts w:hint="eastAsia"/>
          <w:color w:val="auto"/>
          <w:szCs w:val="21"/>
          <w:highlight w:val="none"/>
        </w:rPr>
        <w:t>万元及以上，且资产总额</w:t>
      </w:r>
      <w:r>
        <w:rPr>
          <w:color w:val="auto"/>
          <w:szCs w:val="21"/>
          <w:highlight w:val="none"/>
        </w:rPr>
        <w:t>2000</w:t>
      </w:r>
      <w:r>
        <w:rPr>
          <w:rFonts w:hint="eastAsia"/>
          <w:color w:val="auto"/>
          <w:szCs w:val="21"/>
          <w:highlight w:val="none"/>
        </w:rPr>
        <w:t>万元及以上的为小型企业；营业收入</w:t>
      </w:r>
      <w:r>
        <w:rPr>
          <w:color w:val="auto"/>
          <w:szCs w:val="21"/>
          <w:highlight w:val="none"/>
        </w:rPr>
        <w:t>100</w:t>
      </w:r>
      <w:r>
        <w:rPr>
          <w:rFonts w:hint="eastAsia"/>
          <w:color w:val="auto"/>
          <w:szCs w:val="21"/>
          <w:highlight w:val="none"/>
        </w:rPr>
        <w:t>万元以下或资产总额</w:t>
      </w:r>
      <w:r>
        <w:rPr>
          <w:color w:val="auto"/>
          <w:szCs w:val="21"/>
          <w:highlight w:val="none"/>
        </w:rPr>
        <w:t>2000</w:t>
      </w:r>
      <w:r>
        <w:rPr>
          <w:rFonts w:hint="eastAsia"/>
          <w:color w:val="auto"/>
          <w:szCs w:val="21"/>
          <w:highlight w:val="none"/>
        </w:rPr>
        <w:t>万元以下的为微型企业。</w:t>
      </w:r>
    </w:p>
    <w:p w14:paraId="291FAF69">
      <w:pPr>
        <w:pStyle w:val="2"/>
        <w:rPr>
          <w:color w:val="auto"/>
          <w:szCs w:val="21"/>
          <w:highlight w:val="none"/>
        </w:rPr>
      </w:pPr>
      <w:r>
        <w:rPr>
          <w:rFonts w:hint="eastAsia"/>
          <w:color w:val="auto"/>
          <w:szCs w:val="21"/>
          <w:highlight w:val="none"/>
        </w:rPr>
        <w:t>　　（十四）物业管理。从业人员</w:t>
      </w:r>
      <w:r>
        <w:rPr>
          <w:color w:val="auto"/>
          <w:szCs w:val="21"/>
          <w:highlight w:val="none"/>
        </w:rPr>
        <w:t>1000</w:t>
      </w:r>
      <w:r>
        <w:rPr>
          <w:rFonts w:hint="eastAsia"/>
          <w:color w:val="auto"/>
          <w:szCs w:val="21"/>
          <w:highlight w:val="none"/>
        </w:rPr>
        <w:t>人以下或营业收入</w:t>
      </w:r>
      <w:r>
        <w:rPr>
          <w:color w:val="auto"/>
          <w:szCs w:val="21"/>
          <w:highlight w:val="none"/>
        </w:rPr>
        <w:t>5000</w:t>
      </w:r>
      <w:r>
        <w:rPr>
          <w:rFonts w:hint="eastAsia"/>
          <w:color w:val="auto"/>
          <w:szCs w:val="21"/>
          <w:highlight w:val="none"/>
        </w:rPr>
        <w:t>万元以下的为中小微型企业。其中，从业人员</w:t>
      </w:r>
      <w:r>
        <w:rPr>
          <w:color w:val="auto"/>
          <w:szCs w:val="21"/>
          <w:highlight w:val="none"/>
        </w:rPr>
        <w:t>300</w:t>
      </w:r>
      <w:r>
        <w:rPr>
          <w:rFonts w:hint="eastAsia"/>
          <w:color w:val="auto"/>
          <w:szCs w:val="21"/>
          <w:highlight w:val="none"/>
        </w:rPr>
        <w:t>人及以上，且营业收入</w:t>
      </w:r>
      <w:r>
        <w:rPr>
          <w:color w:val="auto"/>
          <w:szCs w:val="21"/>
          <w:highlight w:val="none"/>
        </w:rPr>
        <w:t>1000</w:t>
      </w:r>
      <w:r>
        <w:rPr>
          <w:rFonts w:hint="eastAsia"/>
          <w:color w:val="auto"/>
          <w:szCs w:val="21"/>
          <w:highlight w:val="none"/>
        </w:rPr>
        <w:t>万元及以上的为中型企业；从业人员</w:t>
      </w:r>
      <w:r>
        <w:rPr>
          <w:color w:val="auto"/>
          <w:szCs w:val="21"/>
          <w:highlight w:val="none"/>
        </w:rPr>
        <w:t>100</w:t>
      </w:r>
      <w:r>
        <w:rPr>
          <w:rFonts w:hint="eastAsia"/>
          <w:color w:val="auto"/>
          <w:szCs w:val="21"/>
          <w:highlight w:val="none"/>
        </w:rPr>
        <w:t>人及以上，且营业收入</w:t>
      </w:r>
      <w:r>
        <w:rPr>
          <w:color w:val="auto"/>
          <w:szCs w:val="21"/>
          <w:highlight w:val="none"/>
        </w:rPr>
        <w:t>500</w:t>
      </w:r>
      <w:r>
        <w:rPr>
          <w:rFonts w:hint="eastAsia"/>
          <w:color w:val="auto"/>
          <w:szCs w:val="21"/>
          <w:highlight w:val="none"/>
        </w:rPr>
        <w:t>万元及以上的为小型企业；从业人员</w:t>
      </w:r>
      <w:r>
        <w:rPr>
          <w:color w:val="auto"/>
          <w:szCs w:val="21"/>
          <w:highlight w:val="none"/>
        </w:rPr>
        <w:t>100</w:t>
      </w:r>
      <w:r>
        <w:rPr>
          <w:rFonts w:hint="eastAsia"/>
          <w:color w:val="auto"/>
          <w:szCs w:val="21"/>
          <w:highlight w:val="none"/>
        </w:rPr>
        <w:t>人以下或营业收入</w:t>
      </w:r>
      <w:r>
        <w:rPr>
          <w:color w:val="auto"/>
          <w:szCs w:val="21"/>
          <w:highlight w:val="none"/>
        </w:rPr>
        <w:t>500</w:t>
      </w:r>
      <w:r>
        <w:rPr>
          <w:rFonts w:hint="eastAsia"/>
          <w:color w:val="auto"/>
          <w:szCs w:val="21"/>
          <w:highlight w:val="none"/>
        </w:rPr>
        <w:t>万元以下的为微型企业。</w:t>
      </w:r>
    </w:p>
    <w:p w14:paraId="3F9922B1">
      <w:pPr>
        <w:pStyle w:val="2"/>
        <w:rPr>
          <w:color w:val="auto"/>
          <w:szCs w:val="21"/>
          <w:highlight w:val="none"/>
        </w:rPr>
      </w:pPr>
      <w:r>
        <w:rPr>
          <w:rFonts w:hint="eastAsia"/>
          <w:color w:val="auto"/>
          <w:szCs w:val="21"/>
          <w:highlight w:val="none"/>
        </w:rPr>
        <w:t>　　（十五）租赁和商务服务业。从业人员</w:t>
      </w:r>
      <w:r>
        <w:rPr>
          <w:color w:val="auto"/>
          <w:szCs w:val="21"/>
          <w:highlight w:val="none"/>
        </w:rPr>
        <w:t>300</w:t>
      </w:r>
      <w:r>
        <w:rPr>
          <w:rFonts w:hint="eastAsia"/>
          <w:color w:val="auto"/>
          <w:szCs w:val="21"/>
          <w:highlight w:val="none"/>
        </w:rPr>
        <w:t>人以下或资产总额</w:t>
      </w:r>
      <w:r>
        <w:rPr>
          <w:color w:val="auto"/>
          <w:szCs w:val="21"/>
          <w:highlight w:val="none"/>
        </w:rPr>
        <w:t>120000</w:t>
      </w:r>
      <w:r>
        <w:rPr>
          <w:rFonts w:hint="eastAsia"/>
          <w:color w:val="auto"/>
          <w:szCs w:val="21"/>
          <w:highlight w:val="none"/>
        </w:rPr>
        <w:t>万元以下的为中小微型企业。其中，从业人员</w:t>
      </w:r>
      <w:r>
        <w:rPr>
          <w:color w:val="auto"/>
          <w:szCs w:val="21"/>
          <w:highlight w:val="none"/>
        </w:rPr>
        <w:t>100</w:t>
      </w:r>
      <w:r>
        <w:rPr>
          <w:rFonts w:hint="eastAsia"/>
          <w:color w:val="auto"/>
          <w:szCs w:val="21"/>
          <w:highlight w:val="none"/>
        </w:rPr>
        <w:t>人及以上，且资产总额</w:t>
      </w:r>
      <w:r>
        <w:rPr>
          <w:color w:val="auto"/>
          <w:szCs w:val="21"/>
          <w:highlight w:val="none"/>
        </w:rPr>
        <w:t>8000</w:t>
      </w:r>
      <w:r>
        <w:rPr>
          <w:rFonts w:hint="eastAsia"/>
          <w:color w:val="auto"/>
          <w:szCs w:val="21"/>
          <w:highlight w:val="none"/>
        </w:rPr>
        <w:t>万元及以上的为中型企业；从业人员</w:t>
      </w:r>
      <w:r>
        <w:rPr>
          <w:color w:val="auto"/>
          <w:szCs w:val="21"/>
          <w:highlight w:val="none"/>
        </w:rPr>
        <w:t>10</w:t>
      </w:r>
      <w:r>
        <w:rPr>
          <w:rFonts w:hint="eastAsia"/>
          <w:color w:val="auto"/>
          <w:szCs w:val="21"/>
          <w:highlight w:val="none"/>
        </w:rPr>
        <w:t>人及以上，且资产总额</w:t>
      </w:r>
      <w:r>
        <w:rPr>
          <w:color w:val="auto"/>
          <w:szCs w:val="21"/>
          <w:highlight w:val="none"/>
        </w:rPr>
        <w:t>100</w:t>
      </w:r>
      <w:r>
        <w:rPr>
          <w:rFonts w:hint="eastAsia"/>
          <w:color w:val="auto"/>
          <w:szCs w:val="21"/>
          <w:highlight w:val="none"/>
        </w:rPr>
        <w:t>万元及以上的为小型企业；从业人员</w:t>
      </w:r>
      <w:r>
        <w:rPr>
          <w:color w:val="auto"/>
          <w:szCs w:val="21"/>
          <w:highlight w:val="none"/>
        </w:rPr>
        <w:t>10</w:t>
      </w:r>
      <w:r>
        <w:rPr>
          <w:rFonts w:hint="eastAsia"/>
          <w:color w:val="auto"/>
          <w:szCs w:val="21"/>
          <w:highlight w:val="none"/>
        </w:rPr>
        <w:t>人以下或资产总额</w:t>
      </w:r>
      <w:r>
        <w:rPr>
          <w:color w:val="auto"/>
          <w:szCs w:val="21"/>
          <w:highlight w:val="none"/>
        </w:rPr>
        <w:t>100</w:t>
      </w:r>
      <w:r>
        <w:rPr>
          <w:rFonts w:hint="eastAsia"/>
          <w:color w:val="auto"/>
          <w:szCs w:val="21"/>
          <w:highlight w:val="none"/>
        </w:rPr>
        <w:t>万元以下的为微型企业。</w:t>
      </w:r>
    </w:p>
    <w:p w14:paraId="70D4A814">
      <w:pPr>
        <w:pStyle w:val="2"/>
        <w:rPr>
          <w:color w:val="auto"/>
          <w:szCs w:val="21"/>
          <w:highlight w:val="none"/>
        </w:rPr>
      </w:pPr>
      <w:r>
        <w:rPr>
          <w:rFonts w:hint="eastAsia"/>
          <w:color w:val="auto"/>
          <w:szCs w:val="21"/>
          <w:highlight w:val="none"/>
        </w:rPr>
        <w:t>　　（十六）其他未列明行业。从业人员</w:t>
      </w:r>
      <w:r>
        <w:rPr>
          <w:color w:val="auto"/>
          <w:szCs w:val="21"/>
          <w:highlight w:val="none"/>
        </w:rPr>
        <w:t>300</w:t>
      </w:r>
      <w:r>
        <w:rPr>
          <w:rFonts w:hint="eastAsia"/>
          <w:color w:val="auto"/>
          <w:szCs w:val="21"/>
          <w:highlight w:val="none"/>
        </w:rPr>
        <w:t>人以下的为中小微型企业。其中，从业人员</w:t>
      </w:r>
      <w:r>
        <w:rPr>
          <w:color w:val="auto"/>
          <w:szCs w:val="21"/>
          <w:highlight w:val="none"/>
        </w:rPr>
        <w:t>100</w:t>
      </w:r>
      <w:r>
        <w:rPr>
          <w:rFonts w:hint="eastAsia"/>
          <w:color w:val="auto"/>
          <w:szCs w:val="21"/>
          <w:highlight w:val="none"/>
        </w:rPr>
        <w:t>人及以上的为中型企业；从业人员</w:t>
      </w:r>
      <w:r>
        <w:rPr>
          <w:color w:val="auto"/>
          <w:szCs w:val="21"/>
          <w:highlight w:val="none"/>
        </w:rPr>
        <w:t>10</w:t>
      </w:r>
      <w:r>
        <w:rPr>
          <w:rFonts w:hint="eastAsia"/>
          <w:color w:val="auto"/>
          <w:szCs w:val="21"/>
          <w:highlight w:val="none"/>
        </w:rPr>
        <w:t>人及以上的为小型企业；从业人员</w:t>
      </w:r>
      <w:r>
        <w:rPr>
          <w:color w:val="auto"/>
          <w:szCs w:val="21"/>
          <w:highlight w:val="none"/>
        </w:rPr>
        <w:t>10</w:t>
      </w:r>
      <w:r>
        <w:rPr>
          <w:rFonts w:hint="eastAsia"/>
          <w:color w:val="auto"/>
          <w:szCs w:val="21"/>
          <w:highlight w:val="none"/>
        </w:rPr>
        <w:t>人以下的为微型企业。</w:t>
      </w:r>
    </w:p>
    <w:p w14:paraId="294107EB">
      <w:pPr>
        <w:pStyle w:val="2"/>
        <w:rPr>
          <w:color w:val="auto"/>
          <w:szCs w:val="21"/>
          <w:highlight w:val="none"/>
        </w:rPr>
      </w:pPr>
      <w:r>
        <w:rPr>
          <w:rFonts w:hint="eastAsia"/>
          <w:color w:val="auto"/>
          <w:szCs w:val="21"/>
          <w:highlight w:val="none"/>
        </w:rPr>
        <w:t>　　五、企业类型的划分以统计部门的统计数据为依据。</w:t>
      </w:r>
    </w:p>
    <w:p w14:paraId="3ED99791">
      <w:pPr>
        <w:pStyle w:val="2"/>
        <w:rPr>
          <w:color w:val="auto"/>
          <w:szCs w:val="21"/>
          <w:highlight w:val="none"/>
        </w:rPr>
      </w:pPr>
      <w:r>
        <w:rPr>
          <w:rFonts w:hint="eastAsia"/>
          <w:color w:val="auto"/>
          <w:szCs w:val="21"/>
          <w:highlight w:val="none"/>
        </w:rPr>
        <w:t>　　六、本规定适用于在中华人民共和国境内依法设立的各类所有制和各种组织形式的企业。个体工商户和本规定以外的行业，参照本规定进行划型。</w:t>
      </w:r>
    </w:p>
    <w:p w14:paraId="3C985D4F">
      <w:pPr>
        <w:pStyle w:val="2"/>
        <w:rPr>
          <w:color w:val="auto"/>
          <w:szCs w:val="21"/>
          <w:highlight w:val="none"/>
        </w:rPr>
      </w:pPr>
      <w:r>
        <w:rPr>
          <w:rFonts w:hint="eastAsia"/>
          <w:color w:val="auto"/>
          <w:szCs w:val="21"/>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3C406C0D">
      <w:pPr>
        <w:pStyle w:val="2"/>
        <w:rPr>
          <w:color w:val="auto"/>
          <w:szCs w:val="21"/>
          <w:highlight w:val="none"/>
        </w:rPr>
      </w:pPr>
      <w:r>
        <w:rPr>
          <w:rFonts w:hint="eastAsia"/>
          <w:color w:val="auto"/>
          <w:szCs w:val="21"/>
          <w:highlight w:val="none"/>
        </w:rPr>
        <w:t>　　八、本规定由工业和信息化部、国家统计局会同有关部门根据《国民经济行业分类》修订情况和企业发展变化情况适时修订。</w:t>
      </w:r>
    </w:p>
    <w:p w14:paraId="0E7E0C16">
      <w:pPr>
        <w:pStyle w:val="2"/>
        <w:rPr>
          <w:color w:val="auto"/>
          <w:szCs w:val="21"/>
          <w:highlight w:val="none"/>
        </w:rPr>
      </w:pPr>
      <w:r>
        <w:rPr>
          <w:rFonts w:hint="eastAsia"/>
          <w:color w:val="auto"/>
          <w:szCs w:val="21"/>
          <w:highlight w:val="none"/>
        </w:rPr>
        <w:t>　　九、本规定由工业和信息化部、国家统计局会同有关部门负责解释。</w:t>
      </w:r>
    </w:p>
    <w:p w14:paraId="14A267E9">
      <w:pPr>
        <w:pStyle w:val="2"/>
        <w:ind w:firstLine="420"/>
        <w:rPr>
          <w:color w:val="auto"/>
          <w:szCs w:val="21"/>
          <w:highlight w:val="none"/>
        </w:rPr>
      </w:pPr>
      <w:r>
        <w:rPr>
          <w:rFonts w:hint="eastAsia"/>
          <w:color w:val="auto"/>
          <w:szCs w:val="21"/>
          <w:highlight w:val="none"/>
        </w:rPr>
        <w:t>十、本规定自发布之日起执行，原国家经贸委、原国家计委、财政部和国家统计局</w:t>
      </w:r>
      <w:r>
        <w:rPr>
          <w:color w:val="auto"/>
          <w:szCs w:val="21"/>
          <w:highlight w:val="none"/>
        </w:rPr>
        <w:t>2003</w:t>
      </w:r>
      <w:r>
        <w:rPr>
          <w:rFonts w:hint="eastAsia"/>
          <w:color w:val="auto"/>
          <w:szCs w:val="21"/>
          <w:highlight w:val="none"/>
        </w:rPr>
        <w:t>年颁布的《中小企业标准暂行规定》同时废止。</w:t>
      </w:r>
    </w:p>
    <w:p w14:paraId="357906CC">
      <w:pPr>
        <w:rPr>
          <w:rFonts w:hint="eastAsia" w:ascii="宋体" w:hAnsi="宋体" w:cs="宋体"/>
          <w:color w:val="auto"/>
          <w:sz w:val="20"/>
          <w:szCs w:val="20"/>
          <w:highlight w:val="none"/>
        </w:rPr>
      </w:pPr>
    </w:p>
    <w:p w14:paraId="7F069FF0">
      <w:pPr>
        <w:spacing w:before="3"/>
        <w:rPr>
          <w:rFonts w:hint="eastAsia" w:ascii="宋体" w:hAnsi="宋体" w:cs="宋体"/>
          <w:color w:val="auto"/>
          <w:sz w:val="15"/>
          <w:szCs w:val="15"/>
          <w:highlight w:val="none"/>
        </w:rPr>
      </w:pPr>
    </w:p>
    <w:p w14:paraId="3C32C69B">
      <w:pPr>
        <w:widowControl/>
        <w:rPr>
          <w:rFonts w:hint="eastAsia" w:ascii="宋体" w:hAnsi="宋体" w:cs="宋体"/>
          <w:color w:val="auto"/>
          <w:sz w:val="20"/>
          <w:szCs w:val="20"/>
          <w:highlight w:val="none"/>
        </w:rPr>
        <w:sectPr>
          <w:headerReference r:id="rId6" w:type="first"/>
          <w:footerReference r:id="rId8" w:type="first"/>
          <w:footerReference r:id="rId7" w:type="default"/>
          <w:pgSz w:w="11910" w:h="16840"/>
          <w:pgMar w:top="1520" w:right="1500" w:bottom="280" w:left="1680" w:header="720" w:footer="720" w:gutter="0"/>
          <w:pgNumType w:start="27"/>
          <w:cols w:space="720" w:num="1"/>
          <w:titlePg/>
          <w:docGrid w:linePitch="286" w:charSpace="0"/>
        </w:sectPr>
      </w:pPr>
    </w:p>
    <w:p w14:paraId="02F9EB13">
      <w:pPr>
        <w:pStyle w:val="3"/>
        <w:keepNext w:val="0"/>
        <w:keepLines w:val="0"/>
        <w:tabs>
          <w:tab w:val="left" w:pos="0"/>
          <w:tab w:val="left" w:pos="3165"/>
          <w:tab w:val="center" w:pos="4153"/>
        </w:tabs>
        <w:autoSpaceDE w:val="0"/>
        <w:autoSpaceDN w:val="0"/>
        <w:adjustRightInd w:val="0"/>
        <w:spacing w:before="0" w:after="0" w:line="360" w:lineRule="auto"/>
        <w:jc w:val="center"/>
        <w:rPr>
          <w:color w:val="auto"/>
          <w:highlight w:val="none"/>
        </w:rPr>
      </w:pPr>
      <w:r>
        <w:rPr>
          <w:rFonts w:hint="eastAsia"/>
          <w:color w:val="auto"/>
          <w:highlight w:val="none"/>
        </w:rPr>
        <w:t>第三章  投标人须知</w:t>
      </w:r>
      <w:bookmarkEnd w:id="45"/>
    </w:p>
    <w:p w14:paraId="48BBE54F">
      <w:pPr>
        <w:jc w:val="center"/>
        <w:rPr>
          <w:color w:val="auto"/>
          <w:sz w:val="36"/>
          <w:szCs w:val="36"/>
          <w:highlight w:val="none"/>
        </w:rPr>
      </w:pPr>
      <w:bookmarkStart w:id="46" w:name="_Toc254970526"/>
      <w:bookmarkStart w:id="47" w:name="_Toc254970667"/>
      <w:r>
        <w:rPr>
          <w:rFonts w:hint="eastAsia"/>
          <w:color w:val="auto"/>
          <w:sz w:val="36"/>
          <w:szCs w:val="36"/>
          <w:highlight w:val="none"/>
        </w:rPr>
        <w:t>投标人须知前附表</w:t>
      </w:r>
      <w:bookmarkEnd w:id="46"/>
      <w:bookmarkEnd w:id="47"/>
    </w:p>
    <w:tbl>
      <w:tblPr>
        <w:tblStyle w:val="47"/>
        <w:tblW w:w="915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78"/>
        <w:gridCol w:w="8175"/>
      </w:tblGrid>
      <w:tr w14:paraId="16FCB4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6B58E463">
            <w:pPr>
              <w:snapToGrid w:val="0"/>
              <w:spacing w:line="360" w:lineRule="auto"/>
              <w:jc w:val="left"/>
              <w:rPr>
                <w:rFonts w:hint="eastAsia" w:ascii="宋体" w:hAnsi="宋体"/>
                <w:color w:val="auto"/>
                <w:szCs w:val="21"/>
                <w:highlight w:val="none"/>
              </w:rPr>
            </w:pPr>
            <w:r>
              <w:rPr>
                <w:rFonts w:hint="eastAsia" w:ascii="宋体" w:hAnsi="宋体"/>
                <w:color w:val="auto"/>
                <w:szCs w:val="21"/>
                <w:highlight w:val="none"/>
              </w:rPr>
              <w:t>条款号</w:t>
            </w:r>
          </w:p>
        </w:tc>
        <w:tc>
          <w:tcPr>
            <w:tcW w:w="8175" w:type="dxa"/>
            <w:tcBorders>
              <w:top w:val="single" w:color="auto" w:sz="4" w:space="0"/>
              <w:left w:val="single" w:color="auto" w:sz="4" w:space="0"/>
              <w:bottom w:val="single" w:color="auto" w:sz="4" w:space="0"/>
              <w:right w:val="single" w:color="auto" w:sz="4" w:space="0"/>
            </w:tcBorders>
            <w:vAlign w:val="center"/>
          </w:tcPr>
          <w:p w14:paraId="4C3E8EE5">
            <w:pPr>
              <w:snapToGrid w:val="0"/>
              <w:spacing w:line="360" w:lineRule="auto"/>
              <w:jc w:val="center"/>
              <w:rPr>
                <w:rFonts w:hint="eastAsia" w:ascii="宋体" w:hAnsi="宋体"/>
                <w:color w:val="auto"/>
                <w:szCs w:val="21"/>
                <w:highlight w:val="none"/>
              </w:rPr>
            </w:pPr>
            <w:r>
              <w:rPr>
                <w:rFonts w:hint="eastAsia" w:ascii="宋体" w:hAnsi="宋体"/>
                <w:color w:val="auto"/>
                <w:szCs w:val="21"/>
                <w:highlight w:val="none"/>
              </w:rPr>
              <w:t>编列内容</w:t>
            </w:r>
          </w:p>
        </w:tc>
      </w:tr>
      <w:tr w14:paraId="2E2E98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77A3374D">
            <w:pPr>
              <w:spacing w:line="360" w:lineRule="auto"/>
              <w:jc w:val="center"/>
              <w:rPr>
                <w:rFonts w:hint="eastAsia" w:ascii="宋体" w:hAnsi="宋体"/>
                <w:color w:val="auto"/>
                <w:szCs w:val="21"/>
                <w:highlight w:val="none"/>
              </w:rPr>
            </w:pPr>
            <w:r>
              <w:rPr>
                <w:rFonts w:hint="eastAsia" w:ascii="宋体" w:hAnsi="宋体"/>
                <w:color w:val="auto"/>
                <w:szCs w:val="21"/>
                <w:highlight w:val="none"/>
              </w:rPr>
              <w:t>3</w:t>
            </w:r>
          </w:p>
        </w:tc>
        <w:tc>
          <w:tcPr>
            <w:tcW w:w="8175" w:type="dxa"/>
            <w:tcBorders>
              <w:top w:val="single" w:color="auto" w:sz="4" w:space="0"/>
              <w:left w:val="single" w:color="auto" w:sz="4" w:space="0"/>
              <w:bottom w:val="single" w:color="auto" w:sz="4" w:space="0"/>
              <w:right w:val="single" w:color="auto" w:sz="4" w:space="0"/>
            </w:tcBorders>
            <w:vAlign w:val="center"/>
          </w:tcPr>
          <w:p w14:paraId="4B8D8686">
            <w:pPr>
              <w:snapToGrid w:val="0"/>
              <w:spacing w:line="360" w:lineRule="auto"/>
              <w:jc w:val="left"/>
              <w:rPr>
                <w:rFonts w:hint="eastAsia"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投标人的资格要求详见招标公告。</w:t>
            </w:r>
          </w:p>
          <w:p w14:paraId="0F6E9EC5">
            <w:pPr>
              <w:snapToGrid w:val="0"/>
              <w:spacing w:line="360" w:lineRule="auto"/>
              <w:jc w:val="left"/>
              <w:rPr>
                <w:rFonts w:hint="eastAsia"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投标人出现下列情形之一的，不得参加政府采购活动：</w:t>
            </w:r>
          </w:p>
          <w:p w14:paraId="21CDA81C">
            <w:pPr>
              <w:snapToGrid w:val="0"/>
              <w:spacing w:line="360" w:lineRule="auto"/>
              <w:jc w:val="left"/>
              <w:rPr>
                <w:rFonts w:hint="eastAsia" w:ascii="宋体" w:hAnsi="宋体"/>
                <w:color w:val="auto"/>
                <w:szCs w:val="21"/>
                <w:highlight w:val="none"/>
              </w:rPr>
            </w:pPr>
            <w:r>
              <w:rPr>
                <w:rFonts w:ascii="宋体" w:hAnsi="宋体"/>
                <w:color w:val="auto"/>
                <w:szCs w:val="21"/>
                <w:highlight w:val="none"/>
              </w:rPr>
              <w:t>2.1</w:t>
            </w:r>
            <w:r>
              <w:rPr>
                <w:rFonts w:hint="eastAsia" w:ascii="宋体" w:hAnsi="宋体"/>
                <w:color w:val="auto"/>
                <w:szCs w:val="21"/>
                <w:highlight w:val="none"/>
              </w:rPr>
              <w:t>单位负责人为同一人或者存在直接控股、管理关系的不同供应商，不得参加同一合同项下的政府采购活动。</w:t>
            </w:r>
          </w:p>
          <w:p w14:paraId="69B70B04">
            <w:pPr>
              <w:snapToGrid w:val="0"/>
              <w:spacing w:line="360" w:lineRule="auto"/>
              <w:jc w:val="left"/>
              <w:rPr>
                <w:rFonts w:hint="eastAsia" w:ascii="宋体" w:hAnsi="宋体"/>
                <w:color w:val="auto"/>
                <w:szCs w:val="21"/>
                <w:highlight w:val="none"/>
              </w:rPr>
            </w:pPr>
            <w:r>
              <w:rPr>
                <w:rFonts w:ascii="宋体" w:hAnsi="宋体"/>
                <w:color w:val="auto"/>
                <w:szCs w:val="21"/>
                <w:highlight w:val="none"/>
              </w:rPr>
              <w:t>2.2</w:t>
            </w:r>
            <w:r>
              <w:rPr>
                <w:rFonts w:hint="eastAsia" w:ascii="宋体" w:hAnsi="宋体"/>
                <w:color w:val="auto"/>
                <w:szCs w:val="21"/>
                <w:highlight w:val="none"/>
              </w:rPr>
              <w:t>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4653E5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4C94D759">
            <w:pPr>
              <w:spacing w:line="360" w:lineRule="auto"/>
              <w:jc w:val="center"/>
              <w:rPr>
                <w:rFonts w:hint="eastAsia" w:ascii="宋体" w:hAnsi="宋体"/>
                <w:color w:val="auto"/>
                <w:szCs w:val="21"/>
                <w:highlight w:val="none"/>
              </w:rPr>
            </w:pPr>
            <w:bookmarkStart w:id="48" w:name="_5"/>
            <w:bookmarkEnd w:id="48"/>
            <w:bookmarkStart w:id="49" w:name="_9.2"/>
            <w:bookmarkEnd w:id="49"/>
            <w:bookmarkStart w:id="50" w:name="_8.1"/>
            <w:bookmarkEnd w:id="50"/>
            <w:r>
              <w:rPr>
                <w:rFonts w:hint="eastAsia" w:ascii="宋体" w:hAnsi="宋体"/>
                <w:color w:val="auto"/>
                <w:szCs w:val="21"/>
                <w:highlight w:val="none"/>
              </w:rPr>
              <w:t>6.1</w:t>
            </w:r>
          </w:p>
        </w:tc>
        <w:tc>
          <w:tcPr>
            <w:tcW w:w="8175" w:type="dxa"/>
            <w:tcBorders>
              <w:top w:val="single" w:color="auto" w:sz="4" w:space="0"/>
              <w:left w:val="single" w:color="auto" w:sz="4" w:space="0"/>
              <w:bottom w:val="single" w:color="auto" w:sz="4" w:space="0"/>
              <w:right w:val="single" w:color="auto" w:sz="4" w:space="0"/>
            </w:tcBorders>
            <w:vAlign w:val="center"/>
          </w:tcPr>
          <w:p w14:paraId="05165F55">
            <w:pPr>
              <w:pStyle w:val="16"/>
              <w:spacing w:line="360" w:lineRule="auto"/>
              <w:rPr>
                <w:rFonts w:hint="eastAsia" w:ascii="宋体" w:hAnsi="宋体"/>
                <w:color w:val="auto"/>
                <w:szCs w:val="21"/>
                <w:highlight w:val="none"/>
              </w:rPr>
            </w:pPr>
            <w:r>
              <w:rPr>
                <w:rFonts w:hint="eastAsia" w:ascii="宋体" w:hAnsi="宋体"/>
                <w:color w:val="auto"/>
                <w:szCs w:val="21"/>
                <w:highlight w:val="none"/>
              </w:rPr>
              <w:t>本项目是否接受联合体投标：详见招标公告。</w:t>
            </w:r>
          </w:p>
        </w:tc>
      </w:tr>
      <w:tr w14:paraId="5248AF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1BA65303">
            <w:pPr>
              <w:spacing w:line="360" w:lineRule="auto"/>
              <w:jc w:val="center"/>
              <w:rPr>
                <w:rFonts w:hint="eastAsia" w:ascii="宋体" w:hAnsi="宋体"/>
                <w:color w:val="auto"/>
                <w:szCs w:val="21"/>
                <w:highlight w:val="none"/>
              </w:rPr>
            </w:pPr>
            <w:r>
              <w:rPr>
                <w:rFonts w:ascii="宋体" w:hAnsi="宋体"/>
                <w:color w:val="auto"/>
                <w:szCs w:val="21"/>
                <w:highlight w:val="none"/>
              </w:rPr>
              <w:t>6.2</w:t>
            </w:r>
          </w:p>
        </w:tc>
        <w:tc>
          <w:tcPr>
            <w:tcW w:w="8175" w:type="dxa"/>
            <w:tcBorders>
              <w:top w:val="single" w:color="auto" w:sz="4" w:space="0"/>
              <w:left w:val="single" w:color="auto" w:sz="4" w:space="0"/>
              <w:bottom w:val="single" w:color="auto" w:sz="4" w:space="0"/>
              <w:right w:val="single" w:color="auto" w:sz="4" w:space="0"/>
            </w:tcBorders>
            <w:vAlign w:val="center"/>
          </w:tcPr>
          <w:p w14:paraId="56CB5A01">
            <w:pPr>
              <w:pStyle w:val="16"/>
              <w:spacing w:line="360" w:lineRule="auto"/>
              <w:rPr>
                <w:rFonts w:hint="eastAsia" w:ascii="宋体" w:hAnsi="宋体"/>
                <w:color w:val="auto"/>
                <w:szCs w:val="21"/>
                <w:highlight w:val="none"/>
              </w:rPr>
            </w:pPr>
            <w:bookmarkStart w:id="51" w:name="_Hlk54105293"/>
            <w:r>
              <w:rPr>
                <w:rFonts w:hint="eastAsia" w:ascii="宋体" w:hAnsi="宋体"/>
                <w:color w:val="auto"/>
                <w:szCs w:val="21"/>
                <w:highlight w:val="none"/>
              </w:rPr>
              <w:t>如接受联合体投标，</w:t>
            </w:r>
            <w:bookmarkEnd w:id="51"/>
            <w:r>
              <w:rPr>
                <w:rFonts w:hint="eastAsia" w:ascii="宋体" w:hAnsi="宋体"/>
                <w:color w:val="auto"/>
                <w:szCs w:val="21"/>
                <w:highlight w:val="none"/>
              </w:rPr>
              <w:t>联合体投标要求如下：无</w:t>
            </w:r>
          </w:p>
        </w:tc>
      </w:tr>
      <w:tr w14:paraId="63376A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49902A92">
            <w:pPr>
              <w:spacing w:line="360" w:lineRule="auto"/>
              <w:jc w:val="center"/>
              <w:rPr>
                <w:rFonts w:hint="eastAsia" w:ascii="宋体" w:hAnsi="宋体"/>
                <w:color w:val="auto"/>
                <w:szCs w:val="21"/>
                <w:highlight w:val="none"/>
              </w:rPr>
            </w:pPr>
            <w:r>
              <w:rPr>
                <w:rFonts w:hint="eastAsia" w:ascii="宋体" w:hAnsi="宋体"/>
                <w:color w:val="auto"/>
                <w:szCs w:val="21"/>
                <w:highlight w:val="none"/>
              </w:rPr>
              <w:t>7.2</w:t>
            </w:r>
          </w:p>
        </w:tc>
        <w:tc>
          <w:tcPr>
            <w:tcW w:w="8175" w:type="dxa"/>
            <w:tcBorders>
              <w:top w:val="single" w:color="auto" w:sz="4" w:space="0"/>
              <w:left w:val="single" w:color="auto" w:sz="4" w:space="0"/>
              <w:bottom w:val="single" w:color="auto" w:sz="4" w:space="0"/>
              <w:right w:val="single" w:color="auto" w:sz="4" w:space="0"/>
            </w:tcBorders>
            <w:vAlign w:val="center"/>
          </w:tcPr>
          <w:p w14:paraId="3ABE0918">
            <w:pPr>
              <w:pStyle w:val="16"/>
              <w:spacing w:line="360" w:lineRule="auto"/>
              <w:rPr>
                <w:rFonts w:hint="eastAsia" w:ascii="宋体" w:hAnsi="宋体"/>
                <w:color w:val="auto"/>
                <w:szCs w:val="21"/>
                <w:highlight w:val="none"/>
              </w:rPr>
            </w:pPr>
            <w:r>
              <w:rPr>
                <w:rFonts w:hint="eastAsia" w:ascii="宋体" w:hAnsi="宋体"/>
                <w:color w:val="auto"/>
                <w:szCs w:val="21"/>
                <w:highlight w:val="none"/>
              </w:rPr>
              <w:t>☑不允许分包</w:t>
            </w:r>
          </w:p>
          <w:p w14:paraId="276FA055">
            <w:pPr>
              <w:pStyle w:val="16"/>
              <w:spacing w:line="360" w:lineRule="auto"/>
              <w:rPr>
                <w:rFonts w:hint="eastAsia" w:ascii="宋体" w:hAnsi="宋体"/>
                <w:color w:val="auto"/>
                <w:szCs w:val="21"/>
                <w:highlight w:val="none"/>
              </w:rPr>
            </w:pPr>
            <w:r>
              <w:rPr>
                <w:rFonts w:hint="eastAsia" w:ascii="宋体" w:hAnsi="宋体"/>
                <w:color w:val="auto"/>
                <w:szCs w:val="21"/>
                <w:highlight w:val="none"/>
              </w:rPr>
              <w:t>□允许分包：</w:t>
            </w:r>
          </w:p>
          <w:p w14:paraId="0066A2B7">
            <w:pPr>
              <w:pStyle w:val="16"/>
              <w:spacing w:line="360" w:lineRule="auto"/>
              <w:rPr>
                <w:rFonts w:hint="eastAsia" w:ascii="宋体" w:hAnsi="宋体"/>
                <w:color w:val="auto"/>
                <w:szCs w:val="21"/>
                <w:highlight w:val="none"/>
                <w:u w:val="single"/>
              </w:rPr>
            </w:pPr>
            <w:r>
              <w:rPr>
                <w:rFonts w:hint="eastAsia" w:ascii="宋体" w:hAnsi="宋体"/>
                <w:color w:val="auto"/>
                <w:szCs w:val="21"/>
                <w:highlight w:val="none"/>
              </w:rPr>
              <w:t>分包内容：</w:t>
            </w:r>
            <w:r>
              <w:rPr>
                <w:rFonts w:hint="eastAsia" w:ascii="宋体" w:hAnsi="宋体"/>
                <w:color w:val="auto"/>
                <w:szCs w:val="21"/>
                <w:highlight w:val="none"/>
                <w:u w:val="single"/>
              </w:rPr>
              <w:t xml:space="preserve">     /       。</w:t>
            </w:r>
          </w:p>
          <w:p w14:paraId="7C7D050B">
            <w:pPr>
              <w:pStyle w:val="16"/>
              <w:spacing w:line="360" w:lineRule="auto"/>
              <w:jc w:val="both"/>
              <w:rPr>
                <w:rFonts w:hint="eastAsia" w:ascii="宋体" w:hAnsi="宋体"/>
                <w:color w:val="auto"/>
                <w:szCs w:val="21"/>
                <w:highlight w:val="none"/>
                <w:u w:val="single"/>
              </w:rPr>
            </w:pPr>
            <w:r>
              <w:rPr>
                <w:rFonts w:hint="eastAsia" w:ascii="宋体" w:hAnsi="宋体"/>
                <w:color w:val="auto"/>
                <w:szCs w:val="21"/>
                <w:highlight w:val="none"/>
              </w:rPr>
              <w:t>分包金额或者比例：</w:t>
            </w:r>
            <w:r>
              <w:rPr>
                <w:rFonts w:hint="eastAsia" w:ascii="宋体" w:hAnsi="宋体"/>
                <w:color w:val="auto"/>
                <w:szCs w:val="21"/>
                <w:highlight w:val="none"/>
                <w:u w:val="single"/>
              </w:rPr>
              <w:t xml:space="preserve">    /       。</w:t>
            </w:r>
          </w:p>
        </w:tc>
      </w:tr>
      <w:tr w14:paraId="0A9570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66" w:hRule="atLeast"/>
        </w:trPr>
        <w:tc>
          <w:tcPr>
            <w:tcW w:w="978" w:type="dxa"/>
            <w:vMerge w:val="restart"/>
            <w:tcBorders>
              <w:top w:val="single" w:color="auto" w:sz="4" w:space="0"/>
              <w:left w:val="single" w:color="auto" w:sz="4" w:space="0"/>
              <w:right w:val="single" w:color="auto" w:sz="4" w:space="0"/>
            </w:tcBorders>
            <w:vAlign w:val="center"/>
          </w:tcPr>
          <w:p w14:paraId="5FFEF571">
            <w:pPr>
              <w:spacing w:line="360" w:lineRule="auto"/>
              <w:jc w:val="center"/>
              <w:rPr>
                <w:rFonts w:hint="eastAsia"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1.2</w:t>
            </w:r>
          </w:p>
        </w:tc>
        <w:tc>
          <w:tcPr>
            <w:tcW w:w="8175" w:type="dxa"/>
            <w:tcBorders>
              <w:top w:val="single" w:color="auto" w:sz="4" w:space="0"/>
              <w:left w:val="single" w:color="auto" w:sz="4" w:space="0"/>
              <w:bottom w:val="single" w:color="auto" w:sz="4" w:space="0"/>
              <w:right w:val="single" w:color="auto" w:sz="4" w:space="0"/>
            </w:tcBorders>
            <w:vAlign w:val="center"/>
          </w:tcPr>
          <w:p w14:paraId="531ACA90">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☑不组织现场考察</w:t>
            </w:r>
          </w:p>
          <w:p w14:paraId="45D9E056">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□组织现场考察：</w:t>
            </w:r>
          </w:p>
          <w:p w14:paraId="52801DE8">
            <w:pPr>
              <w:snapToGrid w:val="0"/>
              <w:spacing w:line="360" w:lineRule="auto"/>
              <w:rPr>
                <w:rFonts w:hint="eastAsia" w:ascii="宋体" w:hAnsi="宋体"/>
                <w:color w:val="auto"/>
                <w:szCs w:val="21"/>
                <w:highlight w:val="none"/>
                <w:u w:val="single"/>
              </w:rPr>
            </w:pPr>
            <w:r>
              <w:rPr>
                <w:rFonts w:hint="eastAsia" w:ascii="宋体" w:hAnsi="宋体"/>
                <w:color w:val="auto"/>
                <w:szCs w:val="21"/>
                <w:highlight w:val="none"/>
              </w:rPr>
              <w:t>集中时间：</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日 </w:t>
            </w:r>
            <w:r>
              <w:rPr>
                <w:rFonts w:hint="eastAsia" w:ascii="宋体" w:hAnsi="宋体"/>
                <w:color w:val="auto"/>
                <w:szCs w:val="21"/>
                <w:highlight w:val="none"/>
                <w:u w:val="single"/>
              </w:rPr>
              <w:t xml:space="preserve">  </w:t>
            </w:r>
            <w:r>
              <w:rPr>
                <w:rFonts w:hint="eastAsia" w:ascii="宋体" w:hAnsi="宋体"/>
                <w:color w:val="auto"/>
                <w:szCs w:val="21"/>
                <w:highlight w:val="none"/>
              </w:rPr>
              <w:t>时</w:t>
            </w:r>
            <w:r>
              <w:rPr>
                <w:rFonts w:hint="eastAsia" w:ascii="宋体" w:hAnsi="宋体"/>
                <w:color w:val="auto"/>
                <w:szCs w:val="21"/>
                <w:highlight w:val="none"/>
                <w:u w:val="single"/>
              </w:rPr>
              <w:t xml:space="preserve">  分</w:t>
            </w:r>
            <w:r>
              <w:rPr>
                <w:rFonts w:hint="eastAsia" w:ascii="宋体" w:hAnsi="宋体"/>
                <w:color w:val="auto"/>
                <w:szCs w:val="21"/>
                <w:highlight w:val="none"/>
              </w:rPr>
              <w:t>，逾期后果自负。集中地点：</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p>
          <w:p w14:paraId="18081EE2">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联系人：</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；联系电话：</w:t>
            </w:r>
            <w:r>
              <w:rPr>
                <w:rFonts w:ascii="宋体" w:hAnsi="宋体"/>
                <w:color w:val="auto"/>
                <w:szCs w:val="21"/>
                <w:highlight w:val="none"/>
                <w:u w:val="single"/>
              </w:rPr>
              <w:t xml:space="preserve">                </w:t>
            </w:r>
          </w:p>
        </w:tc>
      </w:tr>
      <w:tr w14:paraId="489B59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03" w:hRule="atLeast"/>
        </w:trPr>
        <w:tc>
          <w:tcPr>
            <w:tcW w:w="978" w:type="dxa"/>
            <w:vMerge w:val="continue"/>
            <w:tcBorders>
              <w:left w:val="single" w:color="auto" w:sz="4" w:space="0"/>
              <w:bottom w:val="single" w:color="auto" w:sz="4" w:space="0"/>
              <w:right w:val="single" w:color="auto" w:sz="4" w:space="0"/>
            </w:tcBorders>
            <w:vAlign w:val="center"/>
          </w:tcPr>
          <w:p w14:paraId="21FCA73E">
            <w:pPr>
              <w:spacing w:line="360" w:lineRule="auto"/>
              <w:jc w:val="center"/>
              <w:rPr>
                <w:rFonts w:hint="eastAsia" w:ascii="宋体" w:hAnsi="宋体"/>
                <w:color w:val="auto"/>
                <w:szCs w:val="21"/>
                <w:highlight w:val="none"/>
              </w:rPr>
            </w:pPr>
          </w:p>
        </w:tc>
        <w:tc>
          <w:tcPr>
            <w:tcW w:w="8175" w:type="dxa"/>
            <w:tcBorders>
              <w:top w:val="single" w:color="auto" w:sz="4" w:space="0"/>
              <w:left w:val="single" w:color="auto" w:sz="4" w:space="0"/>
              <w:bottom w:val="single" w:color="auto" w:sz="4" w:space="0"/>
              <w:right w:val="single" w:color="auto" w:sz="4" w:space="0"/>
            </w:tcBorders>
            <w:vAlign w:val="center"/>
          </w:tcPr>
          <w:p w14:paraId="74A8C0E6">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☑不组织召开开标前答疑会</w:t>
            </w:r>
          </w:p>
          <w:p w14:paraId="08FD2D6C">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□组织召开开标前答疑会</w:t>
            </w:r>
          </w:p>
          <w:p w14:paraId="73C43111">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会议开始时间：</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日 </w:t>
            </w:r>
            <w:r>
              <w:rPr>
                <w:rFonts w:hint="eastAsia" w:ascii="宋体" w:hAnsi="宋体"/>
                <w:color w:val="auto"/>
                <w:szCs w:val="21"/>
                <w:highlight w:val="none"/>
                <w:u w:val="single"/>
              </w:rPr>
              <w:t xml:space="preserve">  </w:t>
            </w:r>
            <w:r>
              <w:rPr>
                <w:rFonts w:hint="eastAsia" w:ascii="宋体" w:hAnsi="宋体"/>
                <w:color w:val="auto"/>
                <w:szCs w:val="21"/>
                <w:highlight w:val="none"/>
              </w:rPr>
              <w:t>时</w:t>
            </w:r>
            <w:r>
              <w:rPr>
                <w:rFonts w:hint="eastAsia" w:ascii="宋体" w:hAnsi="宋体"/>
                <w:color w:val="auto"/>
                <w:szCs w:val="21"/>
                <w:highlight w:val="none"/>
                <w:u w:val="single"/>
              </w:rPr>
              <w:t xml:space="preserve">  分</w:t>
            </w:r>
            <w:r>
              <w:rPr>
                <w:rFonts w:hint="eastAsia" w:ascii="宋体" w:hAnsi="宋体"/>
                <w:color w:val="auto"/>
                <w:szCs w:val="21"/>
                <w:highlight w:val="none"/>
              </w:rPr>
              <w:t>，逾期后果自负。会议地点：</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p>
        </w:tc>
      </w:tr>
      <w:tr w14:paraId="33CA21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vMerge w:val="restart"/>
            <w:tcBorders>
              <w:top w:val="single" w:color="auto" w:sz="4" w:space="0"/>
              <w:left w:val="single" w:color="auto" w:sz="4" w:space="0"/>
              <w:right w:val="single" w:color="auto" w:sz="4" w:space="0"/>
            </w:tcBorders>
            <w:vAlign w:val="center"/>
          </w:tcPr>
          <w:p w14:paraId="0AB8104D">
            <w:pPr>
              <w:spacing w:line="360" w:lineRule="auto"/>
              <w:rPr>
                <w:rFonts w:hint="eastAsia" w:ascii="宋体" w:hAnsi="宋体"/>
                <w:color w:val="auto"/>
                <w:szCs w:val="21"/>
                <w:highlight w:val="none"/>
              </w:rPr>
            </w:pPr>
            <w:bookmarkStart w:id="52" w:name="_13.1"/>
            <w:bookmarkEnd w:id="52"/>
            <w:r>
              <w:rPr>
                <w:rFonts w:hint="eastAsia" w:ascii="宋体" w:hAnsi="宋体"/>
                <w:color w:val="auto"/>
                <w:szCs w:val="21"/>
                <w:highlight w:val="none"/>
              </w:rPr>
              <w:t>13</w:t>
            </w:r>
          </w:p>
        </w:tc>
        <w:tc>
          <w:tcPr>
            <w:tcW w:w="8175" w:type="dxa"/>
            <w:tcBorders>
              <w:top w:val="single" w:color="auto" w:sz="4" w:space="0"/>
              <w:left w:val="single" w:color="auto" w:sz="4" w:space="0"/>
              <w:bottom w:val="single" w:color="auto" w:sz="4" w:space="0"/>
              <w:right w:val="single" w:color="auto" w:sz="4" w:space="0"/>
            </w:tcBorders>
            <w:vAlign w:val="center"/>
          </w:tcPr>
          <w:p w14:paraId="5256195C">
            <w:pPr>
              <w:snapToGrid w:val="0"/>
              <w:spacing w:line="360" w:lineRule="auto"/>
              <w:jc w:val="left"/>
              <w:rPr>
                <w:rFonts w:hint="eastAsia" w:ascii="宋体" w:hAnsi="宋体" w:cs="Courier New"/>
                <w:b/>
                <w:color w:val="auto"/>
                <w:szCs w:val="21"/>
                <w:highlight w:val="none"/>
              </w:rPr>
            </w:pPr>
            <w:r>
              <w:rPr>
                <w:rFonts w:hint="eastAsia" w:ascii="宋体" w:hAnsi="宋体" w:cs="Courier New"/>
                <w:b/>
                <w:color w:val="auto"/>
                <w:szCs w:val="21"/>
                <w:highlight w:val="none"/>
              </w:rPr>
              <w:t>报价文件：</w:t>
            </w:r>
          </w:p>
          <w:p w14:paraId="4C17D1E3">
            <w:pPr>
              <w:tabs>
                <w:tab w:val="left" w:pos="459"/>
              </w:tabs>
              <w:snapToGrid w:val="0"/>
              <w:spacing w:line="360" w:lineRule="auto"/>
              <w:ind w:left="420"/>
              <w:jc w:val="left"/>
              <w:rPr>
                <w:rFonts w:hint="eastAsia" w:ascii="宋体" w:hAnsi="宋体"/>
                <w:color w:val="auto"/>
                <w:szCs w:val="21"/>
                <w:highlight w:val="none"/>
              </w:rPr>
            </w:pPr>
            <w:r>
              <w:rPr>
                <w:rFonts w:hint="eastAsia" w:ascii="宋体" w:hAnsi="宋体"/>
                <w:color w:val="auto"/>
                <w:szCs w:val="21"/>
                <w:highlight w:val="none"/>
              </w:rPr>
              <w:t>1.投标函（格式后附）；</w:t>
            </w:r>
            <w:r>
              <w:rPr>
                <w:rFonts w:hint="eastAsia" w:ascii="宋体" w:hAnsi="宋体"/>
                <w:b/>
                <w:color w:val="auto"/>
                <w:szCs w:val="21"/>
                <w:highlight w:val="none"/>
              </w:rPr>
              <w:t>（必须提供，否则按无效投标处理）</w:t>
            </w:r>
          </w:p>
          <w:p w14:paraId="48DBC7C8">
            <w:pPr>
              <w:tabs>
                <w:tab w:val="left" w:pos="459"/>
              </w:tabs>
              <w:snapToGrid w:val="0"/>
              <w:spacing w:line="360" w:lineRule="auto"/>
              <w:ind w:left="420"/>
              <w:jc w:val="left"/>
              <w:rPr>
                <w:rFonts w:hint="eastAsia" w:ascii="宋体" w:hAnsi="宋体"/>
                <w:color w:val="auto"/>
                <w:szCs w:val="21"/>
                <w:highlight w:val="none"/>
              </w:rPr>
            </w:pPr>
            <w:r>
              <w:rPr>
                <w:rFonts w:hint="eastAsia" w:ascii="宋体" w:hAnsi="宋体"/>
                <w:color w:val="auto"/>
                <w:szCs w:val="21"/>
                <w:highlight w:val="none"/>
              </w:rPr>
              <w:t>2.开标一览表（格式后附）； （</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328C2716">
            <w:pPr>
              <w:tabs>
                <w:tab w:val="left" w:pos="459"/>
              </w:tabs>
              <w:snapToGrid w:val="0"/>
              <w:spacing w:line="360" w:lineRule="auto"/>
              <w:ind w:left="420"/>
              <w:jc w:val="left"/>
              <w:rPr>
                <w:rFonts w:hint="eastAsia" w:ascii="宋体" w:hAnsi="宋体"/>
                <w:color w:val="auto"/>
                <w:szCs w:val="21"/>
                <w:highlight w:val="none"/>
              </w:rPr>
            </w:pPr>
            <w:r>
              <w:rPr>
                <w:rFonts w:hint="eastAsia" w:ascii="宋体" w:hAnsi="宋体"/>
                <w:color w:val="auto"/>
                <w:szCs w:val="21"/>
                <w:highlight w:val="none"/>
              </w:rPr>
              <w:t>3.报价明细表（格式后附）； （</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74AB84FC">
            <w:pPr>
              <w:tabs>
                <w:tab w:val="left" w:pos="459"/>
              </w:tabs>
              <w:snapToGrid w:val="0"/>
              <w:spacing w:line="360" w:lineRule="auto"/>
              <w:ind w:left="420"/>
              <w:jc w:val="left"/>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4.中小企业声明函或者残疾人福利性单位声明函（格式后附）或者供应商属于监狱企业的，提供由省级以上监狱管理局、戒毒管理局（含新疆生产建设兵团）出具的属于监狱企业的证明文件；（如有则提供）</w:t>
            </w:r>
          </w:p>
          <w:p w14:paraId="45C45241">
            <w:pPr>
              <w:tabs>
                <w:tab w:val="left" w:pos="459"/>
              </w:tabs>
              <w:snapToGrid w:val="0"/>
              <w:spacing w:line="360" w:lineRule="auto"/>
              <w:ind w:left="420"/>
              <w:jc w:val="left"/>
              <w:rPr>
                <w:rFonts w:hint="eastAsia" w:ascii="宋体" w:hAnsi="宋体"/>
                <w:color w:val="auto"/>
                <w:szCs w:val="21"/>
                <w:highlight w:val="none"/>
              </w:rPr>
            </w:pPr>
            <w:r>
              <w:rPr>
                <w:rFonts w:hint="eastAsia" w:ascii="宋体" w:hAnsi="宋体"/>
                <w:color w:val="auto"/>
                <w:szCs w:val="21"/>
                <w:highlight w:val="none"/>
                <w:lang w:val="en-US" w:eastAsia="zh-CN"/>
              </w:rPr>
              <w:t>5</w:t>
            </w:r>
            <w:r>
              <w:rPr>
                <w:rFonts w:hint="eastAsia" w:ascii="宋体" w:hAnsi="宋体"/>
                <w:color w:val="auto"/>
                <w:szCs w:val="21"/>
                <w:highlight w:val="none"/>
              </w:rPr>
              <w:t>.投标人针对报价需要说明的其他文件和说明（格式自拟）。</w:t>
            </w:r>
            <w:r>
              <w:rPr>
                <w:rFonts w:hint="eastAsia" w:ascii="宋体" w:hAnsi="宋体"/>
                <w:iCs/>
                <w:color w:val="auto"/>
                <w:szCs w:val="21"/>
                <w:highlight w:val="none"/>
              </w:rPr>
              <w:t>（如有则提供）</w:t>
            </w:r>
          </w:p>
          <w:p w14:paraId="17946A99">
            <w:pPr>
              <w:tabs>
                <w:tab w:val="left" w:pos="459"/>
              </w:tabs>
              <w:snapToGrid w:val="0"/>
              <w:spacing w:line="360" w:lineRule="auto"/>
              <w:ind w:left="420"/>
              <w:jc w:val="left"/>
              <w:rPr>
                <w:rFonts w:hint="eastAsia" w:ascii="宋体" w:hAnsi="宋体"/>
                <w:color w:val="auto"/>
                <w:szCs w:val="21"/>
                <w:highlight w:val="none"/>
              </w:rPr>
            </w:pPr>
            <w:r>
              <w:rPr>
                <w:rFonts w:hint="eastAsia" w:ascii="宋体" w:hAnsi="宋体" w:cs="宋体"/>
                <w:b/>
                <w:color w:val="auto"/>
                <w:szCs w:val="21"/>
                <w:highlight w:val="none"/>
              </w:rPr>
              <w:t>注：以上标明“必须提供”的材料，格式中有要求法定代表人或者委托代理人签字的，必须按要求签字并加盖投标人电子签章，否则按无效投标处理。</w:t>
            </w:r>
          </w:p>
        </w:tc>
      </w:tr>
      <w:tr w14:paraId="423EA5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vMerge w:val="continue"/>
            <w:tcBorders>
              <w:left w:val="single" w:color="auto" w:sz="4" w:space="0"/>
              <w:right w:val="single" w:color="auto" w:sz="4" w:space="0"/>
            </w:tcBorders>
            <w:vAlign w:val="center"/>
          </w:tcPr>
          <w:p w14:paraId="6C622B9C">
            <w:pPr>
              <w:spacing w:line="360" w:lineRule="auto"/>
              <w:rPr>
                <w:rFonts w:hint="eastAsia" w:ascii="宋体" w:hAnsi="宋体"/>
                <w:color w:val="auto"/>
                <w:szCs w:val="21"/>
                <w:highlight w:val="none"/>
              </w:rPr>
            </w:pPr>
            <w:bookmarkStart w:id="53" w:name="_13.2"/>
            <w:bookmarkEnd w:id="53"/>
          </w:p>
        </w:tc>
        <w:tc>
          <w:tcPr>
            <w:tcW w:w="8175" w:type="dxa"/>
            <w:tcBorders>
              <w:top w:val="single" w:color="auto" w:sz="4" w:space="0"/>
              <w:left w:val="single" w:color="auto" w:sz="4" w:space="0"/>
              <w:bottom w:val="single" w:color="auto" w:sz="4" w:space="0"/>
              <w:right w:val="single" w:color="auto" w:sz="4" w:space="0"/>
            </w:tcBorders>
            <w:vAlign w:val="center"/>
          </w:tcPr>
          <w:p w14:paraId="0D2FFB9B">
            <w:pPr>
              <w:snapToGrid w:val="0"/>
              <w:spacing w:line="360" w:lineRule="auto"/>
              <w:jc w:val="left"/>
              <w:rPr>
                <w:rFonts w:hint="eastAsia" w:ascii="宋体" w:hAnsi="宋体" w:cs="Courier New"/>
                <w:b/>
                <w:color w:val="auto"/>
                <w:szCs w:val="21"/>
                <w:highlight w:val="none"/>
              </w:rPr>
            </w:pPr>
            <w:r>
              <w:rPr>
                <w:rFonts w:hint="eastAsia" w:ascii="宋体" w:hAnsi="宋体" w:cs="Courier New"/>
                <w:b/>
                <w:color w:val="auto"/>
                <w:szCs w:val="21"/>
                <w:highlight w:val="none"/>
              </w:rPr>
              <w:t>资格证明文件</w:t>
            </w:r>
          </w:p>
          <w:p w14:paraId="04D42D92">
            <w:pPr>
              <w:snapToGrid w:val="0"/>
              <w:spacing w:line="360" w:lineRule="auto"/>
              <w:ind w:firstLine="398" w:firstLineChars="200"/>
              <w:jc w:val="left"/>
              <w:rPr>
                <w:rFonts w:hint="eastAsia" w:ascii="宋体" w:hAnsi="宋体" w:cs="Courier New"/>
                <w:b/>
                <w:color w:val="auto"/>
                <w:szCs w:val="21"/>
                <w:highlight w:val="none"/>
              </w:rPr>
            </w:pPr>
            <w:r>
              <w:rPr>
                <w:rFonts w:hint="eastAsia" w:ascii="宋体" w:hAnsi="宋体"/>
                <w:color w:val="auto"/>
                <w:szCs w:val="21"/>
                <w:highlight w:val="none"/>
              </w:rPr>
              <w:t>1.投标人为法人或者其他组织的，提供营业执照等证明文件</w:t>
            </w:r>
            <w:r>
              <w:rPr>
                <w:rFonts w:hint="eastAsia" w:ascii="宋体" w:hAnsi="宋体" w:cs="宋体"/>
                <w:color w:val="auto"/>
                <w:szCs w:val="21"/>
                <w:highlight w:val="none"/>
              </w:rPr>
              <w:t>（如营业执照或者事业单位法人证书或者</w:t>
            </w:r>
            <w:r>
              <w:rPr>
                <w:rStyle w:val="88"/>
                <w:color w:val="auto"/>
                <w:sz w:val="21"/>
                <w:szCs w:val="21"/>
                <w:highlight w:val="none"/>
              </w:rPr>
              <w:t>执业许可证</w:t>
            </w:r>
            <w:r>
              <w:rPr>
                <w:rFonts w:hint="eastAsia" w:ascii="宋体" w:hAnsi="宋体" w:cs="宋体"/>
                <w:color w:val="auto"/>
                <w:szCs w:val="21"/>
                <w:highlight w:val="none"/>
              </w:rPr>
              <w:t>或者登记证书等</w:t>
            </w:r>
            <w:r>
              <w:rPr>
                <w:rFonts w:hint="eastAsia" w:ascii="宋体" w:hAnsi="宋体"/>
                <w:color w:val="auto"/>
                <w:szCs w:val="21"/>
                <w:highlight w:val="none"/>
              </w:rPr>
              <w:t>复印件，需加盖公章</w:t>
            </w:r>
            <w:r>
              <w:rPr>
                <w:rFonts w:hint="eastAsia" w:ascii="宋体" w:hAnsi="宋体" w:cs="宋体"/>
                <w:color w:val="auto"/>
                <w:szCs w:val="21"/>
                <w:highlight w:val="none"/>
              </w:rPr>
              <w:t>）</w:t>
            </w:r>
            <w:r>
              <w:rPr>
                <w:rFonts w:hint="eastAsia" w:ascii="宋体" w:hAnsi="宋体"/>
                <w:color w:val="auto"/>
                <w:szCs w:val="21"/>
                <w:highlight w:val="none"/>
              </w:rPr>
              <w:t>，投标人为自然人的，提供身份证</w:t>
            </w:r>
            <w:r>
              <w:rPr>
                <w:rFonts w:hint="eastAsia" w:ascii="宋体" w:hAnsi="宋体" w:cs="宋体"/>
                <w:color w:val="auto"/>
                <w:szCs w:val="21"/>
                <w:highlight w:val="none"/>
              </w:rPr>
              <w:t>复印件</w:t>
            </w:r>
            <w:r>
              <w:rPr>
                <w:rFonts w:hint="eastAsia" w:ascii="宋体" w:hAnsi="宋体"/>
                <w:color w:val="auto"/>
                <w:szCs w:val="21"/>
                <w:highlight w:val="none"/>
              </w:rPr>
              <w:t>；（</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5AE4FFB9">
            <w:pPr>
              <w:snapToGrid w:val="0"/>
              <w:spacing w:line="360" w:lineRule="auto"/>
              <w:ind w:firstLine="398" w:firstLineChars="200"/>
              <w:jc w:val="left"/>
              <w:rPr>
                <w:rFonts w:hint="eastAsia" w:ascii="宋体" w:hAnsi="宋体" w:cs="Courier New"/>
                <w:b/>
                <w:color w:val="auto"/>
                <w:szCs w:val="21"/>
                <w:highlight w:val="none"/>
              </w:rPr>
            </w:pPr>
            <w:r>
              <w:rPr>
                <w:rFonts w:hint="eastAsia" w:ascii="宋体" w:hAnsi="宋体" w:cs="宋体"/>
                <w:color w:val="auto"/>
                <w:szCs w:val="21"/>
                <w:highlight w:val="none"/>
              </w:rPr>
              <w:t>2. 投标人依法缴纳税收的相关材料（</w:t>
            </w:r>
            <w:r>
              <w:rPr>
                <w:rFonts w:hint="eastAsia" w:ascii="宋体" w:hAnsi="宋体" w:cs="宋体"/>
                <w:color w:val="auto"/>
                <w:szCs w:val="21"/>
                <w:highlight w:val="none"/>
                <w:u w:val="single"/>
              </w:rPr>
              <w:t>20</w:t>
            </w:r>
            <w:r>
              <w:rPr>
                <w:rFonts w:hint="eastAsia" w:ascii="宋体" w:hAnsi="宋体" w:cs="宋体"/>
                <w:color w:val="auto"/>
                <w:szCs w:val="21"/>
                <w:highlight w:val="none"/>
                <w:u w:val="single"/>
                <w:lang w:val="en-US" w:eastAsia="zh-CN"/>
              </w:rPr>
              <w:t>25</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10</w:t>
            </w:r>
            <w:r>
              <w:rPr>
                <w:rFonts w:hint="eastAsia" w:ascii="宋体" w:hAnsi="宋体" w:cs="宋体"/>
                <w:color w:val="auto"/>
                <w:szCs w:val="21"/>
                <w:highlight w:val="none"/>
              </w:rPr>
              <w:t>月至</w:t>
            </w:r>
            <w:r>
              <w:rPr>
                <w:rFonts w:hint="eastAsia" w:ascii="宋体" w:hAnsi="宋体" w:cs="宋体"/>
                <w:color w:val="auto"/>
                <w:szCs w:val="21"/>
                <w:highlight w:val="none"/>
                <w:u w:val="single"/>
              </w:rPr>
              <w:t>提交投标文件截止之日</w:t>
            </w:r>
            <w:r>
              <w:rPr>
                <w:rFonts w:hint="eastAsia" w:ascii="宋体" w:hAnsi="宋体" w:cs="宋体"/>
                <w:color w:val="auto"/>
                <w:szCs w:val="21"/>
                <w:highlight w:val="none"/>
              </w:rPr>
              <w:t>内连续</w:t>
            </w:r>
            <w:r>
              <w:rPr>
                <w:rFonts w:hint="eastAsia" w:ascii="宋体" w:hAnsi="宋体" w:cs="宋体"/>
                <w:color w:val="auto"/>
                <w:szCs w:val="21"/>
                <w:highlight w:val="none"/>
                <w:u w:val="single"/>
              </w:rPr>
              <w:t xml:space="preserve"> 3 </w:t>
            </w:r>
            <w:r>
              <w:rPr>
                <w:rFonts w:hint="eastAsia" w:ascii="宋体" w:hAnsi="宋体" w:cs="宋体"/>
                <w:color w:val="auto"/>
                <w:szCs w:val="21"/>
                <w:highlight w:val="none"/>
              </w:rPr>
              <w:t>个月的依法缴纳税收的</w:t>
            </w:r>
            <w:r>
              <w:rPr>
                <w:rFonts w:hint="eastAsia"/>
                <w:color w:val="auto"/>
                <w:highlight w:val="none"/>
              </w:rPr>
              <w:t>证明材料</w:t>
            </w:r>
            <w:r>
              <w:rPr>
                <w:rFonts w:hint="eastAsia" w:ascii="宋体" w:hAnsi="宋体" w:cs="宋体"/>
                <w:color w:val="auto"/>
                <w:szCs w:val="21"/>
                <w:highlight w:val="none"/>
              </w:rPr>
              <w:t>复印件；</w:t>
            </w:r>
            <w:r>
              <w:rPr>
                <w:rFonts w:hint="eastAsia" w:ascii="宋体" w:hAnsi="宋体"/>
                <w:color w:val="auto"/>
                <w:szCs w:val="21"/>
                <w:highlight w:val="none"/>
              </w:rPr>
              <w:t>依法免税的供应商，</w:t>
            </w:r>
            <w:r>
              <w:rPr>
                <w:rFonts w:hint="eastAsia"/>
                <w:color w:val="auto"/>
                <w:highlight w:val="none"/>
              </w:rPr>
              <w:t>必须提供符合免税条件的证明材料</w:t>
            </w:r>
            <w:r>
              <w:rPr>
                <w:rFonts w:hint="eastAsia" w:ascii="宋体" w:hAnsi="宋体"/>
                <w:color w:val="auto"/>
                <w:szCs w:val="21"/>
                <w:highlight w:val="none"/>
              </w:rPr>
              <w:t>。</w:t>
            </w:r>
            <w:r>
              <w:rPr>
                <w:rFonts w:hint="eastAsia" w:ascii="宋体" w:hAnsi="宋体" w:cs="宋体"/>
                <w:color w:val="auto"/>
                <w:szCs w:val="21"/>
                <w:highlight w:val="none"/>
              </w:rPr>
              <w:t>从</w:t>
            </w:r>
            <w:r>
              <w:rPr>
                <w:rFonts w:hint="eastAsia"/>
                <w:color w:val="auto"/>
                <w:szCs w:val="21"/>
                <w:highlight w:val="none"/>
              </w:rPr>
              <w:t>成立之日</w:t>
            </w:r>
            <w:r>
              <w:rPr>
                <w:rFonts w:hint="eastAsia" w:ascii="宋体" w:hAnsi="宋体" w:cs="宋体"/>
                <w:color w:val="auto"/>
                <w:szCs w:val="21"/>
                <w:highlight w:val="none"/>
              </w:rPr>
              <w:t>起到投标文件提交截止时间止不足要求月数的，只需提供从</w:t>
            </w:r>
            <w:r>
              <w:rPr>
                <w:rFonts w:hint="eastAsia"/>
                <w:color w:val="auto"/>
                <w:szCs w:val="21"/>
                <w:highlight w:val="none"/>
              </w:rPr>
              <w:t>成立之日起</w:t>
            </w:r>
            <w:r>
              <w:rPr>
                <w:rFonts w:hint="eastAsia" w:ascii="宋体" w:hAnsi="宋体" w:cs="宋体"/>
                <w:color w:val="auto"/>
                <w:szCs w:val="21"/>
                <w:highlight w:val="none"/>
              </w:rPr>
              <w:t>的依法缴纳税收</w:t>
            </w:r>
            <w:r>
              <w:rPr>
                <w:rFonts w:hint="eastAsia" w:ascii="宋体" w:hAnsi="宋体"/>
                <w:color w:val="auto"/>
                <w:szCs w:val="21"/>
                <w:highlight w:val="none"/>
              </w:rPr>
              <w:t>相应证明文件</w:t>
            </w:r>
            <w:r>
              <w:rPr>
                <w:rFonts w:hint="eastAsia" w:ascii="宋体" w:hAnsi="宋体" w:cs="宋体"/>
                <w:color w:val="auto"/>
                <w:szCs w:val="21"/>
                <w:highlight w:val="none"/>
              </w:rPr>
              <w:t>）</w:t>
            </w:r>
            <w:r>
              <w:rPr>
                <w:rFonts w:hint="eastAsia" w:ascii="宋体" w:hAnsi="宋体"/>
                <w:color w:val="auto"/>
                <w:szCs w:val="21"/>
                <w:highlight w:val="none"/>
              </w:rPr>
              <w:t>；（</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1E333333">
            <w:pPr>
              <w:snapToGrid w:val="0"/>
              <w:spacing w:line="360" w:lineRule="auto"/>
              <w:ind w:firstLine="398" w:firstLineChars="200"/>
              <w:jc w:val="left"/>
              <w:rPr>
                <w:rFonts w:hint="eastAsia" w:ascii="宋体" w:hAnsi="宋体" w:cs="Courier New"/>
                <w:b/>
                <w:color w:val="auto"/>
                <w:szCs w:val="21"/>
                <w:highlight w:val="none"/>
              </w:rPr>
            </w:pPr>
            <w:r>
              <w:rPr>
                <w:rFonts w:hint="eastAsia" w:ascii="宋体" w:hAnsi="宋体" w:cs="宋体"/>
                <w:color w:val="auto"/>
                <w:szCs w:val="21"/>
                <w:highlight w:val="none"/>
              </w:rPr>
              <w:t>3. 投标人依法缴纳社会保障资金的相关材料[</w:t>
            </w:r>
            <w:r>
              <w:rPr>
                <w:rFonts w:hint="eastAsia" w:ascii="宋体" w:hAnsi="宋体" w:cs="宋体"/>
                <w:color w:val="auto"/>
                <w:szCs w:val="21"/>
                <w:highlight w:val="none"/>
                <w:u w:val="single"/>
              </w:rPr>
              <w:t>20</w:t>
            </w:r>
            <w:r>
              <w:rPr>
                <w:rFonts w:hint="eastAsia" w:ascii="宋体" w:hAnsi="宋体" w:cs="宋体"/>
                <w:color w:val="auto"/>
                <w:szCs w:val="21"/>
                <w:highlight w:val="none"/>
                <w:u w:val="single"/>
                <w:lang w:val="en-US" w:eastAsia="zh-CN"/>
              </w:rPr>
              <w:t>25</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10</w:t>
            </w:r>
            <w:r>
              <w:rPr>
                <w:rFonts w:hint="eastAsia" w:ascii="宋体" w:hAnsi="宋体" w:cs="宋体"/>
                <w:color w:val="auto"/>
                <w:szCs w:val="21"/>
                <w:highlight w:val="none"/>
              </w:rPr>
              <w:t>月至</w:t>
            </w:r>
            <w:r>
              <w:rPr>
                <w:rFonts w:hint="eastAsia" w:ascii="宋体" w:hAnsi="宋体" w:cs="宋体"/>
                <w:color w:val="auto"/>
                <w:szCs w:val="21"/>
                <w:highlight w:val="none"/>
                <w:u w:val="single"/>
              </w:rPr>
              <w:t>提交投标文件截止之日</w:t>
            </w:r>
            <w:r>
              <w:rPr>
                <w:rFonts w:hint="eastAsia" w:ascii="宋体" w:hAnsi="宋体" w:cs="宋体"/>
                <w:color w:val="auto"/>
                <w:szCs w:val="21"/>
                <w:highlight w:val="none"/>
              </w:rPr>
              <w:t>内连续</w:t>
            </w:r>
            <w:r>
              <w:rPr>
                <w:rFonts w:hint="eastAsia" w:ascii="宋体" w:hAnsi="宋体" w:cs="宋体"/>
                <w:color w:val="auto"/>
                <w:szCs w:val="21"/>
                <w:highlight w:val="none"/>
                <w:u w:val="single"/>
              </w:rPr>
              <w:t xml:space="preserve"> 3 </w:t>
            </w:r>
            <w:r>
              <w:rPr>
                <w:rFonts w:hint="eastAsia" w:ascii="宋体" w:hAnsi="宋体" w:cs="宋体"/>
                <w:color w:val="auto"/>
                <w:szCs w:val="21"/>
                <w:highlight w:val="none"/>
              </w:rPr>
              <w:t>个月的依法缴纳社会保障资金的缴费</w:t>
            </w:r>
            <w:r>
              <w:rPr>
                <w:rFonts w:hint="eastAsia"/>
                <w:color w:val="auto"/>
                <w:highlight w:val="none"/>
              </w:rPr>
              <w:t>证明材料</w:t>
            </w:r>
            <w:r>
              <w:rPr>
                <w:rFonts w:hint="eastAsia" w:ascii="宋体" w:hAnsi="宋体" w:cs="宋体"/>
                <w:color w:val="auto"/>
                <w:szCs w:val="21"/>
                <w:highlight w:val="none"/>
              </w:rPr>
              <w:t>（</w:t>
            </w:r>
            <w:r>
              <w:rPr>
                <w:rFonts w:hint="eastAsia"/>
                <w:color w:val="auto"/>
                <w:highlight w:val="none"/>
              </w:rPr>
              <w:t>如：</w:t>
            </w:r>
            <w:r>
              <w:rPr>
                <w:rFonts w:hint="eastAsia" w:ascii="宋体" w:hAnsi="宋体" w:cs="宋体"/>
                <w:color w:val="auto"/>
                <w:szCs w:val="21"/>
                <w:highlight w:val="none"/>
              </w:rPr>
              <w:t>专用收据、社会保险缴纳清单或者社保部门的证明）复印件；</w:t>
            </w:r>
            <w:r>
              <w:rPr>
                <w:rFonts w:hint="eastAsia" w:ascii="宋体" w:hAnsi="宋体"/>
                <w:color w:val="auto"/>
                <w:szCs w:val="21"/>
                <w:highlight w:val="none"/>
              </w:rPr>
              <w:t>依法不需要缴纳社会保障资金的供应商，必须提供相应文件证明不需要缴纳社会保障资金。</w:t>
            </w:r>
            <w:r>
              <w:rPr>
                <w:rFonts w:hint="eastAsia" w:ascii="宋体" w:hAnsi="宋体" w:cs="宋体"/>
                <w:color w:val="auto"/>
                <w:szCs w:val="21"/>
                <w:highlight w:val="none"/>
              </w:rPr>
              <w:t>从</w:t>
            </w:r>
            <w:r>
              <w:rPr>
                <w:rFonts w:hint="eastAsia"/>
                <w:color w:val="auto"/>
                <w:szCs w:val="21"/>
                <w:highlight w:val="none"/>
              </w:rPr>
              <w:t>成立之日起</w:t>
            </w:r>
            <w:r>
              <w:rPr>
                <w:rFonts w:hint="eastAsia" w:ascii="宋体" w:hAnsi="宋体" w:cs="宋体"/>
                <w:color w:val="auto"/>
                <w:szCs w:val="21"/>
                <w:highlight w:val="none"/>
              </w:rPr>
              <w:t>到投标文件提交截止时间止不足要求月数的只需提供从</w:t>
            </w:r>
            <w:r>
              <w:rPr>
                <w:rFonts w:hint="eastAsia"/>
                <w:color w:val="auto"/>
                <w:szCs w:val="21"/>
                <w:highlight w:val="none"/>
              </w:rPr>
              <w:t>成立之日起</w:t>
            </w:r>
            <w:r>
              <w:rPr>
                <w:rFonts w:hint="eastAsia" w:ascii="宋体" w:hAnsi="宋体" w:cs="宋体"/>
                <w:color w:val="auto"/>
                <w:szCs w:val="21"/>
                <w:highlight w:val="none"/>
              </w:rPr>
              <w:t>的依法缴纳社会保障资金的</w:t>
            </w:r>
            <w:r>
              <w:rPr>
                <w:rFonts w:hint="eastAsia" w:ascii="宋体" w:hAnsi="宋体"/>
                <w:color w:val="auto"/>
                <w:szCs w:val="21"/>
                <w:highlight w:val="none"/>
              </w:rPr>
              <w:t>相应证明文件</w:t>
            </w:r>
            <w:r>
              <w:rPr>
                <w:rFonts w:hint="eastAsia" w:ascii="宋体" w:hAnsi="宋体" w:cs="宋体"/>
                <w:color w:val="auto"/>
                <w:szCs w:val="21"/>
                <w:highlight w:val="none"/>
              </w:rPr>
              <w:t>]</w:t>
            </w:r>
            <w:r>
              <w:rPr>
                <w:rFonts w:hint="eastAsia" w:ascii="宋体" w:hAnsi="宋体"/>
                <w:color w:val="auto"/>
                <w:szCs w:val="21"/>
                <w:highlight w:val="none"/>
              </w:rPr>
              <w:t>；（</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2D4000F2">
            <w:pPr>
              <w:snapToGrid w:val="0"/>
              <w:spacing w:line="360" w:lineRule="auto"/>
              <w:ind w:firstLine="398" w:firstLineChars="200"/>
              <w:jc w:val="left"/>
              <w:rPr>
                <w:rFonts w:hint="eastAsia" w:ascii="宋体" w:hAnsi="宋体" w:cs="Courier New"/>
                <w:b/>
                <w:color w:val="auto"/>
                <w:szCs w:val="21"/>
                <w:highlight w:val="none"/>
              </w:rPr>
            </w:pPr>
            <w:r>
              <w:rPr>
                <w:rFonts w:hint="eastAsia" w:ascii="宋体" w:hAnsi="宋体" w:cs="宋体"/>
                <w:color w:val="auto"/>
                <w:szCs w:val="21"/>
                <w:highlight w:val="none"/>
              </w:rPr>
              <w:t>4.投标人</w:t>
            </w:r>
            <w:r>
              <w:rPr>
                <w:rFonts w:hint="eastAsia"/>
                <w:color w:val="auto"/>
                <w:szCs w:val="21"/>
                <w:highlight w:val="none"/>
              </w:rPr>
              <w:t>财务状况报告（</w:t>
            </w:r>
            <w:r>
              <w:rPr>
                <w:rFonts w:hint="eastAsia"/>
                <w:color w:val="auto"/>
                <w:szCs w:val="21"/>
                <w:highlight w:val="none"/>
                <w:u w:val="single"/>
              </w:rPr>
              <w:t>202</w:t>
            </w:r>
            <w:r>
              <w:rPr>
                <w:rFonts w:hint="eastAsia"/>
                <w:color w:val="auto"/>
                <w:szCs w:val="21"/>
                <w:highlight w:val="none"/>
                <w:u w:val="single"/>
                <w:lang w:val="en-US" w:eastAsia="zh-CN"/>
              </w:rPr>
              <w:t>4</w:t>
            </w:r>
            <w:r>
              <w:rPr>
                <w:color w:val="auto"/>
                <w:szCs w:val="21"/>
                <w:highlight w:val="none"/>
                <w:u w:val="single"/>
              </w:rPr>
              <w:t xml:space="preserve"> </w:t>
            </w:r>
            <w:r>
              <w:rPr>
                <w:rFonts w:hint="eastAsia"/>
                <w:color w:val="auto"/>
                <w:szCs w:val="21"/>
                <w:highlight w:val="none"/>
                <w:u w:val="single"/>
                <w:lang w:eastAsia="zh-CN"/>
              </w:rPr>
              <w:t>年度</w:t>
            </w:r>
            <w:r>
              <w:rPr>
                <w:rFonts w:hint="eastAsia"/>
                <w:color w:val="auto"/>
                <w:szCs w:val="21"/>
                <w:highlight w:val="none"/>
              </w:rPr>
              <w:t>或</w:t>
            </w:r>
            <w:r>
              <w:rPr>
                <w:rFonts w:hint="eastAsia"/>
                <w:color w:val="auto"/>
                <w:szCs w:val="21"/>
                <w:highlight w:val="none"/>
                <w:u w:val="single"/>
              </w:rPr>
              <w:t>202</w:t>
            </w:r>
            <w:r>
              <w:rPr>
                <w:rFonts w:hint="eastAsia"/>
                <w:color w:val="auto"/>
                <w:szCs w:val="21"/>
                <w:highlight w:val="none"/>
                <w:u w:val="single"/>
                <w:lang w:val="en-US" w:eastAsia="zh-CN"/>
              </w:rPr>
              <w:t>5</w:t>
            </w:r>
            <w:r>
              <w:rPr>
                <w:rFonts w:hint="eastAsia"/>
                <w:color w:val="auto"/>
                <w:szCs w:val="21"/>
                <w:highlight w:val="none"/>
                <w:u w:val="single"/>
              </w:rPr>
              <w:t>年度</w:t>
            </w:r>
            <w:r>
              <w:rPr>
                <w:rFonts w:hint="eastAsia"/>
                <w:color w:val="auto"/>
                <w:szCs w:val="21"/>
                <w:highlight w:val="none"/>
              </w:rPr>
              <w:t>财务报表复印件，或者银行出具的资信证明，或者中国人民银行征信中心出具的信用报告（企业投标的提供企业信用报告，自然人投标的提供个人信用报告</w:t>
            </w:r>
            <w:r>
              <w:rPr>
                <w:rFonts w:hint="eastAsia"/>
                <w:color w:val="auto"/>
                <w:highlight w:val="none"/>
              </w:rPr>
              <w:t>，</w:t>
            </w:r>
            <w:r>
              <w:rPr>
                <w:rFonts w:hint="eastAsia" w:ascii="宋体" w:hAnsi="宋体"/>
                <w:color w:val="auto"/>
                <w:highlight w:val="none"/>
              </w:rPr>
              <w:t>投标人属于成立时间在规定年度之后的法人或其他组织，</w:t>
            </w:r>
            <w:r>
              <w:rPr>
                <w:rFonts w:hint="eastAsia"/>
                <w:color w:val="auto"/>
                <w:highlight w:val="none"/>
              </w:rPr>
              <w:t>需提供成立之日起至投标截止时间前的月报表</w:t>
            </w:r>
            <w:r>
              <w:rPr>
                <w:rFonts w:hint="eastAsia"/>
                <w:color w:val="auto"/>
                <w:szCs w:val="21"/>
                <w:highlight w:val="none"/>
              </w:rPr>
              <w:t>或银行出具的资信证明或者中国人民银行征信中心出具的企业信用报告；资信证明应在有效期内，未注明有效期的，银行出具时间至投标截止时间不超过一年）；</w:t>
            </w:r>
            <w:r>
              <w:rPr>
                <w:rFonts w:hint="eastAsia" w:ascii="宋体" w:hAnsi="宋体"/>
                <w:color w:val="auto"/>
                <w:szCs w:val="21"/>
                <w:highlight w:val="none"/>
              </w:rPr>
              <w:t>（</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0B712074">
            <w:pPr>
              <w:snapToGrid w:val="0"/>
              <w:spacing w:line="360" w:lineRule="auto"/>
              <w:ind w:firstLine="398" w:firstLineChars="200"/>
              <w:jc w:val="left"/>
              <w:rPr>
                <w:rFonts w:hint="eastAsia" w:ascii="宋体" w:hAnsi="宋体"/>
                <w:color w:val="auto"/>
                <w:szCs w:val="21"/>
                <w:highlight w:val="none"/>
              </w:rPr>
            </w:pPr>
            <w:r>
              <w:rPr>
                <w:rFonts w:hint="eastAsia" w:ascii="宋体" w:hAnsi="宋体"/>
                <w:color w:val="auto"/>
                <w:szCs w:val="21"/>
                <w:highlight w:val="none"/>
              </w:rPr>
              <w:t>5.投标人直接控股信息表（格式后附）；（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0DF6C222">
            <w:pPr>
              <w:snapToGrid w:val="0"/>
              <w:spacing w:line="360" w:lineRule="auto"/>
              <w:ind w:firstLine="398" w:firstLineChars="200"/>
              <w:jc w:val="left"/>
              <w:rPr>
                <w:rFonts w:hint="eastAsia" w:ascii="宋体" w:hAnsi="宋体"/>
                <w:color w:val="auto"/>
                <w:szCs w:val="21"/>
                <w:highlight w:val="none"/>
              </w:rPr>
            </w:pPr>
            <w:r>
              <w:rPr>
                <w:rFonts w:hint="eastAsia" w:ascii="宋体" w:hAnsi="宋体"/>
                <w:color w:val="auto"/>
                <w:szCs w:val="21"/>
                <w:highlight w:val="none"/>
              </w:rPr>
              <w:t>6.投标人直接管理关系信息表（格式后附）；（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4E824A79">
            <w:pPr>
              <w:snapToGrid w:val="0"/>
              <w:spacing w:line="360" w:lineRule="auto"/>
              <w:ind w:firstLine="398" w:firstLineChars="200"/>
              <w:jc w:val="left"/>
              <w:rPr>
                <w:rFonts w:hint="eastAsia" w:ascii="宋体" w:hAnsi="宋体" w:cs="Courier New"/>
                <w:b/>
                <w:color w:val="auto"/>
                <w:szCs w:val="21"/>
                <w:highlight w:val="none"/>
              </w:rPr>
            </w:pPr>
            <w:r>
              <w:rPr>
                <w:rFonts w:hint="eastAsia" w:ascii="宋体" w:hAnsi="宋体"/>
                <w:color w:val="auto"/>
                <w:szCs w:val="21"/>
                <w:highlight w:val="none"/>
              </w:rPr>
              <w:t>7.投标声明（格式后附）；（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776FDFAB">
            <w:pPr>
              <w:snapToGrid w:val="0"/>
              <w:spacing w:line="360" w:lineRule="auto"/>
              <w:ind w:firstLine="398" w:firstLineChars="200"/>
              <w:jc w:val="left"/>
              <w:rPr>
                <w:rFonts w:hint="eastAsia" w:ascii="宋体" w:hAnsi="宋体"/>
                <w:color w:val="auto"/>
                <w:szCs w:val="21"/>
                <w:highlight w:val="none"/>
              </w:rPr>
            </w:pPr>
            <w:r>
              <w:rPr>
                <w:rFonts w:hint="eastAsia" w:ascii="宋体" w:hAnsi="宋体"/>
                <w:color w:val="auto"/>
                <w:szCs w:val="21"/>
                <w:highlight w:val="none"/>
              </w:rPr>
              <w:t>8.有效的省级及以上交通行政主管部门颁发的公路工程综合甲级</w:t>
            </w:r>
            <w:r>
              <w:rPr>
                <w:rFonts w:hint="eastAsia" w:ascii="宋体" w:hAnsi="宋体"/>
                <w:color w:val="auto"/>
                <w:szCs w:val="21"/>
                <w:highlight w:val="none"/>
                <w:lang w:eastAsia="zh-CN"/>
              </w:rPr>
              <w:t>或公路</w:t>
            </w:r>
            <w:r>
              <w:rPr>
                <w:rFonts w:hint="eastAsia" w:ascii="宋体" w:hAnsi="宋体"/>
                <w:color w:val="auto"/>
                <w:szCs w:val="21"/>
                <w:highlight w:val="none"/>
                <w:lang w:val="en-US" w:eastAsia="zh-CN"/>
              </w:rPr>
              <w:t>工程</w:t>
            </w:r>
            <w:r>
              <w:rPr>
                <w:rFonts w:hint="eastAsia" w:ascii="宋体" w:hAnsi="宋体"/>
                <w:color w:val="auto"/>
                <w:szCs w:val="21"/>
                <w:highlight w:val="none"/>
                <w:lang w:eastAsia="zh-CN"/>
              </w:rPr>
              <w:t>甲级</w:t>
            </w:r>
            <w:r>
              <w:rPr>
                <w:rFonts w:hint="eastAsia" w:ascii="宋体" w:hAnsi="宋体"/>
                <w:color w:val="auto"/>
                <w:szCs w:val="21"/>
                <w:highlight w:val="none"/>
              </w:rPr>
              <w:t>或桥梁隧道工程专项资质证书复印件，并同时具备有效的计量认证证书（CMA）复印件；（</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19E4898D">
            <w:pPr>
              <w:snapToGrid w:val="0"/>
              <w:spacing w:line="360" w:lineRule="auto"/>
              <w:ind w:firstLine="398" w:firstLineChars="200"/>
              <w:jc w:val="left"/>
              <w:rPr>
                <w:rFonts w:hint="eastAsia" w:ascii="宋体" w:hAnsi="宋体"/>
                <w:color w:val="auto"/>
                <w:szCs w:val="21"/>
                <w:highlight w:val="none"/>
              </w:rPr>
            </w:pPr>
            <w:r>
              <w:rPr>
                <w:rFonts w:hint="eastAsia" w:ascii="宋体" w:hAnsi="宋体"/>
                <w:color w:val="auto"/>
                <w:szCs w:val="21"/>
                <w:highlight w:val="none"/>
              </w:rPr>
              <w:t>9.除招标文件规定必须提供以外，投标人认为需要提供的其他证明材料。</w:t>
            </w:r>
            <w:r>
              <w:rPr>
                <w:rFonts w:hint="eastAsia" w:ascii="宋体" w:hAnsi="宋体"/>
                <w:iCs/>
                <w:color w:val="auto"/>
                <w:szCs w:val="21"/>
                <w:highlight w:val="none"/>
              </w:rPr>
              <w:t>（如有则提供）</w:t>
            </w:r>
          </w:p>
          <w:p w14:paraId="6F7DA562">
            <w:pPr>
              <w:snapToGrid w:val="0"/>
              <w:spacing w:line="360" w:lineRule="auto"/>
              <w:ind w:firstLine="398" w:firstLineChars="200"/>
              <w:jc w:val="left"/>
              <w:rPr>
                <w:rFonts w:hint="eastAsia" w:ascii="宋体" w:hAnsi="宋体"/>
                <w:b/>
                <w:bCs/>
                <w:color w:val="auto"/>
                <w:szCs w:val="21"/>
                <w:highlight w:val="none"/>
              </w:rPr>
            </w:pPr>
            <w:r>
              <w:rPr>
                <w:rFonts w:hint="eastAsia" w:ascii="宋体" w:hAnsi="宋体"/>
                <w:b/>
                <w:bCs/>
                <w:color w:val="auto"/>
                <w:szCs w:val="21"/>
                <w:highlight w:val="none"/>
              </w:rPr>
              <w:t>注：以上标明“必须提供”的材料，格式中有要求法定代表人或者委托代理人签字的，必须按要求签字并加盖投标人电子签章，否则按无效投标处理。</w:t>
            </w:r>
          </w:p>
        </w:tc>
      </w:tr>
      <w:tr w14:paraId="005C90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vMerge w:val="continue"/>
            <w:tcBorders>
              <w:left w:val="single" w:color="auto" w:sz="4" w:space="0"/>
              <w:right w:val="single" w:color="auto" w:sz="4" w:space="0"/>
            </w:tcBorders>
            <w:vAlign w:val="center"/>
          </w:tcPr>
          <w:p w14:paraId="7860E882">
            <w:pPr>
              <w:spacing w:line="360" w:lineRule="auto"/>
              <w:rPr>
                <w:rFonts w:hint="eastAsia" w:ascii="宋体" w:hAnsi="宋体"/>
                <w:color w:val="auto"/>
                <w:szCs w:val="21"/>
                <w:highlight w:val="none"/>
              </w:rPr>
            </w:pPr>
            <w:bookmarkStart w:id="54" w:name="_13.3"/>
            <w:bookmarkEnd w:id="54"/>
          </w:p>
        </w:tc>
        <w:tc>
          <w:tcPr>
            <w:tcW w:w="8175" w:type="dxa"/>
            <w:tcBorders>
              <w:top w:val="single" w:color="auto" w:sz="4" w:space="0"/>
              <w:left w:val="single" w:color="auto" w:sz="4" w:space="0"/>
              <w:bottom w:val="single" w:color="auto" w:sz="4" w:space="0"/>
              <w:right w:val="single" w:color="auto" w:sz="4" w:space="0"/>
            </w:tcBorders>
            <w:vAlign w:val="center"/>
          </w:tcPr>
          <w:p w14:paraId="38C4B378">
            <w:pPr>
              <w:snapToGrid w:val="0"/>
              <w:spacing w:line="360" w:lineRule="auto"/>
              <w:jc w:val="left"/>
              <w:rPr>
                <w:rFonts w:hint="eastAsia" w:ascii="宋体" w:hAnsi="宋体" w:cs="Courier New"/>
                <w:b/>
                <w:color w:val="auto"/>
                <w:szCs w:val="21"/>
                <w:highlight w:val="none"/>
              </w:rPr>
            </w:pPr>
            <w:r>
              <w:rPr>
                <w:rFonts w:hint="eastAsia"/>
                <w:b/>
                <w:color w:val="auto"/>
                <w:kern w:val="0"/>
                <w:highlight w:val="none"/>
              </w:rPr>
              <w:t>商务及技术文件</w:t>
            </w:r>
            <w:r>
              <w:rPr>
                <w:rFonts w:hint="eastAsia" w:ascii="宋体" w:hAnsi="宋体" w:cs="Courier New"/>
                <w:b/>
                <w:color w:val="auto"/>
                <w:szCs w:val="21"/>
                <w:highlight w:val="none"/>
              </w:rPr>
              <w:t>：</w:t>
            </w:r>
          </w:p>
          <w:p w14:paraId="6D25E054">
            <w:pPr>
              <w:snapToGrid w:val="0"/>
              <w:spacing w:line="360" w:lineRule="auto"/>
              <w:ind w:left="413"/>
              <w:jc w:val="left"/>
              <w:rPr>
                <w:rFonts w:hint="eastAsia" w:ascii="宋体" w:hAnsi="宋体"/>
                <w:color w:val="auto"/>
                <w:szCs w:val="21"/>
                <w:highlight w:val="none"/>
              </w:rPr>
            </w:pPr>
            <w:r>
              <w:rPr>
                <w:rFonts w:hint="eastAsia" w:ascii="宋体" w:hAnsi="宋体"/>
                <w:color w:val="auto"/>
                <w:szCs w:val="21"/>
                <w:highlight w:val="none"/>
              </w:rPr>
              <w:t>1.无串通投标行为的承诺函（格式后附）；（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611BD945">
            <w:pPr>
              <w:snapToGrid w:val="0"/>
              <w:spacing w:line="360" w:lineRule="auto"/>
              <w:ind w:left="413"/>
              <w:jc w:val="left"/>
              <w:rPr>
                <w:rFonts w:hint="eastAsia" w:ascii="宋体" w:hAnsi="宋体"/>
                <w:color w:val="auto"/>
                <w:szCs w:val="21"/>
                <w:highlight w:val="none"/>
              </w:rPr>
            </w:pPr>
            <w:r>
              <w:rPr>
                <w:rFonts w:hint="eastAsia" w:ascii="宋体" w:hAnsi="宋体"/>
                <w:color w:val="auto"/>
                <w:szCs w:val="21"/>
                <w:highlight w:val="none"/>
              </w:rPr>
              <w:t>2.投标保证金提交凭证；（</w:t>
            </w:r>
            <w:r>
              <w:rPr>
                <w:rFonts w:hint="eastAsia"/>
                <w:b/>
                <w:bCs/>
                <w:color w:val="auto"/>
                <w:highlight w:val="none"/>
              </w:rPr>
              <w:t>必须提供</w:t>
            </w:r>
            <w:r>
              <w:rPr>
                <w:rFonts w:hint="eastAsia" w:ascii="宋体" w:hAnsi="宋体"/>
                <w:b/>
                <w:color w:val="auto"/>
                <w:szCs w:val="21"/>
                <w:highlight w:val="none"/>
              </w:rPr>
              <w:t>，否则按无效投标处理</w:t>
            </w:r>
            <w:r>
              <w:rPr>
                <w:rFonts w:hint="eastAsia" w:ascii="宋体" w:hAnsi="宋体"/>
                <w:color w:val="auto"/>
                <w:szCs w:val="21"/>
                <w:highlight w:val="none"/>
              </w:rPr>
              <w:t>）</w:t>
            </w:r>
          </w:p>
          <w:p w14:paraId="046B157F">
            <w:pPr>
              <w:snapToGrid w:val="0"/>
              <w:spacing w:line="360" w:lineRule="auto"/>
              <w:ind w:left="413"/>
              <w:jc w:val="left"/>
              <w:rPr>
                <w:rFonts w:hint="eastAsia" w:ascii="宋体" w:hAnsi="宋体"/>
                <w:color w:val="auto"/>
                <w:szCs w:val="21"/>
                <w:highlight w:val="none"/>
              </w:rPr>
            </w:pPr>
            <w:r>
              <w:rPr>
                <w:rFonts w:hint="eastAsia" w:ascii="宋体" w:hAnsi="宋体"/>
                <w:color w:val="auto"/>
                <w:szCs w:val="21"/>
                <w:highlight w:val="none"/>
              </w:rPr>
              <w:t>3.法定代表人身份证明及法定代表人有效身份证正反面复印件（格式后附）；（</w:t>
            </w:r>
            <w:r>
              <w:rPr>
                <w:rFonts w:hint="eastAsia" w:ascii="宋体" w:hAnsi="宋体" w:cs="宋体"/>
                <w:b/>
                <w:bCs/>
                <w:color w:val="auto"/>
                <w:szCs w:val="21"/>
                <w:highlight w:val="none"/>
              </w:rPr>
              <w:t>除自然人投标外</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1B244C0E">
            <w:pPr>
              <w:snapToGrid w:val="0"/>
              <w:spacing w:line="360" w:lineRule="auto"/>
              <w:ind w:left="413"/>
              <w:jc w:val="left"/>
              <w:rPr>
                <w:rFonts w:hint="eastAsia" w:ascii="宋体" w:hAnsi="宋体"/>
                <w:color w:val="auto"/>
                <w:szCs w:val="21"/>
                <w:highlight w:val="none"/>
              </w:rPr>
            </w:pPr>
            <w:r>
              <w:rPr>
                <w:rFonts w:hint="eastAsia" w:ascii="宋体" w:hAnsi="宋体"/>
                <w:color w:val="auto"/>
                <w:szCs w:val="21"/>
                <w:highlight w:val="none"/>
              </w:rPr>
              <w:t>4.授权委托书及委托代理人有效身份证正反面复印件（格式后附）；（</w:t>
            </w:r>
            <w:r>
              <w:rPr>
                <w:rFonts w:hint="eastAsia" w:ascii="宋体" w:hAnsi="宋体"/>
                <w:b/>
                <w:color w:val="auto"/>
                <w:szCs w:val="21"/>
                <w:highlight w:val="none"/>
              </w:rPr>
              <w:t>委托时必须提供，否则按无效投标处理</w:t>
            </w:r>
            <w:r>
              <w:rPr>
                <w:rFonts w:hint="eastAsia" w:ascii="宋体" w:hAnsi="宋体"/>
                <w:color w:val="auto"/>
                <w:szCs w:val="21"/>
                <w:highlight w:val="none"/>
              </w:rPr>
              <w:t>）</w:t>
            </w:r>
          </w:p>
          <w:p w14:paraId="5A868149">
            <w:pPr>
              <w:snapToGrid w:val="0"/>
              <w:spacing w:line="360" w:lineRule="auto"/>
              <w:ind w:left="413"/>
              <w:jc w:val="left"/>
              <w:rPr>
                <w:rFonts w:hint="eastAsia" w:ascii="宋体" w:hAnsi="宋体"/>
                <w:color w:val="auto"/>
                <w:szCs w:val="21"/>
                <w:highlight w:val="none"/>
              </w:rPr>
            </w:pPr>
            <w:r>
              <w:rPr>
                <w:rFonts w:hint="eastAsia" w:ascii="宋体" w:hAnsi="宋体"/>
                <w:color w:val="auto"/>
                <w:szCs w:val="21"/>
                <w:highlight w:val="none"/>
              </w:rPr>
              <w:t>5</w:t>
            </w:r>
            <w:r>
              <w:rPr>
                <w:rFonts w:ascii="宋体" w:hAnsi="宋体"/>
                <w:color w:val="auto"/>
                <w:szCs w:val="21"/>
                <w:highlight w:val="none"/>
              </w:rPr>
              <w:t>.</w:t>
            </w:r>
            <w:r>
              <w:rPr>
                <w:rFonts w:hint="eastAsia" w:ascii="宋体" w:hAnsi="宋体"/>
                <w:color w:val="auto"/>
                <w:szCs w:val="21"/>
                <w:highlight w:val="none"/>
              </w:rPr>
              <w:t>商务要求偏离表（格式后附）；（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751AC34E">
            <w:pPr>
              <w:snapToGrid w:val="0"/>
              <w:spacing w:line="360" w:lineRule="auto"/>
              <w:ind w:left="420"/>
              <w:jc w:val="left"/>
              <w:rPr>
                <w:rFonts w:hint="eastAsia" w:ascii="宋体" w:hAnsi="宋体"/>
                <w:color w:val="auto"/>
                <w:szCs w:val="21"/>
                <w:highlight w:val="none"/>
              </w:rPr>
            </w:pPr>
            <w:r>
              <w:rPr>
                <w:rFonts w:hint="eastAsia" w:ascii="宋体" w:hAnsi="宋体"/>
                <w:color w:val="auto"/>
                <w:szCs w:val="21"/>
                <w:highlight w:val="none"/>
              </w:rPr>
              <w:t>6.技术要求偏离表（格式后附）；（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1EC375DC">
            <w:pPr>
              <w:snapToGrid w:val="0"/>
              <w:spacing w:line="360" w:lineRule="auto"/>
              <w:ind w:left="420"/>
              <w:jc w:val="left"/>
              <w:rPr>
                <w:rFonts w:hint="eastAsia" w:ascii="宋体" w:hAnsi="宋体"/>
                <w:color w:val="auto"/>
                <w:szCs w:val="21"/>
                <w:highlight w:val="none"/>
              </w:rPr>
            </w:pPr>
            <w:r>
              <w:rPr>
                <w:rFonts w:hint="eastAsia" w:ascii="宋体" w:hAnsi="宋体"/>
                <w:color w:val="auto"/>
                <w:szCs w:val="21"/>
                <w:highlight w:val="none"/>
              </w:rPr>
              <w:t>7.项目实施人员一览表（格式后附）；</w:t>
            </w:r>
            <w:r>
              <w:rPr>
                <w:rFonts w:hint="eastAsia" w:ascii="宋体" w:hAnsi="宋体"/>
                <w:iCs/>
                <w:color w:val="auto"/>
                <w:szCs w:val="21"/>
                <w:highlight w:val="none"/>
              </w:rPr>
              <w:t>（</w:t>
            </w:r>
            <w:r>
              <w:rPr>
                <w:rFonts w:hint="eastAsia" w:ascii="宋体" w:hAnsi="宋体"/>
                <w:b/>
                <w:iCs/>
                <w:color w:val="auto"/>
                <w:szCs w:val="21"/>
                <w:highlight w:val="none"/>
              </w:rPr>
              <w:t>必须提供，否则按无效投标处理</w:t>
            </w:r>
            <w:r>
              <w:rPr>
                <w:rFonts w:hint="eastAsia" w:ascii="宋体" w:hAnsi="宋体"/>
                <w:iCs/>
                <w:color w:val="auto"/>
                <w:szCs w:val="21"/>
                <w:highlight w:val="none"/>
              </w:rPr>
              <w:t>）</w:t>
            </w:r>
          </w:p>
          <w:p w14:paraId="4B8D2966">
            <w:pPr>
              <w:snapToGrid w:val="0"/>
              <w:spacing w:line="360" w:lineRule="auto"/>
              <w:ind w:left="420"/>
              <w:jc w:val="left"/>
              <w:rPr>
                <w:rFonts w:hint="eastAsia" w:ascii="宋体" w:hAnsi="宋体"/>
                <w:color w:val="auto"/>
                <w:szCs w:val="21"/>
                <w:highlight w:val="none"/>
              </w:rPr>
            </w:pPr>
            <w:r>
              <w:rPr>
                <w:rFonts w:hint="eastAsia" w:ascii="宋体" w:hAnsi="宋体"/>
                <w:color w:val="auto"/>
                <w:szCs w:val="21"/>
                <w:highlight w:val="none"/>
              </w:rPr>
              <w:t>8.试验检测设备一览表（格式后附）</w:t>
            </w:r>
            <w:r>
              <w:rPr>
                <w:rFonts w:hint="eastAsia" w:ascii="宋体" w:hAnsi="宋体"/>
                <w:iCs/>
                <w:color w:val="auto"/>
                <w:szCs w:val="21"/>
                <w:highlight w:val="none"/>
              </w:rPr>
              <w:t>（</w:t>
            </w:r>
            <w:r>
              <w:rPr>
                <w:rFonts w:hint="eastAsia" w:ascii="宋体" w:hAnsi="宋体"/>
                <w:b/>
                <w:iCs/>
                <w:color w:val="auto"/>
                <w:szCs w:val="21"/>
                <w:highlight w:val="none"/>
              </w:rPr>
              <w:t>必须提供，否则按无效投标处理</w:t>
            </w:r>
            <w:r>
              <w:rPr>
                <w:rFonts w:hint="eastAsia" w:ascii="宋体" w:hAnsi="宋体"/>
                <w:iCs/>
                <w:color w:val="auto"/>
                <w:szCs w:val="21"/>
                <w:highlight w:val="none"/>
              </w:rPr>
              <w:t>）</w:t>
            </w:r>
          </w:p>
          <w:p w14:paraId="017A1BE7">
            <w:pPr>
              <w:snapToGrid w:val="0"/>
              <w:spacing w:line="360" w:lineRule="auto"/>
              <w:ind w:left="420"/>
              <w:jc w:val="left"/>
              <w:rPr>
                <w:rFonts w:hint="eastAsia" w:ascii="宋体" w:hAnsi="宋体"/>
                <w:color w:val="auto"/>
                <w:szCs w:val="21"/>
                <w:highlight w:val="none"/>
              </w:rPr>
            </w:pPr>
            <w:r>
              <w:rPr>
                <w:rFonts w:hint="eastAsia" w:ascii="宋体" w:hAnsi="宋体"/>
                <w:color w:val="auto"/>
                <w:szCs w:val="21"/>
                <w:highlight w:val="none"/>
              </w:rPr>
              <w:t>9.代理服务费承诺书（格式后附）；</w:t>
            </w:r>
          </w:p>
          <w:p w14:paraId="448D2B55">
            <w:pPr>
              <w:snapToGrid w:val="0"/>
              <w:spacing w:line="360" w:lineRule="auto"/>
              <w:ind w:left="420"/>
              <w:jc w:val="left"/>
              <w:rPr>
                <w:rFonts w:hint="eastAsia" w:ascii="宋体" w:hAnsi="宋体"/>
                <w:color w:val="auto"/>
                <w:szCs w:val="21"/>
                <w:highlight w:val="none"/>
              </w:rPr>
            </w:pPr>
            <w:r>
              <w:rPr>
                <w:rFonts w:hint="eastAsia" w:ascii="宋体" w:hAnsi="宋体"/>
                <w:color w:val="auto"/>
                <w:szCs w:val="21"/>
                <w:highlight w:val="none"/>
              </w:rPr>
              <w:t>10.检测工作大纲（格式自拟）；</w:t>
            </w:r>
          </w:p>
          <w:p w14:paraId="76C4417B">
            <w:pPr>
              <w:snapToGrid w:val="0"/>
              <w:spacing w:line="360" w:lineRule="auto"/>
              <w:ind w:left="420"/>
              <w:jc w:val="left"/>
              <w:rPr>
                <w:rFonts w:hint="eastAsia" w:ascii="宋体" w:hAnsi="宋体"/>
                <w:color w:val="auto"/>
                <w:szCs w:val="21"/>
                <w:highlight w:val="none"/>
              </w:rPr>
            </w:pPr>
            <w:r>
              <w:rPr>
                <w:rFonts w:hint="eastAsia" w:ascii="宋体" w:hAnsi="宋体"/>
                <w:color w:val="auto"/>
                <w:szCs w:val="21"/>
                <w:highlight w:val="none"/>
              </w:rPr>
              <w:t>11.检测质量管理及控制方案（格式自拟）；</w:t>
            </w:r>
          </w:p>
          <w:p w14:paraId="6210FCAC">
            <w:pPr>
              <w:snapToGrid w:val="0"/>
              <w:spacing w:line="360" w:lineRule="auto"/>
              <w:ind w:left="420"/>
              <w:jc w:val="left"/>
              <w:rPr>
                <w:color w:val="auto"/>
                <w:highlight w:val="none"/>
              </w:rPr>
            </w:pPr>
            <w:r>
              <w:rPr>
                <w:rFonts w:hint="eastAsia" w:ascii="宋体" w:hAnsi="宋体"/>
                <w:color w:val="auto"/>
                <w:szCs w:val="21"/>
                <w:highlight w:val="none"/>
              </w:rPr>
              <w:t>12.桥梁隧道定期检测实施方案（格式自拟）；</w:t>
            </w:r>
          </w:p>
          <w:p w14:paraId="40BA4F64">
            <w:pPr>
              <w:snapToGrid w:val="0"/>
              <w:spacing w:line="360" w:lineRule="auto"/>
              <w:ind w:left="420"/>
              <w:jc w:val="left"/>
              <w:rPr>
                <w:rFonts w:hint="eastAsia" w:ascii="宋体" w:hAnsi="宋体"/>
                <w:color w:val="auto"/>
                <w:szCs w:val="21"/>
                <w:highlight w:val="none"/>
              </w:rPr>
            </w:pPr>
            <w:r>
              <w:rPr>
                <w:rFonts w:hint="eastAsia" w:ascii="宋体" w:hAnsi="宋体"/>
                <w:color w:val="auto"/>
                <w:szCs w:val="21"/>
                <w:highlight w:val="none"/>
              </w:rPr>
              <w:t>13服务承诺方案（格式自拟）；</w:t>
            </w:r>
          </w:p>
          <w:p w14:paraId="4684814D">
            <w:pPr>
              <w:snapToGrid w:val="0"/>
              <w:spacing w:line="360" w:lineRule="auto"/>
              <w:ind w:left="413"/>
              <w:jc w:val="left"/>
              <w:rPr>
                <w:rFonts w:hint="eastAsia" w:ascii="宋体" w:hAnsi="宋体"/>
                <w:color w:val="auto"/>
                <w:szCs w:val="21"/>
                <w:highlight w:val="none"/>
              </w:rPr>
            </w:pPr>
            <w:r>
              <w:rPr>
                <w:rFonts w:hint="eastAsia" w:ascii="宋体" w:hAnsi="宋体"/>
                <w:color w:val="auto"/>
                <w:szCs w:val="21"/>
                <w:highlight w:val="none"/>
              </w:rPr>
              <w:t>14.除招标文件规定必须提供以外，投标人认为需要提供的其他证明材料（格式自拟）。（投标人根据“第二章 采购需求”及“第四章 评标方法及评标标准”提供有关证明材料）。</w:t>
            </w:r>
            <w:r>
              <w:rPr>
                <w:rFonts w:hint="eastAsia" w:ascii="宋体" w:hAnsi="宋体"/>
                <w:iCs/>
                <w:color w:val="auto"/>
                <w:szCs w:val="21"/>
                <w:highlight w:val="none"/>
              </w:rPr>
              <w:t>（如有则提供）</w:t>
            </w:r>
          </w:p>
          <w:p w14:paraId="646135DF">
            <w:pPr>
              <w:snapToGrid w:val="0"/>
              <w:spacing w:line="360" w:lineRule="auto"/>
              <w:ind w:firstLine="398" w:firstLineChars="200"/>
              <w:jc w:val="left"/>
              <w:rPr>
                <w:rFonts w:hint="eastAsia" w:ascii="宋体" w:hAnsi="宋体" w:cs="Courier New"/>
                <w:b/>
                <w:color w:val="auto"/>
                <w:szCs w:val="21"/>
                <w:highlight w:val="none"/>
              </w:rPr>
            </w:pPr>
            <w:r>
              <w:rPr>
                <w:rFonts w:hint="eastAsia" w:ascii="宋体" w:hAnsi="宋体"/>
                <w:b/>
                <w:bCs/>
                <w:color w:val="auto"/>
                <w:szCs w:val="21"/>
                <w:highlight w:val="none"/>
              </w:rPr>
              <w:t>注：以上标明“必须提供”的材料，格式中有要求法定代表人或者委托代理人签字的，必须按要求签字并加盖投标人电子签章，否则按无效投标处理。</w:t>
            </w:r>
          </w:p>
        </w:tc>
      </w:tr>
      <w:tr w14:paraId="6F1323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7A119C25">
            <w:pPr>
              <w:spacing w:line="360" w:lineRule="auto"/>
              <w:rPr>
                <w:rFonts w:hint="eastAsia" w:ascii="宋体" w:hAnsi="宋体"/>
                <w:color w:val="auto"/>
                <w:szCs w:val="21"/>
                <w:highlight w:val="none"/>
              </w:rPr>
            </w:pPr>
            <w:bookmarkStart w:id="55" w:name="_16.2"/>
            <w:bookmarkEnd w:id="55"/>
            <w:bookmarkStart w:id="56" w:name="_13.5"/>
            <w:bookmarkEnd w:id="56"/>
            <w:bookmarkStart w:id="57" w:name="_13.4"/>
            <w:bookmarkEnd w:id="57"/>
            <w:r>
              <w:rPr>
                <w:rFonts w:hint="eastAsia" w:ascii="宋体" w:hAnsi="宋体"/>
                <w:color w:val="auto"/>
                <w:szCs w:val="21"/>
                <w:highlight w:val="none"/>
              </w:rPr>
              <w:t>16</w:t>
            </w:r>
            <w:bookmarkStart w:id="58" w:name="_Hlt19194066"/>
            <w:bookmarkStart w:id="59" w:name="_Hlt19693758"/>
            <w:bookmarkStart w:id="60" w:name="_Hlt19693759"/>
            <w:bookmarkStart w:id="61" w:name="_Hlt19194067"/>
            <w:r>
              <w:rPr>
                <w:rFonts w:hint="eastAsia" w:ascii="宋体" w:hAnsi="宋体"/>
                <w:color w:val="auto"/>
                <w:szCs w:val="21"/>
                <w:highlight w:val="none"/>
              </w:rPr>
              <w:t>.</w:t>
            </w:r>
            <w:bookmarkEnd w:id="58"/>
            <w:bookmarkEnd w:id="59"/>
            <w:bookmarkEnd w:id="60"/>
            <w:bookmarkEnd w:id="61"/>
            <w:r>
              <w:rPr>
                <w:rFonts w:hint="eastAsia" w:ascii="宋体" w:hAnsi="宋体"/>
                <w:color w:val="auto"/>
                <w:szCs w:val="21"/>
                <w:highlight w:val="none"/>
              </w:rPr>
              <w:t>2</w:t>
            </w:r>
          </w:p>
        </w:tc>
        <w:tc>
          <w:tcPr>
            <w:tcW w:w="8175" w:type="dxa"/>
            <w:tcBorders>
              <w:top w:val="single" w:color="auto" w:sz="4" w:space="0"/>
              <w:left w:val="single" w:color="auto" w:sz="4" w:space="0"/>
              <w:bottom w:val="single" w:color="auto" w:sz="4" w:space="0"/>
              <w:right w:val="single" w:color="auto" w:sz="4" w:space="0"/>
            </w:tcBorders>
            <w:shd w:val="clear" w:color="auto" w:fill="auto"/>
            <w:vAlign w:val="center"/>
          </w:tcPr>
          <w:p w14:paraId="10A04210">
            <w:pPr>
              <w:snapToGrid w:val="0"/>
              <w:spacing w:line="360" w:lineRule="auto"/>
              <w:rPr>
                <w:rFonts w:hint="eastAsia" w:ascii="宋体" w:hAnsi="宋体"/>
                <w:b/>
                <w:color w:val="auto"/>
                <w:szCs w:val="21"/>
                <w:highlight w:val="none"/>
              </w:rPr>
            </w:pPr>
            <w:r>
              <w:rPr>
                <w:rFonts w:hint="eastAsia" w:ascii="宋体" w:hAnsi="宋体"/>
                <w:color w:val="auto"/>
                <w:szCs w:val="21"/>
                <w:highlight w:val="none"/>
              </w:rPr>
              <w:t>投标报价是履行合同的最终价格，</w:t>
            </w:r>
            <w:r>
              <w:rPr>
                <w:rFonts w:hint="eastAsia" w:ascii="宋体" w:hAnsi="宋体" w:cs="宋体"/>
                <w:color w:val="auto"/>
                <w:szCs w:val="21"/>
                <w:highlight w:val="none"/>
              </w:rPr>
              <w:t>即满足全部采购需求所应提供的服务，以及伴随的货物和工程（如有）的价格；包括投标服务、货物、工程的成本、运输（含保险）、安装（如有）、调试、检验、技术服务、设备设施使用、培训、差旅、文印、税费等所有费用。</w:t>
            </w:r>
            <w:r>
              <w:rPr>
                <w:rFonts w:hint="eastAsia" w:ascii="宋体" w:hAnsi="宋体"/>
                <w:b/>
                <w:color w:val="auto"/>
                <w:szCs w:val="21"/>
                <w:highlight w:val="none"/>
              </w:rPr>
              <w:t>（采购需求另有约定的，从其约定）</w:t>
            </w:r>
          </w:p>
        </w:tc>
      </w:tr>
      <w:tr w14:paraId="7B3636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4C337465">
            <w:pPr>
              <w:spacing w:line="360" w:lineRule="auto"/>
              <w:rPr>
                <w:rFonts w:hint="eastAsia" w:ascii="宋体" w:hAnsi="宋体"/>
                <w:color w:val="auto"/>
                <w:szCs w:val="21"/>
                <w:highlight w:val="none"/>
              </w:rPr>
            </w:pPr>
            <w:bookmarkStart w:id="62" w:name="_17.1"/>
            <w:bookmarkEnd w:id="62"/>
            <w:r>
              <w:rPr>
                <w:rFonts w:hint="eastAsia" w:ascii="宋体" w:hAnsi="宋体"/>
                <w:color w:val="auto"/>
                <w:szCs w:val="21"/>
                <w:highlight w:val="none"/>
              </w:rPr>
              <w:t>17.</w:t>
            </w:r>
            <w:r>
              <w:rPr>
                <w:rFonts w:ascii="宋体" w:hAnsi="宋体"/>
                <w:color w:val="auto"/>
                <w:szCs w:val="21"/>
                <w:highlight w:val="none"/>
              </w:rPr>
              <w:t>2</w:t>
            </w:r>
          </w:p>
        </w:tc>
        <w:tc>
          <w:tcPr>
            <w:tcW w:w="8175" w:type="dxa"/>
            <w:tcBorders>
              <w:top w:val="single" w:color="auto" w:sz="4" w:space="0"/>
              <w:left w:val="single" w:color="auto" w:sz="4" w:space="0"/>
              <w:bottom w:val="single" w:color="auto" w:sz="4" w:space="0"/>
              <w:right w:val="single" w:color="auto" w:sz="4" w:space="0"/>
            </w:tcBorders>
            <w:vAlign w:val="center"/>
          </w:tcPr>
          <w:p w14:paraId="6D053103">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投标有效期：自投标截止之日起</w:t>
            </w:r>
            <w:r>
              <w:rPr>
                <w:rFonts w:hint="eastAsia" w:ascii="宋体" w:hAnsi="宋体"/>
                <w:color w:val="auto"/>
                <w:szCs w:val="21"/>
                <w:highlight w:val="none"/>
                <w:u w:val="single"/>
                <w:lang w:val="en-US" w:eastAsia="zh-CN"/>
              </w:rPr>
              <w:t>90</w:t>
            </w:r>
            <w:r>
              <w:rPr>
                <w:rFonts w:hint="eastAsia" w:ascii="宋体" w:hAnsi="宋体"/>
                <w:color w:val="auto"/>
                <w:szCs w:val="21"/>
                <w:highlight w:val="none"/>
              </w:rPr>
              <w:t>日。</w:t>
            </w:r>
          </w:p>
        </w:tc>
      </w:tr>
      <w:tr w14:paraId="182C4D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69DA7FC0">
            <w:pPr>
              <w:spacing w:line="360" w:lineRule="auto"/>
              <w:rPr>
                <w:rFonts w:hint="eastAsia" w:ascii="宋体" w:hAnsi="宋体"/>
                <w:color w:val="auto"/>
                <w:szCs w:val="21"/>
                <w:highlight w:val="none"/>
              </w:rPr>
            </w:pPr>
            <w:bookmarkStart w:id="63" w:name="_18"/>
            <w:bookmarkEnd w:id="63"/>
            <w:r>
              <w:rPr>
                <w:rFonts w:hint="eastAsia" w:ascii="宋体" w:hAnsi="宋体"/>
                <w:color w:val="auto"/>
                <w:szCs w:val="21"/>
                <w:highlight w:val="none"/>
              </w:rPr>
              <w:t>18</w:t>
            </w:r>
            <w:r>
              <w:rPr>
                <w:rFonts w:ascii="宋体" w:hAnsi="宋体"/>
                <w:color w:val="auto"/>
                <w:szCs w:val="21"/>
                <w:highlight w:val="none"/>
              </w:rPr>
              <w:t>.1</w:t>
            </w:r>
          </w:p>
        </w:tc>
        <w:tc>
          <w:tcPr>
            <w:tcW w:w="8175" w:type="dxa"/>
            <w:tcBorders>
              <w:top w:val="single" w:color="auto" w:sz="4" w:space="0"/>
              <w:left w:val="single" w:color="auto" w:sz="4" w:space="0"/>
              <w:bottom w:val="single" w:color="auto" w:sz="4" w:space="0"/>
              <w:right w:val="single" w:color="auto" w:sz="4" w:space="0"/>
            </w:tcBorders>
            <w:vAlign w:val="center"/>
          </w:tcPr>
          <w:p w14:paraId="7E63CAAE">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□本项目不收取投标保证金。</w:t>
            </w:r>
          </w:p>
          <w:p w14:paraId="55635E8F">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☑本项目收取投标保证金，具体规定如下：</w:t>
            </w:r>
          </w:p>
          <w:p w14:paraId="602F7CC6">
            <w:pPr>
              <w:snapToGrid w:val="0"/>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u w:val="single"/>
              </w:rPr>
              <w:t xml:space="preserve"> 1 </w:t>
            </w:r>
            <w:r>
              <w:rPr>
                <w:rFonts w:hint="eastAsia" w:ascii="宋体" w:hAnsi="宋体" w:cs="宋体"/>
                <w:color w:val="auto"/>
                <w:kern w:val="0"/>
                <w:szCs w:val="21"/>
                <w:highlight w:val="none"/>
              </w:rPr>
              <w:t>分标投标保证金人民币</w:t>
            </w:r>
            <w:r>
              <w:rPr>
                <w:rFonts w:hint="eastAsia" w:ascii="宋体" w:hAnsi="宋体" w:cs="宋体"/>
                <w:color w:val="auto"/>
                <w:kern w:val="0"/>
                <w:szCs w:val="21"/>
                <w:highlight w:val="none"/>
                <w:u w:val="single"/>
              </w:rPr>
              <w:t>叁万整（¥30000.00）</w:t>
            </w:r>
            <w:r>
              <w:rPr>
                <w:rFonts w:hint="eastAsia" w:ascii="宋体" w:hAnsi="宋体" w:cs="宋体"/>
                <w:color w:val="auto"/>
                <w:kern w:val="0"/>
                <w:szCs w:val="21"/>
                <w:highlight w:val="none"/>
              </w:rPr>
              <w:t>。</w:t>
            </w:r>
          </w:p>
          <w:p w14:paraId="18D29631">
            <w:pPr>
              <w:snapToGrid w:val="0"/>
              <w:spacing w:line="360" w:lineRule="auto"/>
              <w:rPr>
                <w:rFonts w:hint="eastAsia" w:ascii="宋体" w:hAnsi="宋体"/>
                <w:color w:val="auto"/>
                <w:szCs w:val="21"/>
                <w:highlight w:val="none"/>
              </w:rPr>
            </w:pPr>
            <w:r>
              <w:rPr>
                <w:rFonts w:hint="eastAsia" w:ascii="宋体" w:hAnsi="宋体" w:cs="宋体"/>
                <w:color w:val="auto"/>
                <w:kern w:val="0"/>
                <w:szCs w:val="21"/>
                <w:highlight w:val="none"/>
              </w:rPr>
              <w:t>投标保证金的交纳方式：银行转账、支票、汇票、本票或者银行、保险机构出具的保函（包含电子保函），禁止采用现钞方式。采用银行转账方式的，在投标截止时间前</w:t>
            </w:r>
            <w:r>
              <w:rPr>
                <w:rFonts w:hint="eastAsia"/>
                <w:color w:val="auto"/>
                <w:highlight w:val="none"/>
              </w:rPr>
              <w:t>从投标人账户</w:t>
            </w:r>
            <w:r>
              <w:rPr>
                <w:rFonts w:hint="eastAsia" w:ascii="宋体" w:hAnsi="宋体" w:cs="宋体"/>
                <w:color w:val="auto"/>
                <w:kern w:val="0"/>
                <w:szCs w:val="21"/>
                <w:highlight w:val="none"/>
              </w:rPr>
              <w:t>交至指定账户并且到账（</w:t>
            </w:r>
            <w:r>
              <w:rPr>
                <w:rFonts w:hint="eastAsia" w:ascii="宋体" w:hAnsi="宋体" w:cs="宋体"/>
                <w:b/>
                <w:bCs/>
                <w:color w:val="auto"/>
                <w:kern w:val="0"/>
                <w:szCs w:val="21"/>
                <w:highlight w:val="none"/>
              </w:rPr>
              <w:t>开户名称：</w:t>
            </w:r>
            <w:r>
              <w:rPr>
                <w:rFonts w:hint="eastAsia" w:ascii="宋体" w:hAnsi="宋体" w:cs="宋体"/>
                <w:b/>
                <w:bCs/>
                <w:color w:val="auto"/>
                <w:kern w:val="0"/>
                <w:szCs w:val="21"/>
                <w:highlight w:val="none"/>
                <w:lang w:eastAsia="zh-CN"/>
              </w:rPr>
              <w:t>广西交投宏冠工程咨询有限公司</w:t>
            </w:r>
            <w:r>
              <w:rPr>
                <w:rFonts w:hint="eastAsia" w:ascii="宋体" w:hAnsi="宋体" w:cs="宋体"/>
                <w:b/>
                <w:bCs/>
                <w:color w:val="auto"/>
                <w:kern w:val="0"/>
                <w:szCs w:val="21"/>
                <w:highlight w:val="none"/>
              </w:rPr>
              <w:t>、账号：</w:t>
            </w:r>
            <w:r>
              <w:rPr>
                <w:rFonts w:hint="eastAsia" w:ascii="宋体" w:hAnsi="宋体" w:cs="宋体"/>
                <w:b/>
                <w:bCs/>
                <w:color w:val="auto"/>
                <w:kern w:val="0"/>
                <w:szCs w:val="21"/>
                <w:highlight w:val="none"/>
                <w:lang w:eastAsia="zh-CN"/>
              </w:rPr>
              <w:t>2102174619300005231</w:t>
            </w:r>
            <w:r>
              <w:rPr>
                <w:rFonts w:hint="eastAsia" w:ascii="宋体" w:hAnsi="宋体" w:cs="宋体"/>
                <w:b/>
                <w:bCs/>
                <w:color w:val="auto"/>
                <w:kern w:val="0"/>
                <w:szCs w:val="21"/>
                <w:highlight w:val="none"/>
              </w:rPr>
              <w:t>、开户行：</w:t>
            </w:r>
            <w:r>
              <w:rPr>
                <w:rFonts w:hint="eastAsia" w:ascii="宋体" w:hAnsi="宋体" w:cs="宋体"/>
                <w:b/>
                <w:bCs/>
                <w:color w:val="auto"/>
                <w:kern w:val="0"/>
                <w:szCs w:val="21"/>
                <w:highlight w:val="none"/>
                <w:lang w:eastAsia="zh-CN"/>
              </w:rPr>
              <w:t>工行南宁滨湖中支行</w:t>
            </w:r>
            <w:r>
              <w:rPr>
                <w:rFonts w:hint="eastAsia" w:ascii="宋体" w:hAnsi="宋体" w:cs="宋体"/>
                <w:color w:val="auto"/>
                <w:kern w:val="0"/>
                <w:szCs w:val="21"/>
                <w:highlight w:val="none"/>
              </w:rPr>
              <w:t>）；采用支票、汇票、本票或者保函等方式的，在投标截止时间前，投标人必须递交单独密封的支票、汇票、本票或者保函原件（电子保函复印件加盖公章）。否则视为无效投标保证金。</w:t>
            </w:r>
          </w:p>
          <w:p w14:paraId="61D89C9B">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相关要求：</w:t>
            </w:r>
          </w:p>
          <w:p w14:paraId="4DFCD919">
            <w:pPr>
              <w:snapToGrid w:val="0"/>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1.投标保证金采用银行转账交纳方式的，在投标截止时间前交至指定账户并且到账，投标人应将银行转账底单的复印件作为投标保证金提交凭证，放置于商务及技术文件中，否则投标无效。</w:t>
            </w:r>
          </w:p>
          <w:p w14:paraId="78217868">
            <w:pPr>
              <w:snapToGrid w:val="0"/>
              <w:spacing w:line="360" w:lineRule="auto"/>
              <w:rPr>
                <w:rFonts w:hint="eastAsia" w:ascii="宋体" w:hAnsi="宋体"/>
                <w:color w:val="auto"/>
                <w:szCs w:val="21"/>
                <w:highlight w:val="none"/>
              </w:rPr>
            </w:pPr>
            <w:r>
              <w:rPr>
                <w:rFonts w:hint="eastAsia" w:ascii="宋体" w:hAnsi="宋体" w:cs="宋体"/>
                <w:color w:val="auto"/>
                <w:kern w:val="0"/>
                <w:szCs w:val="21"/>
                <w:highlight w:val="none"/>
              </w:rPr>
              <w:t>2.投标保证金采用支票、汇票、本票或者银行、保险机构出具的保函（包含电子保函）交纳方式的，投标人应将支票、</w:t>
            </w:r>
            <w:r>
              <w:rPr>
                <w:rFonts w:hint="eastAsia" w:ascii="宋体" w:hAnsi="宋体"/>
                <w:color w:val="auto"/>
                <w:szCs w:val="21"/>
                <w:highlight w:val="none"/>
              </w:rPr>
              <w:t>汇票、本票或者银行、保险机构出具的保函（包含电子保函）的复印件作为投标保证金提交凭证，放置于商务及技术文件中，</w:t>
            </w:r>
            <w:r>
              <w:rPr>
                <w:rFonts w:hint="eastAsia" w:ascii="宋体" w:hAnsi="宋体"/>
                <w:b/>
                <w:color w:val="auto"/>
                <w:szCs w:val="21"/>
                <w:highlight w:val="none"/>
              </w:rPr>
              <w:t>否则投标无效</w:t>
            </w:r>
            <w:r>
              <w:rPr>
                <w:rFonts w:hint="eastAsia" w:ascii="宋体" w:hAnsi="宋体"/>
                <w:color w:val="auto"/>
                <w:szCs w:val="21"/>
                <w:highlight w:val="none"/>
              </w:rPr>
              <w:t>。投标人必须</w:t>
            </w:r>
            <w:r>
              <w:rPr>
                <w:rFonts w:hint="eastAsia"/>
                <w:color w:val="auto"/>
                <w:highlight w:val="none"/>
              </w:rPr>
              <w:t>在投标截止时间前采用现场或邮寄方式（现场提交地址：</w:t>
            </w:r>
            <w:r>
              <w:rPr>
                <w:rFonts w:hint="eastAsia"/>
                <w:b/>
                <w:bCs/>
                <w:color w:val="auto"/>
                <w:highlight w:val="none"/>
                <w:u w:val="single"/>
              </w:rPr>
              <w:t>广西壮族自治区公共资源交易中心</w:t>
            </w:r>
            <w:r>
              <w:rPr>
                <w:rFonts w:hint="eastAsia"/>
                <w:color w:val="auto"/>
                <w:highlight w:val="none"/>
              </w:rPr>
              <w:t>；邮寄地址：</w:t>
            </w:r>
            <w:r>
              <w:rPr>
                <w:rFonts w:hint="eastAsia" w:ascii="宋体" w:hAnsi="宋体"/>
                <w:b/>
                <w:color w:val="auto"/>
                <w:szCs w:val="21"/>
                <w:highlight w:val="none"/>
                <w:u w:val="single"/>
                <w:lang w:eastAsia="zh-CN"/>
              </w:rPr>
              <w:t>广西南宁市青秀区合作路6号五洲国际D栋商铺3楼D312室</w:t>
            </w:r>
            <w:r>
              <w:rPr>
                <w:rFonts w:hint="eastAsia"/>
                <w:color w:val="auto"/>
                <w:highlight w:val="none"/>
              </w:rPr>
              <w:t>，收件人：</w:t>
            </w:r>
            <w:r>
              <w:rPr>
                <w:rFonts w:hint="eastAsia" w:ascii="宋体" w:hAnsi="宋体"/>
                <w:bCs/>
                <w:color w:val="auto"/>
                <w:szCs w:val="21"/>
                <w:highlight w:val="none"/>
                <w:u w:val="single"/>
                <w:lang w:val="en-US" w:eastAsia="zh-CN"/>
              </w:rPr>
              <w:t>江泰彦、冼凌晨</w:t>
            </w:r>
            <w:r>
              <w:rPr>
                <w:rFonts w:hint="eastAsia"/>
                <w:color w:val="auto"/>
                <w:highlight w:val="none"/>
              </w:rPr>
              <w:t>，联系方式：</w:t>
            </w:r>
            <w:r>
              <w:rPr>
                <w:rFonts w:hint="eastAsia"/>
                <w:color w:val="auto"/>
                <w:highlight w:val="none"/>
                <w:u w:val="single"/>
                <w:lang w:eastAsia="zh-CN"/>
              </w:rPr>
              <w:t>0771-4793126</w:t>
            </w:r>
            <w:r>
              <w:rPr>
                <w:rFonts w:hint="eastAsia"/>
                <w:color w:val="auto"/>
                <w:highlight w:val="none"/>
              </w:rPr>
              <w:t>）</w:t>
            </w:r>
            <w:r>
              <w:rPr>
                <w:rFonts w:hint="eastAsia" w:ascii="宋体" w:hAnsi="宋体"/>
                <w:color w:val="auto"/>
                <w:szCs w:val="21"/>
                <w:highlight w:val="none"/>
              </w:rPr>
              <w:t>将</w:t>
            </w:r>
            <w:r>
              <w:rPr>
                <w:rFonts w:hint="eastAsia" w:ascii="宋体" w:hAnsi="宋体" w:cs="宋体"/>
                <w:color w:val="auto"/>
                <w:kern w:val="0"/>
                <w:szCs w:val="21"/>
                <w:highlight w:val="none"/>
              </w:rPr>
              <w:t>单独密封的</w:t>
            </w:r>
            <w:r>
              <w:rPr>
                <w:rFonts w:hint="eastAsia" w:ascii="宋体" w:hAnsi="宋体"/>
                <w:color w:val="auto"/>
                <w:szCs w:val="21"/>
                <w:highlight w:val="none"/>
              </w:rPr>
              <w:t>支票、汇票、本票或者银行、保险机构出具的保函原件（电子保函复印件加盖公章）提交给采购人或者采购代理机构，未按时提交的</w:t>
            </w:r>
            <w:r>
              <w:rPr>
                <w:rFonts w:hint="eastAsia" w:ascii="宋体" w:hAnsi="宋体"/>
                <w:b/>
                <w:color w:val="auto"/>
                <w:szCs w:val="21"/>
                <w:highlight w:val="none"/>
              </w:rPr>
              <w:t>，投标无效</w:t>
            </w:r>
            <w:r>
              <w:rPr>
                <w:rFonts w:hint="eastAsia" w:ascii="宋体" w:hAnsi="宋体"/>
                <w:color w:val="auto"/>
                <w:szCs w:val="21"/>
                <w:highlight w:val="none"/>
              </w:rPr>
              <w:t>。</w:t>
            </w:r>
          </w:p>
          <w:p w14:paraId="3715364D">
            <w:pPr>
              <w:snapToGrid w:val="0"/>
              <w:spacing w:line="360" w:lineRule="auto"/>
              <w:rPr>
                <w:rFonts w:hint="eastAsia" w:ascii="宋体" w:hAnsi="宋体"/>
                <w:color w:val="auto"/>
                <w:szCs w:val="21"/>
                <w:highlight w:val="none"/>
              </w:rPr>
            </w:pPr>
            <w:r>
              <w:rPr>
                <w:rFonts w:hint="eastAsia" w:ascii="宋体" w:hAnsi="宋体" w:cs="宋体"/>
                <w:color w:val="auto"/>
                <w:szCs w:val="21"/>
                <w:highlight w:val="none"/>
              </w:rPr>
              <w:t>3.投标人为联合体的，可以由联合体中的一方或者多方共同交纳投标保证金，其交纳的保证金对联合体各方均具有约束力。</w:t>
            </w:r>
          </w:p>
          <w:p w14:paraId="43D10003">
            <w:pPr>
              <w:snapToGrid w:val="0"/>
              <w:spacing w:line="360" w:lineRule="auto"/>
              <w:rPr>
                <w:rFonts w:hint="eastAsia" w:ascii="宋体" w:hAnsi="宋体"/>
                <w:color w:val="auto"/>
                <w:szCs w:val="21"/>
                <w:highlight w:val="none"/>
              </w:rPr>
            </w:pPr>
            <w:r>
              <w:rPr>
                <w:rFonts w:hint="eastAsia" w:ascii="宋体" w:hAnsi="宋体" w:cs="宋体"/>
                <w:color w:val="auto"/>
                <w:szCs w:val="21"/>
                <w:highlight w:val="none"/>
              </w:rPr>
              <w:t>3.投标人为联合体的，可以由联合体中的一方或者多方共同交纳投标保证金，其交纳的保证金对联合体各方均具有约束力。</w:t>
            </w:r>
          </w:p>
          <w:p w14:paraId="43FA5D57">
            <w:pPr>
              <w:snapToGrid w:val="0"/>
              <w:spacing w:line="360" w:lineRule="auto"/>
              <w:rPr>
                <w:rFonts w:hint="eastAsia" w:ascii="宋体" w:hAnsi="宋体"/>
                <w:b/>
                <w:color w:val="auto"/>
                <w:szCs w:val="21"/>
                <w:highlight w:val="none"/>
              </w:rPr>
            </w:pPr>
            <w:r>
              <w:rPr>
                <w:rFonts w:hint="eastAsia" w:ascii="宋体" w:hAnsi="宋体"/>
                <w:b/>
                <w:color w:val="auto"/>
                <w:szCs w:val="21"/>
                <w:highlight w:val="none"/>
              </w:rPr>
              <w:t xml:space="preserve">备注： </w:t>
            </w:r>
          </w:p>
          <w:p w14:paraId="76DB9BCF">
            <w:pPr>
              <w:snapToGrid w:val="0"/>
              <w:spacing w:line="360" w:lineRule="auto"/>
              <w:rPr>
                <w:rFonts w:hint="eastAsia" w:ascii="宋体" w:hAnsi="宋体"/>
                <w:b/>
                <w:color w:val="auto"/>
                <w:szCs w:val="21"/>
                <w:highlight w:val="none"/>
              </w:rPr>
            </w:pPr>
            <w:r>
              <w:rPr>
                <w:rFonts w:hint="eastAsia" w:ascii="宋体" w:hAnsi="宋体"/>
                <w:b/>
                <w:color w:val="auto"/>
                <w:szCs w:val="21"/>
                <w:highlight w:val="none"/>
              </w:rPr>
              <w:t>1. 投标保证金在投标截止时间后提交的，或者不按规定交纳方式交纳的，或者未足额交纳的（包含保函额度不足的），视为无效投标保证金。</w:t>
            </w:r>
          </w:p>
          <w:p w14:paraId="61F53FCB">
            <w:pPr>
              <w:snapToGrid w:val="0"/>
              <w:spacing w:line="360" w:lineRule="auto"/>
              <w:rPr>
                <w:rFonts w:hint="eastAsia" w:ascii="宋体" w:hAnsi="宋体"/>
                <w:b/>
                <w:color w:val="auto"/>
                <w:szCs w:val="21"/>
                <w:highlight w:val="none"/>
              </w:rPr>
            </w:pPr>
            <w:r>
              <w:rPr>
                <w:rFonts w:hint="eastAsia" w:ascii="宋体" w:hAnsi="宋体"/>
                <w:b/>
                <w:color w:val="auto"/>
                <w:szCs w:val="21"/>
                <w:highlight w:val="none"/>
              </w:rPr>
              <w:t>2.投标人采用现钞方式或者从个人账户（自然人投标除外）转出的投标保证金，视为无效投标保证金。</w:t>
            </w:r>
          </w:p>
          <w:p w14:paraId="189D48A8">
            <w:pPr>
              <w:snapToGrid w:val="0"/>
              <w:spacing w:line="360" w:lineRule="auto"/>
              <w:rPr>
                <w:rFonts w:hint="eastAsia" w:ascii="宋体" w:hAnsi="宋体"/>
                <w:b/>
                <w:color w:val="auto"/>
                <w:szCs w:val="21"/>
                <w:highlight w:val="none"/>
              </w:rPr>
            </w:pPr>
            <w:r>
              <w:rPr>
                <w:rFonts w:hint="eastAsia" w:ascii="宋体" w:hAnsi="宋体"/>
                <w:b/>
                <w:color w:val="auto"/>
                <w:szCs w:val="21"/>
                <w:highlight w:val="none"/>
              </w:rPr>
              <w:t>3.支票、汇票或者本票出现无效或者背书情形的，视为无效投标保证金。</w:t>
            </w:r>
          </w:p>
          <w:p w14:paraId="64F91CD0">
            <w:pPr>
              <w:snapToGrid w:val="0"/>
              <w:spacing w:line="360" w:lineRule="auto"/>
              <w:rPr>
                <w:rFonts w:hint="eastAsia" w:ascii="宋体" w:hAnsi="宋体"/>
                <w:b/>
                <w:color w:val="auto"/>
                <w:szCs w:val="21"/>
                <w:highlight w:val="none"/>
              </w:rPr>
            </w:pPr>
            <w:r>
              <w:rPr>
                <w:rFonts w:hint="eastAsia" w:ascii="宋体" w:hAnsi="宋体"/>
                <w:b/>
                <w:color w:val="auto"/>
                <w:szCs w:val="21"/>
                <w:highlight w:val="none"/>
              </w:rPr>
              <w:t>4.保函有效期低于投标有效期的，视为无效投标保证金。</w:t>
            </w:r>
          </w:p>
          <w:p w14:paraId="43D331DA">
            <w:pPr>
              <w:snapToGrid w:val="0"/>
              <w:spacing w:line="360" w:lineRule="auto"/>
              <w:rPr>
                <w:rFonts w:hint="eastAsia" w:ascii="宋体" w:hAnsi="宋体"/>
                <w:b/>
                <w:color w:val="auto"/>
                <w:szCs w:val="21"/>
                <w:highlight w:val="none"/>
              </w:rPr>
            </w:pPr>
            <w:r>
              <w:rPr>
                <w:rFonts w:hint="eastAsia" w:ascii="宋体" w:hAnsi="宋体"/>
                <w:b/>
                <w:color w:val="auto"/>
                <w:szCs w:val="21"/>
                <w:highlight w:val="none"/>
              </w:rPr>
              <w:t>5.采用银行、保险机构出具保函（包含电子保函）的，必须为无条件保函，否则视为无效投标保证金。</w:t>
            </w:r>
          </w:p>
        </w:tc>
      </w:tr>
      <w:tr w14:paraId="28C521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978" w:type="dxa"/>
            <w:tcBorders>
              <w:top w:val="single" w:color="auto" w:sz="4" w:space="0"/>
              <w:left w:val="single" w:color="auto" w:sz="4" w:space="0"/>
              <w:bottom w:val="single" w:color="auto" w:sz="4" w:space="0"/>
              <w:right w:val="single" w:color="auto" w:sz="4" w:space="0"/>
            </w:tcBorders>
            <w:vAlign w:val="center"/>
          </w:tcPr>
          <w:p w14:paraId="769EDD16">
            <w:pPr>
              <w:spacing w:line="360" w:lineRule="auto"/>
              <w:jc w:val="center"/>
              <w:rPr>
                <w:rFonts w:hint="eastAsia" w:ascii="宋体" w:hAnsi="宋体"/>
                <w:color w:val="auto"/>
                <w:szCs w:val="21"/>
                <w:highlight w:val="none"/>
              </w:rPr>
            </w:pPr>
            <w:bookmarkStart w:id="64" w:name="_19.2"/>
            <w:bookmarkEnd w:id="64"/>
            <w:bookmarkStart w:id="65" w:name="_21.1"/>
            <w:bookmarkEnd w:id="65"/>
            <w:r>
              <w:rPr>
                <w:rFonts w:hint="eastAsia" w:ascii="宋体" w:hAnsi="宋体"/>
                <w:color w:val="auto"/>
                <w:szCs w:val="21"/>
                <w:highlight w:val="none"/>
              </w:rPr>
              <w:t>20</w:t>
            </w:r>
          </w:p>
        </w:tc>
        <w:tc>
          <w:tcPr>
            <w:tcW w:w="8175" w:type="dxa"/>
            <w:tcBorders>
              <w:top w:val="single" w:color="auto" w:sz="4" w:space="0"/>
              <w:left w:val="single" w:color="auto" w:sz="4" w:space="0"/>
              <w:bottom w:val="single" w:color="auto" w:sz="4" w:space="0"/>
              <w:right w:val="single" w:color="auto" w:sz="4" w:space="0"/>
            </w:tcBorders>
            <w:vAlign w:val="center"/>
          </w:tcPr>
          <w:p w14:paraId="47948BD4">
            <w:pPr>
              <w:autoSpaceDE w:val="0"/>
              <w:autoSpaceDN w:val="0"/>
              <w:adjustRightIn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本项目不接受</w:t>
            </w:r>
            <w:r>
              <w:rPr>
                <w:rFonts w:hint="eastAsia"/>
                <w:color w:val="auto"/>
                <w:highlight w:val="none"/>
              </w:rPr>
              <w:t>电子</w:t>
            </w:r>
            <w:r>
              <w:rPr>
                <w:rFonts w:hint="eastAsia" w:ascii="宋体" w:hAnsi="宋体"/>
                <w:color w:val="auto"/>
                <w:szCs w:val="21"/>
                <w:highlight w:val="none"/>
              </w:rPr>
              <w:t>备份投标文件；</w:t>
            </w:r>
          </w:p>
        </w:tc>
      </w:tr>
      <w:tr w14:paraId="0CC9CF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978" w:type="dxa"/>
            <w:tcBorders>
              <w:top w:val="single" w:color="auto" w:sz="4" w:space="0"/>
              <w:left w:val="single" w:color="auto" w:sz="4" w:space="0"/>
              <w:bottom w:val="single" w:color="auto" w:sz="4" w:space="0"/>
              <w:right w:val="single" w:color="auto" w:sz="4" w:space="0"/>
            </w:tcBorders>
            <w:vAlign w:val="center"/>
          </w:tcPr>
          <w:p w14:paraId="2D95A68B">
            <w:pPr>
              <w:spacing w:line="360" w:lineRule="auto"/>
              <w:jc w:val="center"/>
              <w:rPr>
                <w:rFonts w:hint="eastAsia" w:ascii="宋体" w:hAnsi="宋体"/>
                <w:color w:val="auto"/>
                <w:szCs w:val="21"/>
                <w:highlight w:val="none"/>
              </w:rPr>
            </w:pPr>
            <w:r>
              <w:rPr>
                <w:rFonts w:hint="eastAsia" w:ascii="宋体" w:hAnsi="宋体"/>
                <w:color w:val="auto"/>
                <w:szCs w:val="21"/>
                <w:highlight w:val="none"/>
              </w:rPr>
              <w:t>21.1</w:t>
            </w:r>
          </w:p>
        </w:tc>
        <w:tc>
          <w:tcPr>
            <w:tcW w:w="8175" w:type="dxa"/>
            <w:tcBorders>
              <w:top w:val="single" w:color="auto" w:sz="4" w:space="0"/>
              <w:left w:val="single" w:color="auto" w:sz="4" w:space="0"/>
              <w:bottom w:val="single" w:color="auto" w:sz="4" w:space="0"/>
              <w:right w:val="single" w:color="auto" w:sz="4" w:space="0"/>
            </w:tcBorders>
            <w:vAlign w:val="center"/>
          </w:tcPr>
          <w:p w14:paraId="6122E003">
            <w:pPr>
              <w:snapToGrid w:val="0"/>
              <w:spacing w:line="360" w:lineRule="auto"/>
              <w:rPr>
                <w:rFonts w:hint="eastAsia" w:ascii="宋体" w:hAnsi="宋体"/>
                <w:color w:val="auto"/>
                <w:szCs w:val="21"/>
                <w:highlight w:val="none"/>
                <w:u w:val="single"/>
              </w:rPr>
            </w:pPr>
            <w:r>
              <w:rPr>
                <w:rFonts w:hint="eastAsia" w:ascii="宋体" w:hAnsi="宋体"/>
                <w:color w:val="auto"/>
                <w:szCs w:val="21"/>
                <w:highlight w:val="none"/>
              </w:rPr>
              <w:t>1.提交投标文件截止时间：详见招标公告</w:t>
            </w:r>
          </w:p>
          <w:p w14:paraId="11F8B1CD">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2.投标地点：详见招标公告</w:t>
            </w:r>
          </w:p>
        </w:tc>
      </w:tr>
      <w:tr w14:paraId="794DD2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3532ECA3">
            <w:pPr>
              <w:spacing w:line="360" w:lineRule="auto"/>
              <w:jc w:val="center"/>
              <w:rPr>
                <w:rFonts w:hint="eastAsia" w:ascii="宋体" w:hAnsi="宋体"/>
                <w:color w:val="auto"/>
                <w:szCs w:val="21"/>
                <w:highlight w:val="none"/>
              </w:rPr>
            </w:pPr>
            <w:bookmarkStart w:id="66" w:name="_23"/>
            <w:bookmarkEnd w:id="66"/>
            <w:r>
              <w:rPr>
                <w:rFonts w:hint="eastAsia" w:ascii="宋体" w:hAnsi="宋体"/>
                <w:color w:val="auto"/>
                <w:szCs w:val="21"/>
                <w:highlight w:val="none"/>
              </w:rPr>
              <w:t>23</w:t>
            </w:r>
          </w:p>
        </w:tc>
        <w:tc>
          <w:tcPr>
            <w:tcW w:w="8175" w:type="dxa"/>
            <w:tcBorders>
              <w:top w:val="single" w:color="auto" w:sz="4" w:space="0"/>
              <w:left w:val="single" w:color="auto" w:sz="4" w:space="0"/>
              <w:bottom w:val="single" w:color="auto" w:sz="4" w:space="0"/>
              <w:right w:val="single" w:color="auto" w:sz="4" w:space="0"/>
            </w:tcBorders>
            <w:vAlign w:val="center"/>
          </w:tcPr>
          <w:p w14:paraId="7DACE96D">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1.开标时间：详见招标公告</w:t>
            </w:r>
          </w:p>
          <w:p w14:paraId="6D83EDFC">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2.开标地点：详见招标公告</w:t>
            </w:r>
          </w:p>
        </w:tc>
      </w:tr>
      <w:tr w14:paraId="1BF5F8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3988159A">
            <w:pPr>
              <w:spacing w:line="360" w:lineRule="auto"/>
              <w:jc w:val="center"/>
              <w:rPr>
                <w:rFonts w:hint="eastAsia" w:ascii="宋体" w:hAnsi="宋体"/>
                <w:color w:val="auto"/>
                <w:szCs w:val="21"/>
                <w:highlight w:val="none"/>
              </w:rPr>
            </w:pPr>
            <w:r>
              <w:rPr>
                <w:rFonts w:hint="eastAsia" w:ascii="宋体" w:hAnsi="宋体"/>
                <w:color w:val="auto"/>
                <w:szCs w:val="21"/>
                <w:highlight w:val="none"/>
              </w:rPr>
              <w:t>24.3（1）</w:t>
            </w:r>
          </w:p>
        </w:tc>
        <w:tc>
          <w:tcPr>
            <w:tcW w:w="8175" w:type="dxa"/>
            <w:tcBorders>
              <w:top w:val="single" w:color="auto" w:sz="4" w:space="0"/>
              <w:left w:val="single" w:color="auto" w:sz="4" w:space="0"/>
              <w:bottom w:val="single" w:color="auto" w:sz="4" w:space="0"/>
              <w:right w:val="single" w:color="auto" w:sz="4" w:space="0"/>
            </w:tcBorders>
            <w:vAlign w:val="center"/>
          </w:tcPr>
          <w:p w14:paraId="34B196E1">
            <w:pPr>
              <w:snapToGrid w:val="0"/>
              <w:spacing w:line="360" w:lineRule="auto"/>
              <w:rPr>
                <w:rFonts w:hint="eastAsia" w:ascii="宋体" w:hAnsi="宋体"/>
                <w:color w:val="auto"/>
                <w:szCs w:val="21"/>
                <w:highlight w:val="none"/>
              </w:rPr>
            </w:pPr>
            <w:r>
              <w:rPr>
                <w:rFonts w:hint="eastAsia" w:hAnsi="宋体"/>
                <w:color w:val="auto"/>
                <w:highlight w:val="none"/>
              </w:rPr>
              <w:t>电子投标文件解密时间：</w:t>
            </w:r>
            <w:r>
              <w:rPr>
                <w:rFonts w:hint="eastAsia" w:hAnsi="宋体"/>
                <w:color w:val="auto"/>
                <w:highlight w:val="none"/>
                <w:u w:val="single"/>
              </w:rPr>
              <w:t xml:space="preserve"> 30  </w:t>
            </w:r>
            <w:r>
              <w:rPr>
                <w:rFonts w:hint="eastAsia" w:hAnsi="宋体"/>
                <w:color w:val="auto"/>
                <w:highlight w:val="none"/>
              </w:rPr>
              <w:t>分钟</w:t>
            </w:r>
          </w:p>
        </w:tc>
      </w:tr>
      <w:tr w14:paraId="00CDEE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4653B9E2">
            <w:pPr>
              <w:spacing w:line="360" w:lineRule="auto"/>
              <w:jc w:val="center"/>
              <w:rPr>
                <w:rFonts w:hint="eastAsia" w:ascii="宋体" w:hAnsi="宋体"/>
                <w:color w:val="auto"/>
                <w:szCs w:val="21"/>
                <w:highlight w:val="none"/>
              </w:rPr>
            </w:pPr>
            <w:bookmarkStart w:id="67" w:name="_25.3"/>
            <w:bookmarkEnd w:id="67"/>
            <w:r>
              <w:rPr>
                <w:rFonts w:hint="eastAsia" w:ascii="宋体" w:hAnsi="宋体"/>
                <w:color w:val="auto"/>
                <w:szCs w:val="21"/>
                <w:highlight w:val="none"/>
              </w:rPr>
              <w:t>25.3（2）</w:t>
            </w:r>
          </w:p>
        </w:tc>
        <w:tc>
          <w:tcPr>
            <w:tcW w:w="8175" w:type="dxa"/>
            <w:tcBorders>
              <w:top w:val="single" w:color="auto" w:sz="4" w:space="0"/>
              <w:left w:val="single" w:color="auto" w:sz="4" w:space="0"/>
              <w:bottom w:val="single" w:color="auto" w:sz="4" w:space="0"/>
              <w:right w:val="single" w:color="auto" w:sz="4" w:space="0"/>
            </w:tcBorders>
            <w:vAlign w:val="center"/>
          </w:tcPr>
          <w:p w14:paraId="150EE36D">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采购人或者采购代理机构在资格审查结束前，对投标人进行信用查询。</w:t>
            </w:r>
          </w:p>
          <w:p w14:paraId="77379BA5">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查询渠道：“信用中国”网站（www.creditchina.gov.cn） 、中国政府采购网（www.ccgp.gov.cn）。</w:t>
            </w:r>
          </w:p>
          <w:p w14:paraId="2B5AFAFC">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信用查询截止时点：资格审查结束前</w:t>
            </w:r>
          </w:p>
          <w:p w14:paraId="5C5B5AB4">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查询记录和证据留存方式：在查询网站中直接截图查询记录，截图作为在广西政府采购云平台作为附件上传保存。</w:t>
            </w:r>
          </w:p>
          <w:p w14:paraId="37B39E55">
            <w:pPr>
              <w:snapToGrid w:val="0"/>
              <w:spacing w:line="360" w:lineRule="auto"/>
              <w:rPr>
                <w:rFonts w:hint="eastAsia" w:ascii="宋体" w:hAnsi="宋体"/>
                <w:b/>
                <w:color w:val="auto"/>
                <w:szCs w:val="21"/>
                <w:highlight w:val="none"/>
              </w:rPr>
            </w:pPr>
            <w:r>
              <w:rPr>
                <w:rFonts w:hint="eastAsia" w:ascii="宋体" w:hAnsi="宋体"/>
                <w:color w:val="auto"/>
                <w:szCs w:val="21"/>
                <w:highlight w:val="none"/>
              </w:rPr>
              <w:t>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采购人或者采购代理机构拒绝其参与政府采购活动。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p>
        </w:tc>
      </w:tr>
      <w:tr w14:paraId="4DD8B1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774E4891">
            <w:pPr>
              <w:spacing w:line="360" w:lineRule="auto"/>
              <w:jc w:val="center"/>
              <w:rPr>
                <w:rFonts w:hint="eastAsia" w:ascii="宋体" w:hAnsi="宋体"/>
                <w:color w:val="auto"/>
                <w:szCs w:val="21"/>
                <w:highlight w:val="none"/>
              </w:rPr>
            </w:pPr>
            <w:bookmarkStart w:id="68" w:name="_26"/>
            <w:bookmarkEnd w:id="68"/>
            <w:r>
              <w:rPr>
                <w:rFonts w:hint="eastAsia" w:ascii="宋体" w:hAnsi="宋体"/>
                <w:color w:val="auto"/>
                <w:szCs w:val="21"/>
                <w:highlight w:val="none"/>
              </w:rPr>
              <w:t>26.1</w:t>
            </w:r>
          </w:p>
        </w:tc>
        <w:tc>
          <w:tcPr>
            <w:tcW w:w="8175" w:type="dxa"/>
            <w:tcBorders>
              <w:top w:val="single" w:color="auto" w:sz="4" w:space="0"/>
              <w:left w:val="single" w:color="auto" w:sz="4" w:space="0"/>
              <w:bottom w:val="single" w:color="auto" w:sz="4" w:space="0"/>
              <w:right w:val="single" w:color="auto" w:sz="4" w:space="0"/>
            </w:tcBorders>
            <w:vAlign w:val="center"/>
          </w:tcPr>
          <w:p w14:paraId="1142E1AF">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评标委员会的人数：</w:t>
            </w:r>
            <w:r>
              <w:rPr>
                <w:rFonts w:hint="eastAsia" w:ascii="宋体" w:hAnsi="宋体"/>
                <w:color w:val="auto"/>
                <w:szCs w:val="21"/>
                <w:highlight w:val="none"/>
                <w:u w:val="single"/>
              </w:rPr>
              <w:t>5</w:t>
            </w:r>
            <w:r>
              <w:rPr>
                <w:rFonts w:hint="eastAsia" w:ascii="宋体" w:hAnsi="宋体"/>
                <w:color w:val="auto"/>
                <w:szCs w:val="21"/>
                <w:highlight w:val="none"/>
              </w:rPr>
              <w:t>人</w:t>
            </w:r>
          </w:p>
        </w:tc>
      </w:tr>
      <w:tr w14:paraId="033580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0D0EBA3E">
            <w:pPr>
              <w:spacing w:line="360" w:lineRule="auto"/>
              <w:jc w:val="center"/>
              <w:rPr>
                <w:rFonts w:hint="eastAsia" w:ascii="宋体" w:hAnsi="宋体"/>
                <w:color w:val="auto"/>
                <w:szCs w:val="21"/>
                <w:highlight w:val="none"/>
              </w:rPr>
            </w:pPr>
            <w:bookmarkStart w:id="69" w:name="_28.3"/>
            <w:bookmarkEnd w:id="69"/>
            <w:r>
              <w:rPr>
                <w:rFonts w:ascii="宋体" w:hAnsi="宋体"/>
                <w:color w:val="auto"/>
                <w:szCs w:val="21"/>
                <w:highlight w:val="none"/>
              </w:rPr>
              <w:t>29.1</w:t>
            </w:r>
          </w:p>
        </w:tc>
        <w:tc>
          <w:tcPr>
            <w:tcW w:w="8175" w:type="dxa"/>
            <w:tcBorders>
              <w:top w:val="single" w:color="auto" w:sz="4" w:space="0"/>
              <w:left w:val="single" w:color="auto" w:sz="4" w:space="0"/>
              <w:bottom w:val="single" w:color="auto" w:sz="4" w:space="0"/>
              <w:right w:val="single" w:color="auto" w:sz="4" w:space="0"/>
            </w:tcBorders>
            <w:vAlign w:val="center"/>
          </w:tcPr>
          <w:p w14:paraId="090B8BCF">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评标方法：</w:t>
            </w:r>
          </w:p>
          <w:p w14:paraId="1AFF28EB">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☑综合评分法</w:t>
            </w:r>
          </w:p>
          <w:p w14:paraId="49D172FF">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□最低评标报法</w:t>
            </w:r>
          </w:p>
        </w:tc>
      </w:tr>
      <w:tr w14:paraId="4157A2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978" w:type="dxa"/>
            <w:tcBorders>
              <w:top w:val="single" w:color="auto" w:sz="4" w:space="0"/>
              <w:left w:val="single" w:color="auto" w:sz="4" w:space="0"/>
              <w:bottom w:val="single" w:color="auto" w:sz="4" w:space="0"/>
              <w:right w:val="single" w:color="auto" w:sz="4" w:space="0"/>
            </w:tcBorders>
            <w:vAlign w:val="center"/>
          </w:tcPr>
          <w:p w14:paraId="3685C209">
            <w:pPr>
              <w:spacing w:line="360" w:lineRule="auto"/>
              <w:jc w:val="center"/>
              <w:rPr>
                <w:rFonts w:hint="eastAsia" w:ascii="宋体" w:hAnsi="宋体"/>
                <w:color w:val="auto"/>
                <w:szCs w:val="21"/>
                <w:highlight w:val="none"/>
              </w:rPr>
            </w:pPr>
            <w:bookmarkStart w:id="70" w:name="_29.2.2（2）"/>
            <w:bookmarkEnd w:id="70"/>
            <w:r>
              <w:rPr>
                <w:rFonts w:hint="eastAsia" w:ascii="宋体" w:hAnsi="宋体"/>
                <w:color w:val="auto"/>
                <w:szCs w:val="21"/>
                <w:highlight w:val="none"/>
              </w:rPr>
              <w:t>29</w:t>
            </w:r>
            <w:r>
              <w:rPr>
                <w:rFonts w:ascii="宋体" w:hAnsi="宋体"/>
                <w:color w:val="auto"/>
                <w:szCs w:val="21"/>
                <w:highlight w:val="none"/>
              </w:rPr>
              <w:t>.2</w:t>
            </w:r>
          </w:p>
        </w:tc>
        <w:tc>
          <w:tcPr>
            <w:tcW w:w="8175" w:type="dxa"/>
            <w:tcBorders>
              <w:top w:val="single" w:color="auto" w:sz="4" w:space="0"/>
              <w:left w:val="single" w:color="auto" w:sz="4" w:space="0"/>
              <w:right w:val="single" w:color="auto" w:sz="4" w:space="0"/>
            </w:tcBorders>
            <w:vAlign w:val="center"/>
          </w:tcPr>
          <w:p w14:paraId="4471A23F">
            <w:pPr>
              <w:snapToGrid w:val="0"/>
              <w:spacing w:line="360" w:lineRule="auto"/>
              <w:rPr>
                <w:rFonts w:hint="eastAsia" w:ascii="宋体" w:hAnsi="宋体"/>
                <w:color w:val="auto"/>
                <w:szCs w:val="21"/>
                <w:highlight w:val="none"/>
              </w:rPr>
            </w:pPr>
            <w:r>
              <w:rPr>
                <w:rFonts w:hint="eastAsia" w:ascii="宋体" w:hAnsi="宋体" w:cs="宋体"/>
                <w:color w:val="auto"/>
                <w:szCs w:val="21"/>
                <w:highlight w:val="none"/>
              </w:rPr>
              <w:t>商务要求</w:t>
            </w:r>
            <w:r>
              <w:rPr>
                <w:rFonts w:hint="eastAsia" w:ascii="宋体" w:hAnsi="宋体"/>
                <w:color w:val="auto"/>
                <w:szCs w:val="21"/>
                <w:highlight w:val="none"/>
              </w:rPr>
              <w:t>评审中允许负偏离的条款数为</w:t>
            </w:r>
            <w:r>
              <w:rPr>
                <w:rFonts w:hint="eastAsia" w:ascii="宋体" w:hAnsi="宋体"/>
                <w:color w:val="auto"/>
                <w:szCs w:val="21"/>
                <w:highlight w:val="none"/>
                <w:u w:val="single"/>
              </w:rPr>
              <w:t xml:space="preserve"> 0 </w:t>
            </w:r>
            <w:r>
              <w:rPr>
                <w:rFonts w:hint="eastAsia" w:ascii="宋体" w:hAnsi="宋体"/>
                <w:color w:val="auto"/>
                <w:szCs w:val="21"/>
                <w:highlight w:val="none"/>
              </w:rPr>
              <w:t>项。</w:t>
            </w:r>
          </w:p>
          <w:p w14:paraId="566A2699">
            <w:pPr>
              <w:snapToGrid w:val="0"/>
              <w:spacing w:line="360" w:lineRule="auto"/>
              <w:rPr>
                <w:rFonts w:hint="eastAsia" w:ascii="宋体" w:hAnsi="宋体"/>
                <w:color w:val="auto"/>
                <w:szCs w:val="21"/>
                <w:highlight w:val="none"/>
              </w:rPr>
            </w:pPr>
            <w:r>
              <w:rPr>
                <w:rFonts w:hint="eastAsia" w:ascii="宋体" w:hAnsi="宋体" w:cs="宋体"/>
                <w:color w:val="auto"/>
                <w:szCs w:val="21"/>
                <w:highlight w:val="none"/>
              </w:rPr>
              <w:t>技术要求</w:t>
            </w:r>
            <w:r>
              <w:rPr>
                <w:rFonts w:hint="eastAsia" w:ascii="宋体" w:hAnsi="宋体"/>
                <w:color w:val="auto"/>
                <w:szCs w:val="21"/>
                <w:highlight w:val="none"/>
              </w:rPr>
              <w:t>评审中允许负偏离的条款数为</w:t>
            </w:r>
            <w:r>
              <w:rPr>
                <w:rFonts w:hint="eastAsia" w:ascii="宋体" w:hAnsi="宋体"/>
                <w:color w:val="auto"/>
                <w:szCs w:val="21"/>
                <w:highlight w:val="none"/>
                <w:u w:val="single"/>
              </w:rPr>
              <w:t xml:space="preserve"> 0 </w:t>
            </w:r>
            <w:r>
              <w:rPr>
                <w:rFonts w:hint="eastAsia" w:ascii="宋体" w:hAnsi="宋体"/>
                <w:color w:val="auto"/>
                <w:szCs w:val="21"/>
                <w:highlight w:val="none"/>
              </w:rPr>
              <w:t>项。</w:t>
            </w:r>
          </w:p>
        </w:tc>
      </w:tr>
      <w:tr w14:paraId="2BB082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978" w:type="dxa"/>
            <w:tcBorders>
              <w:top w:val="single" w:color="auto" w:sz="4" w:space="0"/>
              <w:left w:val="single" w:color="auto" w:sz="4" w:space="0"/>
              <w:right w:val="single" w:color="auto" w:sz="4" w:space="0"/>
            </w:tcBorders>
            <w:vAlign w:val="center"/>
          </w:tcPr>
          <w:p w14:paraId="59EF0C2E">
            <w:pPr>
              <w:spacing w:line="360" w:lineRule="auto"/>
              <w:jc w:val="center"/>
              <w:rPr>
                <w:rFonts w:hint="eastAsia" w:ascii="宋体" w:hAnsi="宋体"/>
                <w:color w:val="auto"/>
                <w:szCs w:val="21"/>
                <w:highlight w:val="none"/>
              </w:rPr>
            </w:pPr>
            <w:r>
              <w:rPr>
                <w:rFonts w:hint="eastAsia" w:ascii="宋体" w:hAnsi="宋体"/>
                <w:color w:val="auto"/>
                <w:szCs w:val="21"/>
                <w:highlight w:val="none"/>
              </w:rPr>
              <w:t>29.3</w:t>
            </w:r>
          </w:p>
        </w:tc>
        <w:tc>
          <w:tcPr>
            <w:tcW w:w="8175" w:type="dxa"/>
            <w:tcBorders>
              <w:top w:val="single" w:color="auto" w:sz="4" w:space="0"/>
              <w:left w:val="single" w:color="auto" w:sz="4" w:space="0"/>
              <w:right w:val="single" w:color="auto" w:sz="4" w:space="0"/>
            </w:tcBorders>
            <w:vAlign w:val="center"/>
          </w:tcPr>
          <w:p w14:paraId="42B3184D">
            <w:pPr>
              <w:snapToGrid w:val="0"/>
              <w:spacing w:line="360" w:lineRule="auto"/>
              <w:rPr>
                <w:rFonts w:hint="eastAsia" w:hAnsi="宋体"/>
                <w:color w:val="auto"/>
                <w:highlight w:val="none"/>
              </w:rPr>
            </w:pPr>
            <w:r>
              <w:rPr>
                <w:rFonts w:hAnsi="宋体"/>
                <w:color w:val="auto"/>
                <w:highlight w:val="none"/>
              </w:rPr>
              <w:t>中标候选人推荐数量</w:t>
            </w:r>
            <w:r>
              <w:rPr>
                <w:rFonts w:hint="eastAsia" w:hAnsi="宋体"/>
                <w:color w:val="auto"/>
                <w:highlight w:val="none"/>
              </w:rPr>
              <w:t>：</w:t>
            </w:r>
          </w:p>
          <w:p w14:paraId="6BB828C6">
            <w:pPr>
              <w:snapToGrid w:val="0"/>
              <w:spacing w:line="360" w:lineRule="auto"/>
              <w:rPr>
                <w:rFonts w:hint="eastAsia" w:hAnsi="宋体"/>
                <w:color w:val="auto"/>
                <w:highlight w:val="none"/>
              </w:rPr>
            </w:pPr>
            <w:r>
              <w:rPr>
                <w:rFonts w:hint="eastAsia" w:ascii="宋体" w:hAnsi="宋体"/>
                <w:color w:val="auto"/>
                <w:szCs w:val="21"/>
                <w:highlight w:val="none"/>
              </w:rPr>
              <w:t>□</w:t>
            </w:r>
            <w:r>
              <w:rPr>
                <w:rFonts w:hint="eastAsia" w:hAnsi="宋体"/>
                <w:color w:val="auto"/>
                <w:highlight w:val="none"/>
                <w:u w:val="single"/>
              </w:rPr>
              <w:t xml:space="preserve"> </w:t>
            </w:r>
            <w:r>
              <w:rPr>
                <w:rFonts w:hAnsi="宋体"/>
                <w:color w:val="auto"/>
                <w:highlight w:val="none"/>
                <w:u w:val="single"/>
              </w:rPr>
              <w:t xml:space="preserve">   </w:t>
            </w:r>
            <w:r>
              <w:rPr>
                <w:rFonts w:hAnsi="宋体"/>
                <w:color w:val="auto"/>
                <w:highlight w:val="none"/>
              </w:rPr>
              <w:t>名</w:t>
            </w:r>
          </w:p>
          <w:p w14:paraId="130115DD">
            <w:pPr>
              <w:snapToGrid w:val="0"/>
              <w:spacing w:line="360" w:lineRule="auto"/>
              <w:rPr>
                <w:rFonts w:hint="eastAsia" w:ascii="宋体" w:hAnsi="宋体" w:cs="宋体"/>
                <w:color w:val="auto"/>
                <w:szCs w:val="21"/>
                <w:highlight w:val="none"/>
              </w:rPr>
            </w:pPr>
            <w:r>
              <w:rPr>
                <w:rFonts w:hint="eastAsia" w:ascii="宋体" w:hAnsi="宋体"/>
                <w:color w:val="auto"/>
                <w:szCs w:val="21"/>
                <w:highlight w:val="none"/>
              </w:rPr>
              <w:t>☑</w:t>
            </w:r>
            <w:r>
              <w:rPr>
                <w:rFonts w:hint="eastAsia" w:hAnsi="宋体"/>
                <w:color w:val="auto"/>
                <w:highlight w:val="none"/>
              </w:rPr>
              <w:t>根据总得分由高到低排列次序推荐3名中标候选人</w:t>
            </w:r>
          </w:p>
        </w:tc>
      </w:tr>
      <w:tr w14:paraId="3A9DC4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2D85599D">
            <w:pPr>
              <w:spacing w:line="360" w:lineRule="auto"/>
              <w:jc w:val="center"/>
              <w:rPr>
                <w:rFonts w:hint="eastAsia" w:ascii="宋体" w:hAnsi="宋体"/>
                <w:color w:val="auto"/>
                <w:szCs w:val="21"/>
                <w:highlight w:val="none"/>
              </w:rPr>
            </w:pPr>
            <w:r>
              <w:rPr>
                <w:rFonts w:hint="eastAsia" w:ascii="宋体" w:hAnsi="宋体"/>
                <w:color w:val="auto"/>
                <w:szCs w:val="21"/>
                <w:highlight w:val="none"/>
              </w:rPr>
              <w:t>30</w:t>
            </w:r>
            <w:r>
              <w:rPr>
                <w:rFonts w:ascii="宋体" w:hAnsi="宋体"/>
                <w:color w:val="auto"/>
                <w:szCs w:val="21"/>
                <w:highlight w:val="none"/>
              </w:rPr>
              <w:t>.1</w:t>
            </w:r>
          </w:p>
        </w:tc>
        <w:tc>
          <w:tcPr>
            <w:tcW w:w="8175" w:type="dxa"/>
            <w:tcBorders>
              <w:top w:val="single" w:color="auto" w:sz="4" w:space="0"/>
              <w:left w:val="single" w:color="auto" w:sz="4" w:space="0"/>
              <w:bottom w:val="single" w:color="auto" w:sz="4" w:space="0"/>
              <w:right w:val="single" w:color="auto" w:sz="4" w:space="0"/>
            </w:tcBorders>
            <w:vAlign w:val="center"/>
          </w:tcPr>
          <w:p w14:paraId="6FCBA83C">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采用综合评分法的采购项目，采购人确定中标人时，出现中标候选人并列的情形，采购人按以下的方式确定中标人：</w:t>
            </w:r>
          </w:p>
          <w:p w14:paraId="7301FB95">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☑依次按</w:t>
            </w:r>
            <w:r>
              <w:rPr>
                <w:rFonts w:hint="eastAsia" w:hAnsi="宋体"/>
                <w:color w:val="auto"/>
                <w:sz w:val="21"/>
                <w:highlight w:val="none"/>
                <w:lang w:eastAsia="zh-CN"/>
              </w:rPr>
              <w:t>（</w:t>
            </w:r>
            <w:r>
              <w:rPr>
                <w:rFonts w:hint="eastAsia" w:hAnsi="宋体"/>
                <w:color w:val="auto"/>
                <w:sz w:val="21"/>
                <w:highlight w:val="none"/>
                <w:lang w:val="en-US" w:eastAsia="zh-CN"/>
              </w:rPr>
              <w:t>1）</w:t>
            </w:r>
            <w:r>
              <w:rPr>
                <w:rFonts w:hint="eastAsia" w:hAnsi="宋体"/>
                <w:color w:val="auto"/>
                <w:sz w:val="21"/>
                <w:highlight w:val="none"/>
              </w:rPr>
              <w:t>评分相等时，以投标报价低的优先；（2）</w:t>
            </w:r>
            <w:r>
              <w:rPr>
                <w:rFonts w:hint="eastAsia" w:hAnsi="宋体"/>
                <w:color w:val="auto"/>
                <w:sz w:val="21"/>
                <w:highlight w:val="none"/>
                <w:lang w:eastAsia="zh-CN"/>
              </w:rPr>
              <w:t>投标报价也相等时，以技术评分</w:t>
            </w:r>
            <w:r>
              <w:rPr>
                <w:rFonts w:hint="eastAsia" w:hAnsi="宋体"/>
                <w:color w:val="auto"/>
                <w:sz w:val="21"/>
                <w:highlight w:val="none"/>
              </w:rPr>
              <w:t>较高的投标人优先。（3）</w:t>
            </w:r>
            <w:r>
              <w:rPr>
                <w:rFonts w:hint="eastAsia" w:hAnsi="宋体"/>
                <w:color w:val="auto"/>
                <w:sz w:val="21"/>
                <w:highlight w:val="none"/>
                <w:lang w:eastAsia="zh-CN"/>
              </w:rPr>
              <w:t>技术评分</w:t>
            </w:r>
            <w:r>
              <w:rPr>
                <w:rFonts w:hint="eastAsia" w:hAnsi="宋体"/>
                <w:color w:val="auto"/>
                <w:sz w:val="21"/>
                <w:highlight w:val="none"/>
              </w:rPr>
              <w:t>也相等的，以</w:t>
            </w:r>
            <w:r>
              <w:rPr>
                <w:rFonts w:hint="eastAsia" w:hAnsi="宋体"/>
                <w:color w:val="auto"/>
                <w:sz w:val="21"/>
                <w:highlight w:val="none"/>
                <w:lang w:val="en-US" w:eastAsia="zh-CN"/>
              </w:rPr>
              <w:t>技术负责人</w:t>
            </w:r>
            <w:r>
              <w:rPr>
                <w:rFonts w:hint="eastAsia" w:hAnsi="宋体"/>
                <w:color w:val="auto"/>
                <w:sz w:val="21"/>
                <w:highlight w:val="none"/>
              </w:rPr>
              <w:t>职称</w:t>
            </w:r>
            <w:r>
              <w:rPr>
                <w:rFonts w:hint="eastAsia" w:hAnsi="宋体"/>
                <w:color w:val="auto"/>
                <w:sz w:val="21"/>
                <w:highlight w:val="none"/>
                <w:lang w:eastAsia="zh-CN"/>
              </w:rPr>
              <w:t>较</w:t>
            </w:r>
            <w:r>
              <w:rPr>
                <w:rFonts w:hint="eastAsia" w:hAnsi="宋体"/>
                <w:color w:val="auto"/>
                <w:sz w:val="21"/>
                <w:highlight w:val="none"/>
              </w:rPr>
              <w:t>高的优先；（4）</w:t>
            </w:r>
            <w:r>
              <w:rPr>
                <w:rFonts w:hint="eastAsia" w:hAnsi="宋体"/>
                <w:color w:val="auto"/>
                <w:sz w:val="21"/>
                <w:highlight w:val="none"/>
                <w:lang w:val="en-US" w:eastAsia="zh-CN"/>
              </w:rPr>
              <w:t>技术负责人</w:t>
            </w:r>
            <w:r>
              <w:rPr>
                <w:rFonts w:hint="eastAsia" w:hAnsi="宋体"/>
                <w:color w:val="auto"/>
                <w:sz w:val="21"/>
                <w:highlight w:val="none"/>
              </w:rPr>
              <w:t>职称也相等的，</w:t>
            </w:r>
            <w:r>
              <w:rPr>
                <w:rFonts w:hint="eastAsia" w:hAnsi="宋体"/>
                <w:color w:val="auto"/>
                <w:sz w:val="21"/>
                <w:highlight w:val="none"/>
                <w:lang w:eastAsia="zh-CN"/>
              </w:rPr>
              <w:t>以</w:t>
            </w:r>
            <w:r>
              <w:rPr>
                <w:rFonts w:hint="eastAsia" w:hAnsi="宋体"/>
                <w:color w:val="auto"/>
                <w:sz w:val="21"/>
                <w:highlight w:val="none"/>
                <w:lang w:val="en-US" w:eastAsia="zh-CN"/>
              </w:rPr>
              <w:t>政采云平台系统显示的</w:t>
            </w:r>
            <w:r>
              <w:rPr>
                <w:rFonts w:hint="eastAsia" w:hAnsi="宋体"/>
                <w:color w:val="auto"/>
                <w:sz w:val="21"/>
                <w:highlight w:val="none"/>
              </w:rPr>
              <w:t>递交投标文件时间较前的投标人优先</w:t>
            </w:r>
            <w:r>
              <w:rPr>
                <w:rFonts w:hint="eastAsia" w:ascii="宋体" w:hAnsi="宋体"/>
                <w:color w:val="auto"/>
                <w:szCs w:val="21"/>
                <w:highlight w:val="none"/>
              </w:rPr>
              <w:t>；</w:t>
            </w:r>
          </w:p>
          <w:p w14:paraId="2E1D71A6">
            <w:pPr>
              <w:autoSpaceDE w:val="0"/>
              <w:autoSpaceDN w:val="0"/>
              <w:snapToGrid w:val="0"/>
              <w:spacing w:line="360" w:lineRule="auto"/>
              <w:textAlignment w:val="bottom"/>
              <w:rPr>
                <w:rFonts w:hint="eastAsia" w:ascii="宋体" w:hAnsi="宋体"/>
                <w:b/>
                <w:color w:val="auto"/>
                <w:szCs w:val="21"/>
                <w:highlight w:val="none"/>
              </w:rPr>
            </w:pPr>
            <w:r>
              <w:rPr>
                <w:rFonts w:hint="eastAsia" w:ascii="宋体" w:hAnsi="宋体"/>
                <w:color w:val="auto"/>
                <w:szCs w:val="21"/>
                <w:highlight w:val="none"/>
              </w:rPr>
              <w:t>□随机抽取；</w:t>
            </w:r>
          </w:p>
        </w:tc>
      </w:tr>
      <w:tr w14:paraId="1D0284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78" w:type="dxa"/>
            <w:tcBorders>
              <w:top w:val="single" w:color="auto" w:sz="4" w:space="0"/>
              <w:left w:val="single" w:color="auto" w:sz="4" w:space="0"/>
              <w:bottom w:val="single" w:color="auto" w:sz="4" w:space="0"/>
              <w:right w:val="single" w:color="auto" w:sz="4" w:space="0"/>
            </w:tcBorders>
            <w:vAlign w:val="center"/>
          </w:tcPr>
          <w:p w14:paraId="517AAD49">
            <w:pPr>
              <w:spacing w:line="360" w:lineRule="auto"/>
              <w:jc w:val="center"/>
              <w:rPr>
                <w:rFonts w:hint="eastAsia" w:ascii="宋体" w:hAnsi="宋体"/>
                <w:color w:val="auto"/>
                <w:szCs w:val="21"/>
                <w:highlight w:val="none"/>
              </w:rPr>
            </w:pPr>
            <w:bookmarkStart w:id="71" w:name="_39.1"/>
            <w:bookmarkEnd w:id="71"/>
            <w:r>
              <w:rPr>
                <w:rFonts w:hint="eastAsia" w:ascii="宋体" w:hAnsi="宋体"/>
                <w:color w:val="auto"/>
                <w:szCs w:val="21"/>
                <w:highlight w:val="none"/>
              </w:rPr>
              <w:t>35</w:t>
            </w:r>
            <w:r>
              <w:rPr>
                <w:rFonts w:ascii="宋体" w:hAnsi="宋体"/>
                <w:color w:val="auto"/>
                <w:szCs w:val="21"/>
                <w:highlight w:val="none"/>
              </w:rPr>
              <w:t>.1</w:t>
            </w:r>
          </w:p>
        </w:tc>
        <w:tc>
          <w:tcPr>
            <w:tcW w:w="8175" w:type="dxa"/>
            <w:tcBorders>
              <w:top w:val="single" w:color="auto" w:sz="4" w:space="0"/>
              <w:left w:val="single" w:color="auto" w:sz="4" w:space="0"/>
              <w:bottom w:val="single" w:color="auto" w:sz="4" w:space="0"/>
              <w:right w:val="single" w:color="auto" w:sz="4" w:space="0"/>
            </w:tcBorders>
            <w:vAlign w:val="center"/>
          </w:tcPr>
          <w:p w14:paraId="6A56AE4C">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□本项目不收取履约保证金。</w:t>
            </w:r>
          </w:p>
          <w:p w14:paraId="1A697F37">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☑本项目收取履约保证金，具体规定如下：</w:t>
            </w:r>
          </w:p>
          <w:p w14:paraId="5C422025">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履约保证金金额：合同金额的5%，如中标供应商为中小企业，则按合同金</w:t>
            </w:r>
            <w:r>
              <w:rPr>
                <w:rFonts w:hint="eastAsia" w:ascii="宋体" w:hAnsi="宋体"/>
                <w:color w:val="auto"/>
                <w:szCs w:val="21"/>
                <w:highlight w:val="none"/>
                <w:lang w:eastAsia="zh-CN"/>
              </w:rPr>
              <w:t>额的</w:t>
            </w:r>
            <w:r>
              <w:rPr>
                <w:rFonts w:hint="eastAsia" w:ascii="宋体" w:hAnsi="宋体"/>
                <w:color w:val="auto"/>
                <w:szCs w:val="21"/>
                <w:highlight w:val="none"/>
              </w:rPr>
              <w:t>2%收取。</w:t>
            </w:r>
          </w:p>
          <w:p w14:paraId="6FD80A00">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履约保证金递交方式：银行转账、支票、汇票、本票或者银行、保险机构出具的保函等非现金方式。</w:t>
            </w:r>
          </w:p>
          <w:p w14:paraId="2F4D0E23">
            <w:pPr>
              <w:autoSpaceDE w:val="0"/>
              <w:autoSpaceDN w:val="0"/>
              <w:snapToGrid w:val="0"/>
              <w:spacing w:line="360" w:lineRule="auto"/>
              <w:textAlignment w:val="bottom"/>
              <w:rPr>
                <w:rFonts w:hint="eastAsia" w:ascii="宋体" w:hAnsi="宋体"/>
                <w:iCs/>
                <w:color w:val="auto"/>
                <w:szCs w:val="21"/>
                <w:highlight w:val="none"/>
                <w:u w:val="single"/>
                <w:lang w:eastAsia="zh-CN"/>
              </w:rPr>
            </w:pPr>
            <w:r>
              <w:rPr>
                <w:rFonts w:hint="eastAsia" w:ascii="宋体" w:hAnsi="宋体"/>
                <w:color w:val="auto"/>
                <w:szCs w:val="21"/>
                <w:highlight w:val="none"/>
              </w:rPr>
              <w:t>履约保证金缴纳期限:</w:t>
            </w:r>
            <w:r>
              <w:rPr>
                <w:color w:val="auto"/>
                <w:highlight w:val="none"/>
              </w:rPr>
              <w:t xml:space="preserve"> </w:t>
            </w:r>
            <w:r>
              <w:rPr>
                <w:rFonts w:hint="eastAsia" w:ascii="宋体" w:hAnsi="宋体"/>
                <w:iCs/>
                <w:color w:val="auto"/>
                <w:szCs w:val="21"/>
                <w:highlight w:val="none"/>
                <w:u w:val="single"/>
                <w:lang w:eastAsia="zh-CN"/>
              </w:rPr>
              <w:t>签订合同前缴纳。</w:t>
            </w:r>
          </w:p>
          <w:p w14:paraId="1E62E998">
            <w:pPr>
              <w:autoSpaceDE w:val="0"/>
              <w:autoSpaceDN w:val="0"/>
              <w:snapToGrid w:val="0"/>
              <w:spacing w:line="360" w:lineRule="auto"/>
              <w:textAlignment w:val="bottom"/>
              <w:rPr>
                <w:rFonts w:hint="eastAsia" w:ascii="宋体" w:hAnsi="宋体"/>
                <w:color w:val="auto"/>
                <w:szCs w:val="21"/>
                <w:highlight w:val="none"/>
                <w:u w:val="single"/>
              </w:rPr>
            </w:pPr>
            <w:r>
              <w:rPr>
                <w:rFonts w:hint="eastAsia" w:ascii="宋体" w:hAnsi="宋体"/>
                <w:color w:val="auto"/>
                <w:szCs w:val="21"/>
                <w:highlight w:val="none"/>
              </w:rPr>
              <w:t>履约保证金退付方式、时间及条件：</w:t>
            </w:r>
            <w:r>
              <w:rPr>
                <w:rFonts w:hint="eastAsia" w:ascii="宋体" w:hAnsi="宋体"/>
                <w:color w:val="auto"/>
                <w:szCs w:val="21"/>
                <w:highlight w:val="none"/>
                <w:u w:val="single"/>
              </w:rPr>
              <w:t xml:space="preserve"> 由中标供应商向履约保证金收取单位提供《广西壮族自治区政府采购项目合同验收书》（详见桂财采〔2015〕22号），保证金收取单位在收到合格材料后5个工作日内办理退还手续（不计利息） 。</w:t>
            </w:r>
          </w:p>
          <w:p w14:paraId="53A832A7">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履约保证金指定账户：</w:t>
            </w:r>
          </w:p>
          <w:p w14:paraId="76AC009D">
            <w:pPr>
              <w:autoSpaceDE w:val="0"/>
              <w:autoSpaceDN w:val="0"/>
              <w:snapToGrid w:val="0"/>
              <w:spacing w:line="360" w:lineRule="auto"/>
              <w:textAlignment w:val="bottom"/>
              <w:rPr>
                <w:rFonts w:hint="eastAsia" w:ascii="宋体" w:hAnsi="宋体" w:cs="宋体"/>
                <w:color w:val="auto"/>
                <w:kern w:val="0"/>
                <w:szCs w:val="21"/>
                <w:highlight w:val="none"/>
              </w:rPr>
            </w:pPr>
            <w:r>
              <w:rPr>
                <w:rFonts w:hint="eastAsia" w:ascii="宋体" w:hAnsi="宋体" w:cs="宋体"/>
                <w:color w:val="auto"/>
                <w:kern w:val="0"/>
                <w:szCs w:val="21"/>
                <w:highlight w:val="none"/>
              </w:rPr>
              <w:t>开</w:t>
            </w:r>
            <w:r>
              <w:rPr>
                <w:rFonts w:hint="eastAsia" w:ascii="宋体" w:hAnsi="宋体" w:cs="宋体"/>
                <w:color w:val="auto"/>
                <w:kern w:val="0"/>
                <w:szCs w:val="21"/>
                <w:highlight w:val="none"/>
                <w:lang w:eastAsia="zh-CN"/>
              </w:rPr>
              <w:t>户</w:t>
            </w:r>
            <w:r>
              <w:rPr>
                <w:rFonts w:hint="eastAsia" w:ascii="宋体" w:hAnsi="宋体" w:cs="宋体"/>
                <w:color w:val="auto"/>
                <w:kern w:val="0"/>
                <w:szCs w:val="21"/>
                <w:highlight w:val="none"/>
              </w:rPr>
              <w:t>名：广西壮族自治区桂东公路发展中心</w:t>
            </w:r>
          </w:p>
          <w:p w14:paraId="3FA07FF8">
            <w:pPr>
              <w:autoSpaceDE w:val="0"/>
              <w:autoSpaceDN w:val="0"/>
              <w:snapToGrid w:val="0"/>
              <w:spacing w:line="360" w:lineRule="auto"/>
              <w:textAlignment w:val="bottom"/>
              <w:rPr>
                <w:rFonts w:hint="eastAsia" w:ascii="宋体" w:hAnsi="宋体" w:cs="宋体"/>
                <w:color w:val="auto"/>
                <w:kern w:val="0"/>
                <w:szCs w:val="21"/>
                <w:highlight w:val="none"/>
              </w:rPr>
            </w:pPr>
            <w:r>
              <w:rPr>
                <w:rFonts w:hint="eastAsia" w:ascii="宋体" w:hAnsi="宋体" w:cs="宋体"/>
                <w:color w:val="auto"/>
                <w:kern w:val="0"/>
                <w:szCs w:val="21"/>
                <w:highlight w:val="none"/>
              </w:rPr>
              <w:t>开户银行：工商银行梧州市大东支行</w:t>
            </w:r>
          </w:p>
          <w:p w14:paraId="0B5A2D88">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账号：2104350009264007757</w:t>
            </w:r>
          </w:p>
          <w:p w14:paraId="1D91651E">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备注：</w:t>
            </w:r>
          </w:p>
          <w:p w14:paraId="6DE0F7E7">
            <w:pPr>
              <w:autoSpaceDE w:val="0"/>
              <w:autoSpaceDN w:val="0"/>
              <w:snapToGrid w:val="0"/>
              <w:spacing w:line="360" w:lineRule="auto"/>
              <w:textAlignment w:val="bottom"/>
              <w:rPr>
                <w:rFonts w:hint="eastAsia" w:ascii="宋体" w:hAnsi="宋体"/>
                <w:color w:val="auto"/>
                <w:szCs w:val="21"/>
                <w:highlight w:val="none"/>
              </w:rPr>
            </w:pPr>
            <w:bookmarkStart w:id="72" w:name="_Hlk54170335"/>
            <w:r>
              <w:rPr>
                <w:rFonts w:hint="eastAsia" w:ascii="宋体" w:hAnsi="宋体"/>
                <w:color w:val="auto"/>
                <w:szCs w:val="21"/>
                <w:highlight w:val="none"/>
              </w:rPr>
              <w:t>1.根据</w:t>
            </w:r>
            <w:bookmarkEnd w:id="72"/>
            <w:r>
              <w:rPr>
                <w:rFonts w:hint="eastAsia" w:ascii="宋体" w:hAnsi="宋体"/>
                <w:color w:val="auto"/>
                <w:szCs w:val="21"/>
                <w:highlight w:val="none"/>
              </w:rPr>
              <w:t>《广西壮族自治区财政厅关于持续优化政府采购营商环境推动高质量发展的通知》（桂财采</w:t>
            </w:r>
            <w:r>
              <w:rPr>
                <w:rFonts w:hint="eastAsia" w:ascii="宋体" w:hAnsi="宋体"/>
                <w:color w:val="auto"/>
                <w:szCs w:val="21"/>
                <w:highlight w:val="none"/>
                <w:lang w:eastAsia="zh-CN"/>
              </w:rPr>
              <w:t>〔2024〕55号</w:t>
            </w:r>
            <w:r>
              <w:rPr>
                <w:rFonts w:hint="eastAsia" w:ascii="宋体" w:hAnsi="宋体"/>
                <w:color w:val="auto"/>
                <w:szCs w:val="21"/>
                <w:highlight w:val="none"/>
              </w:rPr>
              <w:t>）规定，履约保证金数额不得超过政府采购合同金额的5%，对中小企业收取的履约保证金数额不得超过政府采购合同金额的2%。预算单位（采购人）可根据供应商的资信等情况减免履约保证金。</w:t>
            </w:r>
          </w:p>
          <w:p w14:paraId="6A93481C">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2. 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r>
              <w:rPr>
                <w:rFonts w:hint="eastAsia" w:ascii="宋体" w:hAnsi="宋体"/>
                <w:color w:val="auto"/>
                <w:szCs w:val="21"/>
                <w:highlight w:val="none"/>
              </w:rPr>
              <w:br w:type="textWrapping"/>
            </w:r>
            <w:r>
              <w:rPr>
                <w:rFonts w:hint="eastAsia" w:ascii="宋体" w:hAnsi="宋体"/>
                <w:color w:val="auto"/>
                <w:szCs w:val="21"/>
                <w:highlight w:val="none"/>
              </w:rPr>
              <w:t>3.采用银行、保险机构出具的保函的，必须为无条件保函，否则不予签订合同。</w:t>
            </w:r>
          </w:p>
          <w:p w14:paraId="2F42494B">
            <w:pPr>
              <w:autoSpaceDE w:val="0"/>
              <w:autoSpaceDN w:val="0"/>
              <w:snapToGrid w:val="0"/>
              <w:spacing w:line="360" w:lineRule="auto"/>
              <w:textAlignment w:val="bottom"/>
              <w:rPr>
                <w:rFonts w:hint="eastAsia" w:ascii="宋体" w:hAnsi="宋体" w:cs="宋体"/>
                <w:color w:val="auto"/>
                <w:kern w:val="0"/>
                <w:szCs w:val="21"/>
                <w:highlight w:val="none"/>
              </w:rPr>
            </w:pPr>
            <w:r>
              <w:rPr>
                <w:rFonts w:hint="eastAsia" w:ascii="宋体" w:hAnsi="宋体"/>
                <w:color w:val="auto"/>
                <w:szCs w:val="21"/>
                <w:highlight w:val="none"/>
              </w:rPr>
              <w:t>4.投标人为联合体的，由联合体其中一方按规定提交的履约保证金，视为有效履约保证金。</w:t>
            </w:r>
          </w:p>
        </w:tc>
      </w:tr>
      <w:tr w14:paraId="0820B8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0490132E">
            <w:pPr>
              <w:spacing w:line="360" w:lineRule="auto"/>
              <w:jc w:val="center"/>
              <w:rPr>
                <w:rFonts w:hint="eastAsia" w:ascii="宋体" w:hAnsi="宋体"/>
                <w:color w:val="auto"/>
                <w:szCs w:val="21"/>
                <w:highlight w:val="none"/>
              </w:rPr>
            </w:pPr>
            <w:bookmarkStart w:id="73" w:name="_40.1"/>
            <w:bookmarkEnd w:id="73"/>
            <w:r>
              <w:rPr>
                <w:rFonts w:hint="eastAsia" w:ascii="宋体" w:hAnsi="宋体"/>
                <w:color w:val="auto"/>
                <w:szCs w:val="21"/>
                <w:highlight w:val="none"/>
              </w:rPr>
              <w:t>36.1</w:t>
            </w:r>
          </w:p>
        </w:tc>
        <w:tc>
          <w:tcPr>
            <w:tcW w:w="8175" w:type="dxa"/>
            <w:tcBorders>
              <w:top w:val="single" w:color="auto" w:sz="4" w:space="0"/>
              <w:left w:val="single" w:color="auto" w:sz="4" w:space="0"/>
              <w:bottom w:val="single" w:color="auto" w:sz="4" w:space="0"/>
              <w:right w:val="single" w:color="auto" w:sz="4" w:space="0"/>
            </w:tcBorders>
            <w:vAlign w:val="center"/>
          </w:tcPr>
          <w:p w14:paraId="263C913F">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 xml:space="preserve">签订合同携带的证明材料： </w:t>
            </w:r>
          </w:p>
          <w:p w14:paraId="7C9CE6F0">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委托代理人负责签订合同的，须携带授权委托书及委托代理人身份证原件等其他资格证件。</w:t>
            </w:r>
          </w:p>
          <w:p w14:paraId="2A548936">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法定代表人负责签订合同的，须携带法定代表人</w:t>
            </w:r>
            <w:r>
              <w:rPr>
                <w:rFonts w:ascii="宋体" w:hAnsi="宋体"/>
                <w:color w:val="auto"/>
                <w:szCs w:val="21"/>
                <w:highlight w:val="none"/>
              </w:rPr>
              <w:t>身份证明原件</w:t>
            </w:r>
            <w:r>
              <w:rPr>
                <w:rFonts w:hint="eastAsia" w:ascii="宋体" w:hAnsi="宋体"/>
                <w:color w:val="auto"/>
                <w:szCs w:val="21"/>
                <w:highlight w:val="none"/>
              </w:rPr>
              <w:t>及</w:t>
            </w:r>
            <w:r>
              <w:rPr>
                <w:rFonts w:ascii="宋体" w:hAnsi="宋体"/>
                <w:color w:val="auto"/>
                <w:szCs w:val="21"/>
                <w:highlight w:val="none"/>
              </w:rPr>
              <w:t>身份证原件</w:t>
            </w:r>
            <w:r>
              <w:rPr>
                <w:rFonts w:hint="eastAsia" w:ascii="宋体" w:hAnsi="宋体"/>
                <w:color w:val="auto"/>
                <w:szCs w:val="21"/>
                <w:highlight w:val="none"/>
              </w:rPr>
              <w:t>等其他证明材料。</w:t>
            </w:r>
          </w:p>
        </w:tc>
      </w:tr>
      <w:tr w14:paraId="0D581C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6A54F48D">
            <w:pPr>
              <w:spacing w:line="360" w:lineRule="auto"/>
              <w:jc w:val="center"/>
              <w:rPr>
                <w:rFonts w:hint="eastAsia"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8.2</w:t>
            </w:r>
          </w:p>
        </w:tc>
        <w:tc>
          <w:tcPr>
            <w:tcW w:w="8175" w:type="dxa"/>
            <w:tcBorders>
              <w:top w:val="single" w:color="auto" w:sz="4" w:space="0"/>
              <w:left w:val="single" w:color="auto" w:sz="4" w:space="0"/>
              <w:bottom w:val="single" w:color="auto" w:sz="4" w:space="0"/>
              <w:right w:val="single" w:color="auto" w:sz="4" w:space="0"/>
            </w:tcBorders>
            <w:vAlign w:val="center"/>
          </w:tcPr>
          <w:p w14:paraId="5836C4AD">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接收质疑函方式：以书面形式</w:t>
            </w:r>
          </w:p>
          <w:p w14:paraId="4823F990">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质疑联系部门及联系方式：</w:t>
            </w:r>
            <w:r>
              <w:rPr>
                <w:rFonts w:hint="eastAsia" w:ascii="宋体" w:hAnsi="宋体"/>
                <w:color w:val="auto"/>
                <w:szCs w:val="21"/>
                <w:highlight w:val="none"/>
                <w:u w:val="single"/>
                <w:lang w:val="en-US" w:eastAsia="zh-CN"/>
              </w:rPr>
              <w:t>广西交投宏冠工程咨询有限公司</w:t>
            </w:r>
            <w:r>
              <w:rPr>
                <w:rFonts w:hint="eastAsia" w:ascii="宋体" w:hAnsi="宋体"/>
                <w:color w:val="auto"/>
                <w:szCs w:val="21"/>
                <w:highlight w:val="none"/>
                <w:u w:val="single"/>
              </w:rPr>
              <w:t>，联系电话：</w:t>
            </w:r>
            <w:r>
              <w:rPr>
                <w:rFonts w:hint="eastAsia" w:ascii="宋体" w:hAnsi="宋体"/>
                <w:color w:val="auto"/>
                <w:szCs w:val="21"/>
                <w:highlight w:val="none"/>
                <w:u w:val="single"/>
                <w:lang w:eastAsia="zh-CN"/>
              </w:rPr>
              <w:t>0771-4793126</w:t>
            </w:r>
            <w:r>
              <w:rPr>
                <w:rFonts w:hint="eastAsia" w:ascii="宋体" w:hAnsi="宋体"/>
                <w:color w:val="auto"/>
                <w:szCs w:val="21"/>
                <w:highlight w:val="none"/>
                <w:u w:val="single"/>
              </w:rPr>
              <w:t>，通讯地址：（</w:t>
            </w:r>
            <w:r>
              <w:rPr>
                <w:rFonts w:hint="eastAsia" w:ascii="宋体" w:hAnsi="宋体"/>
                <w:color w:val="auto"/>
                <w:szCs w:val="21"/>
                <w:highlight w:val="none"/>
                <w:u w:val="single"/>
                <w:lang w:eastAsia="zh-CN"/>
              </w:rPr>
              <w:t>广西南宁市青秀区合作路6号五洲国际D栋商铺3楼D312室</w:t>
            </w:r>
            <w:r>
              <w:rPr>
                <w:rFonts w:hint="eastAsia" w:ascii="宋体" w:hAnsi="宋体"/>
                <w:color w:val="auto"/>
                <w:szCs w:val="21"/>
                <w:highlight w:val="none"/>
                <w:u w:val="single"/>
              </w:rPr>
              <w:t>）</w:t>
            </w:r>
          </w:p>
          <w:p w14:paraId="2729E58D">
            <w:pPr>
              <w:autoSpaceDE w:val="0"/>
              <w:autoSpaceDN w:val="0"/>
              <w:snapToGrid w:val="0"/>
              <w:spacing w:line="360" w:lineRule="auto"/>
              <w:textAlignment w:val="bottom"/>
              <w:rPr>
                <w:rFonts w:hint="eastAsia" w:ascii="宋体" w:hAnsi="宋体"/>
                <w:color w:val="auto"/>
                <w:szCs w:val="21"/>
                <w:highlight w:val="none"/>
              </w:rPr>
            </w:pPr>
            <w:r>
              <w:rPr>
                <w:rFonts w:hint="eastAsia" w:hAnsi="宋体" w:cs="宋体"/>
                <w:color w:val="auto"/>
                <w:highlight w:val="none"/>
              </w:rPr>
              <w:t>业务时间：工作日每天上午</w:t>
            </w:r>
            <w:r>
              <w:rPr>
                <w:rFonts w:hAnsi="宋体" w:cs="宋体"/>
                <w:color w:val="auto"/>
                <w:highlight w:val="none"/>
              </w:rPr>
              <w:t>8</w:t>
            </w:r>
            <w:r>
              <w:rPr>
                <w:rFonts w:hint="eastAsia" w:hAnsi="宋体" w:cs="宋体"/>
                <w:color w:val="auto"/>
                <w:highlight w:val="none"/>
              </w:rPr>
              <w:t>时</w:t>
            </w:r>
            <w:r>
              <w:rPr>
                <w:rFonts w:hAnsi="宋体" w:cs="宋体"/>
                <w:color w:val="auto"/>
                <w:highlight w:val="none"/>
              </w:rPr>
              <w:t>00</w:t>
            </w:r>
            <w:r>
              <w:rPr>
                <w:rFonts w:hint="eastAsia" w:hAnsi="宋体" w:cs="宋体"/>
                <w:color w:val="auto"/>
                <w:highlight w:val="none"/>
              </w:rPr>
              <w:t>分到</w:t>
            </w:r>
            <w:r>
              <w:rPr>
                <w:rFonts w:hAnsi="宋体" w:cs="宋体"/>
                <w:color w:val="auto"/>
                <w:highlight w:val="none"/>
              </w:rPr>
              <w:t>12</w:t>
            </w:r>
            <w:r>
              <w:rPr>
                <w:rFonts w:hint="eastAsia" w:hAnsi="宋体" w:cs="宋体"/>
                <w:color w:val="auto"/>
                <w:highlight w:val="none"/>
              </w:rPr>
              <w:t>时</w:t>
            </w:r>
            <w:r>
              <w:rPr>
                <w:rFonts w:hAnsi="宋体" w:cs="宋体"/>
                <w:color w:val="auto"/>
                <w:highlight w:val="none"/>
              </w:rPr>
              <w:t>00</w:t>
            </w:r>
            <w:r>
              <w:rPr>
                <w:rFonts w:hint="eastAsia" w:hAnsi="宋体" w:cs="宋体"/>
                <w:color w:val="auto"/>
                <w:highlight w:val="none"/>
              </w:rPr>
              <w:t>分，下午</w:t>
            </w:r>
            <w:r>
              <w:rPr>
                <w:rFonts w:hAnsi="宋体" w:cs="宋体"/>
                <w:color w:val="auto"/>
                <w:highlight w:val="none"/>
              </w:rPr>
              <w:t>3</w:t>
            </w:r>
            <w:r>
              <w:rPr>
                <w:rFonts w:hint="eastAsia" w:hAnsi="宋体" w:cs="宋体"/>
                <w:color w:val="auto"/>
                <w:highlight w:val="none"/>
              </w:rPr>
              <w:t>时</w:t>
            </w:r>
            <w:r>
              <w:rPr>
                <w:rFonts w:hAnsi="宋体" w:cs="宋体"/>
                <w:color w:val="auto"/>
                <w:highlight w:val="none"/>
              </w:rPr>
              <w:t>00</w:t>
            </w:r>
            <w:r>
              <w:rPr>
                <w:rFonts w:hint="eastAsia" w:hAnsi="宋体" w:cs="宋体"/>
                <w:color w:val="auto"/>
                <w:highlight w:val="none"/>
              </w:rPr>
              <w:t>分到</w:t>
            </w:r>
            <w:r>
              <w:rPr>
                <w:rFonts w:hAnsi="宋体" w:cs="宋体"/>
                <w:color w:val="auto"/>
                <w:highlight w:val="none"/>
              </w:rPr>
              <w:t>6</w:t>
            </w:r>
            <w:r>
              <w:rPr>
                <w:rFonts w:hint="eastAsia" w:hAnsi="宋体" w:cs="宋体"/>
                <w:color w:val="auto"/>
                <w:highlight w:val="none"/>
              </w:rPr>
              <w:t>时</w:t>
            </w:r>
            <w:r>
              <w:rPr>
                <w:rFonts w:hAnsi="宋体" w:cs="宋体"/>
                <w:color w:val="auto"/>
                <w:highlight w:val="none"/>
              </w:rPr>
              <w:t>00</w:t>
            </w:r>
            <w:r>
              <w:rPr>
                <w:rFonts w:hint="eastAsia" w:hAnsi="宋体" w:cs="宋体"/>
                <w:color w:val="auto"/>
                <w:highlight w:val="none"/>
              </w:rPr>
              <w:t>分。</w:t>
            </w:r>
          </w:p>
        </w:tc>
      </w:tr>
      <w:tr w14:paraId="55B66A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0851EE00">
            <w:pPr>
              <w:spacing w:line="360" w:lineRule="auto"/>
              <w:jc w:val="center"/>
              <w:rPr>
                <w:rFonts w:hint="eastAsia" w:ascii="宋体" w:hAnsi="宋体"/>
                <w:color w:val="auto"/>
                <w:szCs w:val="21"/>
                <w:highlight w:val="none"/>
              </w:rPr>
            </w:pPr>
            <w:bookmarkStart w:id="74" w:name="_42"/>
            <w:bookmarkEnd w:id="74"/>
            <w:bookmarkStart w:id="75" w:name="_41"/>
            <w:bookmarkEnd w:id="75"/>
            <w:bookmarkStart w:id="76" w:name="_Hlt17709148"/>
            <w:r>
              <w:rPr>
                <w:rFonts w:hint="eastAsia" w:ascii="宋体" w:hAnsi="宋体"/>
                <w:color w:val="auto"/>
                <w:szCs w:val="21"/>
                <w:highlight w:val="none"/>
              </w:rPr>
              <w:t>3</w:t>
            </w:r>
            <w:bookmarkEnd w:id="76"/>
            <w:r>
              <w:rPr>
                <w:rFonts w:ascii="宋体" w:hAnsi="宋体"/>
                <w:color w:val="auto"/>
                <w:szCs w:val="21"/>
                <w:highlight w:val="none"/>
              </w:rPr>
              <w:t>9.1</w:t>
            </w:r>
          </w:p>
        </w:tc>
        <w:tc>
          <w:tcPr>
            <w:tcW w:w="8175" w:type="dxa"/>
            <w:tcBorders>
              <w:top w:val="single" w:color="auto" w:sz="4" w:space="0"/>
              <w:left w:val="single" w:color="auto" w:sz="4" w:space="0"/>
              <w:bottom w:val="single" w:color="auto" w:sz="4" w:space="0"/>
              <w:right w:val="single" w:color="auto" w:sz="4" w:space="0"/>
            </w:tcBorders>
            <w:vAlign w:val="center"/>
          </w:tcPr>
          <w:p w14:paraId="4A2429DA">
            <w:pPr>
              <w:pStyle w:val="24"/>
              <w:snapToGrid w:val="0"/>
              <w:spacing w:line="360" w:lineRule="auto"/>
              <w:rPr>
                <w:rFonts w:hint="eastAsia" w:hAnsi="宋体" w:cs="宋体"/>
                <w:color w:val="auto"/>
                <w:sz w:val="21"/>
                <w:highlight w:val="none"/>
              </w:rPr>
            </w:pPr>
            <w:r>
              <w:rPr>
                <w:rFonts w:hint="eastAsia" w:hAnsi="宋体" w:cs="宋体"/>
                <w:color w:val="auto"/>
                <w:sz w:val="21"/>
                <w:highlight w:val="none"/>
              </w:rPr>
              <w:t>1.采购代理费支付方式：</w:t>
            </w:r>
          </w:p>
          <w:p w14:paraId="68665E58">
            <w:pPr>
              <w:pStyle w:val="24"/>
              <w:snapToGrid w:val="0"/>
              <w:spacing w:line="360" w:lineRule="auto"/>
              <w:rPr>
                <w:rFonts w:hint="eastAsia" w:hAnsi="宋体" w:cs="宋体"/>
                <w:color w:val="auto"/>
                <w:sz w:val="21"/>
                <w:highlight w:val="none"/>
              </w:rPr>
            </w:pPr>
            <w:r>
              <w:rPr>
                <w:rFonts w:hint="eastAsia" w:hAnsi="宋体" w:cs="宋体"/>
                <w:color w:val="auto"/>
                <w:sz w:val="21"/>
                <w:highlight w:val="none"/>
              </w:rPr>
              <w:t>☑本项目代理服务费由</w:t>
            </w:r>
            <w:r>
              <w:rPr>
                <w:rFonts w:hint="eastAsia" w:hAnsi="宋体" w:cs="宋体"/>
                <w:color w:val="auto"/>
                <w:sz w:val="21"/>
                <w:highlight w:val="none"/>
                <w:u w:val="single"/>
              </w:rPr>
              <w:t>中标人</w:t>
            </w:r>
            <w:r>
              <w:rPr>
                <w:rFonts w:hint="eastAsia" w:hAnsi="宋体" w:cs="宋体"/>
                <w:color w:val="auto"/>
                <w:sz w:val="21"/>
                <w:highlight w:val="none"/>
              </w:rPr>
              <w:t>一次性向采购代理机构支付。</w:t>
            </w:r>
          </w:p>
          <w:p w14:paraId="3A3E411E">
            <w:pPr>
              <w:pStyle w:val="24"/>
              <w:snapToGrid w:val="0"/>
              <w:spacing w:line="360" w:lineRule="auto"/>
              <w:rPr>
                <w:rFonts w:hint="eastAsia" w:hAnsi="宋体" w:cs="宋体"/>
                <w:color w:val="auto"/>
                <w:sz w:val="21"/>
                <w:highlight w:val="none"/>
              </w:rPr>
            </w:pPr>
            <w:r>
              <w:rPr>
                <w:rFonts w:hint="eastAsia" w:hAnsi="宋体" w:cs="宋体"/>
                <w:color w:val="auto"/>
                <w:sz w:val="21"/>
                <w:highlight w:val="none"/>
              </w:rPr>
              <w:t>□采购人支付。</w:t>
            </w:r>
          </w:p>
          <w:p w14:paraId="0154EC00">
            <w:pPr>
              <w:pStyle w:val="24"/>
              <w:snapToGrid w:val="0"/>
              <w:spacing w:line="360" w:lineRule="auto"/>
              <w:rPr>
                <w:rFonts w:hint="eastAsia" w:hAnsi="宋体" w:cs="宋体"/>
                <w:color w:val="auto"/>
                <w:sz w:val="21"/>
                <w:highlight w:val="none"/>
              </w:rPr>
            </w:pPr>
            <w:r>
              <w:rPr>
                <w:rFonts w:hint="eastAsia" w:hAnsi="宋体" w:cs="宋体"/>
                <w:color w:val="auto"/>
                <w:sz w:val="21"/>
                <w:highlight w:val="none"/>
              </w:rPr>
              <w:t>2.采购代理费收取标准：</w:t>
            </w:r>
          </w:p>
          <w:p w14:paraId="31EE7625">
            <w:pPr>
              <w:pStyle w:val="24"/>
              <w:snapToGrid w:val="0"/>
              <w:spacing w:line="360" w:lineRule="auto"/>
              <w:rPr>
                <w:rFonts w:hint="eastAsia" w:hAnsi="宋体" w:cs="宋体"/>
                <w:color w:val="auto"/>
                <w:sz w:val="21"/>
                <w:highlight w:val="none"/>
              </w:rPr>
            </w:pPr>
            <w:r>
              <w:rPr>
                <w:rFonts w:hint="eastAsia" w:hAnsi="宋体" w:cs="宋体"/>
                <w:color w:val="auto"/>
                <w:sz w:val="21"/>
                <w:highlight w:val="none"/>
              </w:rPr>
              <w:t>☑以项目中标金额为计费额，按本须知正文第</w:t>
            </w:r>
            <w:r>
              <w:rPr>
                <w:rFonts w:hAnsi="宋体" w:cs="宋体"/>
                <w:color w:val="auto"/>
                <w:sz w:val="21"/>
                <w:highlight w:val="none"/>
              </w:rPr>
              <w:t>39</w:t>
            </w:r>
            <w:r>
              <w:rPr>
                <w:rFonts w:hint="eastAsia" w:hAnsi="宋体" w:cs="宋体"/>
                <w:color w:val="auto"/>
                <w:sz w:val="21"/>
                <w:highlight w:val="none"/>
              </w:rPr>
              <w:t>.</w:t>
            </w:r>
            <w:r>
              <w:rPr>
                <w:rFonts w:hAnsi="宋体" w:cs="宋体"/>
                <w:color w:val="auto"/>
                <w:sz w:val="21"/>
                <w:highlight w:val="none"/>
              </w:rPr>
              <w:t>2</w:t>
            </w:r>
            <w:r>
              <w:rPr>
                <w:rFonts w:hint="eastAsia" w:hAnsi="宋体" w:cs="宋体"/>
                <w:color w:val="auto"/>
                <w:sz w:val="21"/>
                <w:highlight w:val="none"/>
              </w:rPr>
              <w:t>条规定的收费计算标准服务招标采用差额定率累进法计算出收费基准价格收取。</w:t>
            </w:r>
          </w:p>
          <w:p w14:paraId="2437417C">
            <w:pPr>
              <w:pStyle w:val="24"/>
              <w:snapToGrid w:val="0"/>
              <w:spacing w:line="360" w:lineRule="auto"/>
              <w:rPr>
                <w:rFonts w:hint="eastAsia" w:hAnsi="宋体" w:cs="宋体"/>
                <w:color w:val="auto"/>
                <w:sz w:val="21"/>
                <w:highlight w:val="none"/>
                <w:u w:val="single"/>
              </w:rPr>
            </w:pPr>
            <w:r>
              <w:rPr>
                <w:rFonts w:hint="eastAsia" w:hAnsi="宋体" w:cs="宋体"/>
                <w:color w:val="auto"/>
                <w:sz w:val="21"/>
                <w:highlight w:val="none"/>
              </w:rPr>
              <w:t>□固定采购代理收费</w:t>
            </w:r>
            <w:r>
              <w:rPr>
                <w:rFonts w:hint="eastAsia" w:hAnsi="宋体" w:cs="宋体"/>
                <w:color w:val="auto"/>
                <w:sz w:val="21"/>
                <w:highlight w:val="none"/>
                <w:u w:val="single"/>
              </w:rPr>
              <w:t xml:space="preserve">                 </w:t>
            </w:r>
          </w:p>
          <w:p w14:paraId="76D8016E">
            <w:pPr>
              <w:pStyle w:val="24"/>
              <w:snapToGrid w:val="0"/>
              <w:spacing w:line="360" w:lineRule="auto"/>
              <w:rPr>
                <w:rFonts w:hint="eastAsia" w:hAnsi="宋体" w:cs="宋体"/>
                <w:color w:val="auto"/>
                <w:sz w:val="21"/>
                <w:highlight w:val="none"/>
                <w:lang w:eastAsia="zh-CN"/>
              </w:rPr>
            </w:pPr>
            <w:r>
              <w:rPr>
                <w:rFonts w:hint="eastAsia" w:hAnsi="宋体" w:cs="宋体"/>
                <w:color w:val="auto"/>
                <w:sz w:val="21"/>
                <w:highlight w:val="none"/>
              </w:rPr>
              <w:t>3</w:t>
            </w:r>
            <w:r>
              <w:rPr>
                <w:rFonts w:hAnsi="宋体" w:cs="宋体"/>
                <w:color w:val="auto"/>
                <w:sz w:val="21"/>
                <w:highlight w:val="none"/>
              </w:rPr>
              <w:t>.</w:t>
            </w:r>
            <w:r>
              <w:rPr>
                <w:rFonts w:hint="eastAsia" w:hAnsi="宋体" w:cs="宋体"/>
                <w:color w:val="auto"/>
                <w:sz w:val="21"/>
                <w:highlight w:val="none"/>
              </w:rPr>
              <w:t>.账户名称：</w:t>
            </w:r>
            <w:r>
              <w:rPr>
                <w:rFonts w:hint="eastAsia" w:hAnsi="宋体" w:cs="宋体"/>
                <w:color w:val="auto"/>
                <w:sz w:val="21"/>
                <w:highlight w:val="none"/>
                <w:lang w:eastAsia="zh-CN"/>
              </w:rPr>
              <w:t>广西交投宏冠工程咨询有限公司</w:t>
            </w:r>
          </w:p>
          <w:p w14:paraId="57BBD72D">
            <w:pPr>
              <w:pStyle w:val="24"/>
              <w:snapToGrid w:val="0"/>
              <w:spacing w:line="360" w:lineRule="auto"/>
              <w:rPr>
                <w:rFonts w:hint="eastAsia" w:hAnsi="宋体" w:cs="宋体"/>
                <w:color w:val="auto"/>
                <w:sz w:val="21"/>
                <w:highlight w:val="none"/>
              </w:rPr>
            </w:pPr>
            <w:r>
              <w:rPr>
                <w:rFonts w:hint="eastAsia" w:hAnsi="宋体" w:cs="宋体"/>
                <w:color w:val="auto"/>
                <w:sz w:val="21"/>
                <w:highlight w:val="none"/>
              </w:rPr>
              <w:t>开户银行：建行南宁朝阳支行营业部</w:t>
            </w:r>
          </w:p>
          <w:p w14:paraId="5C3AC578">
            <w:pPr>
              <w:pStyle w:val="24"/>
              <w:snapToGrid w:val="0"/>
              <w:spacing w:line="360" w:lineRule="auto"/>
              <w:rPr>
                <w:rFonts w:hint="eastAsia" w:hAnsi="宋体" w:cs="宋体"/>
                <w:color w:val="auto"/>
                <w:sz w:val="21"/>
                <w:highlight w:val="none"/>
              </w:rPr>
            </w:pPr>
            <w:r>
              <w:rPr>
                <w:rFonts w:hint="eastAsia" w:hAnsi="宋体" w:cs="宋体"/>
                <w:color w:val="auto"/>
                <w:sz w:val="21"/>
                <w:highlight w:val="none"/>
              </w:rPr>
              <w:t>银行账号：4500 1604 4730 5070 8266</w:t>
            </w:r>
          </w:p>
        </w:tc>
      </w:tr>
      <w:tr w14:paraId="59A62E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52229AE2">
            <w:pPr>
              <w:snapToGrid w:val="0"/>
              <w:spacing w:line="360" w:lineRule="auto"/>
              <w:jc w:val="center"/>
              <w:rPr>
                <w:rFonts w:hint="eastAsia" w:ascii="宋体" w:hAnsi="宋体"/>
                <w:color w:val="auto"/>
                <w:szCs w:val="21"/>
                <w:highlight w:val="none"/>
              </w:rPr>
            </w:pPr>
            <w:r>
              <w:rPr>
                <w:rFonts w:ascii="宋体" w:hAnsi="宋体"/>
                <w:color w:val="auto"/>
                <w:szCs w:val="21"/>
                <w:highlight w:val="none"/>
              </w:rPr>
              <w:t>40.1</w:t>
            </w:r>
          </w:p>
        </w:tc>
        <w:tc>
          <w:tcPr>
            <w:tcW w:w="8175" w:type="dxa"/>
            <w:tcBorders>
              <w:top w:val="single" w:color="auto" w:sz="4" w:space="0"/>
              <w:left w:val="single" w:color="auto" w:sz="4" w:space="0"/>
              <w:bottom w:val="single" w:color="auto" w:sz="4" w:space="0"/>
              <w:right w:val="single" w:color="auto" w:sz="4" w:space="0"/>
            </w:tcBorders>
            <w:vAlign w:val="center"/>
          </w:tcPr>
          <w:p w14:paraId="149CAD04">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解释：</w:t>
            </w:r>
            <w:r>
              <w:rPr>
                <w:rFonts w:ascii="宋体" w:hAnsi="宋体"/>
                <w:color w:val="auto"/>
                <w:szCs w:val="21"/>
                <w:highlight w:val="none"/>
              </w:rPr>
              <w:t>构成本招标文件的各个组成文件应互为解释，互为说明；除招标文件中有特别规定外，仅适用于招标投标阶段的规定，按</w:t>
            </w:r>
            <w:r>
              <w:rPr>
                <w:rFonts w:hint="eastAsia" w:ascii="宋体" w:hAnsi="宋体"/>
                <w:color w:val="auto"/>
                <w:szCs w:val="21"/>
                <w:highlight w:val="none"/>
              </w:rPr>
              <w:t>更正公告（澄清公告）</w:t>
            </w:r>
            <w:r>
              <w:rPr>
                <w:rFonts w:ascii="宋体" w:hAnsi="宋体"/>
                <w:color w:val="auto"/>
                <w:szCs w:val="21"/>
                <w:highlight w:val="none"/>
              </w:rPr>
              <w:t>、招标公告、</w:t>
            </w:r>
            <w:r>
              <w:rPr>
                <w:rFonts w:hint="eastAsia" w:ascii="宋体" w:hAnsi="宋体"/>
                <w:color w:val="auto"/>
                <w:szCs w:val="21"/>
                <w:highlight w:val="none"/>
              </w:rPr>
              <w:t>采购需求、</w:t>
            </w:r>
            <w:r>
              <w:rPr>
                <w:rFonts w:ascii="宋体" w:hAnsi="宋体"/>
                <w:color w:val="auto"/>
                <w:szCs w:val="21"/>
                <w:highlight w:val="none"/>
              </w:rPr>
              <w:t>投标人须知、</w:t>
            </w:r>
            <w:r>
              <w:rPr>
                <w:rFonts w:hint="eastAsia" w:ascii="宋体" w:hAnsi="宋体"/>
                <w:color w:val="auto"/>
                <w:szCs w:val="21"/>
                <w:highlight w:val="none"/>
              </w:rPr>
              <w:t>评标方法及评标标准</w:t>
            </w:r>
            <w:r>
              <w:rPr>
                <w:rFonts w:ascii="宋体" w:hAnsi="宋体"/>
                <w:color w:val="auto"/>
                <w:szCs w:val="21"/>
                <w:highlight w:val="none"/>
              </w:rPr>
              <w:t>、</w:t>
            </w:r>
            <w:r>
              <w:rPr>
                <w:rFonts w:hint="eastAsia" w:ascii="宋体" w:hAnsi="宋体"/>
                <w:color w:val="auto"/>
                <w:szCs w:val="21"/>
                <w:highlight w:val="none"/>
              </w:rPr>
              <w:t>拟签订的合同文本、</w:t>
            </w:r>
            <w:r>
              <w:rPr>
                <w:rFonts w:ascii="宋体" w:hAnsi="宋体"/>
                <w:color w:val="auto"/>
                <w:szCs w:val="21"/>
                <w:highlight w:val="none"/>
              </w:rPr>
              <w:t>投标文件格式的先后顺序解释；同一组成文件中就同一事项的规定或者约定不一致的，以编排顺序在后者为准；同一组成文件不同版本之间有不一致的，以形成时间在后者为准；</w:t>
            </w:r>
            <w:r>
              <w:rPr>
                <w:rFonts w:hint="eastAsia" w:ascii="宋体" w:hAnsi="宋体"/>
                <w:color w:val="auto"/>
                <w:szCs w:val="21"/>
                <w:highlight w:val="none"/>
              </w:rPr>
              <w:t>更正公告（澄清公告）</w:t>
            </w:r>
            <w:r>
              <w:rPr>
                <w:rFonts w:ascii="宋体" w:hAnsi="宋体"/>
                <w:color w:val="auto"/>
                <w:szCs w:val="21"/>
                <w:highlight w:val="none"/>
              </w:rPr>
              <w:t>与同步更新的招标文件不一致时以</w:t>
            </w:r>
            <w:r>
              <w:rPr>
                <w:rFonts w:hint="eastAsia" w:ascii="宋体" w:hAnsi="宋体"/>
                <w:color w:val="auto"/>
                <w:szCs w:val="21"/>
                <w:highlight w:val="none"/>
              </w:rPr>
              <w:t>更正公告（澄清公告）</w:t>
            </w:r>
            <w:r>
              <w:rPr>
                <w:rFonts w:ascii="宋体" w:hAnsi="宋体"/>
                <w:color w:val="auto"/>
                <w:szCs w:val="21"/>
                <w:highlight w:val="none"/>
              </w:rPr>
              <w:t>为准。按本款前述规定仍不能形成结论的，由</w:t>
            </w:r>
            <w:r>
              <w:rPr>
                <w:rFonts w:hint="eastAsia" w:ascii="宋体" w:hAnsi="宋体"/>
                <w:color w:val="auto"/>
                <w:szCs w:val="21"/>
                <w:highlight w:val="none"/>
              </w:rPr>
              <w:t>采购</w:t>
            </w:r>
            <w:r>
              <w:rPr>
                <w:rFonts w:ascii="宋体" w:hAnsi="宋体"/>
                <w:color w:val="auto"/>
                <w:szCs w:val="21"/>
                <w:highlight w:val="none"/>
              </w:rPr>
              <w:t>人</w:t>
            </w:r>
            <w:r>
              <w:rPr>
                <w:rFonts w:hint="eastAsia" w:ascii="宋体" w:hAnsi="宋体"/>
                <w:color w:val="auto"/>
                <w:szCs w:val="21"/>
                <w:highlight w:val="none"/>
              </w:rPr>
              <w:t>或者采购代理机构</w:t>
            </w:r>
            <w:r>
              <w:rPr>
                <w:rFonts w:ascii="宋体" w:hAnsi="宋体"/>
                <w:color w:val="auto"/>
                <w:szCs w:val="21"/>
                <w:highlight w:val="none"/>
              </w:rPr>
              <w:t>负责解释。</w:t>
            </w:r>
          </w:p>
        </w:tc>
      </w:tr>
      <w:tr w14:paraId="3E9ECA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5762DD9D">
            <w:pPr>
              <w:snapToGrid w:val="0"/>
              <w:spacing w:line="360" w:lineRule="auto"/>
              <w:jc w:val="center"/>
              <w:rPr>
                <w:rFonts w:hint="eastAsia" w:ascii="宋体" w:hAnsi="宋体"/>
                <w:color w:val="auto"/>
                <w:szCs w:val="21"/>
                <w:highlight w:val="none"/>
              </w:rPr>
            </w:pPr>
            <w:r>
              <w:rPr>
                <w:rFonts w:ascii="宋体" w:hAnsi="宋体"/>
                <w:color w:val="auto"/>
                <w:szCs w:val="21"/>
                <w:highlight w:val="none"/>
              </w:rPr>
              <w:t>40.2</w:t>
            </w:r>
          </w:p>
        </w:tc>
        <w:tc>
          <w:tcPr>
            <w:tcW w:w="8175" w:type="dxa"/>
            <w:tcBorders>
              <w:top w:val="single" w:color="auto" w:sz="4" w:space="0"/>
              <w:left w:val="single" w:color="auto" w:sz="4" w:space="0"/>
              <w:bottom w:val="single" w:color="auto" w:sz="4" w:space="0"/>
              <w:right w:val="single" w:color="auto" w:sz="4" w:space="0"/>
            </w:tcBorders>
            <w:vAlign w:val="center"/>
          </w:tcPr>
          <w:p w14:paraId="06DCADA0">
            <w:pPr>
              <w:pStyle w:val="24"/>
              <w:snapToGrid w:val="0"/>
              <w:spacing w:line="360" w:lineRule="auto"/>
              <w:rPr>
                <w:rFonts w:hint="eastAsia" w:hAnsi="宋体" w:cs="宋体"/>
                <w:bCs/>
                <w:color w:val="auto"/>
                <w:sz w:val="21"/>
                <w:highlight w:val="none"/>
              </w:rPr>
            </w:pPr>
            <w:r>
              <w:rPr>
                <w:rFonts w:hint="eastAsia" w:hAnsi="宋体" w:cs="宋体"/>
                <w:bCs/>
                <w:color w:val="auto"/>
                <w:sz w:val="21"/>
                <w:highlight w:val="none"/>
              </w:rPr>
              <w:t>1.本招标文件中描述投标人的“公章”是指根据我国对公章的管理规定，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14:paraId="5AFD8194">
            <w:pPr>
              <w:pStyle w:val="24"/>
              <w:snapToGrid w:val="0"/>
              <w:spacing w:line="360" w:lineRule="auto"/>
              <w:rPr>
                <w:rFonts w:hint="eastAsia" w:hAnsi="宋体" w:cs="宋体"/>
                <w:bCs/>
                <w:color w:val="auto"/>
                <w:sz w:val="21"/>
                <w:highlight w:val="none"/>
              </w:rPr>
            </w:pPr>
            <w:r>
              <w:rPr>
                <w:rFonts w:hint="eastAsia" w:hAnsi="宋体" w:cs="宋体"/>
                <w:bCs/>
                <w:color w:val="auto"/>
                <w:sz w:val="21"/>
                <w:highlight w:val="none"/>
              </w:rPr>
              <w:t>2.本招标文件所称的“</w:t>
            </w:r>
            <w:r>
              <w:rPr>
                <w:rFonts w:hint="eastAsia" w:hAnsi="宋体"/>
                <w:color w:val="auto"/>
                <w:sz w:val="21"/>
                <w:highlight w:val="none"/>
              </w:rPr>
              <w:t>电子签章</w:t>
            </w:r>
            <w:r>
              <w:rPr>
                <w:rFonts w:hint="eastAsia" w:hAnsi="宋体" w:cs="宋体"/>
                <w:bCs/>
                <w:color w:val="auto"/>
                <w:sz w:val="21"/>
                <w:highlight w:val="none"/>
              </w:rPr>
              <w:t>”、“电子签名”</w:t>
            </w:r>
            <w:r>
              <w:rPr>
                <w:rFonts w:hint="eastAsia" w:hAnsi="宋体"/>
                <w:color w:val="auto"/>
                <w:sz w:val="21"/>
                <w:highlight w:val="none"/>
              </w:rPr>
              <w:t>，是指经广西政府采购云平台认可的CA认证的电子签名数据为表现形式的印章，可用于签署电子投标文件，电子印章与实物印章具有同等法律效力，不因其采用电子化表现形式而否定其法律效力。</w:t>
            </w:r>
          </w:p>
          <w:p w14:paraId="4A60FC48">
            <w:pPr>
              <w:pStyle w:val="24"/>
              <w:snapToGrid w:val="0"/>
              <w:spacing w:line="360" w:lineRule="auto"/>
              <w:rPr>
                <w:rFonts w:hint="eastAsia" w:hAnsi="宋体" w:cs="宋体"/>
                <w:bCs/>
                <w:color w:val="auto"/>
                <w:sz w:val="21"/>
                <w:highlight w:val="none"/>
              </w:rPr>
            </w:pPr>
            <w:r>
              <w:rPr>
                <w:rFonts w:hint="eastAsia" w:hAnsi="宋体" w:cs="宋体"/>
                <w:bCs/>
                <w:color w:val="auto"/>
                <w:sz w:val="21"/>
                <w:highlight w:val="none"/>
              </w:rPr>
              <w:t>3.投标人为其他组织或者自然人时，本招标文件规定的法定代表人指负责人或者自然人。本招标文件所称负责人是指参加投标的其他组织营业执照或者执业许可证等证照上的负责人，本招标文件所称自然人指参与投标的自然人本人，且应具备独立承担民事责任能力，自然人应当为年满18岁以上成年人（十六周岁以上的未成年人，以自己的劳动收入为主要生活来源的，视为完全民事行为能力人）。</w:t>
            </w:r>
          </w:p>
          <w:p w14:paraId="05BB371E">
            <w:pPr>
              <w:pStyle w:val="24"/>
              <w:snapToGrid w:val="0"/>
              <w:spacing w:line="360" w:lineRule="auto"/>
              <w:rPr>
                <w:rFonts w:hint="eastAsia" w:hAnsi="宋体" w:cs="宋体"/>
                <w:bCs/>
                <w:color w:val="auto"/>
                <w:sz w:val="21"/>
                <w:highlight w:val="none"/>
              </w:rPr>
            </w:pPr>
            <w:r>
              <w:rPr>
                <w:rFonts w:hint="eastAsia" w:hAnsi="宋体" w:cs="宋体"/>
                <w:bCs/>
                <w:color w:val="auto"/>
                <w:sz w:val="21"/>
                <w:highlight w:val="none"/>
              </w:rPr>
              <w:t>4.本招标文件中描述投标人的“签字”是指投标人的法定代表人或者委托代理人亲自在文件规定签字处亲笔写上个人的名字的行为，私章、签字章、印鉴、影印等其他形式均不能代替亲笔签字。</w:t>
            </w:r>
          </w:p>
          <w:p w14:paraId="7A3E2F05">
            <w:pPr>
              <w:pStyle w:val="24"/>
              <w:snapToGrid w:val="0"/>
              <w:spacing w:line="360" w:lineRule="auto"/>
              <w:rPr>
                <w:rFonts w:hint="eastAsia" w:hAnsi="宋体"/>
                <w:color w:val="auto"/>
                <w:highlight w:val="none"/>
              </w:rPr>
            </w:pPr>
            <w:r>
              <w:rPr>
                <w:rFonts w:hint="eastAsia" w:hAnsi="宋体" w:cs="宋体"/>
                <w:bCs/>
                <w:color w:val="auto"/>
                <w:sz w:val="21"/>
                <w:highlight w:val="none"/>
              </w:rPr>
              <w:t>5.本招标文件所称的“以上”“以下”“以内”“届满”，包括本数；所称的“不满”“超过”“以外”，不包括本数。</w:t>
            </w:r>
          </w:p>
        </w:tc>
      </w:tr>
    </w:tbl>
    <w:p w14:paraId="6CD326D7">
      <w:pPr>
        <w:pStyle w:val="5"/>
        <w:keepNext w:val="0"/>
        <w:keepLines w:val="0"/>
        <w:jc w:val="center"/>
        <w:rPr>
          <w:color w:val="auto"/>
          <w:highlight w:val="none"/>
        </w:rPr>
      </w:pPr>
      <w:r>
        <w:rPr>
          <w:color w:val="auto"/>
          <w:highlight w:val="none"/>
        </w:rPr>
        <w:br w:type="page"/>
      </w:r>
      <w:r>
        <w:rPr>
          <w:rFonts w:hint="eastAsia"/>
          <w:color w:val="auto"/>
          <w:highlight w:val="none"/>
        </w:rPr>
        <w:t>投标人须知正文</w:t>
      </w:r>
    </w:p>
    <w:p w14:paraId="7B8602EF">
      <w:pPr>
        <w:pStyle w:val="5"/>
        <w:keepNext w:val="0"/>
        <w:keepLines w:val="0"/>
        <w:spacing w:line="300" w:lineRule="auto"/>
        <w:jc w:val="center"/>
        <w:rPr>
          <w:color w:val="auto"/>
          <w:highlight w:val="none"/>
        </w:rPr>
      </w:pPr>
      <w:r>
        <w:rPr>
          <w:rFonts w:hint="eastAsia"/>
          <w:color w:val="auto"/>
          <w:highlight w:val="none"/>
        </w:rPr>
        <w:t>一、总  则</w:t>
      </w:r>
    </w:p>
    <w:p w14:paraId="5F2B7C57">
      <w:pPr>
        <w:pStyle w:val="7"/>
        <w:keepNext w:val="0"/>
        <w:keepLines w:val="0"/>
        <w:spacing w:before="0" w:after="0" w:line="420" w:lineRule="exact"/>
        <w:rPr>
          <w:rFonts w:hint="eastAsia" w:ascii="黑体" w:hAnsi="黑体" w:eastAsia="黑体"/>
          <w:color w:val="auto"/>
          <w:sz w:val="24"/>
          <w:highlight w:val="none"/>
        </w:rPr>
      </w:pPr>
      <w:bookmarkStart w:id="77" w:name="_Toc254970668"/>
      <w:bookmarkStart w:id="78" w:name="_Toc254970527"/>
      <w:r>
        <w:rPr>
          <w:rFonts w:hint="eastAsia" w:ascii="黑体" w:hAnsi="黑体" w:eastAsia="黑体"/>
          <w:color w:val="auto"/>
          <w:sz w:val="24"/>
          <w:highlight w:val="none"/>
        </w:rPr>
        <w:t>1.适用范围</w:t>
      </w:r>
      <w:bookmarkEnd w:id="77"/>
      <w:bookmarkEnd w:id="78"/>
    </w:p>
    <w:p w14:paraId="224DF6A4">
      <w:pPr>
        <w:snapToGrid w:val="0"/>
        <w:spacing w:line="420" w:lineRule="exact"/>
        <w:ind w:firstLine="398" w:firstLineChars="200"/>
        <w:jc w:val="left"/>
        <w:rPr>
          <w:rFonts w:hint="eastAsia" w:ascii="宋体" w:hAnsi="宋体"/>
          <w:color w:val="auto"/>
          <w:szCs w:val="21"/>
          <w:highlight w:val="none"/>
        </w:rPr>
      </w:pPr>
      <w:r>
        <w:rPr>
          <w:rFonts w:hint="eastAsia" w:ascii="宋体" w:hAnsi="宋体"/>
          <w:color w:val="auto"/>
          <w:szCs w:val="21"/>
          <w:highlight w:val="none"/>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23FBADAC">
      <w:pPr>
        <w:snapToGrid w:val="0"/>
        <w:spacing w:line="420" w:lineRule="exact"/>
        <w:ind w:firstLine="398" w:firstLineChars="200"/>
        <w:jc w:val="left"/>
        <w:rPr>
          <w:rFonts w:hint="eastAsia" w:ascii="宋体" w:hAnsi="宋体"/>
          <w:color w:val="auto"/>
          <w:szCs w:val="21"/>
          <w:highlight w:val="none"/>
        </w:rPr>
      </w:pPr>
      <w:r>
        <w:rPr>
          <w:rFonts w:hint="eastAsia" w:ascii="宋体" w:hAnsi="宋体"/>
          <w:color w:val="auto"/>
          <w:szCs w:val="21"/>
          <w:highlight w:val="none"/>
        </w:rPr>
        <w:t>1.2本招标文件</w:t>
      </w:r>
      <w:r>
        <w:rPr>
          <w:rFonts w:hint="eastAsia" w:ascii="宋体" w:hAnsi="宋体" w:cs="宋体"/>
          <w:color w:val="auto"/>
          <w:spacing w:val="-6"/>
          <w:szCs w:val="21"/>
          <w:highlight w:val="none"/>
        </w:rPr>
        <w:t>适用于本项目的所有采购程序和环节（法律、法规另有规定的，从其规定）。</w:t>
      </w:r>
    </w:p>
    <w:p w14:paraId="09426CE4">
      <w:pPr>
        <w:pStyle w:val="7"/>
        <w:keepNext w:val="0"/>
        <w:keepLines w:val="0"/>
        <w:spacing w:before="0" w:after="0" w:line="420" w:lineRule="exact"/>
        <w:rPr>
          <w:rFonts w:hint="eastAsia" w:ascii="黑体" w:hAnsi="黑体" w:eastAsia="黑体"/>
          <w:color w:val="auto"/>
          <w:sz w:val="24"/>
          <w:highlight w:val="none"/>
        </w:rPr>
      </w:pPr>
      <w:bookmarkStart w:id="79" w:name="_Toc254970669"/>
      <w:bookmarkStart w:id="80" w:name="_Toc254970528"/>
      <w:r>
        <w:rPr>
          <w:rFonts w:hint="eastAsia" w:ascii="黑体" w:hAnsi="黑体" w:eastAsia="黑体"/>
          <w:color w:val="auto"/>
          <w:sz w:val="24"/>
          <w:highlight w:val="none"/>
        </w:rPr>
        <w:t>2.定义</w:t>
      </w:r>
      <w:bookmarkEnd w:id="79"/>
      <w:bookmarkEnd w:id="80"/>
    </w:p>
    <w:p w14:paraId="54580C4B">
      <w:pPr>
        <w:snapToGrid w:val="0"/>
        <w:spacing w:line="420" w:lineRule="exact"/>
        <w:ind w:firstLine="398" w:firstLineChars="200"/>
        <w:jc w:val="left"/>
        <w:rPr>
          <w:rFonts w:hint="eastAsia" w:ascii="宋体" w:hAnsi="宋体"/>
          <w:color w:val="auto"/>
          <w:szCs w:val="21"/>
          <w:highlight w:val="none"/>
        </w:rPr>
      </w:pPr>
      <w:r>
        <w:rPr>
          <w:rFonts w:hint="eastAsia" w:ascii="宋体" w:hAnsi="宋体"/>
          <w:color w:val="auto"/>
          <w:szCs w:val="21"/>
          <w:highlight w:val="none"/>
        </w:rPr>
        <w:t>2.1“采购人”是指依法进行政府采购的国家机关、事业单位、团体组织。</w:t>
      </w:r>
    </w:p>
    <w:p w14:paraId="50DC6C31">
      <w:pPr>
        <w:snapToGrid w:val="0"/>
        <w:spacing w:line="420" w:lineRule="exact"/>
        <w:ind w:firstLine="398" w:firstLineChars="200"/>
        <w:jc w:val="left"/>
        <w:rPr>
          <w:rFonts w:hint="eastAsia" w:ascii="宋体" w:hAnsi="宋体"/>
          <w:color w:val="auto"/>
          <w:szCs w:val="21"/>
          <w:highlight w:val="none"/>
        </w:rPr>
      </w:pPr>
      <w:r>
        <w:rPr>
          <w:rFonts w:hint="eastAsia" w:ascii="宋体" w:hAnsi="宋体"/>
          <w:color w:val="auto"/>
          <w:szCs w:val="21"/>
          <w:highlight w:val="none"/>
        </w:rPr>
        <w:t>2.2“采购代理机构”是指政府采购集中采购机构和集中采购机构以外的采购代理机构。</w:t>
      </w:r>
    </w:p>
    <w:p w14:paraId="332F7090">
      <w:pPr>
        <w:snapToGrid w:val="0"/>
        <w:spacing w:line="420" w:lineRule="exact"/>
        <w:ind w:firstLine="398" w:firstLineChars="200"/>
        <w:jc w:val="left"/>
        <w:rPr>
          <w:rFonts w:hint="eastAsia" w:ascii="宋体" w:hAnsi="宋体"/>
          <w:color w:val="auto"/>
          <w:szCs w:val="21"/>
          <w:highlight w:val="none"/>
        </w:rPr>
      </w:pPr>
      <w:r>
        <w:rPr>
          <w:rFonts w:hint="eastAsia" w:ascii="宋体" w:hAnsi="宋体"/>
          <w:color w:val="auto"/>
          <w:szCs w:val="21"/>
          <w:highlight w:val="none"/>
        </w:rPr>
        <w:t>2.3“供应商”是指向采购人提供货物、工程或者服务的法人、其他组织或者自然人。</w:t>
      </w:r>
    </w:p>
    <w:p w14:paraId="3DFE1935">
      <w:pPr>
        <w:snapToGrid w:val="0"/>
        <w:spacing w:line="420" w:lineRule="exact"/>
        <w:ind w:firstLine="398" w:firstLineChars="200"/>
        <w:jc w:val="left"/>
        <w:rPr>
          <w:rFonts w:hint="eastAsia" w:ascii="宋体" w:hAnsi="宋体"/>
          <w:color w:val="auto"/>
          <w:szCs w:val="21"/>
          <w:highlight w:val="none"/>
        </w:rPr>
      </w:pPr>
      <w:r>
        <w:rPr>
          <w:rFonts w:hint="eastAsia" w:ascii="宋体" w:hAnsi="宋体"/>
          <w:color w:val="auto"/>
          <w:szCs w:val="21"/>
          <w:highlight w:val="none"/>
        </w:rPr>
        <w:t>2.4“投标人”是指响应招标、参加投标竞争的法人、其他组织或者自然人。</w:t>
      </w:r>
    </w:p>
    <w:p w14:paraId="5819D860">
      <w:pPr>
        <w:snapToGrid w:val="0"/>
        <w:spacing w:line="420" w:lineRule="exact"/>
        <w:ind w:firstLine="398" w:firstLineChars="200"/>
        <w:jc w:val="left"/>
        <w:rPr>
          <w:rFonts w:hint="eastAsia" w:ascii="宋体" w:hAnsi="宋体"/>
          <w:color w:val="auto"/>
          <w:szCs w:val="21"/>
          <w:highlight w:val="none"/>
        </w:rPr>
      </w:pPr>
      <w:r>
        <w:rPr>
          <w:rFonts w:hint="eastAsia" w:ascii="宋体" w:hAnsi="宋体"/>
          <w:color w:val="auto"/>
          <w:szCs w:val="21"/>
          <w:highlight w:val="none"/>
        </w:rPr>
        <w:t>2.5“服务”是指除货物和工程以外的其他政府采购对象。</w:t>
      </w:r>
    </w:p>
    <w:p w14:paraId="728EB7B5">
      <w:pPr>
        <w:snapToGrid w:val="0"/>
        <w:spacing w:line="420" w:lineRule="exact"/>
        <w:ind w:firstLine="398" w:firstLineChars="200"/>
        <w:jc w:val="left"/>
        <w:rPr>
          <w:rFonts w:hint="eastAsia" w:ascii="宋体" w:hAnsi="宋体"/>
          <w:color w:val="auto"/>
          <w:szCs w:val="21"/>
          <w:highlight w:val="none"/>
        </w:rPr>
      </w:pPr>
      <w:r>
        <w:rPr>
          <w:rFonts w:hint="eastAsia" w:ascii="宋体" w:hAnsi="宋体"/>
          <w:color w:val="auto"/>
          <w:szCs w:val="21"/>
          <w:highlight w:val="none"/>
        </w:rPr>
        <w:t xml:space="preserve">    2.6“书面形式”是指合同书、信件和数据电文（包括电报、电传、传真、电子数据交换和电子邮件）等可以有形地表现所载内容的形式。</w:t>
      </w:r>
    </w:p>
    <w:p w14:paraId="682A9CFA">
      <w:pPr>
        <w:snapToGrid w:val="0"/>
        <w:spacing w:line="420" w:lineRule="exact"/>
        <w:ind w:firstLine="398" w:firstLineChars="200"/>
        <w:jc w:val="left"/>
        <w:rPr>
          <w:rFonts w:hint="eastAsia" w:ascii="宋体" w:hAnsi="宋体"/>
          <w:color w:val="auto"/>
          <w:szCs w:val="21"/>
          <w:highlight w:val="none"/>
        </w:rPr>
      </w:pPr>
      <w:r>
        <w:rPr>
          <w:rFonts w:hint="eastAsia" w:ascii="宋体" w:hAnsi="宋体"/>
          <w:color w:val="auto"/>
          <w:szCs w:val="21"/>
          <w:highlight w:val="none"/>
        </w:rPr>
        <w:t>2.7“实质性要求”是指招标文件中已经指明不满足则投标无效的条款，或者不能负偏离的条款，或者采购需求中带“▲”的条款。</w:t>
      </w:r>
    </w:p>
    <w:p w14:paraId="45D51755">
      <w:pPr>
        <w:snapToGrid w:val="0"/>
        <w:spacing w:line="420" w:lineRule="exact"/>
        <w:ind w:firstLine="398" w:firstLineChars="200"/>
        <w:jc w:val="left"/>
        <w:rPr>
          <w:rFonts w:hint="eastAsia" w:ascii="宋体" w:hAnsi="宋体"/>
          <w:color w:val="auto"/>
          <w:szCs w:val="21"/>
          <w:highlight w:val="none"/>
        </w:rPr>
      </w:pPr>
      <w:r>
        <w:rPr>
          <w:rFonts w:hint="eastAsia" w:ascii="宋体" w:hAnsi="宋体"/>
          <w:color w:val="auto"/>
          <w:szCs w:val="21"/>
          <w:highlight w:val="none"/>
        </w:rPr>
        <w:t>2.8“正偏离”，是指投标文件对招标文件“采购需求”中有关条款作出的响应优于条款要求并有利于采购人的情形。</w:t>
      </w:r>
    </w:p>
    <w:p w14:paraId="1AED0307">
      <w:pPr>
        <w:snapToGrid w:val="0"/>
        <w:spacing w:line="420" w:lineRule="exact"/>
        <w:ind w:firstLine="398" w:firstLineChars="200"/>
        <w:jc w:val="left"/>
        <w:rPr>
          <w:rFonts w:hint="eastAsia" w:ascii="宋体" w:hAnsi="宋体"/>
          <w:color w:val="auto"/>
          <w:szCs w:val="21"/>
          <w:highlight w:val="none"/>
        </w:rPr>
      </w:pPr>
      <w:r>
        <w:rPr>
          <w:rFonts w:hint="eastAsia" w:ascii="宋体" w:hAnsi="宋体"/>
          <w:color w:val="auto"/>
          <w:szCs w:val="21"/>
          <w:highlight w:val="none"/>
        </w:rPr>
        <w:t>2.9“负偏离”，是指投标文件对招标文件“采购需求”中有关条款作出的响应不满足条款要求，导致采购人要求不能得到满足的情形。</w:t>
      </w:r>
    </w:p>
    <w:p w14:paraId="1199F3A5">
      <w:pPr>
        <w:snapToGrid w:val="0"/>
        <w:spacing w:line="420" w:lineRule="exact"/>
        <w:ind w:firstLine="398" w:firstLineChars="200"/>
        <w:jc w:val="left"/>
        <w:rPr>
          <w:rFonts w:hint="eastAsia" w:ascii="宋体" w:hAnsi="宋体"/>
          <w:color w:val="auto"/>
          <w:szCs w:val="21"/>
          <w:highlight w:val="none"/>
        </w:rPr>
      </w:pPr>
      <w:r>
        <w:rPr>
          <w:rFonts w:hint="eastAsia" w:ascii="宋体" w:hAnsi="宋体"/>
          <w:color w:val="auto"/>
          <w:szCs w:val="21"/>
          <w:highlight w:val="none"/>
        </w:rPr>
        <w:t>2.10“允许负偏离的条款”是指采购需求中的不属于“实质性要求”的条款。</w:t>
      </w:r>
      <w:bookmarkStart w:id="81" w:name="_Toc254970529"/>
      <w:bookmarkStart w:id="82" w:name="_Toc254970670"/>
    </w:p>
    <w:p w14:paraId="5A24BB16">
      <w:pPr>
        <w:pStyle w:val="7"/>
        <w:keepNext w:val="0"/>
        <w:keepLines w:val="0"/>
        <w:spacing w:before="0" w:after="0" w:line="420" w:lineRule="exact"/>
        <w:rPr>
          <w:rFonts w:hint="eastAsia" w:ascii="黑体" w:hAnsi="黑体" w:eastAsia="黑体"/>
          <w:color w:val="auto"/>
          <w:sz w:val="24"/>
          <w:highlight w:val="none"/>
        </w:rPr>
      </w:pPr>
      <w:r>
        <w:rPr>
          <w:rFonts w:hint="eastAsia" w:ascii="黑体" w:hAnsi="黑体" w:eastAsia="黑体"/>
          <w:color w:val="auto"/>
          <w:sz w:val="24"/>
          <w:highlight w:val="none"/>
        </w:rPr>
        <w:t>3.</w:t>
      </w:r>
      <w:bookmarkEnd w:id="81"/>
      <w:bookmarkEnd w:id="82"/>
      <w:r>
        <w:rPr>
          <w:rFonts w:hint="eastAsia" w:ascii="黑体" w:hAnsi="黑体" w:eastAsia="黑体"/>
          <w:color w:val="auto"/>
          <w:sz w:val="24"/>
          <w:highlight w:val="none"/>
        </w:rPr>
        <w:t>投标人的资格要求</w:t>
      </w:r>
    </w:p>
    <w:p w14:paraId="4E2A1308">
      <w:pPr>
        <w:snapToGrid w:val="0"/>
        <w:spacing w:line="420" w:lineRule="exact"/>
        <w:ind w:firstLine="398" w:firstLineChars="200"/>
        <w:jc w:val="left"/>
        <w:rPr>
          <w:rFonts w:hint="eastAsia" w:ascii="宋体" w:hAnsi="宋体"/>
          <w:color w:val="auto"/>
          <w:szCs w:val="21"/>
          <w:highlight w:val="none"/>
        </w:rPr>
      </w:pPr>
      <w:r>
        <w:rPr>
          <w:rFonts w:hint="eastAsia" w:ascii="宋体" w:hAnsi="宋体"/>
          <w:color w:val="auto"/>
          <w:szCs w:val="21"/>
          <w:highlight w:val="none"/>
        </w:rPr>
        <w:t>投标人的资格要求详见“投标人须知前附表”。</w:t>
      </w:r>
    </w:p>
    <w:p w14:paraId="3F290428">
      <w:pPr>
        <w:pStyle w:val="7"/>
        <w:keepNext w:val="0"/>
        <w:keepLines w:val="0"/>
        <w:spacing w:before="0" w:after="0" w:line="420" w:lineRule="exact"/>
        <w:rPr>
          <w:rFonts w:hint="eastAsia" w:ascii="黑体" w:hAnsi="黑体" w:eastAsia="黑体"/>
          <w:color w:val="auto"/>
          <w:sz w:val="24"/>
          <w:highlight w:val="none"/>
        </w:rPr>
      </w:pPr>
      <w:bookmarkStart w:id="83" w:name="_Toc254970671"/>
      <w:bookmarkStart w:id="84" w:name="_Toc254970530"/>
      <w:r>
        <w:rPr>
          <w:rFonts w:hint="eastAsia" w:ascii="黑体" w:hAnsi="黑体" w:eastAsia="黑体"/>
          <w:color w:val="auto"/>
          <w:sz w:val="24"/>
          <w:highlight w:val="none"/>
        </w:rPr>
        <w:t>4.投标委托</w:t>
      </w:r>
      <w:bookmarkEnd w:id="83"/>
      <w:bookmarkEnd w:id="84"/>
    </w:p>
    <w:p w14:paraId="23913BBD">
      <w:pPr>
        <w:snapToGrid w:val="0"/>
        <w:spacing w:line="420" w:lineRule="exact"/>
        <w:ind w:firstLine="398" w:firstLineChars="200"/>
        <w:jc w:val="left"/>
        <w:rPr>
          <w:rFonts w:hint="eastAsia" w:ascii="宋体" w:hAnsi="宋体"/>
          <w:color w:val="auto"/>
          <w:szCs w:val="21"/>
          <w:highlight w:val="none"/>
        </w:rPr>
      </w:pPr>
      <w:r>
        <w:rPr>
          <w:rFonts w:hint="eastAsia" w:ascii="宋体" w:hAnsi="宋体"/>
          <w:color w:val="auto"/>
          <w:szCs w:val="21"/>
          <w:highlight w:val="none"/>
        </w:rPr>
        <w:t>投标人代表参加投标活动过程中必须携带个人有效身份证件。如投标人代表不是法定代表人，须持有授权委托书（按第六章要求格式填写）。</w:t>
      </w:r>
    </w:p>
    <w:p w14:paraId="15AD86E6">
      <w:pPr>
        <w:pStyle w:val="7"/>
        <w:keepNext w:val="0"/>
        <w:keepLines w:val="0"/>
        <w:spacing w:before="0" w:after="0" w:line="420" w:lineRule="exact"/>
        <w:rPr>
          <w:rFonts w:hint="eastAsia" w:ascii="黑体" w:hAnsi="黑体" w:eastAsia="黑体"/>
          <w:color w:val="auto"/>
          <w:sz w:val="24"/>
          <w:highlight w:val="none"/>
        </w:rPr>
      </w:pPr>
      <w:bookmarkStart w:id="85" w:name="_5.投标费用"/>
      <w:bookmarkEnd w:id="85"/>
      <w:bookmarkStart w:id="86" w:name="_Toc254970531"/>
      <w:bookmarkStart w:id="87" w:name="_Toc254970672"/>
      <w:r>
        <w:rPr>
          <w:rFonts w:hint="eastAsia" w:ascii="黑体" w:hAnsi="黑体" w:eastAsia="黑体"/>
          <w:color w:val="auto"/>
          <w:sz w:val="24"/>
          <w:highlight w:val="none"/>
        </w:rPr>
        <w:t>5.投标费用</w:t>
      </w:r>
      <w:bookmarkEnd w:id="86"/>
      <w:bookmarkEnd w:id="87"/>
    </w:p>
    <w:p w14:paraId="3D1CD2BD">
      <w:pPr>
        <w:snapToGrid w:val="0"/>
        <w:spacing w:line="420" w:lineRule="exact"/>
        <w:ind w:firstLine="398" w:firstLineChars="200"/>
        <w:jc w:val="left"/>
        <w:rPr>
          <w:rFonts w:hint="eastAsia" w:ascii="宋体" w:hAnsi="宋体"/>
          <w:color w:val="auto"/>
          <w:szCs w:val="21"/>
          <w:highlight w:val="none"/>
        </w:rPr>
      </w:pPr>
      <w:r>
        <w:rPr>
          <w:rFonts w:hint="eastAsia" w:ascii="宋体" w:hAnsi="宋体" w:cs="宋体"/>
          <w:color w:val="auto"/>
          <w:szCs w:val="21"/>
          <w:highlight w:val="none"/>
        </w:rPr>
        <w:t>投标费用：投标人应承担参与本次采购活动有关的所有费用，包括但不限于获取招标文件、勘查现场、编制和提交投标文件、参加澄清说明、签订合同等，不论投标结果如何，均应自行承担。</w:t>
      </w:r>
    </w:p>
    <w:p w14:paraId="15CD6472">
      <w:pPr>
        <w:pStyle w:val="7"/>
        <w:keepNext w:val="0"/>
        <w:keepLines w:val="0"/>
        <w:spacing w:before="0" w:after="0" w:line="420" w:lineRule="exact"/>
        <w:rPr>
          <w:rFonts w:hint="eastAsia" w:ascii="黑体" w:hAnsi="黑体" w:eastAsia="黑体"/>
          <w:color w:val="auto"/>
          <w:sz w:val="24"/>
          <w:highlight w:val="none"/>
        </w:rPr>
      </w:pPr>
      <w:r>
        <w:rPr>
          <w:rFonts w:hint="eastAsia" w:ascii="黑体" w:hAnsi="黑体" w:eastAsia="黑体"/>
          <w:color w:val="auto"/>
          <w:sz w:val="24"/>
          <w:highlight w:val="none"/>
        </w:rPr>
        <w:t>6.联合体投标</w:t>
      </w:r>
    </w:p>
    <w:p w14:paraId="03931D58">
      <w:pPr>
        <w:snapToGrid w:val="0"/>
        <w:spacing w:line="420" w:lineRule="exact"/>
        <w:ind w:firstLine="398" w:firstLineChars="200"/>
        <w:jc w:val="left"/>
        <w:rPr>
          <w:rFonts w:hint="eastAsia" w:ascii="宋体" w:hAnsi="宋体"/>
          <w:color w:val="auto"/>
          <w:szCs w:val="21"/>
          <w:highlight w:val="none"/>
        </w:rPr>
      </w:pPr>
      <w:r>
        <w:rPr>
          <w:rFonts w:hint="eastAsia" w:ascii="宋体" w:hAnsi="宋体"/>
          <w:color w:val="auto"/>
          <w:szCs w:val="21"/>
          <w:highlight w:val="none"/>
        </w:rPr>
        <w:t>6.1本项目是否接受联合体投标，详见“投标人须知前附表”。</w:t>
      </w:r>
    </w:p>
    <w:p w14:paraId="3DD967B9">
      <w:pPr>
        <w:snapToGrid w:val="0"/>
        <w:spacing w:line="420" w:lineRule="exact"/>
        <w:ind w:firstLine="398" w:firstLineChars="200"/>
        <w:jc w:val="left"/>
        <w:rPr>
          <w:rFonts w:hint="eastAsia" w:ascii="宋体" w:hAnsi="宋体"/>
          <w:bCs/>
          <w:color w:val="auto"/>
          <w:szCs w:val="21"/>
          <w:highlight w:val="none"/>
        </w:rPr>
      </w:pPr>
      <w:r>
        <w:rPr>
          <w:rFonts w:hint="eastAsia" w:ascii="宋体" w:hAnsi="宋体"/>
          <w:bCs/>
          <w:color w:val="auto"/>
          <w:szCs w:val="21"/>
          <w:highlight w:val="none"/>
        </w:rPr>
        <w:t>6.2如接受联合体投标，联合体投标要求详见“投标人须知前附表”。</w:t>
      </w:r>
    </w:p>
    <w:p w14:paraId="586D0B3B">
      <w:pPr>
        <w:snapToGrid w:val="0"/>
        <w:spacing w:line="420" w:lineRule="exact"/>
        <w:ind w:firstLine="398" w:firstLineChars="200"/>
        <w:jc w:val="left"/>
        <w:rPr>
          <w:rFonts w:hint="eastAsia" w:ascii="宋体" w:hAnsi="宋体"/>
          <w:color w:val="auto"/>
          <w:szCs w:val="21"/>
          <w:highlight w:val="none"/>
        </w:rPr>
      </w:pPr>
      <w:r>
        <w:rPr>
          <w:rFonts w:hint="eastAsia" w:ascii="宋体" w:hAnsi="宋体"/>
          <w:bCs/>
          <w:color w:val="auto"/>
          <w:szCs w:val="21"/>
          <w:highlight w:val="none"/>
        </w:rPr>
        <w:t>6.3根据《政府采购促进中小企业发展管理办法》（财库〔2020〕46号）及《广西壮族自治区财政厅关于持续优化政府采购营商环境推动高质量发展的通知》（桂财采</w:t>
      </w:r>
      <w:r>
        <w:rPr>
          <w:rFonts w:hint="eastAsia" w:ascii="宋体" w:hAnsi="宋体"/>
          <w:bCs/>
          <w:color w:val="auto"/>
          <w:szCs w:val="21"/>
          <w:highlight w:val="none"/>
          <w:lang w:eastAsia="zh-CN"/>
        </w:rPr>
        <w:t>〔2024〕55号</w:t>
      </w:r>
      <w:r>
        <w:rPr>
          <w:rFonts w:hint="eastAsia" w:ascii="宋体" w:hAnsi="宋体"/>
          <w:bCs/>
          <w:color w:val="auto"/>
          <w:szCs w:val="21"/>
          <w:highlight w:val="none"/>
        </w:rPr>
        <w:t>）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w:t>
      </w:r>
      <w:r>
        <w:rPr>
          <w:rFonts w:hint="eastAsia" w:ascii="宋体" w:hAnsi="宋体"/>
          <w:bCs/>
          <w:color w:val="auto"/>
          <w:szCs w:val="21"/>
          <w:highlight w:val="none"/>
          <w:lang w:eastAsia="zh-CN"/>
        </w:rPr>
        <w:t>～</w:t>
      </w:r>
      <w:r>
        <w:rPr>
          <w:rFonts w:hint="eastAsia" w:ascii="宋体" w:hAnsi="宋体"/>
          <w:bCs/>
          <w:color w:val="auto"/>
          <w:szCs w:val="21"/>
          <w:highlight w:val="none"/>
        </w:rPr>
        <w:t>6%的扣除，用扣除后的价格参加评审。</w:t>
      </w:r>
    </w:p>
    <w:p w14:paraId="6A54CD45">
      <w:pPr>
        <w:pStyle w:val="7"/>
        <w:keepNext w:val="0"/>
        <w:keepLines w:val="0"/>
        <w:spacing w:before="0" w:after="0" w:line="420" w:lineRule="exact"/>
        <w:rPr>
          <w:rFonts w:hint="eastAsia" w:ascii="黑体" w:hAnsi="黑体" w:eastAsia="黑体"/>
          <w:color w:val="auto"/>
          <w:sz w:val="24"/>
          <w:highlight w:val="none"/>
        </w:rPr>
      </w:pPr>
      <w:r>
        <w:rPr>
          <w:rFonts w:hint="eastAsia" w:ascii="黑体" w:hAnsi="黑体" w:eastAsia="黑体"/>
          <w:color w:val="auto"/>
          <w:sz w:val="24"/>
          <w:highlight w:val="none"/>
        </w:rPr>
        <w:t>7.转包与分包</w:t>
      </w:r>
    </w:p>
    <w:p w14:paraId="5253AD0D">
      <w:pPr>
        <w:snapToGrid w:val="0"/>
        <w:spacing w:line="420" w:lineRule="exact"/>
        <w:ind w:firstLine="398" w:firstLineChars="200"/>
        <w:jc w:val="left"/>
        <w:rPr>
          <w:rFonts w:hint="eastAsia" w:ascii="宋体" w:hAnsi="宋体"/>
          <w:color w:val="auto"/>
          <w:szCs w:val="21"/>
          <w:highlight w:val="none"/>
        </w:rPr>
      </w:pPr>
      <w:bookmarkStart w:id="88" w:name="_Toc254970673"/>
      <w:bookmarkStart w:id="89" w:name="_Toc254970532"/>
      <w:r>
        <w:rPr>
          <w:rFonts w:hint="eastAsia" w:ascii="宋体" w:hAnsi="宋体"/>
          <w:color w:val="auto"/>
          <w:szCs w:val="21"/>
          <w:highlight w:val="none"/>
        </w:rPr>
        <w:t>7.1本项目不允许转包。</w:t>
      </w:r>
    </w:p>
    <w:p w14:paraId="6F22B585">
      <w:pPr>
        <w:snapToGrid w:val="0"/>
        <w:spacing w:line="420" w:lineRule="exact"/>
        <w:ind w:firstLine="398" w:firstLineChars="200"/>
        <w:jc w:val="left"/>
        <w:rPr>
          <w:rFonts w:hint="eastAsia" w:ascii="宋体" w:hAnsi="宋体"/>
          <w:color w:val="auto"/>
          <w:szCs w:val="21"/>
          <w:highlight w:val="none"/>
        </w:rPr>
      </w:pPr>
      <w:r>
        <w:rPr>
          <w:rFonts w:hint="eastAsia" w:ascii="宋体" w:hAnsi="宋体"/>
          <w:color w:val="auto"/>
          <w:szCs w:val="21"/>
          <w:highlight w:val="none"/>
        </w:rPr>
        <w:t>7.2本项目是否允许分包详见“投标人须知前附表”，本项目不允许违法分包。允许分包的非主体、非关键性工作，根据法律法规规定承担该工作需要行政许可的，如该工作由投标人自行承担，投标人应具备相应的行政许可，如投标人不具备相应的行政许可必须采用分包的方式，但分包投标人应具备相应行政许可。</w:t>
      </w:r>
    </w:p>
    <w:p w14:paraId="219A9B71">
      <w:pPr>
        <w:snapToGrid w:val="0"/>
        <w:spacing w:line="420" w:lineRule="exact"/>
        <w:ind w:firstLine="398" w:firstLineChars="200"/>
        <w:jc w:val="left"/>
        <w:rPr>
          <w:rFonts w:hint="eastAsia" w:ascii="宋体" w:hAnsi="宋体"/>
          <w:color w:val="auto"/>
          <w:szCs w:val="21"/>
          <w:highlight w:val="none"/>
        </w:rPr>
      </w:pPr>
      <w:r>
        <w:rPr>
          <w:rFonts w:hint="eastAsia" w:ascii="宋体" w:hAnsi="宋体"/>
          <w:color w:val="auto"/>
          <w:szCs w:val="21"/>
          <w:highlight w:val="none"/>
        </w:rPr>
        <w:t>7.3投标人根据招标文件的规定和采购项目的实际情况，拟在中标后将中标项目的非主体、非关键性工作分包的，应当在投标文件中载明分包承担主体，分包承担主体应当具备相应资质条件且不得再次分包。</w:t>
      </w:r>
    </w:p>
    <w:p w14:paraId="4349F5B9">
      <w:pPr>
        <w:pStyle w:val="7"/>
        <w:keepNext w:val="0"/>
        <w:keepLines w:val="0"/>
        <w:spacing w:before="0" w:after="0" w:line="420" w:lineRule="exact"/>
        <w:rPr>
          <w:rFonts w:hint="eastAsia" w:ascii="黑体" w:hAnsi="黑体" w:eastAsia="黑体"/>
          <w:color w:val="auto"/>
          <w:sz w:val="24"/>
          <w:highlight w:val="none"/>
        </w:rPr>
      </w:pPr>
      <w:r>
        <w:rPr>
          <w:rFonts w:hint="eastAsia" w:ascii="黑体" w:hAnsi="黑体" w:eastAsia="黑体"/>
          <w:color w:val="auto"/>
          <w:sz w:val="24"/>
          <w:highlight w:val="none"/>
        </w:rPr>
        <w:t>8.特别说明</w:t>
      </w:r>
      <w:bookmarkEnd w:id="88"/>
      <w:bookmarkEnd w:id="89"/>
    </w:p>
    <w:p w14:paraId="0764927A">
      <w:pPr>
        <w:snapToGrid w:val="0"/>
        <w:spacing w:line="420" w:lineRule="exact"/>
        <w:ind w:firstLine="398" w:firstLineChars="200"/>
        <w:jc w:val="left"/>
        <w:rPr>
          <w:rFonts w:hint="eastAsia" w:ascii="宋体" w:hAnsi="宋体"/>
          <w:color w:val="auto"/>
          <w:szCs w:val="21"/>
          <w:highlight w:val="none"/>
        </w:rPr>
      </w:pPr>
      <w:r>
        <w:rPr>
          <w:rFonts w:hint="eastAsia" w:ascii="宋体" w:hAnsi="宋体"/>
          <w:color w:val="auto"/>
          <w:szCs w:val="21"/>
          <w:highlight w:val="none"/>
        </w:rPr>
        <w:t>8.1如果本招标文件要求提供投标人或制造商的资格、信誉、荣誉、业绩与企业认证等材料的，资格、信誉、荣誉、业绩与企业认证等必须为投标人或者制造商所拥有或自身获得。</w:t>
      </w:r>
    </w:p>
    <w:p w14:paraId="385404BF">
      <w:pPr>
        <w:snapToGrid w:val="0"/>
        <w:spacing w:line="420" w:lineRule="exact"/>
        <w:ind w:firstLine="398" w:firstLineChars="200"/>
        <w:jc w:val="left"/>
        <w:rPr>
          <w:rFonts w:hint="eastAsia" w:ascii="宋体" w:hAnsi="宋体"/>
          <w:color w:val="auto"/>
          <w:szCs w:val="21"/>
          <w:highlight w:val="none"/>
        </w:rPr>
      </w:pPr>
      <w:r>
        <w:rPr>
          <w:rFonts w:hint="eastAsia" w:ascii="宋体" w:hAnsi="宋体"/>
          <w:color w:val="auto"/>
          <w:szCs w:val="21"/>
          <w:highlight w:val="none"/>
        </w:rPr>
        <w:t>8.2投标人应仔细阅读招标文件的所有内容，按照招标文件的要求提交投标文件，并对所提供的全部资料的真实性承担法律责任。</w:t>
      </w:r>
    </w:p>
    <w:p w14:paraId="0A46F698">
      <w:pPr>
        <w:snapToGrid w:val="0"/>
        <w:spacing w:line="420" w:lineRule="exact"/>
        <w:ind w:firstLine="398" w:firstLineChars="200"/>
        <w:jc w:val="left"/>
        <w:rPr>
          <w:rFonts w:hint="eastAsia" w:ascii="宋体" w:hAnsi="宋体"/>
          <w:color w:val="auto"/>
          <w:szCs w:val="21"/>
          <w:highlight w:val="none"/>
        </w:rPr>
      </w:pPr>
      <w:r>
        <w:rPr>
          <w:rFonts w:hint="eastAsia" w:ascii="宋体" w:hAnsi="宋体"/>
          <w:color w:val="auto"/>
          <w:szCs w:val="21"/>
          <w:highlight w:val="none"/>
        </w:rPr>
        <w:t>8.3投标人在投标活动中提供任何虚假材料，将报监管部门查处；中标后发现的，中标人须依照《中华人民共和国消费者权益保护法》规定赔偿采购人，且民事赔偿并不免除违法投标人的行政与刑事责任。</w:t>
      </w:r>
    </w:p>
    <w:p w14:paraId="5F6EEB93">
      <w:pPr>
        <w:pStyle w:val="7"/>
        <w:keepNext w:val="0"/>
        <w:keepLines w:val="0"/>
        <w:spacing w:before="0" w:after="0" w:line="420" w:lineRule="exact"/>
        <w:rPr>
          <w:rFonts w:hint="eastAsia" w:ascii="黑体" w:hAnsi="黑体" w:eastAsia="黑体"/>
          <w:color w:val="auto"/>
          <w:sz w:val="24"/>
          <w:highlight w:val="none"/>
        </w:rPr>
      </w:pPr>
      <w:r>
        <w:rPr>
          <w:rFonts w:ascii="黑体" w:hAnsi="黑体" w:eastAsia="黑体"/>
          <w:color w:val="auto"/>
          <w:sz w:val="24"/>
          <w:highlight w:val="none"/>
        </w:rPr>
        <w:t>9.</w:t>
      </w:r>
      <w:r>
        <w:rPr>
          <w:rFonts w:hint="eastAsia" w:ascii="黑体" w:hAnsi="黑体" w:eastAsia="黑体"/>
          <w:color w:val="auto"/>
          <w:sz w:val="24"/>
          <w:highlight w:val="none"/>
        </w:rPr>
        <w:t>回避与串通投标</w:t>
      </w:r>
    </w:p>
    <w:p w14:paraId="3D5055BF">
      <w:pPr>
        <w:pStyle w:val="7"/>
        <w:keepNext w:val="0"/>
        <w:keepLines w:val="0"/>
        <w:spacing w:before="0" w:after="0" w:line="420" w:lineRule="exact"/>
        <w:ind w:firstLine="348" w:firstLineChars="175"/>
        <w:rPr>
          <w:rFonts w:hint="eastAsia" w:ascii="宋体" w:hAnsi="宋体"/>
          <w:b w:val="0"/>
          <w:color w:val="auto"/>
          <w:sz w:val="21"/>
          <w:szCs w:val="21"/>
          <w:highlight w:val="none"/>
        </w:rPr>
      </w:pPr>
      <w:r>
        <w:rPr>
          <w:rFonts w:hint="eastAsia" w:ascii="宋体" w:hAnsi="宋体"/>
          <w:b w:val="0"/>
          <w:color w:val="auto"/>
          <w:sz w:val="21"/>
          <w:szCs w:val="21"/>
          <w:highlight w:val="none"/>
        </w:rPr>
        <w:t>9</w:t>
      </w:r>
      <w:r>
        <w:rPr>
          <w:rFonts w:ascii="宋体" w:hAnsi="宋体"/>
          <w:b w:val="0"/>
          <w:color w:val="auto"/>
          <w:sz w:val="21"/>
          <w:szCs w:val="21"/>
          <w:highlight w:val="none"/>
        </w:rPr>
        <w:t>.1在政府采购活动中，采购人员及相关人员与</w:t>
      </w:r>
      <w:r>
        <w:rPr>
          <w:rFonts w:hint="eastAsia" w:ascii="宋体" w:hAnsi="宋体"/>
          <w:b w:val="0"/>
          <w:color w:val="auto"/>
          <w:sz w:val="21"/>
          <w:szCs w:val="21"/>
          <w:highlight w:val="none"/>
        </w:rPr>
        <w:t>供应商</w:t>
      </w:r>
      <w:r>
        <w:rPr>
          <w:rFonts w:ascii="宋体" w:hAnsi="宋体"/>
          <w:b w:val="0"/>
          <w:color w:val="auto"/>
          <w:sz w:val="21"/>
          <w:szCs w:val="21"/>
          <w:highlight w:val="none"/>
        </w:rPr>
        <w:t>有下列利害关系之一的，应当回避：</w:t>
      </w:r>
    </w:p>
    <w:p w14:paraId="4DF65714">
      <w:pPr>
        <w:pStyle w:val="24"/>
        <w:snapToGrid w:val="0"/>
        <w:spacing w:line="420" w:lineRule="exact"/>
        <w:ind w:firstLine="398" w:firstLineChars="200"/>
        <w:rPr>
          <w:rFonts w:hint="eastAsia" w:hAnsi="宋体"/>
          <w:color w:val="auto"/>
          <w:kern w:val="2"/>
          <w:sz w:val="21"/>
          <w:highlight w:val="none"/>
        </w:rPr>
      </w:pPr>
      <w:r>
        <w:rPr>
          <w:rFonts w:hAnsi="宋体"/>
          <w:color w:val="auto"/>
          <w:kern w:val="2"/>
          <w:sz w:val="21"/>
          <w:highlight w:val="none"/>
        </w:rPr>
        <w:t>（</w:t>
      </w:r>
      <w:r>
        <w:rPr>
          <w:rFonts w:hint="eastAsia" w:hAnsi="宋体"/>
          <w:color w:val="auto"/>
          <w:kern w:val="2"/>
          <w:sz w:val="21"/>
          <w:highlight w:val="none"/>
        </w:rPr>
        <w:t>1</w:t>
      </w:r>
      <w:r>
        <w:rPr>
          <w:rFonts w:hAnsi="宋体"/>
          <w:color w:val="auto"/>
          <w:kern w:val="2"/>
          <w:sz w:val="21"/>
          <w:highlight w:val="none"/>
        </w:rPr>
        <w:t>）参加采购活动前3年内与</w:t>
      </w:r>
      <w:r>
        <w:rPr>
          <w:rFonts w:hint="eastAsia" w:hAnsi="宋体"/>
          <w:color w:val="auto"/>
          <w:kern w:val="2"/>
          <w:sz w:val="21"/>
          <w:highlight w:val="none"/>
        </w:rPr>
        <w:t>供应商</w:t>
      </w:r>
      <w:r>
        <w:rPr>
          <w:rFonts w:hAnsi="宋体"/>
          <w:color w:val="auto"/>
          <w:kern w:val="2"/>
          <w:sz w:val="21"/>
          <w:highlight w:val="none"/>
        </w:rPr>
        <w:t>存在劳动关系；</w:t>
      </w:r>
    </w:p>
    <w:p w14:paraId="7E777A2C">
      <w:pPr>
        <w:pStyle w:val="24"/>
        <w:snapToGrid w:val="0"/>
        <w:spacing w:line="420" w:lineRule="exact"/>
        <w:ind w:firstLine="398" w:firstLineChars="200"/>
        <w:rPr>
          <w:rFonts w:hint="eastAsia" w:hAnsi="宋体"/>
          <w:color w:val="auto"/>
          <w:kern w:val="2"/>
          <w:sz w:val="21"/>
          <w:highlight w:val="none"/>
        </w:rPr>
      </w:pPr>
      <w:r>
        <w:rPr>
          <w:rFonts w:hAnsi="宋体"/>
          <w:color w:val="auto"/>
          <w:kern w:val="2"/>
          <w:sz w:val="21"/>
          <w:highlight w:val="none"/>
        </w:rPr>
        <w:t>（</w:t>
      </w:r>
      <w:r>
        <w:rPr>
          <w:rFonts w:hint="eastAsia" w:hAnsi="宋体"/>
          <w:color w:val="auto"/>
          <w:kern w:val="2"/>
          <w:sz w:val="21"/>
          <w:highlight w:val="none"/>
        </w:rPr>
        <w:t>2</w:t>
      </w:r>
      <w:r>
        <w:rPr>
          <w:rFonts w:hAnsi="宋体"/>
          <w:color w:val="auto"/>
          <w:kern w:val="2"/>
          <w:sz w:val="21"/>
          <w:highlight w:val="none"/>
        </w:rPr>
        <w:t>）参加采购活动前3年内担任</w:t>
      </w:r>
      <w:r>
        <w:rPr>
          <w:rFonts w:hint="eastAsia" w:hAnsi="宋体"/>
          <w:color w:val="auto"/>
          <w:kern w:val="2"/>
          <w:sz w:val="21"/>
          <w:highlight w:val="none"/>
        </w:rPr>
        <w:t>供应商</w:t>
      </w:r>
      <w:r>
        <w:rPr>
          <w:rFonts w:hAnsi="宋体"/>
          <w:color w:val="auto"/>
          <w:kern w:val="2"/>
          <w:sz w:val="21"/>
          <w:highlight w:val="none"/>
        </w:rPr>
        <w:t>的董事、监事；</w:t>
      </w:r>
    </w:p>
    <w:p w14:paraId="4896D701">
      <w:pPr>
        <w:pStyle w:val="24"/>
        <w:snapToGrid w:val="0"/>
        <w:spacing w:line="420" w:lineRule="exact"/>
        <w:ind w:firstLine="398" w:firstLineChars="200"/>
        <w:rPr>
          <w:rFonts w:hint="eastAsia" w:hAnsi="宋体"/>
          <w:color w:val="auto"/>
          <w:kern w:val="2"/>
          <w:sz w:val="21"/>
          <w:highlight w:val="none"/>
        </w:rPr>
      </w:pPr>
      <w:r>
        <w:rPr>
          <w:rFonts w:hAnsi="宋体"/>
          <w:color w:val="auto"/>
          <w:kern w:val="2"/>
          <w:sz w:val="21"/>
          <w:highlight w:val="none"/>
        </w:rPr>
        <w:t>（</w:t>
      </w:r>
      <w:r>
        <w:rPr>
          <w:rFonts w:hint="eastAsia" w:hAnsi="宋体"/>
          <w:color w:val="auto"/>
          <w:kern w:val="2"/>
          <w:sz w:val="21"/>
          <w:highlight w:val="none"/>
        </w:rPr>
        <w:t>3</w:t>
      </w:r>
      <w:r>
        <w:rPr>
          <w:rFonts w:hAnsi="宋体"/>
          <w:color w:val="auto"/>
          <w:kern w:val="2"/>
          <w:sz w:val="21"/>
          <w:highlight w:val="none"/>
        </w:rPr>
        <w:t>）参加采购活动前3年内是</w:t>
      </w:r>
      <w:r>
        <w:rPr>
          <w:rFonts w:hint="eastAsia" w:hAnsi="宋体"/>
          <w:color w:val="auto"/>
          <w:kern w:val="2"/>
          <w:sz w:val="21"/>
          <w:highlight w:val="none"/>
        </w:rPr>
        <w:t>供应商</w:t>
      </w:r>
      <w:r>
        <w:rPr>
          <w:rFonts w:hAnsi="宋体"/>
          <w:color w:val="auto"/>
          <w:kern w:val="2"/>
          <w:sz w:val="21"/>
          <w:highlight w:val="none"/>
        </w:rPr>
        <w:t>的控股股东或者实际控制人；</w:t>
      </w:r>
    </w:p>
    <w:p w14:paraId="5DC3264A">
      <w:pPr>
        <w:pStyle w:val="24"/>
        <w:snapToGrid w:val="0"/>
        <w:spacing w:line="420" w:lineRule="exact"/>
        <w:ind w:firstLine="398" w:firstLineChars="200"/>
        <w:rPr>
          <w:rFonts w:hint="eastAsia" w:hAnsi="宋体"/>
          <w:color w:val="auto"/>
          <w:kern w:val="2"/>
          <w:sz w:val="21"/>
          <w:highlight w:val="none"/>
        </w:rPr>
      </w:pPr>
      <w:r>
        <w:rPr>
          <w:rFonts w:hAnsi="宋体"/>
          <w:color w:val="auto"/>
          <w:kern w:val="2"/>
          <w:sz w:val="21"/>
          <w:highlight w:val="none"/>
        </w:rPr>
        <w:t>（</w:t>
      </w:r>
      <w:r>
        <w:rPr>
          <w:rFonts w:hint="eastAsia" w:hAnsi="宋体"/>
          <w:color w:val="auto"/>
          <w:kern w:val="2"/>
          <w:sz w:val="21"/>
          <w:highlight w:val="none"/>
        </w:rPr>
        <w:t>4</w:t>
      </w:r>
      <w:r>
        <w:rPr>
          <w:rFonts w:hAnsi="宋体"/>
          <w:color w:val="auto"/>
          <w:kern w:val="2"/>
          <w:sz w:val="21"/>
          <w:highlight w:val="none"/>
        </w:rPr>
        <w:t>）与</w:t>
      </w:r>
      <w:r>
        <w:rPr>
          <w:rFonts w:hint="eastAsia" w:hAnsi="宋体"/>
          <w:color w:val="auto"/>
          <w:kern w:val="2"/>
          <w:sz w:val="21"/>
          <w:highlight w:val="none"/>
        </w:rPr>
        <w:t>供应商</w:t>
      </w:r>
      <w:r>
        <w:rPr>
          <w:rFonts w:hAnsi="宋体"/>
          <w:color w:val="auto"/>
          <w:kern w:val="2"/>
          <w:sz w:val="21"/>
          <w:highlight w:val="none"/>
        </w:rPr>
        <w:t>的法定代表人或者负责人有夫妻、直系血亲、三代以内旁系血亲或者近姻亲关系；</w:t>
      </w:r>
    </w:p>
    <w:p w14:paraId="22A0D86D">
      <w:pPr>
        <w:pStyle w:val="24"/>
        <w:snapToGrid w:val="0"/>
        <w:spacing w:line="420" w:lineRule="exact"/>
        <w:ind w:firstLine="398" w:firstLineChars="200"/>
        <w:rPr>
          <w:rFonts w:hint="eastAsia" w:hAnsi="宋体"/>
          <w:color w:val="auto"/>
          <w:kern w:val="2"/>
          <w:sz w:val="21"/>
          <w:highlight w:val="none"/>
        </w:rPr>
      </w:pPr>
      <w:r>
        <w:rPr>
          <w:rFonts w:hAnsi="宋体"/>
          <w:color w:val="auto"/>
          <w:kern w:val="2"/>
          <w:sz w:val="21"/>
          <w:highlight w:val="none"/>
        </w:rPr>
        <w:t>（</w:t>
      </w:r>
      <w:r>
        <w:rPr>
          <w:rFonts w:hint="eastAsia" w:hAnsi="宋体"/>
          <w:color w:val="auto"/>
          <w:kern w:val="2"/>
          <w:sz w:val="21"/>
          <w:highlight w:val="none"/>
        </w:rPr>
        <w:t>5</w:t>
      </w:r>
      <w:r>
        <w:rPr>
          <w:rFonts w:hAnsi="宋体"/>
          <w:color w:val="auto"/>
          <w:kern w:val="2"/>
          <w:sz w:val="21"/>
          <w:highlight w:val="none"/>
        </w:rPr>
        <w:t>）与</w:t>
      </w:r>
      <w:r>
        <w:rPr>
          <w:rFonts w:hint="eastAsia" w:hAnsi="宋体"/>
          <w:color w:val="auto"/>
          <w:kern w:val="2"/>
          <w:sz w:val="21"/>
          <w:highlight w:val="none"/>
        </w:rPr>
        <w:t>供应商</w:t>
      </w:r>
      <w:r>
        <w:rPr>
          <w:rFonts w:hAnsi="宋体"/>
          <w:color w:val="auto"/>
          <w:kern w:val="2"/>
          <w:sz w:val="21"/>
          <w:highlight w:val="none"/>
        </w:rPr>
        <w:t>有其他可能影响政府采购活动公平、公正进行的关系。</w:t>
      </w:r>
    </w:p>
    <w:p w14:paraId="0F9B8486">
      <w:pPr>
        <w:pStyle w:val="24"/>
        <w:snapToGrid w:val="0"/>
        <w:spacing w:line="420" w:lineRule="exact"/>
        <w:ind w:firstLine="398" w:firstLineChars="200"/>
        <w:rPr>
          <w:rFonts w:hint="eastAsia" w:hAnsi="宋体"/>
          <w:color w:val="auto"/>
          <w:kern w:val="2"/>
          <w:sz w:val="21"/>
          <w:highlight w:val="none"/>
        </w:rPr>
      </w:pPr>
      <w:r>
        <w:rPr>
          <w:rFonts w:hint="eastAsia" w:hAnsi="宋体"/>
          <w:color w:val="auto"/>
          <w:kern w:val="2"/>
          <w:sz w:val="21"/>
          <w:highlight w:val="none"/>
        </w:rPr>
        <w:t>供应商</w:t>
      </w:r>
      <w:r>
        <w:rPr>
          <w:rFonts w:hAnsi="宋体"/>
          <w:color w:val="auto"/>
          <w:kern w:val="2"/>
          <w:sz w:val="21"/>
          <w:highlight w:val="none"/>
        </w:rPr>
        <w:t>认为采购人员及相关人员与其他</w:t>
      </w:r>
      <w:r>
        <w:rPr>
          <w:rFonts w:hint="eastAsia" w:hAnsi="宋体"/>
          <w:color w:val="auto"/>
          <w:kern w:val="2"/>
          <w:sz w:val="21"/>
          <w:highlight w:val="none"/>
        </w:rPr>
        <w:t>供应商</w:t>
      </w:r>
      <w:r>
        <w:rPr>
          <w:rFonts w:hAnsi="宋体"/>
          <w:color w:val="auto"/>
          <w:kern w:val="2"/>
          <w:sz w:val="21"/>
          <w:highlight w:val="none"/>
        </w:rPr>
        <w:t>有利害关系的，可以向采购人或者采购代理机构书面提出回避申请，并说明理由。采购人或者采购代理机构应当及时询问被申请回避人员，有利害关系的被申请回避人员应当回避。</w:t>
      </w:r>
    </w:p>
    <w:p w14:paraId="5C37C1A0">
      <w:pPr>
        <w:pStyle w:val="7"/>
        <w:keepNext w:val="0"/>
        <w:keepLines w:val="0"/>
        <w:spacing w:before="0" w:after="0" w:line="420" w:lineRule="exact"/>
        <w:rPr>
          <w:rFonts w:hint="eastAsia" w:ascii="宋体" w:hAnsi="宋体"/>
          <w:color w:val="auto"/>
          <w:sz w:val="21"/>
          <w:szCs w:val="21"/>
          <w:highlight w:val="none"/>
        </w:rPr>
      </w:pPr>
      <w:r>
        <w:rPr>
          <w:rFonts w:ascii="宋体" w:hAnsi="宋体"/>
          <w:color w:val="auto"/>
          <w:sz w:val="21"/>
          <w:szCs w:val="21"/>
          <w:highlight w:val="none"/>
        </w:rPr>
        <w:t>9.2</w:t>
      </w:r>
      <w:r>
        <w:rPr>
          <w:rFonts w:hint="eastAsia" w:ascii="宋体" w:hAnsi="宋体"/>
          <w:color w:val="auto"/>
          <w:sz w:val="21"/>
          <w:szCs w:val="21"/>
          <w:highlight w:val="none"/>
        </w:rPr>
        <w:t>有下列情形之一的视为投标人相互串通投标，投标文件将被视为无效：</w:t>
      </w:r>
    </w:p>
    <w:p w14:paraId="620BF2C3">
      <w:pPr>
        <w:pStyle w:val="24"/>
        <w:snapToGrid w:val="0"/>
        <w:spacing w:line="420" w:lineRule="exact"/>
        <w:ind w:firstLine="398" w:firstLineChars="200"/>
        <w:rPr>
          <w:rFonts w:hint="eastAsia" w:hAnsi="宋体"/>
          <w:b/>
          <w:color w:val="auto"/>
          <w:kern w:val="2"/>
          <w:sz w:val="21"/>
          <w:highlight w:val="none"/>
        </w:rPr>
      </w:pPr>
      <w:r>
        <w:rPr>
          <w:rFonts w:hint="eastAsia" w:hAnsi="宋体"/>
          <w:b/>
          <w:color w:val="auto"/>
          <w:kern w:val="2"/>
          <w:sz w:val="21"/>
          <w:highlight w:val="none"/>
        </w:rPr>
        <w:t xml:space="preserve">（1）不同投标人的投标文件由同一单位或者个人编制； </w:t>
      </w:r>
    </w:p>
    <w:p w14:paraId="7F6D024C">
      <w:pPr>
        <w:pStyle w:val="24"/>
        <w:snapToGrid w:val="0"/>
        <w:spacing w:line="420" w:lineRule="exact"/>
        <w:ind w:firstLine="398" w:firstLineChars="200"/>
        <w:rPr>
          <w:rFonts w:hint="eastAsia" w:hAnsi="宋体"/>
          <w:b/>
          <w:color w:val="auto"/>
          <w:kern w:val="2"/>
          <w:sz w:val="21"/>
          <w:highlight w:val="none"/>
        </w:rPr>
      </w:pPr>
      <w:r>
        <w:rPr>
          <w:rFonts w:hint="eastAsia" w:hAnsi="宋体"/>
          <w:b/>
          <w:color w:val="auto"/>
          <w:kern w:val="2"/>
          <w:sz w:val="21"/>
          <w:highlight w:val="none"/>
        </w:rPr>
        <w:t>（2）不同投标人委托同一单位或者个人办理投标事宜；</w:t>
      </w:r>
    </w:p>
    <w:p w14:paraId="13FE0730">
      <w:pPr>
        <w:pStyle w:val="24"/>
        <w:snapToGrid w:val="0"/>
        <w:spacing w:line="420" w:lineRule="exact"/>
        <w:ind w:firstLine="398" w:firstLineChars="200"/>
        <w:rPr>
          <w:rFonts w:hint="eastAsia" w:hAnsi="宋体"/>
          <w:b/>
          <w:color w:val="auto"/>
          <w:kern w:val="2"/>
          <w:sz w:val="21"/>
          <w:highlight w:val="none"/>
        </w:rPr>
      </w:pPr>
      <w:r>
        <w:rPr>
          <w:rFonts w:hint="eastAsia" w:hAnsi="宋体"/>
          <w:b/>
          <w:color w:val="auto"/>
          <w:kern w:val="2"/>
          <w:sz w:val="21"/>
          <w:highlight w:val="none"/>
        </w:rPr>
        <w:t>（3）不同的投标人的投标文件载明的项目管理员为同一个人；</w:t>
      </w:r>
    </w:p>
    <w:p w14:paraId="13666D5E">
      <w:pPr>
        <w:pStyle w:val="24"/>
        <w:snapToGrid w:val="0"/>
        <w:spacing w:line="420" w:lineRule="exact"/>
        <w:ind w:firstLine="398" w:firstLineChars="200"/>
        <w:rPr>
          <w:rFonts w:hint="eastAsia" w:hAnsi="宋体"/>
          <w:b/>
          <w:color w:val="auto"/>
          <w:kern w:val="2"/>
          <w:sz w:val="21"/>
          <w:highlight w:val="none"/>
        </w:rPr>
      </w:pPr>
      <w:r>
        <w:rPr>
          <w:rFonts w:hint="eastAsia" w:hAnsi="宋体"/>
          <w:b/>
          <w:color w:val="auto"/>
          <w:kern w:val="2"/>
          <w:sz w:val="21"/>
          <w:highlight w:val="none"/>
        </w:rPr>
        <w:t>（4）不同投标人的投标文件异常一致或者投标报价呈规律性差异；</w:t>
      </w:r>
    </w:p>
    <w:p w14:paraId="5B7E7A13">
      <w:pPr>
        <w:pStyle w:val="24"/>
        <w:snapToGrid w:val="0"/>
        <w:spacing w:line="420" w:lineRule="exact"/>
        <w:ind w:firstLine="398" w:firstLineChars="200"/>
        <w:rPr>
          <w:rFonts w:hint="eastAsia" w:hAnsi="宋体"/>
          <w:b/>
          <w:color w:val="auto"/>
          <w:kern w:val="2"/>
          <w:sz w:val="21"/>
          <w:highlight w:val="none"/>
        </w:rPr>
      </w:pPr>
      <w:r>
        <w:rPr>
          <w:rFonts w:hint="eastAsia" w:hAnsi="宋体"/>
          <w:b/>
          <w:color w:val="auto"/>
          <w:kern w:val="2"/>
          <w:sz w:val="21"/>
          <w:highlight w:val="none"/>
        </w:rPr>
        <w:t>（5）不同投标人的投标文件相互混装；</w:t>
      </w:r>
    </w:p>
    <w:p w14:paraId="1E1E1D52">
      <w:pPr>
        <w:pStyle w:val="24"/>
        <w:snapToGrid w:val="0"/>
        <w:spacing w:line="420" w:lineRule="exact"/>
        <w:ind w:firstLine="398" w:firstLineChars="200"/>
        <w:rPr>
          <w:rFonts w:hint="eastAsia" w:hAnsi="宋体" w:eastAsia="宋体"/>
          <w:b/>
          <w:color w:val="auto"/>
          <w:kern w:val="2"/>
          <w:sz w:val="21"/>
          <w:highlight w:val="none"/>
          <w:lang w:eastAsia="zh-CN"/>
        </w:rPr>
      </w:pPr>
      <w:r>
        <w:rPr>
          <w:rFonts w:hint="eastAsia" w:hAnsi="宋体"/>
          <w:b/>
          <w:color w:val="auto"/>
          <w:kern w:val="2"/>
          <w:sz w:val="21"/>
          <w:highlight w:val="none"/>
        </w:rPr>
        <w:t>（6）不同投标人的投标保证金从同一单位或者个人账户转出</w:t>
      </w:r>
      <w:r>
        <w:rPr>
          <w:rFonts w:hint="eastAsia" w:hAnsi="宋体"/>
          <w:b/>
          <w:color w:val="auto"/>
          <w:kern w:val="2"/>
          <w:sz w:val="21"/>
          <w:highlight w:val="none"/>
          <w:lang w:val="en-US" w:eastAsia="zh-CN"/>
        </w:rPr>
        <w:t>;</w:t>
      </w:r>
    </w:p>
    <w:p w14:paraId="7F6631C5">
      <w:pPr>
        <w:pStyle w:val="24"/>
        <w:snapToGrid w:val="0"/>
        <w:spacing w:line="420" w:lineRule="exact"/>
        <w:ind w:firstLine="398" w:firstLineChars="200"/>
        <w:rPr>
          <w:rFonts w:hint="eastAsia" w:hAnsi="宋体"/>
          <w:b/>
          <w:color w:val="auto"/>
          <w:kern w:val="2"/>
          <w:sz w:val="21"/>
          <w:highlight w:val="none"/>
        </w:rPr>
      </w:pPr>
      <w:r>
        <w:rPr>
          <w:rFonts w:hint="eastAsia" w:hAnsi="宋体"/>
          <w:b/>
          <w:color w:val="auto"/>
          <w:kern w:val="2"/>
          <w:sz w:val="21"/>
          <w:highlight w:val="none"/>
        </w:rPr>
        <w:t>（</w:t>
      </w:r>
      <w:r>
        <w:rPr>
          <w:rFonts w:hint="eastAsia" w:hAnsi="宋体"/>
          <w:b/>
          <w:color w:val="auto"/>
          <w:kern w:val="2"/>
          <w:sz w:val="21"/>
          <w:highlight w:val="none"/>
          <w:lang w:val="en-US" w:eastAsia="zh-CN"/>
        </w:rPr>
        <w:t>7</w:t>
      </w:r>
      <w:r>
        <w:rPr>
          <w:rFonts w:hint="eastAsia" w:hAnsi="宋体"/>
          <w:b/>
          <w:color w:val="auto"/>
          <w:kern w:val="2"/>
          <w:sz w:val="21"/>
          <w:highlight w:val="none"/>
        </w:rPr>
        <w:t>）不同投标人提交电子投标文件IP地址相同且无法合理说明的。</w:t>
      </w:r>
    </w:p>
    <w:p w14:paraId="13EECE0A">
      <w:pPr>
        <w:rPr>
          <w:rFonts w:hint="eastAsia"/>
          <w:color w:val="auto"/>
          <w:highlight w:val="none"/>
        </w:rPr>
      </w:pPr>
    </w:p>
    <w:p w14:paraId="04579448">
      <w:pPr>
        <w:pStyle w:val="7"/>
        <w:keepNext w:val="0"/>
        <w:keepLines w:val="0"/>
        <w:spacing w:before="0" w:after="0" w:line="420" w:lineRule="exact"/>
        <w:rPr>
          <w:rFonts w:hint="eastAsia" w:ascii="宋体" w:hAnsi="宋体"/>
          <w:b w:val="0"/>
          <w:color w:val="auto"/>
          <w:sz w:val="21"/>
          <w:szCs w:val="21"/>
          <w:highlight w:val="none"/>
        </w:rPr>
      </w:pPr>
      <w:r>
        <w:rPr>
          <w:rFonts w:ascii="宋体" w:hAnsi="宋体"/>
          <w:b w:val="0"/>
          <w:color w:val="auto"/>
          <w:sz w:val="21"/>
          <w:szCs w:val="21"/>
          <w:highlight w:val="none"/>
        </w:rPr>
        <w:t>9.3</w:t>
      </w:r>
      <w:r>
        <w:rPr>
          <w:rFonts w:hint="eastAsia" w:ascii="宋体" w:hAnsi="宋体"/>
          <w:b w:val="0"/>
          <w:color w:val="auto"/>
          <w:sz w:val="21"/>
          <w:szCs w:val="21"/>
          <w:highlight w:val="none"/>
        </w:rPr>
        <w:t>供应商有下列情形之一的，属于恶意串通行为，将报同级监督管理部门：</w:t>
      </w:r>
    </w:p>
    <w:p w14:paraId="2EE03831">
      <w:pPr>
        <w:pStyle w:val="24"/>
        <w:snapToGrid w:val="0"/>
        <w:spacing w:line="420" w:lineRule="exact"/>
        <w:ind w:firstLine="398" w:firstLineChars="200"/>
        <w:rPr>
          <w:rFonts w:hint="eastAsia" w:hAnsi="宋体"/>
          <w:color w:val="auto"/>
          <w:kern w:val="2"/>
          <w:sz w:val="21"/>
          <w:highlight w:val="none"/>
        </w:rPr>
      </w:pPr>
      <w:r>
        <w:rPr>
          <w:rFonts w:hint="eastAsia" w:hAnsi="宋体"/>
          <w:color w:val="auto"/>
          <w:kern w:val="2"/>
          <w:sz w:val="21"/>
          <w:highlight w:val="none"/>
        </w:rPr>
        <w:t>（1）供应商直接或者间接从采购人或者采购代理机构处获得其他供应商的相关信息并修改其投标文件或者响应文件；</w:t>
      </w:r>
    </w:p>
    <w:p w14:paraId="6AD885D1">
      <w:pPr>
        <w:pStyle w:val="24"/>
        <w:snapToGrid w:val="0"/>
        <w:spacing w:line="420" w:lineRule="exact"/>
        <w:ind w:firstLine="398" w:firstLineChars="200"/>
        <w:rPr>
          <w:rFonts w:hint="eastAsia" w:hAnsi="宋体"/>
          <w:color w:val="auto"/>
          <w:kern w:val="2"/>
          <w:sz w:val="21"/>
          <w:highlight w:val="none"/>
        </w:rPr>
      </w:pPr>
      <w:r>
        <w:rPr>
          <w:rFonts w:hint="eastAsia" w:hAnsi="宋体"/>
          <w:color w:val="auto"/>
          <w:kern w:val="2"/>
          <w:sz w:val="21"/>
          <w:highlight w:val="none"/>
        </w:rPr>
        <w:t>（2）供应商按照采购人或者采购代理机构的授意撤换、修改投标文件或者响应文件；</w:t>
      </w:r>
    </w:p>
    <w:p w14:paraId="0F9290D9">
      <w:pPr>
        <w:pStyle w:val="24"/>
        <w:snapToGrid w:val="0"/>
        <w:spacing w:line="420" w:lineRule="exact"/>
        <w:ind w:firstLine="398" w:firstLineChars="200"/>
        <w:rPr>
          <w:rFonts w:hint="eastAsia" w:hAnsi="宋体"/>
          <w:color w:val="auto"/>
          <w:kern w:val="2"/>
          <w:sz w:val="21"/>
          <w:highlight w:val="none"/>
        </w:rPr>
      </w:pPr>
      <w:r>
        <w:rPr>
          <w:rFonts w:hint="eastAsia" w:hAnsi="宋体"/>
          <w:color w:val="auto"/>
          <w:kern w:val="2"/>
          <w:sz w:val="21"/>
          <w:highlight w:val="none"/>
        </w:rPr>
        <w:t>（3）供应商之间协商报价、技术方案等投标文件或者响应文件的实质性内容；</w:t>
      </w:r>
    </w:p>
    <w:p w14:paraId="04CB9A4B">
      <w:pPr>
        <w:pStyle w:val="24"/>
        <w:snapToGrid w:val="0"/>
        <w:spacing w:line="420" w:lineRule="exact"/>
        <w:ind w:firstLine="398" w:firstLineChars="200"/>
        <w:rPr>
          <w:rFonts w:hint="eastAsia" w:hAnsi="宋体"/>
          <w:color w:val="auto"/>
          <w:kern w:val="2"/>
          <w:sz w:val="21"/>
          <w:highlight w:val="none"/>
        </w:rPr>
      </w:pPr>
      <w:r>
        <w:rPr>
          <w:rFonts w:hint="eastAsia" w:hAnsi="宋体"/>
          <w:color w:val="auto"/>
          <w:kern w:val="2"/>
          <w:sz w:val="21"/>
          <w:highlight w:val="none"/>
        </w:rPr>
        <w:t>（4）属于同一集团、协会、商会等组织成员的供应商按照该组织要求协同参加政府采购活动；</w:t>
      </w:r>
    </w:p>
    <w:p w14:paraId="11EAF156">
      <w:pPr>
        <w:pStyle w:val="24"/>
        <w:snapToGrid w:val="0"/>
        <w:spacing w:line="420" w:lineRule="exact"/>
        <w:ind w:firstLine="398" w:firstLineChars="200"/>
        <w:rPr>
          <w:rFonts w:hint="eastAsia" w:hAnsi="宋体"/>
          <w:color w:val="auto"/>
          <w:kern w:val="2"/>
          <w:sz w:val="21"/>
          <w:highlight w:val="none"/>
        </w:rPr>
      </w:pPr>
      <w:r>
        <w:rPr>
          <w:rFonts w:hint="eastAsia" w:hAnsi="宋体"/>
          <w:color w:val="auto"/>
          <w:kern w:val="2"/>
          <w:sz w:val="21"/>
          <w:highlight w:val="none"/>
        </w:rPr>
        <w:t>（5）供应商之间事先约定一致抬高或者压低投标报价，或者在招标项目中事先约定轮流以高价位或者低价位中标，或者事先约定由某一特定供应商中标，然后再参加投标；</w:t>
      </w:r>
    </w:p>
    <w:p w14:paraId="7D392BA8">
      <w:pPr>
        <w:pStyle w:val="24"/>
        <w:snapToGrid w:val="0"/>
        <w:spacing w:line="420" w:lineRule="exact"/>
        <w:ind w:firstLine="398" w:firstLineChars="200"/>
        <w:rPr>
          <w:rFonts w:hint="eastAsia" w:hAnsi="宋体"/>
          <w:color w:val="auto"/>
          <w:kern w:val="2"/>
          <w:sz w:val="21"/>
          <w:highlight w:val="none"/>
        </w:rPr>
      </w:pPr>
      <w:r>
        <w:rPr>
          <w:rFonts w:hint="eastAsia" w:hAnsi="宋体"/>
          <w:color w:val="auto"/>
          <w:kern w:val="2"/>
          <w:sz w:val="21"/>
          <w:highlight w:val="none"/>
        </w:rPr>
        <w:t>（6）供应商之间商定部分供应商放弃参加政府采购活动或者放弃中标；</w:t>
      </w:r>
    </w:p>
    <w:p w14:paraId="154CCDCF">
      <w:pPr>
        <w:pStyle w:val="24"/>
        <w:snapToGrid w:val="0"/>
        <w:spacing w:line="420" w:lineRule="exact"/>
        <w:ind w:firstLine="398" w:firstLineChars="200"/>
        <w:rPr>
          <w:rFonts w:hint="eastAsia" w:hAnsi="宋体"/>
          <w:b/>
          <w:color w:val="auto"/>
          <w:kern w:val="2"/>
          <w:sz w:val="21"/>
          <w:highlight w:val="none"/>
        </w:rPr>
      </w:pPr>
      <w:r>
        <w:rPr>
          <w:rFonts w:hint="eastAsia" w:hAnsi="宋体"/>
          <w:color w:val="auto"/>
          <w:kern w:val="2"/>
          <w:sz w:val="21"/>
          <w:highlight w:val="none"/>
        </w:rPr>
        <w:t>（7）供应商与采购人或者采购代理机构之间、供应商相互之间，为谋求特定供应商中标或者排斥其他供应商的其他串通行为。</w:t>
      </w:r>
    </w:p>
    <w:p w14:paraId="3E8048C1">
      <w:pPr>
        <w:pStyle w:val="5"/>
        <w:keepNext w:val="0"/>
        <w:keepLines w:val="0"/>
        <w:spacing w:before="0" w:after="0" w:line="420" w:lineRule="exact"/>
        <w:jc w:val="center"/>
        <w:rPr>
          <w:color w:val="auto"/>
          <w:highlight w:val="none"/>
        </w:rPr>
      </w:pPr>
      <w:bookmarkStart w:id="90" w:name="_Toc254970534"/>
      <w:bookmarkStart w:id="91" w:name="_Toc254970675"/>
      <w:r>
        <w:rPr>
          <w:rFonts w:hint="eastAsia"/>
          <w:color w:val="auto"/>
          <w:highlight w:val="none"/>
        </w:rPr>
        <w:t>二、招标文件</w:t>
      </w:r>
      <w:bookmarkEnd w:id="90"/>
      <w:bookmarkEnd w:id="91"/>
    </w:p>
    <w:p w14:paraId="5A73E3B0">
      <w:pPr>
        <w:pStyle w:val="7"/>
        <w:keepNext w:val="0"/>
        <w:keepLines w:val="0"/>
        <w:spacing w:before="0" w:after="0" w:line="420" w:lineRule="exact"/>
        <w:rPr>
          <w:rFonts w:hint="eastAsia" w:ascii="黑体" w:hAnsi="黑体" w:eastAsia="黑体"/>
          <w:color w:val="auto"/>
          <w:sz w:val="24"/>
          <w:highlight w:val="none"/>
        </w:rPr>
      </w:pPr>
      <w:r>
        <w:rPr>
          <w:rFonts w:hint="eastAsia" w:ascii="黑体" w:hAnsi="黑体" w:eastAsia="黑体"/>
          <w:color w:val="auto"/>
          <w:sz w:val="24"/>
          <w:highlight w:val="none"/>
        </w:rPr>
        <w:t>10.招标文件的组成</w:t>
      </w:r>
    </w:p>
    <w:p w14:paraId="2AF2AD08">
      <w:pPr>
        <w:snapToGrid w:val="0"/>
        <w:spacing w:line="420" w:lineRule="exact"/>
        <w:ind w:firstLine="420"/>
        <w:jc w:val="left"/>
        <w:rPr>
          <w:rFonts w:hint="eastAsia" w:ascii="宋体" w:hAnsi="宋体"/>
          <w:color w:val="auto"/>
          <w:szCs w:val="21"/>
          <w:highlight w:val="none"/>
        </w:rPr>
      </w:pPr>
      <w:r>
        <w:rPr>
          <w:rFonts w:hint="eastAsia" w:ascii="宋体" w:hAnsi="宋体"/>
          <w:color w:val="auto"/>
          <w:szCs w:val="21"/>
          <w:highlight w:val="none"/>
        </w:rPr>
        <w:t>（1）招标公告；</w:t>
      </w:r>
    </w:p>
    <w:p w14:paraId="3AE4DA6F">
      <w:pPr>
        <w:snapToGrid w:val="0"/>
        <w:spacing w:line="420" w:lineRule="exact"/>
        <w:ind w:firstLine="420"/>
        <w:jc w:val="left"/>
        <w:rPr>
          <w:rFonts w:hint="eastAsia" w:ascii="宋体" w:hAnsi="宋体"/>
          <w:color w:val="auto"/>
          <w:szCs w:val="21"/>
          <w:highlight w:val="none"/>
        </w:rPr>
      </w:pPr>
      <w:r>
        <w:rPr>
          <w:rFonts w:hint="eastAsia" w:ascii="宋体" w:hAnsi="宋体"/>
          <w:color w:val="auto"/>
          <w:szCs w:val="21"/>
          <w:highlight w:val="none"/>
        </w:rPr>
        <w:t xml:space="preserve">（2）采购需求； </w:t>
      </w:r>
    </w:p>
    <w:p w14:paraId="789C9595">
      <w:pPr>
        <w:snapToGrid w:val="0"/>
        <w:spacing w:line="420" w:lineRule="exact"/>
        <w:ind w:firstLine="420"/>
        <w:jc w:val="left"/>
        <w:rPr>
          <w:rFonts w:hint="eastAsia" w:ascii="宋体" w:hAnsi="宋体"/>
          <w:color w:val="auto"/>
          <w:szCs w:val="21"/>
          <w:highlight w:val="none"/>
        </w:rPr>
      </w:pPr>
      <w:r>
        <w:rPr>
          <w:rFonts w:hint="eastAsia" w:ascii="宋体" w:hAnsi="宋体"/>
          <w:color w:val="auto"/>
          <w:szCs w:val="21"/>
          <w:highlight w:val="none"/>
        </w:rPr>
        <w:t>（3）投标人须知；</w:t>
      </w:r>
    </w:p>
    <w:p w14:paraId="2A237D5A">
      <w:pPr>
        <w:snapToGrid w:val="0"/>
        <w:spacing w:line="420" w:lineRule="exact"/>
        <w:ind w:firstLine="420"/>
        <w:jc w:val="left"/>
        <w:rPr>
          <w:rFonts w:hint="eastAsia" w:ascii="宋体" w:hAnsi="宋体"/>
          <w:color w:val="auto"/>
          <w:szCs w:val="21"/>
          <w:highlight w:val="none"/>
        </w:rPr>
      </w:pPr>
      <w:r>
        <w:rPr>
          <w:rFonts w:hint="eastAsia" w:ascii="宋体" w:hAnsi="宋体"/>
          <w:color w:val="auto"/>
          <w:szCs w:val="21"/>
          <w:highlight w:val="none"/>
        </w:rPr>
        <w:t>（4）评标方法及评标标准；</w:t>
      </w:r>
    </w:p>
    <w:p w14:paraId="2E8CA1DD">
      <w:pPr>
        <w:snapToGrid w:val="0"/>
        <w:spacing w:line="420" w:lineRule="exact"/>
        <w:ind w:firstLine="420"/>
        <w:jc w:val="left"/>
        <w:rPr>
          <w:rFonts w:hint="eastAsia" w:ascii="宋体" w:hAnsi="宋体"/>
          <w:color w:val="auto"/>
          <w:szCs w:val="21"/>
          <w:highlight w:val="none"/>
        </w:rPr>
      </w:pPr>
      <w:r>
        <w:rPr>
          <w:rFonts w:hint="eastAsia" w:ascii="宋体" w:hAnsi="宋体"/>
          <w:color w:val="auto"/>
          <w:szCs w:val="21"/>
          <w:highlight w:val="none"/>
        </w:rPr>
        <w:t>（5）拟签订的合同文本；</w:t>
      </w:r>
    </w:p>
    <w:p w14:paraId="642A6FA7">
      <w:pPr>
        <w:snapToGrid w:val="0"/>
        <w:spacing w:line="420" w:lineRule="exact"/>
        <w:ind w:firstLine="420"/>
        <w:jc w:val="left"/>
        <w:rPr>
          <w:rFonts w:hint="eastAsia" w:ascii="宋体" w:hAnsi="宋体"/>
          <w:color w:val="auto"/>
          <w:szCs w:val="21"/>
          <w:highlight w:val="none"/>
        </w:rPr>
      </w:pPr>
      <w:r>
        <w:rPr>
          <w:rFonts w:hint="eastAsia" w:ascii="宋体" w:hAnsi="宋体"/>
          <w:color w:val="auto"/>
          <w:szCs w:val="21"/>
          <w:highlight w:val="none"/>
        </w:rPr>
        <w:t>（6）投标文件格式。</w:t>
      </w:r>
    </w:p>
    <w:p w14:paraId="4B0A47BD">
      <w:pPr>
        <w:pStyle w:val="7"/>
        <w:keepNext w:val="0"/>
        <w:keepLines w:val="0"/>
        <w:spacing w:before="0" w:after="0" w:line="420" w:lineRule="exact"/>
        <w:rPr>
          <w:rFonts w:hint="eastAsia" w:ascii="黑体" w:hAnsi="黑体" w:eastAsia="黑体"/>
          <w:color w:val="auto"/>
          <w:sz w:val="24"/>
          <w:highlight w:val="none"/>
        </w:rPr>
      </w:pPr>
      <w:r>
        <w:rPr>
          <w:rFonts w:hint="eastAsia" w:ascii="黑体" w:hAnsi="黑体" w:eastAsia="黑体"/>
          <w:color w:val="auto"/>
          <w:sz w:val="24"/>
          <w:highlight w:val="none"/>
        </w:rPr>
        <w:t>11.招标文件的澄清、修改 、现场考察和答疑会</w:t>
      </w:r>
    </w:p>
    <w:p w14:paraId="646EF0FB">
      <w:pPr>
        <w:pStyle w:val="7"/>
        <w:keepNext w:val="0"/>
        <w:keepLines w:val="0"/>
        <w:numPr>
          <w:ilvl w:val="4"/>
          <w:numId w:val="0"/>
        </w:numPr>
        <w:spacing w:before="0" w:after="0" w:line="420" w:lineRule="exact"/>
        <w:ind w:firstLine="398"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0F1FA66D">
      <w:pPr>
        <w:pStyle w:val="24"/>
        <w:snapToGrid w:val="0"/>
        <w:spacing w:line="420" w:lineRule="exact"/>
        <w:ind w:firstLine="398" w:firstLineChars="200"/>
        <w:rPr>
          <w:rFonts w:hint="eastAsia" w:hAnsi="宋体"/>
          <w:color w:val="auto"/>
          <w:sz w:val="21"/>
          <w:highlight w:val="none"/>
        </w:rPr>
      </w:pPr>
      <w:r>
        <w:rPr>
          <w:rFonts w:hint="eastAsia" w:hAnsi="宋体"/>
          <w:color w:val="auto"/>
          <w:sz w:val="21"/>
          <w:highlight w:val="none"/>
        </w:rPr>
        <w:t>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4C4063E3">
      <w:pPr>
        <w:pStyle w:val="24"/>
        <w:snapToGrid w:val="0"/>
        <w:spacing w:line="420" w:lineRule="exact"/>
        <w:ind w:firstLine="398" w:firstLineChars="200"/>
        <w:rPr>
          <w:rFonts w:hint="eastAsia" w:hAnsi="宋体"/>
          <w:color w:val="auto"/>
          <w:sz w:val="21"/>
          <w:highlight w:val="none"/>
        </w:rPr>
      </w:pPr>
      <w:r>
        <w:rPr>
          <w:rFonts w:hint="eastAsia" w:hAnsi="宋体"/>
          <w:color w:val="auto"/>
          <w:sz w:val="21"/>
          <w:highlight w:val="none"/>
        </w:rPr>
        <w:t>1</w:t>
      </w:r>
      <w:r>
        <w:rPr>
          <w:rFonts w:hAnsi="宋体"/>
          <w:color w:val="auto"/>
          <w:sz w:val="21"/>
          <w:highlight w:val="none"/>
        </w:rPr>
        <w:t>1.2</w:t>
      </w:r>
      <w:bookmarkStart w:id="92" w:name="_Hlk53134511"/>
      <w:r>
        <w:rPr>
          <w:rFonts w:hint="eastAsia" w:hAnsi="宋体"/>
          <w:color w:val="auto"/>
          <w:sz w:val="21"/>
          <w:highlight w:val="none"/>
        </w:rPr>
        <w:t>采购人或者采购代理机构可以在招标文件提供期限截止后，组织已获取招标文件的潜在投标人现场考察或者召开开标前答疑会，具体详见“投标人须知前附表”。</w:t>
      </w:r>
    </w:p>
    <w:bookmarkEnd w:id="92"/>
    <w:p w14:paraId="5D44CF75">
      <w:pPr>
        <w:pStyle w:val="5"/>
        <w:keepNext w:val="0"/>
        <w:keepLines w:val="0"/>
        <w:spacing w:before="0" w:after="0" w:line="420" w:lineRule="exact"/>
        <w:jc w:val="center"/>
        <w:rPr>
          <w:color w:val="auto"/>
          <w:highlight w:val="none"/>
        </w:rPr>
      </w:pPr>
      <w:bookmarkStart w:id="93" w:name="_Toc254970676"/>
      <w:bookmarkStart w:id="94" w:name="_Toc254970535"/>
      <w:r>
        <w:rPr>
          <w:rFonts w:hint="eastAsia"/>
          <w:color w:val="auto"/>
          <w:highlight w:val="none"/>
        </w:rPr>
        <w:t>三、投标文件的编制</w:t>
      </w:r>
      <w:bookmarkEnd w:id="93"/>
      <w:bookmarkEnd w:id="94"/>
    </w:p>
    <w:p w14:paraId="33D7AD19">
      <w:pPr>
        <w:pStyle w:val="7"/>
        <w:keepNext w:val="0"/>
        <w:keepLines w:val="0"/>
        <w:spacing w:before="0" w:after="0" w:line="420" w:lineRule="exact"/>
        <w:rPr>
          <w:rFonts w:hint="eastAsia" w:ascii="黑体" w:hAnsi="黑体" w:eastAsia="黑体"/>
          <w:color w:val="auto"/>
          <w:sz w:val="24"/>
          <w:highlight w:val="none"/>
        </w:rPr>
      </w:pPr>
      <w:bookmarkStart w:id="95" w:name="_Toc254970677"/>
      <w:bookmarkStart w:id="96" w:name="_Toc254970536"/>
      <w:r>
        <w:rPr>
          <w:rFonts w:hint="eastAsia" w:ascii="黑体" w:hAnsi="黑体" w:eastAsia="黑体"/>
          <w:color w:val="auto"/>
          <w:sz w:val="24"/>
          <w:highlight w:val="none"/>
        </w:rPr>
        <w:t>12.投标文件的编制原则</w:t>
      </w:r>
    </w:p>
    <w:p w14:paraId="741859A4">
      <w:pPr>
        <w:snapToGrid w:val="0"/>
        <w:spacing w:line="420" w:lineRule="exact"/>
        <w:ind w:firstLine="420"/>
        <w:jc w:val="left"/>
        <w:rPr>
          <w:rFonts w:hint="eastAsia" w:ascii="宋体" w:hAnsi="宋体" w:cs="Courier New"/>
          <w:color w:val="auto"/>
          <w:szCs w:val="21"/>
          <w:highlight w:val="none"/>
        </w:rPr>
      </w:pPr>
      <w:r>
        <w:rPr>
          <w:rFonts w:ascii="宋体" w:hAnsi="宋体"/>
          <w:color w:val="auto"/>
          <w:szCs w:val="21"/>
          <w:highlight w:val="none"/>
        </w:rPr>
        <w:t>投标人必须按照招标文件的要求编制投标文件。投标文件必须对招标文件提出的要求和条件作出明确响应。</w:t>
      </w:r>
    </w:p>
    <w:p w14:paraId="6533E64E">
      <w:pPr>
        <w:pStyle w:val="7"/>
        <w:keepNext w:val="0"/>
        <w:keepLines w:val="0"/>
        <w:spacing w:before="0" w:after="0" w:line="420" w:lineRule="exact"/>
        <w:rPr>
          <w:rFonts w:hint="eastAsia" w:ascii="黑体" w:hAnsi="黑体" w:eastAsia="黑体"/>
          <w:color w:val="auto"/>
          <w:sz w:val="24"/>
          <w:highlight w:val="none"/>
        </w:rPr>
      </w:pPr>
      <w:r>
        <w:rPr>
          <w:rFonts w:hint="eastAsia" w:ascii="黑体" w:hAnsi="黑体" w:eastAsia="黑体"/>
          <w:color w:val="auto"/>
          <w:sz w:val="24"/>
          <w:highlight w:val="none"/>
        </w:rPr>
        <w:t>13.投标文件的组成</w:t>
      </w:r>
      <w:bookmarkEnd w:id="95"/>
      <w:bookmarkEnd w:id="96"/>
    </w:p>
    <w:p w14:paraId="131736C0">
      <w:pPr>
        <w:snapToGrid w:val="0"/>
        <w:spacing w:line="420" w:lineRule="exact"/>
        <w:ind w:firstLine="420"/>
        <w:jc w:val="left"/>
        <w:rPr>
          <w:rFonts w:hint="eastAsia" w:ascii="宋体" w:hAnsi="宋体"/>
          <w:color w:val="auto"/>
          <w:szCs w:val="21"/>
          <w:highlight w:val="none"/>
        </w:rPr>
      </w:pPr>
      <w:r>
        <w:rPr>
          <w:rFonts w:hint="eastAsia" w:ascii="宋体" w:hAnsi="宋体"/>
          <w:color w:val="auto"/>
          <w:szCs w:val="21"/>
          <w:highlight w:val="none"/>
        </w:rPr>
        <w:t>投标文件由报价文件、资格证明文件、商务及技术文件三部分组成。</w:t>
      </w:r>
    </w:p>
    <w:p w14:paraId="7C9C1340">
      <w:pPr>
        <w:snapToGrid w:val="0"/>
        <w:spacing w:line="420" w:lineRule="exact"/>
        <w:ind w:firstLine="420"/>
        <w:jc w:val="left"/>
        <w:rPr>
          <w:rFonts w:hint="eastAsia" w:ascii="宋体" w:hAnsi="宋体"/>
          <w:color w:val="auto"/>
          <w:szCs w:val="21"/>
          <w:highlight w:val="none"/>
        </w:rPr>
      </w:pPr>
      <w:bookmarkStart w:id="97" w:name="_13.1报价文件:_具体材料见“投标人须知前附表”。"/>
      <w:bookmarkEnd w:id="97"/>
      <w:r>
        <w:rPr>
          <w:rFonts w:hint="eastAsia" w:ascii="宋体" w:hAnsi="宋体"/>
          <w:color w:val="auto"/>
          <w:szCs w:val="21"/>
          <w:highlight w:val="none"/>
        </w:rPr>
        <w:t>（1）报价文件：</w:t>
      </w:r>
      <w:r>
        <w:rPr>
          <w:rFonts w:ascii="宋体" w:hAnsi="宋体"/>
          <w:color w:val="auto"/>
          <w:szCs w:val="21"/>
          <w:highlight w:val="none"/>
        </w:rPr>
        <w:t xml:space="preserve"> 具体材料见“投标人须知前附表”</w:t>
      </w:r>
      <w:r>
        <w:rPr>
          <w:rFonts w:hint="eastAsia" w:ascii="宋体" w:hAnsi="宋体"/>
          <w:color w:val="auto"/>
          <w:szCs w:val="21"/>
          <w:highlight w:val="none"/>
        </w:rPr>
        <w:t>。</w:t>
      </w:r>
    </w:p>
    <w:p w14:paraId="0A9B849A">
      <w:pPr>
        <w:snapToGrid w:val="0"/>
        <w:spacing w:line="420" w:lineRule="exact"/>
        <w:ind w:firstLine="420"/>
        <w:jc w:val="left"/>
        <w:rPr>
          <w:rFonts w:hint="eastAsia" w:ascii="宋体" w:hAnsi="宋体"/>
          <w:color w:val="auto"/>
          <w:szCs w:val="21"/>
          <w:highlight w:val="none"/>
        </w:rPr>
      </w:pPr>
      <w:bookmarkStart w:id="98" w:name="_13.2资格证明文件：具体材料见“投标人须知前附表”。"/>
      <w:bookmarkEnd w:id="98"/>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）资格证明文件：</w:t>
      </w:r>
      <w:r>
        <w:rPr>
          <w:rFonts w:ascii="宋体" w:hAnsi="宋体"/>
          <w:color w:val="auto"/>
          <w:szCs w:val="21"/>
          <w:highlight w:val="none"/>
        </w:rPr>
        <w:t>具体材料见“投标人须知前附表”</w:t>
      </w:r>
      <w:r>
        <w:rPr>
          <w:rFonts w:hint="eastAsia" w:ascii="宋体" w:hAnsi="宋体"/>
          <w:color w:val="auto"/>
          <w:szCs w:val="21"/>
          <w:highlight w:val="none"/>
        </w:rPr>
        <w:t>。</w:t>
      </w:r>
    </w:p>
    <w:p w14:paraId="0B3AAF49">
      <w:pPr>
        <w:snapToGrid w:val="0"/>
        <w:spacing w:line="420" w:lineRule="exact"/>
        <w:ind w:firstLine="420"/>
        <w:jc w:val="left"/>
        <w:rPr>
          <w:rFonts w:hint="eastAsia" w:ascii="宋体" w:hAnsi="宋体"/>
          <w:color w:val="auto"/>
          <w:szCs w:val="21"/>
          <w:highlight w:val="none"/>
        </w:rPr>
      </w:pPr>
      <w:bookmarkStart w:id="99" w:name="_13.3商务文件:_具体材料见“投标人须知前附表”。"/>
      <w:bookmarkEnd w:id="99"/>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）商务及技术文件：</w:t>
      </w:r>
      <w:r>
        <w:rPr>
          <w:rFonts w:ascii="宋体" w:hAnsi="宋体"/>
          <w:color w:val="auto"/>
          <w:szCs w:val="21"/>
          <w:highlight w:val="none"/>
        </w:rPr>
        <w:t>具体材料见“投标人须知前附表”</w:t>
      </w:r>
      <w:r>
        <w:rPr>
          <w:rFonts w:hint="eastAsia" w:ascii="宋体" w:hAnsi="宋体"/>
          <w:color w:val="auto"/>
          <w:szCs w:val="21"/>
          <w:highlight w:val="none"/>
        </w:rPr>
        <w:t>。</w:t>
      </w:r>
    </w:p>
    <w:p w14:paraId="656344DB">
      <w:pPr>
        <w:pStyle w:val="7"/>
        <w:keepNext w:val="0"/>
        <w:keepLines w:val="0"/>
        <w:spacing w:before="0" w:after="0" w:line="420" w:lineRule="exact"/>
        <w:rPr>
          <w:rFonts w:hint="eastAsia" w:ascii="黑体" w:hAnsi="黑体" w:eastAsia="黑体"/>
          <w:color w:val="auto"/>
          <w:sz w:val="24"/>
          <w:highlight w:val="none"/>
        </w:rPr>
      </w:pPr>
      <w:bookmarkStart w:id="100" w:name="_13.5投标文件电子版：具体材料见“投标人须知前附表”。"/>
      <w:bookmarkEnd w:id="100"/>
      <w:bookmarkStart w:id="101" w:name="_13.4技术文件：具体材料见“投标人须知前附表”。"/>
      <w:bookmarkEnd w:id="101"/>
      <w:bookmarkStart w:id="102" w:name="_Toc254970537"/>
      <w:bookmarkStart w:id="103" w:name="_Toc254970678"/>
      <w:r>
        <w:rPr>
          <w:rFonts w:hint="eastAsia" w:ascii="黑体" w:hAnsi="黑体" w:eastAsia="黑体"/>
          <w:color w:val="auto"/>
          <w:sz w:val="24"/>
          <w:highlight w:val="none"/>
        </w:rPr>
        <w:t>14.投标文件的语言及计量</w:t>
      </w:r>
      <w:bookmarkEnd w:id="102"/>
      <w:bookmarkEnd w:id="103"/>
    </w:p>
    <w:p w14:paraId="2C556E63">
      <w:pPr>
        <w:snapToGrid w:val="0"/>
        <w:spacing w:line="420" w:lineRule="exact"/>
        <w:ind w:firstLine="420"/>
        <w:jc w:val="left"/>
        <w:rPr>
          <w:rFonts w:hint="eastAsia" w:ascii="宋体" w:hAnsi="宋体"/>
          <w:color w:val="auto"/>
          <w:szCs w:val="21"/>
          <w:highlight w:val="none"/>
        </w:rPr>
      </w:pPr>
      <w:r>
        <w:rPr>
          <w:rFonts w:hint="eastAsia" w:ascii="宋体" w:hAnsi="宋体"/>
          <w:color w:val="auto"/>
          <w:szCs w:val="21"/>
          <w:highlight w:val="none"/>
        </w:rPr>
        <w:t>14.1语言文字</w:t>
      </w:r>
    </w:p>
    <w:p w14:paraId="647883DC">
      <w:pPr>
        <w:snapToGrid w:val="0"/>
        <w:spacing w:line="420" w:lineRule="exact"/>
        <w:ind w:firstLine="420"/>
        <w:jc w:val="left"/>
        <w:rPr>
          <w:rFonts w:hint="eastAsia" w:ascii="宋体" w:hAnsi="宋体"/>
          <w:color w:val="auto"/>
          <w:szCs w:val="21"/>
          <w:highlight w:val="none"/>
        </w:rPr>
      </w:pPr>
      <w:r>
        <w:rPr>
          <w:rFonts w:hint="eastAsia" w:ascii="宋体" w:hAnsi="宋体"/>
          <w:color w:val="auto"/>
          <w:szCs w:val="21"/>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7E677C17">
      <w:pPr>
        <w:snapToGrid w:val="0"/>
        <w:spacing w:line="420" w:lineRule="exact"/>
        <w:ind w:firstLine="420"/>
        <w:jc w:val="left"/>
        <w:rPr>
          <w:rFonts w:hint="eastAsia" w:ascii="宋体" w:hAnsi="宋体"/>
          <w:color w:val="auto"/>
          <w:szCs w:val="21"/>
          <w:highlight w:val="none"/>
        </w:rPr>
      </w:pPr>
      <w:r>
        <w:rPr>
          <w:rFonts w:hint="eastAsia" w:ascii="宋体" w:hAnsi="宋体"/>
          <w:color w:val="auto"/>
          <w:szCs w:val="21"/>
          <w:highlight w:val="none"/>
        </w:rPr>
        <w:t>14.2投标计量单位</w:t>
      </w:r>
    </w:p>
    <w:p w14:paraId="63107125">
      <w:pPr>
        <w:snapToGrid w:val="0"/>
        <w:spacing w:line="420" w:lineRule="exact"/>
        <w:ind w:firstLine="420"/>
        <w:jc w:val="left"/>
        <w:rPr>
          <w:rFonts w:hint="eastAsia" w:ascii="宋体" w:hAnsi="宋体"/>
          <w:color w:val="auto"/>
          <w:szCs w:val="21"/>
          <w:highlight w:val="none"/>
        </w:rPr>
      </w:pPr>
      <w:r>
        <w:rPr>
          <w:rFonts w:hint="eastAsia" w:ascii="宋体" w:hAnsi="宋体"/>
          <w:color w:val="auto"/>
          <w:szCs w:val="21"/>
          <w:highlight w:val="none"/>
        </w:rPr>
        <w:t>招标文件已有明确规定的，使用招标文件规定的计量单位；招标文件没有规定的，应采用中华人民共和国法定计量单位，货币种类为人民币，否则视同未响应。</w:t>
      </w:r>
    </w:p>
    <w:p w14:paraId="08D17CC6">
      <w:pPr>
        <w:pStyle w:val="7"/>
        <w:keepNext w:val="0"/>
        <w:keepLines w:val="0"/>
        <w:spacing w:before="0" w:after="0" w:line="420" w:lineRule="exact"/>
        <w:rPr>
          <w:rFonts w:hint="eastAsia" w:ascii="黑体" w:hAnsi="黑体" w:eastAsia="黑体"/>
          <w:color w:val="auto"/>
          <w:sz w:val="24"/>
          <w:highlight w:val="none"/>
        </w:rPr>
      </w:pPr>
      <w:r>
        <w:rPr>
          <w:rFonts w:hint="eastAsia" w:ascii="黑体" w:hAnsi="黑体" w:eastAsia="黑体"/>
          <w:color w:val="auto"/>
          <w:sz w:val="24"/>
          <w:highlight w:val="none"/>
        </w:rPr>
        <w:t>15.投标的风险</w:t>
      </w:r>
    </w:p>
    <w:p w14:paraId="67AC73B8">
      <w:pPr>
        <w:pStyle w:val="24"/>
        <w:snapToGrid w:val="0"/>
        <w:spacing w:line="420" w:lineRule="exact"/>
        <w:ind w:firstLine="398" w:firstLineChars="200"/>
        <w:jc w:val="left"/>
        <w:rPr>
          <w:rFonts w:hint="eastAsia" w:hAnsi="宋体"/>
          <w:color w:val="auto"/>
          <w:sz w:val="21"/>
          <w:highlight w:val="none"/>
        </w:rPr>
      </w:pPr>
      <w:r>
        <w:rPr>
          <w:rFonts w:hint="eastAsia" w:hAnsi="宋体"/>
          <w:color w:val="auto"/>
          <w:sz w:val="21"/>
          <w:highlight w:val="none"/>
        </w:rPr>
        <w:t>投标人没有按照招标文件要求提供全部资料，或者投标人没有对招标文件作出实质性响应是投标人的风险，并可能导致其投标被拒绝。</w:t>
      </w:r>
    </w:p>
    <w:p w14:paraId="5DE05819">
      <w:pPr>
        <w:pStyle w:val="7"/>
        <w:keepNext w:val="0"/>
        <w:keepLines w:val="0"/>
        <w:spacing w:before="0" w:after="0" w:line="420" w:lineRule="exact"/>
        <w:rPr>
          <w:rFonts w:hint="eastAsia" w:ascii="黑体" w:hAnsi="黑体" w:eastAsia="黑体"/>
          <w:color w:val="auto"/>
          <w:sz w:val="24"/>
          <w:highlight w:val="none"/>
        </w:rPr>
      </w:pPr>
      <w:bookmarkStart w:id="104" w:name="_Toc254970538"/>
      <w:bookmarkStart w:id="105" w:name="_Toc254970679"/>
      <w:r>
        <w:rPr>
          <w:rFonts w:hint="eastAsia" w:ascii="黑体" w:hAnsi="黑体" w:eastAsia="黑体"/>
          <w:color w:val="auto"/>
          <w:sz w:val="24"/>
          <w:highlight w:val="none"/>
        </w:rPr>
        <w:t>16.投标报价</w:t>
      </w:r>
      <w:bookmarkEnd w:id="104"/>
      <w:bookmarkEnd w:id="105"/>
    </w:p>
    <w:p w14:paraId="02A09366">
      <w:pPr>
        <w:snapToGrid w:val="0"/>
        <w:spacing w:line="420" w:lineRule="exact"/>
        <w:ind w:firstLine="420"/>
        <w:jc w:val="left"/>
        <w:rPr>
          <w:rFonts w:hint="eastAsia" w:ascii="宋体" w:hAnsi="宋体"/>
          <w:color w:val="auto"/>
          <w:szCs w:val="21"/>
          <w:highlight w:val="none"/>
        </w:rPr>
      </w:pPr>
      <w:r>
        <w:rPr>
          <w:rFonts w:hint="eastAsia" w:ascii="宋体" w:hAnsi="宋体"/>
          <w:color w:val="auto"/>
          <w:szCs w:val="21"/>
          <w:highlight w:val="none"/>
        </w:rPr>
        <w:t>16.1投标报价应按“第六章　投标文件格式”中“开标一览表”格式填写。</w:t>
      </w:r>
    </w:p>
    <w:p w14:paraId="65435B23">
      <w:pPr>
        <w:snapToGrid w:val="0"/>
        <w:spacing w:line="420" w:lineRule="exact"/>
        <w:ind w:firstLine="420"/>
        <w:jc w:val="left"/>
        <w:rPr>
          <w:rFonts w:hint="eastAsia" w:ascii="宋体" w:hAnsi="宋体"/>
          <w:color w:val="auto"/>
          <w:szCs w:val="21"/>
          <w:highlight w:val="none"/>
        </w:rPr>
      </w:pPr>
      <w:bookmarkStart w:id="106" w:name="_16.2投标报价具体定义见投标人须知前附表。"/>
      <w:bookmarkEnd w:id="106"/>
      <w:r>
        <w:rPr>
          <w:rFonts w:hint="eastAsia" w:ascii="宋体" w:hAnsi="宋体"/>
          <w:color w:val="auto"/>
          <w:szCs w:val="21"/>
          <w:highlight w:val="none"/>
        </w:rPr>
        <w:t>16.2投标报价具体包括内容详见“投标人须知前附表”。</w:t>
      </w:r>
    </w:p>
    <w:p w14:paraId="640C3890">
      <w:pPr>
        <w:snapToGrid w:val="0"/>
        <w:spacing w:line="420" w:lineRule="exact"/>
        <w:ind w:firstLine="420"/>
        <w:jc w:val="left"/>
        <w:rPr>
          <w:rFonts w:hint="eastAsia" w:ascii="宋体" w:hAnsi="宋体"/>
          <w:color w:val="auto"/>
          <w:szCs w:val="21"/>
          <w:highlight w:val="none"/>
        </w:rPr>
      </w:pPr>
      <w:r>
        <w:rPr>
          <w:rFonts w:hint="eastAsia" w:ascii="宋体" w:hAnsi="宋体"/>
          <w:color w:val="auto"/>
          <w:szCs w:val="21"/>
          <w:highlight w:val="none"/>
        </w:rPr>
        <w:t>16.3投标人必须就所投每个分标的全部内容分别作完整唯一总价报价，不得存在漏项报价；投标人必须就所投分标的单项内容作唯一报价。</w:t>
      </w:r>
    </w:p>
    <w:p w14:paraId="43E2DDE7">
      <w:pPr>
        <w:pStyle w:val="7"/>
        <w:keepNext w:val="0"/>
        <w:keepLines w:val="0"/>
        <w:spacing w:before="0" w:after="0" w:line="420" w:lineRule="exact"/>
        <w:rPr>
          <w:rFonts w:hint="eastAsia" w:ascii="黑体" w:hAnsi="黑体" w:eastAsia="黑体"/>
          <w:color w:val="auto"/>
          <w:sz w:val="24"/>
          <w:highlight w:val="none"/>
        </w:rPr>
      </w:pPr>
      <w:r>
        <w:rPr>
          <w:rFonts w:hint="eastAsia" w:ascii="黑体" w:hAnsi="黑体" w:eastAsia="黑体"/>
          <w:color w:val="auto"/>
          <w:sz w:val="24"/>
          <w:highlight w:val="none"/>
        </w:rPr>
        <w:t>17.投标有效期</w:t>
      </w:r>
    </w:p>
    <w:p w14:paraId="7167CED7">
      <w:pPr>
        <w:snapToGrid w:val="0"/>
        <w:spacing w:line="420" w:lineRule="exact"/>
        <w:ind w:firstLine="420"/>
        <w:jc w:val="left"/>
        <w:rPr>
          <w:rFonts w:hint="eastAsia" w:ascii="宋体" w:hAnsi="宋体"/>
          <w:color w:val="auto"/>
          <w:szCs w:val="21"/>
          <w:highlight w:val="none"/>
        </w:rPr>
      </w:pPr>
      <w:bookmarkStart w:id="107" w:name="_17.1投标有效期应按“投标人须知中的前附表”规定的期限。"/>
      <w:bookmarkEnd w:id="107"/>
      <w:r>
        <w:rPr>
          <w:rFonts w:hint="eastAsia" w:ascii="宋体" w:hAnsi="宋体"/>
          <w:color w:val="auto"/>
          <w:szCs w:val="21"/>
          <w:highlight w:val="none"/>
        </w:rPr>
        <w:t>17.1投标有效期是指为保证采购人有足够的时间在开标后完成评标、定标、合同签订等工作而要求投标人提交的投标文件在一定时间内保持有效的期限。</w:t>
      </w:r>
    </w:p>
    <w:p w14:paraId="36770BD6">
      <w:pPr>
        <w:snapToGrid w:val="0"/>
        <w:spacing w:line="420" w:lineRule="exact"/>
        <w:ind w:firstLine="420"/>
        <w:jc w:val="left"/>
        <w:rPr>
          <w:rFonts w:hint="eastAsia" w:ascii="宋体" w:hAnsi="宋体"/>
          <w:b/>
          <w:bCs/>
          <w:color w:val="auto"/>
          <w:szCs w:val="21"/>
          <w:highlight w:val="none"/>
        </w:rPr>
      </w:pPr>
      <w:r>
        <w:rPr>
          <w:rFonts w:hint="eastAsia" w:ascii="宋体" w:hAnsi="宋体"/>
          <w:color w:val="auto"/>
          <w:szCs w:val="21"/>
          <w:highlight w:val="none"/>
        </w:rPr>
        <w:t>17.2</w:t>
      </w:r>
      <w:bookmarkStart w:id="108" w:name="_Toc254970540"/>
      <w:bookmarkStart w:id="109" w:name="_Toc254970681"/>
      <w:r>
        <w:rPr>
          <w:rFonts w:hint="eastAsia" w:ascii="宋体" w:hAnsi="宋体"/>
          <w:color w:val="auto"/>
          <w:szCs w:val="21"/>
          <w:highlight w:val="none"/>
        </w:rPr>
        <w:t xml:space="preserve"> 投标有效期应按招标文件规定的期限作出承诺，具体详见“投标人须知前附表”。</w:t>
      </w:r>
      <w:r>
        <w:rPr>
          <w:rFonts w:hint="eastAsia" w:ascii="宋体" w:hAnsi="宋体"/>
          <w:b/>
          <w:bCs/>
          <w:color w:val="auto"/>
          <w:szCs w:val="21"/>
          <w:highlight w:val="none"/>
        </w:rPr>
        <w:t>承诺的投标有效期低于招标文件规定期限的，按无效投标处理。</w:t>
      </w:r>
    </w:p>
    <w:p w14:paraId="100DE2CB">
      <w:pPr>
        <w:snapToGrid w:val="0"/>
        <w:spacing w:line="420" w:lineRule="exact"/>
        <w:ind w:firstLine="420"/>
        <w:jc w:val="left"/>
        <w:rPr>
          <w:rFonts w:hint="eastAsia" w:ascii="宋体" w:hAnsi="宋体"/>
          <w:color w:val="auto"/>
          <w:szCs w:val="21"/>
          <w:highlight w:val="none"/>
        </w:rPr>
      </w:pPr>
      <w:r>
        <w:rPr>
          <w:rFonts w:hint="eastAsia" w:ascii="宋体" w:hAnsi="宋体"/>
          <w:color w:val="auto"/>
          <w:szCs w:val="21"/>
          <w:highlight w:val="none"/>
        </w:rPr>
        <w:t>17.3投标人的投标文件在投标有效期内均保持有效。</w:t>
      </w:r>
      <w:bookmarkEnd w:id="108"/>
      <w:bookmarkEnd w:id="109"/>
    </w:p>
    <w:p w14:paraId="7FC2353F">
      <w:pPr>
        <w:pStyle w:val="7"/>
        <w:keepNext w:val="0"/>
        <w:keepLines w:val="0"/>
        <w:spacing w:before="0" w:after="0" w:line="420" w:lineRule="exact"/>
        <w:rPr>
          <w:rFonts w:hint="eastAsia" w:ascii="黑体" w:hAnsi="黑体" w:eastAsia="黑体"/>
          <w:color w:val="auto"/>
          <w:sz w:val="24"/>
          <w:highlight w:val="none"/>
        </w:rPr>
      </w:pPr>
      <w:bookmarkStart w:id="110" w:name="_18.投标保证金"/>
      <w:bookmarkEnd w:id="110"/>
      <w:bookmarkStart w:id="111" w:name="_Toc254970541"/>
      <w:bookmarkStart w:id="112" w:name="_Toc254970682"/>
      <w:r>
        <w:rPr>
          <w:rFonts w:hint="eastAsia" w:ascii="黑体" w:hAnsi="黑体" w:eastAsia="黑体"/>
          <w:color w:val="auto"/>
          <w:sz w:val="24"/>
          <w:highlight w:val="none"/>
        </w:rPr>
        <w:t>18.投标保证金</w:t>
      </w:r>
      <w:bookmarkEnd w:id="111"/>
      <w:bookmarkEnd w:id="112"/>
    </w:p>
    <w:p w14:paraId="5881B83B">
      <w:pPr>
        <w:snapToGrid w:val="0"/>
        <w:spacing w:line="420" w:lineRule="exact"/>
        <w:ind w:firstLine="398" w:firstLineChars="200"/>
        <w:rPr>
          <w:rFonts w:hint="eastAsia" w:ascii="宋体" w:hAnsi="宋体"/>
          <w:color w:val="auto"/>
          <w:szCs w:val="21"/>
          <w:highlight w:val="none"/>
        </w:rPr>
      </w:pPr>
      <w:r>
        <w:rPr>
          <w:rFonts w:hint="eastAsia" w:ascii="宋体" w:hAnsi="宋体"/>
          <w:color w:val="auto"/>
          <w:szCs w:val="21"/>
          <w:highlight w:val="none"/>
        </w:rPr>
        <w:t>18.1投标人须按“投标人须知前附表”的规定提交投标保证金。</w:t>
      </w:r>
    </w:p>
    <w:p w14:paraId="0385A380">
      <w:pPr>
        <w:snapToGrid w:val="0"/>
        <w:spacing w:line="420" w:lineRule="exact"/>
        <w:ind w:firstLine="398" w:firstLineChars="200"/>
        <w:rPr>
          <w:rFonts w:hint="eastAsia" w:ascii="宋体" w:hAnsi="宋体"/>
          <w:color w:val="auto"/>
          <w:szCs w:val="21"/>
          <w:highlight w:val="none"/>
        </w:rPr>
      </w:pPr>
      <w:r>
        <w:rPr>
          <w:rFonts w:hint="eastAsia" w:ascii="宋体" w:hAnsi="宋体"/>
          <w:color w:val="auto"/>
          <w:szCs w:val="21"/>
          <w:highlight w:val="none"/>
        </w:rPr>
        <w:t>18.2投标保证金的退还</w:t>
      </w:r>
    </w:p>
    <w:p w14:paraId="38DE26D7">
      <w:pPr>
        <w:snapToGrid w:val="0"/>
        <w:spacing w:line="420" w:lineRule="exact"/>
        <w:ind w:firstLine="398" w:firstLineChars="200"/>
        <w:rPr>
          <w:rFonts w:hint="eastAsia" w:ascii="宋体" w:hAnsi="宋体"/>
          <w:color w:val="auto"/>
          <w:szCs w:val="21"/>
          <w:highlight w:val="none"/>
        </w:rPr>
      </w:pPr>
      <w:r>
        <w:rPr>
          <w:rFonts w:hint="eastAsia" w:ascii="宋体" w:hAnsi="宋体"/>
          <w:color w:val="auto"/>
          <w:szCs w:val="21"/>
          <w:highlight w:val="none"/>
        </w:rPr>
        <w:t>未中标人的投标保证金自中标通知书发出之日起5个工作日内退还；中标人的投标保证金自政府采购合同签订之日起5个工作日内退还。</w:t>
      </w:r>
    </w:p>
    <w:p w14:paraId="3D84C891">
      <w:pPr>
        <w:snapToGrid w:val="0"/>
        <w:spacing w:line="420" w:lineRule="exact"/>
        <w:ind w:firstLine="398" w:firstLineChars="200"/>
        <w:rPr>
          <w:rFonts w:hint="eastAsia" w:ascii="宋体" w:hAnsi="宋体"/>
          <w:color w:val="auto"/>
          <w:szCs w:val="21"/>
          <w:highlight w:val="none"/>
        </w:rPr>
      </w:pPr>
      <w:r>
        <w:rPr>
          <w:rFonts w:hint="eastAsia" w:ascii="宋体" w:hAnsi="宋体"/>
          <w:color w:val="auto"/>
          <w:szCs w:val="21"/>
          <w:highlight w:val="none"/>
        </w:rPr>
        <w:t>18.3除逾期退还投标保证金和终止招标的情形以外，投标保证金不计息。</w:t>
      </w:r>
    </w:p>
    <w:p w14:paraId="2A0F40F0">
      <w:pPr>
        <w:snapToGrid w:val="0"/>
        <w:spacing w:line="420" w:lineRule="exact"/>
        <w:ind w:firstLine="398" w:firstLineChars="200"/>
        <w:rPr>
          <w:rFonts w:hint="eastAsia" w:ascii="宋体" w:hAnsi="宋体"/>
          <w:color w:val="auto"/>
          <w:szCs w:val="21"/>
          <w:highlight w:val="none"/>
        </w:rPr>
      </w:pPr>
      <w:r>
        <w:rPr>
          <w:rFonts w:hint="eastAsia" w:ascii="宋体" w:hAnsi="宋体"/>
          <w:color w:val="auto"/>
          <w:szCs w:val="21"/>
          <w:highlight w:val="none"/>
        </w:rPr>
        <w:t>18.4投标人有下列情形之一的，投标保证金将不予退还：</w:t>
      </w:r>
    </w:p>
    <w:p w14:paraId="263AFDFF">
      <w:pPr>
        <w:snapToGrid w:val="0"/>
        <w:spacing w:line="420" w:lineRule="exact"/>
        <w:ind w:firstLine="398" w:firstLineChars="200"/>
        <w:rPr>
          <w:rFonts w:hint="eastAsia" w:ascii="宋体" w:hAnsi="宋体"/>
          <w:color w:val="auto"/>
          <w:szCs w:val="21"/>
          <w:highlight w:val="none"/>
        </w:rPr>
      </w:pPr>
      <w:r>
        <w:rPr>
          <w:rFonts w:hint="eastAsia" w:ascii="宋体" w:hAnsi="宋体"/>
          <w:color w:val="auto"/>
          <w:szCs w:val="21"/>
          <w:highlight w:val="none"/>
        </w:rPr>
        <w:t>（1）投标人在投标有效期内撤销投标文件的；</w:t>
      </w:r>
    </w:p>
    <w:p w14:paraId="402EEC10">
      <w:pPr>
        <w:snapToGrid w:val="0"/>
        <w:spacing w:line="420" w:lineRule="exact"/>
        <w:ind w:firstLine="398" w:firstLineChars="200"/>
        <w:rPr>
          <w:rFonts w:hint="eastAsia" w:ascii="宋体" w:hAnsi="宋体"/>
          <w:color w:val="auto"/>
          <w:szCs w:val="21"/>
          <w:highlight w:val="none"/>
        </w:rPr>
      </w:pPr>
      <w:r>
        <w:rPr>
          <w:rFonts w:hint="eastAsia" w:ascii="宋体" w:hAnsi="宋体"/>
          <w:color w:val="auto"/>
          <w:szCs w:val="21"/>
          <w:highlight w:val="none"/>
        </w:rPr>
        <w:t>（2）未按规定提交履约保证金的；</w:t>
      </w:r>
    </w:p>
    <w:p w14:paraId="63230624">
      <w:pPr>
        <w:snapToGrid w:val="0"/>
        <w:spacing w:line="420" w:lineRule="exact"/>
        <w:ind w:firstLine="398" w:firstLineChars="200"/>
        <w:rPr>
          <w:rFonts w:hint="eastAsia" w:ascii="宋体" w:hAnsi="宋体"/>
          <w:color w:val="auto"/>
          <w:szCs w:val="21"/>
          <w:highlight w:val="none"/>
        </w:rPr>
      </w:pPr>
      <w:r>
        <w:rPr>
          <w:rFonts w:hint="eastAsia" w:ascii="宋体" w:hAnsi="宋体"/>
          <w:color w:val="auto"/>
          <w:szCs w:val="21"/>
          <w:highlight w:val="none"/>
        </w:rPr>
        <w:t>（3）投标人在投标过程中弄虚作假，提供虚假材料的；</w:t>
      </w:r>
    </w:p>
    <w:p w14:paraId="51AF753C">
      <w:pPr>
        <w:snapToGrid w:val="0"/>
        <w:spacing w:line="420" w:lineRule="exact"/>
        <w:ind w:firstLine="398" w:firstLineChars="200"/>
        <w:rPr>
          <w:rFonts w:hint="eastAsia" w:ascii="宋体" w:hAnsi="宋体"/>
          <w:color w:val="auto"/>
          <w:szCs w:val="21"/>
          <w:highlight w:val="none"/>
        </w:rPr>
      </w:pPr>
      <w:r>
        <w:rPr>
          <w:rFonts w:hint="eastAsia" w:ascii="宋体" w:hAnsi="宋体"/>
          <w:color w:val="auto"/>
          <w:szCs w:val="21"/>
          <w:highlight w:val="none"/>
        </w:rPr>
        <w:t>（4）中标人无正当理由不与采购人签订合同的；</w:t>
      </w:r>
    </w:p>
    <w:p w14:paraId="533156B0">
      <w:pPr>
        <w:snapToGrid w:val="0"/>
        <w:spacing w:line="420" w:lineRule="exact"/>
        <w:ind w:firstLine="398" w:firstLineChars="200"/>
        <w:rPr>
          <w:rFonts w:hint="eastAsia" w:ascii="宋体" w:hAnsi="宋体"/>
          <w:color w:val="auto"/>
          <w:szCs w:val="21"/>
          <w:highlight w:val="none"/>
        </w:rPr>
      </w:pPr>
      <w:bookmarkStart w:id="113" w:name="_Toc254970542"/>
      <w:bookmarkStart w:id="114" w:name="_Toc254970683"/>
      <w:r>
        <w:rPr>
          <w:rFonts w:hint="eastAsia" w:ascii="宋体" w:hAnsi="宋体"/>
          <w:color w:val="auto"/>
          <w:szCs w:val="21"/>
          <w:highlight w:val="none"/>
        </w:rPr>
        <w:t>（5）投标人出现本章第9.2、9.3情形的；</w:t>
      </w:r>
    </w:p>
    <w:p w14:paraId="26D77A40">
      <w:pPr>
        <w:snapToGrid w:val="0"/>
        <w:spacing w:line="420" w:lineRule="exact"/>
        <w:ind w:firstLine="398" w:firstLineChars="200"/>
        <w:rPr>
          <w:rFonts w:hint="eastAsia" w:ascii="宋体" w:hAnsi="宋体"/>
          <w:color w:val="auto"/>
          <w:szCs w:val="21"/>
          <w:highlight w:val="none"/>
        </w:rPr>
      </w:pPr>
      <w:r>
        <w:rPr>
          <w:rFonts w:hint="eastAsia" w:ascii="宋体" w:hAnsi="宋体"/>
          <w:color w:val="auto"/>
          <w:szCs w:val="21"/>
          <w:highlight w:val="none"/>
        </w:rPr>
        <w:t>（6）</w:t>
      </w:r>
      <w:r>
        <w:rPr>
          <w:rFonts w:hint="eastAsia" w:ascii="宋体" w:hAnsi="宋体" w:cs="宋体"/>
          <w:color w:val="auto"/>
          <w:szCs w:val="21"/>
          <w:highlight w:val="none"/>
        </w:rPr>
        <w:t>法律法规规定的其他情形</w:t>
      </w:r>
      <w:r>
        <w:rPr>
          <w:rFonts w:hint="eastAsia" w:ascii="宋体" w:hAnsi="宋体"/>
          <w:color w:val="auto"/>
          <w:szCs w:val="21"/>
          <w:highlight w:val="none"/>
        </w:rPr>
        <w:t>。</w:t>
      </w:r>
    </w:p>
    <w:bookmarkEnd w:id="113"/>
    <w:bookmarkEnd w:id="114"/>
    <w:p w14:paraId="3379BAB3">
      <w:pPr>
        <w:pStyle w:val="7"/>
        <w:keepNext w:val="0"/>
        <w:keepLines w:val="0"/>
        <w:spacing w:before="0" w:after="0" w:line="420" w:lineRule="exact"/>
        <w:rPr>
          <w:rFonts w:hint="eastAsia" w:ascii="黑体" w:hAnsi="黑体" w:eastAsia="黑体"/>
          <w:color w:val="auto"/>
          <w:sz w:val="24"/>
          <w:highlight w:val="none"/>
        </w:rPr>
      </w:pPr>
      <w:r>
        <w:rPr>
          <w:rFonts w:hint="eastAsia" w:ascii="黑体" w:hAnsi="黑体" w:eastAsia="黑体"/>
          <w:color w:val="auto"/>
          <w:sz w:val="24"/>
          <w:highlight w:val="none"/>
        </w:rPr>
        <w:t>19.投标文件的编制</w:t>
      </w:r>
    </w:p>
    <w:p w14:paraId="5FFC2983">
      <w:pPr>
        <w:snapToGrid w:val="0"/>
        <w:spacing w:line="420" w:lineRule="exact"/>
        <w:ind w:firstLine="398" w:firstLineChars="200"/>
        <w:rPr>
          <w:rFonts w:hint="eastAsia" w:ascii="宋体" w:hAnsi="宋体"/>
          <w:color w:val="auto"/>
          <w:szCs w:val="21"/>
          <w:highlight w:val="none"/>
        </w:rPr>
      </w:pPr>
      <w:r>
        <w:rPr>
          <w:rFonts w:hint="eastAsia" w:ascii="宋体" w:hAnsi="宋体"/>
          <w:color w:val="auto"/>
          <w:szCs w:val="21"/>
          <w:highlight w:val="none"/>
        </w:rPr>
        <w:t>19.1投标人应按照本项目招标文件规定的格式和顺序和广西政府采购云平台的要求编制并加密。投标文件内容不完整、编排混乱导致投标文件被误读、漏读或者查找不到相关内容的，由此引发的后果由投标人承担。</w:t>
      </w:r>
    </w:p>
    <w:p w14:paraId="67D1612D">
      <w:pPr>
        <w:snapToGrid w:val="0"/>
        <w:spacing w:line="420" w:lineRule="exact"/>
        <w:ind w:firstLine="398" w:firstLineChars="200"/>
        <w:rPr>
          <w:rFonts w:hint="eastAsia" w:ascii="宋体" w:hAnsi="宋体"/>
          <w:color w:val="auto"/>
          <w:szCs w:val="21"/>
          <w:highlight w:val="none"/>
        </w:rPr>
      </w:pPr>
      <w:bookmarkStart w:id="115" w:name="_19.2投标文件应按报价文件、资格证明文件、商务文件、技术文件分别编制"/>
      <w:bookmarkEnd w:id="115"/>
      <w:r>
        <w:rPr>
          <w:rFonts w:hint="eastAsia" w:ascii="宋体" w:hAnsi="宋体"/>
          <w:color w:val="auto"/>
          <w:szCs w:val="21"/>
          <w:highlight w:val="none"/>
        </w:rPr>
        <w:t>19.2为确保网上操作合法、有效和安全，投标人应当在投标截止时间前完成在广西政府采购云平台的身份认证，确保在电子投标过程中能够对相关数据电文进行加密和使用电子签章。</w:t>
      </w:r>
    </w:p>
    <w:p w14:paraId="6689EC56">
      <w:pPr>
        <w:snapToGrid w:val="0"/>
        <w:spacing w:line="420" w:lineRule="exact"/>
        <w:ind w:firstLine="398" w:firstLineChars="200"/>
        <w:rPr>
          <w:rFonts w:hint="eastAsia" w:ascii="宋体" w:hAnsi="宋体"/>
          <w:b/>
          <w:bCs/>
          <w:color w:val="auto"/>
          <w:szCs w:val="21"/>
          <w:highlight w:val="none"/>
        </w:rPr>
      </w:pPr>
      <w:r>
        <w:rPr>
          <w:rFonts w:hint="eastAsia" w:ascii="宋体" w:hAnsi="宋体"/>
          <w:color w:val="auto"/>
          <w:szCs w:val="21"/>
          <w:highlight w:val="none"/>
        </w:rPr>
        <w:t>19.3投标文件须由投标人在规定位置签字（或者电子签名）、盖章（具体以投标人须知前附表或投标文件格式规定为准），</w:t>
      </w:r>
      <w:r>
        <w:rPr>
          <w:rFonts w:hint="eastAsia" w:ascii="宋体" w:hAnsi="宋体"/>
          <w:b/>
          <w:bCs/>
          <w:color w:val="auto"/>
          <w:szCs w:val="21"/>
          <w:highlight w:val="none"/>
        </w:rPr>
        <w:t>否则按无效投标处理。</w:t>
      </w:r>
    </w:p>
    <w:p w14:paraId="543C9C26">
      <w:pPr>
        <w:snapToGrid w:val="0"/>
        <w:spacing w:line="420" w:lineRule="exact"/>
        <w:ind w:firstLine="398" w:firstLineChars="200"/>
        <w:rPr>
          <w:rFonts w:hint="eastAsia" w:ascii="宋体" w:hAnsi="宋体"/>
          <w:color w:val="auto"/>
          <w:szCs w:val="21"/>
          <w:highlight w:val="none"/>
        </w:rPr>
      </w:pPr>
      <w:r>
        <w:rPr>
          <w:rFonts w:hint="eastAsia" w:ascii="宋体" w:hAnsi="宋体"/>
          <w:color w:val="auto"/>
          <w:szCs w:val="21"/>
          <w:highlight w:val="none"/>
        </w:rPr>
        <w:t>19.4投标文件中标注的投标人名称应与主体资格证明（如营业执照或者事业单位法人证书或者执业许可证或者登记证书等）及公章一致，并与广西政府采购云平台中获取招标文件的投标人名称一致，投标人为自然人的，标注的投标人名称应与身份证姓名及签名一致，</w:t>
      </w:r>
      <w:r>
        <w:rPr>
          <w:rFonts w:hint="eastAsia" w:ascii="宋体" w:hAnsi="宋体"/>
          <w:b/>
          <w:bCs/>
          <w:color w:val="auto"/>
          <w:szCs w:val="21"/>
          <w:highlight w:val="none"/>
        </w:rPr>
        <w:t>否则按无效投标处理。</w:t>
      </w:r>
    </w:p>
    <w:p w14:paraId="343F2FC7">
      <w:pPr>
        <w:snapToGrid w:val="0"/>
        <w:spacing w:line="420" w:lineRule="exact"/>
        <w:ind w:firstLine="398" w:firstLineChars="200"/>
        <w:rPr>
          <w:rFonts w:hint="eastAsia" w:ascii="宋体" w:hAnsi="宋体"/>
          <w:color w:val="auto"/>
          <w:szCs w:val="21"/>
          <w:highlight w:val="none"/>
        </w:rPr>
      </w:pPr>
      <w:r>
        <w:rPr>
          <w:rFonts w:hint="eastAsia" w:ascii="宋体" w:hAnsi="宋体"/>
          <w:color w:val="auto"/>
          <w:szCs w:val="21"/>
          <w:highlight w:val="none"/>
        </w:rPr>
        <w:t>19.5投标文件应尽量避免涂改、行间插字或者删除。如果出现上述情况，改动之处应由投标人的法定代表人或者其委托代理人签字（或者电子签名）或者加盖公章或者加盖电子签章。投标文件因字迹潦草或者表达不清所引起的后果由投标人承担。</w:t>
      </w:r>
    </w:p>
    <w:p w14:paraId="7718B430">
      <w:pPr>
        <w:pStyle w:val="7"/>
        <w:keepNext w:val="0"/>
        <w:keepLines w:val="0"/>
        <w:spacing w:before="0" w:after="0" w:line="420" w:lineRule="exact"/>
        <w:rPr>
          <w:rFonts w:hint="eastAsia" w:ascii="黑体" w:hAnsi="黑体" w:eastAsia="黑体"/>
          <w:color w:val="auto"/>
          <w:sz w:val="24"/>
          <w:highlight w:val="none"/>
        </w:rPr>
      </w:pPr>
      <w:r>
        <w:rPr>
          <w:rFonts w:hint="eastAsia" w:ascii="黑体" w:hAnsi="黑体" w:eastAsia="黑体"/>
          <w:color w:val="auto"/>
          <w:sz w:val="24"/>
          <w:highlight w:val="none"/>
        </w:rPr>
        <w:t>20.电子备份投标文件</w:t>
      </w:r>
    </w:p>
    <w:p w14:paraId="09C59FE9">
      <w:pPr>
        <w:snapToGrid w:val="0"/>
        <w:spacing w:line="420" w:lineRule="exact"/>
        <w:ind w:firstLine="398" w:firstLineChars="200"/>
        <w:rPr>
          <w:rFonts w:hint="eastAsia" w:ascii="宋体" w:hAnsi="宋体"/>
          <w:color w:val="auto"/>
          <w:szCs w:val="21"/>
          <w:highlight w:val="none"/>
        </w:rPr>
      </w:pPr>
      <w:r>
        <w:rPr>
          <w:rFonts w:hint="eastAsia" w:ascii="宋体" w:hAnsi="宋体"/>
          <w:color w:val="auto"/>
          <w:szCs w:val="21"/>
          <w:highlight w:val="none"/>
        </w:rPr>
        <w:t>电子备份投标文件是指通过在线编制生成且后缀名为“bfbs”的文件，是否接受电子备份投标文件</w:t>
      </w:r>
      <w:r>
        <w:rPr>
          <w:rFonts w:hint="eastAsia" w:ascii="宋体" w:hAnsi="宋体"/>
          <w:color w:val="auto"/>
          <w:szCs w:val="21"/>
          <w:highlight w:val="none"/>
          <w:lang w:eastAsia="zh-CN"/>
        </w:rPr>
        <w:t>详见</w:t>
      </w:r>
      <w:r>
        <w:rPr>
          <w:rFonts w:hint="eastAsia" w:ascii="宋体" w:hAnsi="宋体"/>
          <w:color w:val="auto"/>
          <w:szCs w:val="21"/>
          <w:highlight w:val="none"/>
        </w:rPr>
        <w:t>“投标人须知前附表”。</w:t>
      </w:r>
    </w:p>
    <w:p w14:paraId="7D945487">
      <w:pPr>
        <w:pStyle w:val="7"/>
        <w:keepNext w:val="0"/>
        <w:keepLines w:val="0"/>
        <w:spacing w:before="0" w:after="0" w:line="420" w:lineRule="exact"/>
        <w:rPr>
          <w:rFonts w:hint="eastAsia" w:ascii="黑体" w:hAnsi="黑体" w:eastAsia="黑体"/>
          <w:color w:val="auto"/>
          <w:sz w:val="24"/>
          <w:highlight w:val="none"/>
        </w:rPr>
      </w:pPr>
      <w:r>
        <w:rPr>
          <w:rFonts w:hint="eastAsia" w:ascii="黑体" w:hAnsi="黑体" w:eastAsia="黑体"/>
          <w:color w:val="auto"/>
          <w:sz w:val="24"/>
          <w:highlight w:val="none"/>
        </w:rPr>
        <w:t>21.投标文件的提交</w:t>
      </w:r>
    </w:p>
    <w:p w14:paraId="3E7BC9A9">
      <w:pPr>
        <w:snapToGrid w:val="0"/>
        <w:spacing w:line="420" w:lineRule="exact"/>
        <w:ind w:firstLine="398" w:firstLineChars="200"/>
        <w:rPr>
          <w:rFonts w:hint="eastAsia" w:ascii="宋体" w:hAnsi="宋体"/>
          <w:b/>
          <w:bCs/>
          <w:color w:val="auto"/>
          <w:szCs w:val="21"/>
          <w:highlight w:val="none"/>
        </w:rPr>
      </w:pPr>
      <w:bookmarkStart w:id="116" w:name="_21.1投标人必须在“投标人须知中的前附表”规定的投标文件接收时间和投"/>
      <w:bookmarkEnd w:id="116"/>
      <w:r>
        <w:rPr>
          <w:rFonts w:hint="eastAsia" w:ascii="宋体" w:hAnsi="宋体"/>
          <w:color w:val="auto"/>
          <w:szCs w:val="21"/>
          <w:highlight w:val="none"/>
        </w:rPr>
        <w:t>21.1投标人必须在“投标人须知前附表”规定的提交投标文件截止时间前将电子投标文件提交至投标地点。电子投标文件应在制作完成后，在投标截止时间前通过有效数字证书（CA认证锁）进行电子签章、加密，然后通过网络将加密的电子投标文件递交至广</w:t>
      </w:r>
      <w:r>
        <w:rPr>
          <w:rFonts w:hint="eastAsia" w:ascii="宋体" w:hAnsi="宋体"/>
          <w:b/>
          <w:bCs/>
          <w:color w:val="auto"/>
          <w:szCs w:val="21"/>
          <w:highlight w:val="none"/>
        </w:rPr>
        <w:t>西政府采购云平台。</w:t>
      </w:r>
    </w:p>
    <w:p w14:paraId="2DF433BC">
      <w:pPr>
        <w:snapToGrid w:val="0"/>
        <w:spacing w:line="420" w:lineRule="exact"/>
        <w:ind w:firstLine="398" w:firstLineChars="200"/>
        <w:rPr>
          <w:rFonts w:hint="eastAsia" w:ascii="宋体" w:hAnsi="宋体"/>
          <w:b/>
          <w:bCs/>
          <w:color w:val="auto"/>
          <w:szCs w:val="21"/>
          <w:highlight w:val="none"/>
        </w:rPr>
      </w:pPr>
      <w:r>
        <w:rPr>
          <w:rFonts w:hint="eastAsia" w:ascii="宋体" w:hAnsi="宋体"/>
          <w:b/>
          <w:bCs/>
          <w:color w:val="auto"/>
          <w:szCs w:val="21"/>
          <w:highlight w:val="none"/>
        </w:rPr>
        <w:t>21.2未在规定时间内提交或者未按照招标文件要求加密的电子投标文件，广西政府采购云平台将拒收。</w:t>
      </w:r>
    </w:p>
    <w:p w14:paraId="0C7176E3">
      <w:pPr>
        <w:pStyle w:val="7"/>
        <w:keepNext w:val="0"/>
        <w:keepLines w:val="0"/>
        <w:spacing w:before="0" w:after="0" w:line="420" w:lineRule="exact"/>
        <w:rPr>
          <w:rFonts w:hint="eastAsia" w:ascii="黑体" w:hAnsi="黑体" w:eastAsia="黑体"/>
          <w:color w:val="auto"/>
          <w:sz w:val="24"/>
          <w:highlight w:val="none"/>
        </w:rPr>
      </w:pPr>
      <w:r>
        <w:rPr>
          <w:rFonts w:hint="eastAsia" w:ascii="黑体" w:hAnsi="黑体" w:eastAsia="黑体"/>
          <w:color w:val="auto"/>
          <w:sz w:val="24"/>
          <w:highlight w:val="none"/>
        </w:rPr>
        <w:t>22.投标文件的补充、修改、撤回与退回</w:t>
      </w:r>
    </w:p>
    <w:p w14:paraId="77EA8FCB">
      <w:pPr>
        <w:snapToGrid w:val="0"/>
        <w:spacing w:line="420" w:lineRule="exact"/>
        <w:ind w:firstLine="420"/>
        <w:jc w:val="left"/>
        <w:rPr>
          <w:rFonts w:hint="eastAsia" w:ascii="宋体" w:hAnsi="宋体"/>
          <w:color w:val="auto"/>
          <w:szCs w:val="21"/>
          <w:highlight w:val="none"/>
        </w:rPr>
      </w:pPr>
      <w:bookmarkStart w:id="117" w:name="_Toc254970684"/>
      <w:bookmarkStart w:id="118" w:name="_Toc254970543"/>
      <w:r>
        <w:rPr>
          <w:rFonts w:ascii="宋体" w:hAnsi="宋体" w:cs="宋体"/>
          <w:color w:val="auto"/>
          <w:szCs w:val="21"/>
          <w:highlight w:val="none"/>
        </w:rPr>
        <w:t>22</w:t>
      </w:r>
      <w:r>
        <w:rPr>
          <w:rFonts w:hint="eastAsia" w:ascii="宋体" w:hAnsi="宋体" w:cs="宋体"/>
          <w:color w:val="auto"/>
          <w:szCs w:val="21"/>
          <w:highlight w:val="none"/>
        </w:rPr>
        <w:t>.1</w:t>
      </w:r>
      <w:r>
        <w:rPr>
          <w:rFonts w:hint="eastAsia" w:ascii="宋体" w:hAnsi="宋体"/>
          <w:bCs/>
          <w:color w:val="auto"/>
          <w:szCs w:val="21"/>
          <w:highlight w:val="none"/>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广西政府采购云平台将予以拒收。</w:t>
      </w:r>
      <w:r>
        <w:rPr>
          <w:rFonts w:hint="eastAsia" w:ascii="宋体" w:hAnsi="宋体" w:cs="宋体"/>
          <w:color w:val="auto"/>
          <w:szCs w:val="21"/>
          <w:highlight w:val="none"/>
        </w:rPr>
        <w:t>（补充、修改或者撤回方式可</w:t>
      </w:r>
      <w:r>
        <w:rPr>
          <w:rFonts w:hint="eastAsia" w:ascii="宋体" w:hAnsi="宋体"/>
          <w:color w:val="auto"/>
          <w:szCs w:val="21"/>
          <w:highlight w:val="none"/>
        </w:rPr>
        <w:t>登录</w:t>
      </w:r>
      <w:r>
        <w:rPr>
          <w:rFonts w:hint="eastAsia" w:ascii="宋体" w:hAnsi="宋体" w:cs="宋体"/>
          <w:color w:val="auto"/>
          <w:kern w:val="0"/>
          <w:szCs w:val="21"/>
          <w:highlight w:val="none"/>
        </w:rPr>
        <w:t>广西政府采购云平台，</w:t>
      </w:r>
      <w:r>
        <w:rPr>
          <w:rFonts w:hint="eastAsia" w:ascii="宋体" w:hAnsi="宋体"/>
          <w:color w:val="auto"/>
          <w:szCs w:val="21"/>
          <w:highlight w:val="none"/>
        </w:rPr>
        <w:t>依次进入“服务中心”中查看</w:t>
      </w:r>
      <w:r>
        <w:rPr>
          <w:rFonts w:hint="eastAsia" w:ascii="宋体" w:hAnsi="宋体" w:cs="宋体"/>
          <w:color w:val="auto"/>
          <w:szCs w:val="21"/>
          <w:highlight w:val="none"/>
        </w:rPr>
        <w:t xml:space="preserve"> “电子投标文件制作与投送教程”）</w:t>
      </w:r>
    </w:p>
    <w:bookmarkEnd w:id="117"/>
    <w:bookmarkEnd w:id="118"/>
    <w:p w14:paraId="7C9B5AD3">
      <w:pPr>
        <w:snapToGrid w:val="0"/>
        <w:spacing w:line="420" w:lineRule="exact"/>
        <w:ind w:firstLine="398" w:firstLineChars="200"/>
        <w:rPr>
          <w:rFonts w:hint="eastAsia" w:ascii="宋体" w:hAnsi="宋体"/>
          <w:color w:val="auto"/>
          <w:szCs w:val="21"/>
          <w:highlight w:val="none"/>
        </w:rPr>
      </w:pPr>
      <w:r>
        <w:rPr>
          <w:rFonts w:ascii="宋体" w:hAnsi="宋体" w:cs="宋体"/>
          <w:color w:val="auto"/>
          <w:szCs w:val="21"/>
          <w:highlight w:val="none"/>
        </w:rPr>
        <w:t>22.</w:t>
      </w:r>
      <w:r>
        <w:rPr>
          <w:rFonts w:hint="eastAsia" w:ascii="宋体" w:hAnsi="宋体" w:cs="宋体"/>
          <w:color w:val="auto"/>
          <w:szCs w:val="21"/>
          <w:highlight w:val="none"/>
        </w:rPr>
        <w:t>2广西政府采购云平台收到投标文件后向供应商发出确认回执通知。在投标截止时间前，除供应商</w:t>
      </w:r>
      <w:r>
        <w:rPr>
          <w:rFonts w:hint="eastAsia" w:ascii="宋体" w:hAnsi="宋体"/>
          <w:color w:val="auto"/>
          <w:szCs w:val="21"/>
          <w:highlight w:val="none"/>
        </w:rPr>
        <w:t>补充、修改或者撤回投标文件外，任何单位和个人不得解密或提取投标文件。</w:t>
      </w:r>
    </w:p>
    <w:p w14:paraId="6EF8490F">
      <w:pPr>
        <w:snapToGrid w:val="0"/>
        <w:spacing w:line="420" w:lineRule="exact"/>
        <w:ind w:firstLine="398" w:firstLineChars="200"/>
        <w:rPr>
          <w:rFonts w:hint="eastAsia" w:ascii="宋体" w:hAnsi="宋体"/>
          <w:color w:val="auto"/>
          <w:szCs w:val="21"/>
          <w:highlight w:val="none"/>
        </w:rPr>
      </w:pPr>
      <w:r>
        <w:rPr>
          <w:rFonts w:hint="eastAsia" w:ascii="宋体" w:hAnsi="宋体"/>
          <w:color w:val="auto"/>
          <w:szCs w:val="21"/>
          <w:highlight w:val="none"/>
        </w:rPr>
        <w:t>22.3在投标截止时间后，采购人和采购代理机构对已提交的投标文件概不退回。</w:t>
      </w:r>
    </w:p>
    <w:p w14:paraId="4617C0C1">
      <w:pPr>
        <w:pStyle w:val="5"/>
        <w:keepNext w:val="0"/>
        <w:keepLines w:val="0"/>
        <w:spacing w:before="0" w:after="0" w:line="420" w:lineRule="exact"/>
        <w:jc w:val="center"/>
        <w:rPr>
          <w:color w:val="auto"/>
          <w:highlight w:val="none"/>
        </w:rPr>
      </w:pPr>
      <w:bookmarkStart w:id="119" w:name="_Toc254970544"/>
      <w:bookmarkStart w:id="120" w:name="_Toc254970685"/>
      <w:r>
        <w:rPr>
          <w:rFonts w:hint="eastAsia"/>
          <w:color w:val="auto"/>
          <w:highlight w:val="none"/>
        </w:rPr>
        <w:t>四、开    标</w:t>
      </w:r>
      <w:bookmarkEnd w:id="119"/>
      <w:bookmarkEnd w:id="120"/>
    </w:p>
    <w:p w14:paraId="184A9324">
      <w:pPr>
        <w:pStyle w:val="7"/>
        <w:keepNext w:val="0"/>
        <w:keepLines w:val="0"/>
        <w:spacing w:before="0" w:after="0" w:line="420" w:lineRule="exact"/>
        <w:rPr>
          <w:rFonts w:hint="eastAsia" w:ascii="黑体" w:hAnsi="黑体" w:eastAsia="黑体"/>
          <w:color w:val="auto"/>
          <w:sz w:val="24"/>
          <w:highlight w:val="none"/>
        </w:rPr>
      </w:pPr>
      <w:bookmarkStart w:id="121" w:name="_23.开标时间和地点"/>
      <w:bookmarkEnd w:id="121"/>
      <w:r>
        <w:rPr>
          <w:rFonts w:hint="eastAsia" w:ascii="黑体" w:hAnsi="黑体" w:eastAsia="黑体"/>
          <w:color w:val="auto"/>
          <w:sz w:val="24"/>
          <w:highlight w:val="none"/>
        </w:rPr>
        <w:t>23.开标时间和地点</w:t>
      </w:r>
    </w:p>
    <w:p w14:paraId="7FFB9C8C">
      <w:pPr>
        <w:snapToGrid w:val="0"/>
        <w:spacing w:line="420" w:lineRule="exact"/>
        <w:ind w:firstLine="398" w:firstLineChars="200"/>
        <w:rPr>
          <w:rFonts w:hint="eastAsia" w:ascii="宋体" w:hAnsi="宋体"/>
          <w:color w:val="auto"/>
          <w:szCs w:val="21"/>
          <w:highlight w:val="none"/>
        </w:rPr>
      </w:pPr>
      <w:r>
        <w:rPr>
          <w:rFonts w:hint="eastAsia" w:ascii="宋体" w:hAnsi="宋体"/>
          <w:color w:val="auto"/>
          <w:szCs w:val="21"/>
          <w:highlight w:val="none"/>
        </w:rPr>
        <w:t>开标时间及地点详见“投标人须知前附表”</w:t>
      </w:r>
    </w:p>
    <w:p w14:paraId="72B1AA35">
      <w:pPr>
        <w:pStyle w:val="7"/>
        <w:keepNext w:val="0"/>
        <w:keepLines w:val="0"/>
        <w:spacing w:before="0" w:after="0" w:line="420" w:lineRule="exact"/>
        <w:rPr>
          <w:rFonts w:hint="eastAsia" w:ascii="黑体" w:hAnsi="黑体" w:eastAsia="黑体"/>
          <w:color w:val="auto"/>
          <w:sz w:val="24"/>
          <w:highlight w:val="none"/>
        </w:rPr>
      </w:pPr>
      <w:r>
        <w:rPr>
          <w:rFonts w:hint="eastAsia" w:ascii="黑体" w:hAnsi="黑体" w:eastAsia="黑体"/>
          <w:color w:val="auto"/>
          <w:sz w:val="24"/>
          <w:highlight w:val="none"/>
        </w:rPr>
        <w:t>24.开标程序</w:t>
      </w:r>
    </w:p>
    <w:p w14:paraId="24DB9D21">
      <w:pPr>
        <w:snapToGrid w:val="0"/>
        <w:spacing w:line="420" w:lineRule="exact"/>
        <w:ind w:firstLine="398" w:firstLineChars="200"/>
        <w:rPr>
          <w:rFonts w:hint="eastAsia" w:ascii="宋体" w:hAnsi="宋体"/>
          <w:color w:val="auto"/>
          <w:szCs w:val="21"/>
          <w:highlight w:val="none"/>
        </w:rPr>
      </w:pPr>
      <w:r>
        <w:rPr>
          <w:rFonts w:hint="eastAsia" w:ascii="宋体" w:hAnsi="宋体"/>
          <w:color w:val="auto"/>
          <w:szCs w:val="21"/>
          <w:highlight w:val="none"/>
        </w:rPr>
        <w:t>24.1提交投标文件截止时间止，投标人不足3家的，不得开标。</w:t>
      </w:r>
    </w:p>
    <w:p w14:paraId="1827C7CB">
      <w:pPr>
        <w:snapToGrid w:val="0"/>
        <w:spacing w:line="420" w:lineRule="exact"/>
        <w:ind w:firstLine="398" w:firstLineChars="200"/>
        <w:rPr>
          <w:rFonts w:hint="eastAsia" w:ascii="宋体" w:hAnsi="宋体"/>
          <w:color w:val="auto"/>
          <w:szCs w:val="21"/>
          <w:highlight w:val="none"/>
        </w:rPr>
      </w:pPr>
      <w:r>
        <w:rPr>
          <w:rFonts w:hint="eastAsia" w:ascii="宋体" w:hAnsi="宋体"/>
          <w:color w:val="auto"/>
          <w:szCs w:val="21"/>
          <w:highlight w:val="none"/>
        </w:rPr>
        <w:t>24.2采购代理机构将按照招标文件规定的时间通过广西政府采购云平台组织线上开标活动，所有供应商均应当准时在线参加，投标人因未在线参加开标而导致投标文件无法按时解密等一切后果由投标人自己承担。</w:t>
      </w:r>
    </w:p>
    <w:p w14:paraId="49287131">
      <w:pPr>
        <w:snapToGrid w:val="0"/>
        <w:spacing w:line="420" w:lineRule="exact"/>
        <w:ind w:firstLine="398" w:firstLineChars="200"/>
        <w:rPr>
          <w:rFonts w:hint="eastAsia" w:ascii="宋体" w:hAnsi="宋体"/>
          <w:color w:val="auto"/>
          <w:szCs w:val="21"/>
          <w:highlight w:val="none"/>
        </w:rPr>
      </w:pPr>
      <w:r>
        <w:rPr>
          <w:rFonts w:hint="eastAsia" w:ascii="宋体" w:hAnsi="宋体"/>
          <w:color w:val="auto"/>
          <w:szCs w:val="21"/>
          <w:highlight w:val="none"/>
        </w:rPr>
        <w:t>24.3开标程序</w:t>
      </w:r>
    </w:p>
    <w:p w14:paraId="2F8B325A">
      <w:pPr>
        <w:snapToGrid w:val="0"/>
        <w:spacing w:line="420" w:lineRule="exact"/>
        <w:ind w:firstLine="398" w:firstLineChars="200"/>
        <w:rPr>
          <w:rFonts w:hint="eastAsia" w:ascii="宋体" w:hAnsi="宋体"/>
          <w:b/>
          <w:bCs/>
          <w:color w:val="auto"/>
          <w:szCs w:val="21"/>
          <w:highlight w:val="none"/>
        </w:rPr>
      </w:pPr>
      <w:r>
        <w:rPr>
          <w:rFonts w:hint="eastAsia" w:ascii="宋体" w:hAnsi="宋体"/>
          <w:color w:val="auto"/>
          <w:szCs w:val="21"/>
          <w:highlight w:val="none"/>
        </w:rPr>
        <w:t>（1）解密电子投标文件。广西政府采购云平台按开标时间自动提取所有投标文件。采购代理机构依托广西政府采购云平台向各投标人发出电子加密投标文件【开始解密】通知，由投标人按“投标人须知前附表”规定的时间内自行进行投标文件解密。投标人的法定代表人或其委托代理人须凭加密时所用的CA锁准时登录到广西政府采购云平台电子开标大厅签到并对电子投标文件解密。</w:t>
      </w:r>
      <w:r>
        <w:rPr>
          <w:rFonts w:hint="eastAsia" w:ascii="宋体" w:hAnsi="宋体"/>
          <w:b/>
          <w:bCs/>
          <w:color w:val="auto"/>
          <w:szCs w:val="21"/>
          <w:highlight w:val="none"/>
        </w:rPr>
        <w:t>投标人未在规定的时间内解密投标文件或者解密失败的，投标人的投标文件作无效处理。</w:t>
      </w:r>
    </w:p>
    <w:p w14:paraId="0A178077">
      <w:pPr>
        <w:snapToGrid w:val="0"/>
        <w:spacing w:line="420" w:lineRule="exact"/>
        <w:ind w:firstLine="398" w:firstLineChars="200"/>
        <w:rPr>
          <w:rFonts w:hint="eastAsia" w:ascii="宋体" w:hAnsi="宋体"/>
          <w:color w:val="auto"/>
          <w:szCs w:val="21"/>
          <w:highlight w:val="none"/>
        </w:rPr>
      </w:pPr>
      <w:r>
        <w:rPr>
          <w:rFonts w:hint="eastAsia" w:ascii="宋体" w:hAnsi="宋体"/>
          <w:color w:val="auto"/>
          <w:szCs w:val="21"/>
          <w:highlight w:val="none"/>
        </w:rPr>
        <w:t>（2）电子唱标。投标文件解密结束，宣布的内容均在广西政府采购云平台远程开标大厅展示，具体详见“投标人须知前附表”；</w:t>
      </w:r>
    </w:p>
    <w:p w14:paraId="42A7F992">
      <w:pPr>
        <w:snapToGrid w:val="0"/>
        <w:spacing w:line="420" w:lineRule="exact"/>
        <w:ind w:firstLine="398" w:firstLineChars="200"/>
        <w:rPr>
          <w:rFonts w:hint="eastAsia" w:ascii="宋体" w:hAnsi="宋体"/>
          <w:color w:val="auto"/>
          <w:szCs w:val="21"/>
          <w:highlight w:val="none"/>
        </w:rPr>
      </w:pPr>
      <w:r>
        <w:rPr>
          <w:rFonts w:hint="eastAsia" w:ascii="宋体" w:hAnsi="宋体"/>
          <w:color w:val="auto"/>
          <w:szCs w:val="21"/>
          <w:highlight w:val="none"/>
        </w:rPr>
        <w:t>（3）开标过程由采购代理机构如实记录，并电子留痕，由参加电子开标的各投标人代表对电子开标记录在开标记录公布后15分钟内进行当场校核及勘误，并线上确认是否有异议，未确认的视同认可开标结果。</w:t>
      </w:r>
    </w:p>
    <w:p w14:paraId="411E338D">
      <w:pPr>
        <w:snapToGrid w:val="0"/>
        <w:spacing w:line="420" w:lineRule="exact"/>
        <w:ind w:firstLine="398" w:firstLineChars="200"/>
        <w:rPr>
          <w:rFonts w:hint="eastAsia" w:ascii="宋体" w:hAnsi="宋体"/>
          <w:color w:val="auto"/>
          <w:szCs w:val="21"/>
          <w:highlight w:val="none"/>
        </w:rPr>
      </w:pPr>
      <w:r>
        <w:rPr>
          <w:rFonts w:hint="eastAsia" w:ascii="宋体" w:hAnsi="宋体"/>
          <w:color w:val="auto"/>
          <w:szCs w:val="21"/>
          <w:highlight w:val="none"/>
        </w:rPr>
        <w:t>（4）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3EAC7613">
      <w:pPr>
        <w:snapToGrid w:val="0"/>
        <w:spacing w:line="420" w:lineRule="exact"/>
        <w:ind w:firstLine="398" w:firstLineChars="200"/>
        <w:rPr>
          <w:rFonts w:hint="eastAsia" w:ascii="宋体" w:hAnsi="宋体"/>
          <w:color w:val="auto"/>
          <w:szCs w:val="21"/>
          <w:highlight w:val="none"/>
        </w:rPr>
      </w:pPr>
      <w:r>
        <w:rPr>
          <w:rFonts w:hint="eastAsia" w:ascii="宋体" w:hAnsi="宋体"/>
          <w:color w:val="auto"/>
          <w:szCs w:val="21"/>
          <w:highlight w:val="none"/>
        </w:rPr>
        <w:t>（5）开标结束。</w:t>
      </w:r>
    </w:p>
    <w:p w14:paraId="793A862C">
      <w:pPr>
        <w:snapToGrid w:val="0"/>
        <w:spacing w:line="420" w:lineRule="exact"/>
        <w:ind w:firstLine="398" w:firstLineChars="200"/>
        <w:rPr>
          <w:rFonts w:hint="eastAsia" w:hAnsi="宋体"/>
          <w:color w:val="auto"/>
          <w:highlight w:val="none"/>
        </w:rPr>
      </w:pPr>
      <w:r>
        <w:rPr>
          <w:rFonts w:hint="eastAsia" w:ascii="宋体" w:hAnsi="宋体"/>
          <w:color w:val="auto"/>
          <w:szCs w:val="21"/>
          <w:highlight w:val="none"/>
        </w:rPr>
        <w:t>特别说明：如遇广西政府采购云平台电子化开标或评审程序调整的，按调整后执行。</w:t>
      </w:r>
    </w:p>
    <w:p w14:paraId="553A4CEE">
      <w:pPr>
        <w:pStyle w:val="5"/>
        <w:keepNext w:val="0"/>
        <w:keepLines w:val="0"/>
        <w:spacing w:before="0" w:after="0" w:line="420" w:lineRule="exact"/>
        <w:jc w:val="center"/>
        <w:rPr>
          <w:color w:val="auto"/>
          <w:highlight w:val="none"/>
        </w:rPr>
      </w:pPr>
      <w:r>
        <w:rPr>
          <w:rFonts w:hint="eastAsia"/>
          <w:color w:val="auto"/>
          <w:highlight w:val="none"/>
        </w:rPr>
        <w:t>五、资格审查</w:t>
      </w:r>
    </w:p>
    <w:p w14:paraId="38A6258C">
      <w:pPr>
        <w:pStyle w:val="7"/>
        <w:keepNext w:val="0"/>
        <w:keepLines w:val="0"/>
        <w:spacing w:before="0" w:after="0" w:line="420" w:lineRule="exact"/>
        <w:rPr>
          <w:rFonts w:hint="eastAsia" w:ascii="黑体" w:hAnsi="黑体" w:eastAsia="黑体"/>
          <w:color w:val="auto"/>
          <w:sz w:val="24"/>
          <w:highlight w:val="none"/>
        </w:rPr>
      </w:pPr>
      <w:r>
        <w:rPr>
          <w:rFonts w:hint="eastAsia" w:ascii="黑体" w:hAnsi="黑体" w:eastAsia="黑体"/>
          <w:color w:val="auto"/>
          <w:sz w:val="24"/>
          <w:highlight w:val="none"/>
        </w:rPr>
        <w:t>25.资格审查</w:t>
      </w:r>
    </w:p>
    <w:p w14:paraId="58FB3297">
      <w:pPr>
        <w:pStyle w:val="7"/>
        <w:keepNext w:val="0"/>
        <w:keepLines w:val="0"/>
        <w:spacing w:before="0" w:after="0" w:line="420" w:lineRule="exact"/>
        <w:ind w:firstLine="299"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25.1</w:t>
      </w:r>
      <w:r>
        <w:rPr>
          <w:rFonts w:ascii="宋体" w:hAnsi="宋体"/>
          <w:b w:val="0"/>
          <w:color w:val="auto"/>
          <w:sz w:val="21"/>
          <w:szCs w:val="21"/>
          <w:highlight w:val="none"/>
        </w:rPr>
        <w:t>开标结束后，</w:t>
      </w:r>
      <w:r>
        <w:rPr>
          <w:rFonts w:hint="eastAsia" w:ascii="宋体" w:hAnsi="宋体"/>
          <w:b w:val="0"/>
          <w:color w:val="auto"/>
          <w:sz w:val="21"/>
          <w:szCs w:val="21"/>
          <w:highlight w:val="none"/>
        </w:rPr>
        <w:t>采购人或者采购代理机构通过电子开评标系统依据招标文件对电子投标文件进行线上资格审查</w:t>
      </w:r>
      <w:r>
        <w:rPr>
          <w:rFonts w:ascii="宋体" w:hAnsi="宋体"/>
          <w:b w:val="0"/>
          <w:color w:val="auto"/>
          <w:sz w:val="21"/>
          <w:szCs w:val="21"/>
          <w:highlight w:val="none"/>
        </w:rPr>
        <w:t>。</w:t>
      </w:r>
    </w:p>
    <w:p w14:paraId="37D0B6AE">
      <w:pPr>
        <w:pStyle w:val="7"/>
        <w:keepNext w:val="0"/>
        <w:keepLines w:val="0"/>
        <w:spacing w:before="0" w:after="0" w:line="420" w:lineRule="exact"/>
        <w:ind w:firstLine="299"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25.2资格审查标准为本招标文件中载明对投标人资格要求的条件。本项目资格审查采用合格制，凡符合招标文件规定的投标人资格要求的投标人均通过资格审查。</w:t>
      </w:r>
    </w:p>
    <w:p w14:paraId="5CFCF34C">
      <w:pPr>
        <w:pStyle w:val="7"/>
        <w:keepNext w:val="0"/>
        <w:keepLines w:val="0"/>
        <w:numPr>
          <w:ilvl w:val="0"/>
          <w:numId w:val="0"/>
        </w:numPr>
        <w:spacing w:before="0" w:after="0" w:line="420" w:lineRule="exact"/>
        <w:ind w:firstLine="398" w:firstLineChars="200"/>
        <w:rPr>
          <w:rFonts w:hint="eastAsia" w:ascii="宋体" w:hAnsi="宋体"/>
          <w:color w:val="auto"/>
          <w:sz w:val="21"/>
          <w:szCs w:val="21"/>
          <w:highlight w:val="none"/>
        </w:rPr>
      </w:pPr>
      <w:bookmarkStart w:id="122" w:name="_25.3_投标人有下列情形之一的，资格审查不通过而导致其投标无效："/>
      <w:bookmarkEnd w:id="122"/>
      <w:r>
        <w:rPr>
          <w:rFonts w:hint="eastAsia" w:ascii="宋体" w:hAnsi="宋体"/>
          <w:color w:val="auto"/>
          <w:sz w:val="21"/>
          <w:szCs w:val="21"/>
          <w:highlight w:val="none"/>
        </w:rPr>
        <w:t>25.3 投标人有下列情形之一的，资格审查不通过，作无效投标处理：</w:t>
      </w:r>
    </w:p>
    <w:p w14:paraId="6F0E8C63">
      <w:pPr>
        <w:pStyle w:val="24"/>
        <w:snapToGrid w:val="0"/>
        <w:spacing w:line="420" w:lineRule="exact"/>
        <w:ind w:firstLine="398" w:firstLineChars="200"/>
        <w:rPr>
          <w:rFonts w:hint="eastAsia" w:hAnsi="宋体"/>
          <w:b/>
          <w:color w:val="auto"/>
          <w:sz w:val="21"/>
          <w:highlight w:val="none"/>
        </w:rPr>
      </w:pPr>
      <w:r>
        <w:rPr>
          <w:rFonts w:hint="eastAsia" w:hAnsi="宋体"/>
          <w:b/>
          <w:color w:val="auto"/>
          <w:sz w:val="21"/>
          <w:highlight w:val="none"/>
        </w:rPr>
        <w:t>（1）不具备招标文件中规定的资格要求的；</w:t>
      </w:r>
    </w:p>
    <w:p w14:paraId="1C2CB3BE">
      <w:pPr>
        <w:pStyle w:val="24"/>
        <w:snapToGrid w:val="0"/>
        <w:spacing w:line="420" w:lineRule="exact"/>
        <w:ind w:firstLine="398" w:firstLineChars="200"/>
        <w:rPr>
          <w:rFonts w:hint="eastAsia" w:hAnsi="宋体"/>
          <w:b/>
          <w:color w:val="auto"/>
          <w:sz w:val="21"/>
          <w:highlight w:val="none"/>
        </w:rPr>
      </w:pPr>
      <w:r>
        <w:rPr>
          <w:rFonts w:hint="eastAsia" w:hAnsi="宋体"/>
          <w:b/>
          <w:color w:val="auto"/>
          <w:sz w:val="21"/>
          <w:highlight w:val="none"/>
        </w:rPr>
        <w:t>（2）在“信用中国”网站（www.creditchina.gov.cn）、中国政府采购网（www.ccgp.gov.cn）被列入失信被执行人、重大税收违法失信主体、政府采购严重违法失信行为记录名单及其他不符合《中华人民共和国政府采购法》第二十二条规定条件的；（注：其中信用查询规则见“投标人须知前附表”）</w:t>
      </w:r>
    </w:p>
    <w:p w14:paraId="79F84A93">
      <w:pPr>
        <w:pStyle w:val="24"/>
        <w:snapToGrid w:val="0"/>
        <w:spacing w:line="420" w:lineRule="exact"/>
        <w:ind w:firstLine="398" w:firstLineChars="200"/>
        <w:rPr>
          <w:rFonts w:hint="eastAsia" w:hAnsi="宋体"/>
          <w:b/>
          <w:color w:val="auto"/>
          <w:sz w:val="21"/>
          <w:highlight w:val="none"/>
        </w:rPr>
      </w:pPr>
      <w:r>
        <w:rPr>
          <w:rFonts w:hint="eastAsia" w:hAnsi="宋体"/>
          <w:b/>
          <w:color w:val="auto"/>
          <w:sz w:val="21"/>
          <w:highlight w:val="none"/>
        </w:rPr>
        <w:t>（3）同一合同项下的不同投标人，单位负责人为同一人或者存在直接控股、管理关系的；</w:t>
      </w:r>
    </w:p>
    <w:p w14:paraId="4551DF57">
      <w:pPr>
        <w:pStyle w:val="24"/>
        <w:snapToGrid w:val="0"/>
        <w:spacing w:line="420" w:lineRule="exact"/>
        <w:ind w:firstLine="398" w:firstLineChars="200"/>
        <w:rPr>
          <w:rFonts w:hint="eastAsia" w:hAnsi="宋体"/>
          <w:b/>
          <w:color w:val="auto"/>
          <w:sz w:val="21"/>
          <w:highlight w:val="none"/>
        </w:rPr>
      </w:pPr>
      <w:r>
        <w:rPr>
          <w:rFonts w:hint="eastAsia" w:hAnsi="宋体"/>
          <w:b/>
          <w:color w:val="auto"/>
          <w:sz w:val="21"/>
          <w:highlight w:val="none"/>
        </w:rPr>
        <w:t>（4）投标文件中的资格证明文件缺少任一项“投标人须知前附表”资格证明文件规定“必须提供”的文件资料的；</w:t>
      </w:r>
    </w:p>
    <w:p w14:paraId="70F1E2D8">
      <w:pPr>
        <w:pStyle w:val="24"/>
        <w:snapToGrid w:val="0"/>
        <w:spacing w:line="420" w:lineRule="exact"/>
        <w:ind w:firstLine="398" w:firstLineChars="200"/>
        <w:rPr>
          <w:rFonts w:hint="eastAsia" w:hAnsi="宋体"/>
          <w:b/>
          <w:color w:val="auto"/>
          <w:sz w:val="21"/>
          <w:highlight w:val="none"/>
        </w:rPr>
      </w:pPr>
      <w:r>
        <w:rPr>
          <w:rFonts w:hint="eastAsia" w:hAnsi="宋体"/>
          <w:b/>
          <w:color w:val="auto"/>
          <w:sz w:val="21"/>
          <w:highlight w:val="none"/>
        </w:rPr>
        <w:t>（5）投标文件中的资格证明文件出现任一项不符合“投标人须知前附表”资格证明文件规定“必须提供”的文件资料要求或者无效的。</w:t>
      </w:r>
    </w:p>
    <w:p w14:paraId="0A987B4C">
      <w:pPr>
        <w:pStyle w:val="7"/>
        <w:keepNext w:val="0"/>
        <w:keepLines w:val="0"/>
        <w:spacing w:before="0" w:after="0" w:line="420" w:lineRule="exact"/>
        <w:rPr>
          <w:rFonts w:hint="eastAsia" w:ascii="宋体" w:hAnsi="宋体"/>
          <w:b w:val="0"/>
          <w:color w:val="auto"/>
          <w:sz w:val="21"/>
          <w:szCs w:val="21"/>
          <w:highlight w:val="none"/>
        </w:rPr>
      </w:pPr>
      <w:r>
        <w:rPr>
          <w:rFonts w:hint="eastAsia" w:ascii="宋体" w:hAnsi="宋体"/>
          <w:color w:val="auto"/>
          <w:sz w:val="21"/>
          <w:szCs w:val="21"/>
          <w:highlight w:val="none"/>
        </w:rPr>
        <w:t>25.4</w:t>
      </w:r>
      <w:r>
        <w:rPr>
          <w:rFonts w:ascii="宋体" w:hAnsi="宋体"/>
          <w:color w:val="auto"/>
          <w:sz w:val="21"/>
          <w:szCs w:val="21"/>
          <w:highlight w:val="none"/>
        </w:rPr>
        <w:t>合格投标人不足3家的，不得评标。</w:t>
      </w:r>
    </w:p>
    <w:p w14:paraId="16BECBC8">
      <w:pPr>
        <w:pStyle w:val="24"/>
        <w:snapToGrid w:val="0"/>
        <w:spacing w:line="420" w:lineRule="exact"/>
        <w:ind w:left="198" w:hanging="199" w:hangingChars="100"/>
        <w:rPr>
          <w:rFonts w:hint="eastAsia" w:hAnsi="宋体"/>
          <w:color w:val="auto"/>
          <w:sz w:val="21"/>
          <w:highlight w:val="none"/>
        </w:rPr>
      </w:pPr>
    </w:p>
    <w:p w14:paraId="309C81D6">
      <w:pPr>
        <w:pStyle w:val="5"/>
        <w:keepNext w:val="0"/>
        <w:keepLines w:val="0"/>
        <w:spacing w:before="0" w:after="0" w:line="420" w:lineRule="exact"/>
        <w:jc w:val="center"/>
        <w:rPr>
          <w:color w:val="auto"/>
          <w:highlight w:val="none"/>
        </w:rPr>
      </w:pPr>
      <w:r>
        <w:rPr>
          <w:rFonts w:hint="eastAsia"/>
          <w:color w:val="auto"/>
          <w:highlight w:val="none"/>
        </w:rPr>
        <w:t>六、评   标</w:t>
      </w:r>
    </w:p>
    <w:p w14:paraId="7F2DC1D6">
      <w:pPr>
        <w:pStyle w:val="7"/>
        <w:keepNext w:val="0"/>
        <w:keepLines w:val="0"/>
        <w:spacing w:before="0" w:after="0" w:line="420" w:lineRule="exact"/>
        <w:rPr>
          <w:rFonts w:hint="eastAsia" w:ascii="黑体" w:hAnsi="黑体" w:eastAsia="黑体"/>
          <w:color w:val="auto"/>
          <w:sz w:val="24"/>
          <w:highlight w:val="none"/>
        </w:rPr>
      </w:pPr>
      <w:bookmarkStart w:id="123" w:name="_26.组建评标委员会"/>
      <w:bookmarkEnd w:id="123"/>
      <w:r>
        <w:rPr>
          <w:rFonts w:hint="eastAsia" w:ascii="黑体" w:hAnsi="黑体" w:eastAsia="黑体"/>
          <w:color w:val="auto"/>
          <w:sz w:val="24"/>
          <w:highlight w:val="none"/>
        </w:rPr>
        <w:t>26.组建评标委员会</w:t>
      </w:r>
    </w:p>
    <w:p w14:paraId="19721971">
      <w:pPr>
        <w:pStyle w:val="24"/>
        <w:snapToGrid w:val="0"/>
        <w:spacing w:line="420" w:lineRule="exact"/>
        <w:ind w:firstLine="398" w:firstLineChars="200"/>
        <w:rPr>
          <w:rFonts w:hint="eastAsia" w:hAnsi="宋体"/>
          <w:color w:val="auto"/>
          <w:sz w:val="21"/>
          <w:highlight w:val="none"/>
        </w:rPr>
      </w:pPr>
      <w:r>
        <w:rPr>
          <w:rFonts w:hint="eastAsia" w:hAnsi="宋体"/>
          <w:color w:val="auto"/>
          <w:sz w:val="21"/>
          <w:highlight w:val="none"/>
        </w:rPr>
        <w:t>26.1评标委员会由采购人代表和评审专家组成，具体人数详见“投标人须知前附表”，其中评审专家不得少于成员总数的三分之二。</w:t>
      </w:r>
    </w:p>
    <w:p w14:paraId="4946D0B4">
      <w:pPr>
        <w:pStyle w:val="24"/>
        <w:snapToGrid w:val="0"/>
        <w:spacing w:line="420" w:lineRule="exact"/>
        <w:ind w:firstLine="398" w:firstLineChars="200"/>
        <w:rPr>
          <w:rFonts w:hint="eastAsia" w:hAnsi="宋体"/>
          <w:color w:val="auto"/>
          <w:sz w:val="21"/>
          <w:highlight w:val="none"/>
        </w:rPr>
      </w:pPr>
      <w:r>
        <w:rPr>
          <w:rFonts w:hint="eastAsia" w:hAnsi="宋体"/>
          <w:color w:val="auto"/>
          <w:sz w:val="21"/>
          <w:highlight w:val="none"/>
        </w:rPr>
        <w:t>26.2参加过采购项目前期咨询论证的专家，不得参加该采购项目的评审活动。</w:t>
      </w:r>
    </w:p>
    <w:p w14:paraId="3CC15C43">
      <w:pPr>
        <w:pStyle w:val="24"/>
        <w:snapToGrid w:val="0"/>
        <w:spacing w:line="420" w:lineRule="exact"/>
        <w:ind w:firstLine="398" w:firstLineChars="200"/>
        <w:rPr>
          <w:rFonts w:hint="eastAsia" w:hAnsi="宋体"/>
          <w:color w:val="auto"/>
          <w:sz w:val="21"/>
          <w:highlight w:val="none"/>
        </w:rPr>
      </w:pPr>
      <w:r>
        <w:rPr>
          <w:rFonts w:hint="eastAsia" w:hAnsi="宋体"/>
          <w:color w:val="auto"/>
          <w:sz w:val="21"/>
          <w:highlight w:val="none"/>
        </w:rPr>
        <w:t>26.3</w:t>
      </w:r>
      <w:r>
        <w:rPr>
          <w:rFonts w:hint="eastAsia" w:hAnsi="宋体"/>
          <w:bCs/>
          <w:color w:val="auto"/>
          <w:sz w:val="21"/>
          <w:highlight w:val="none"/>
        </w:rPr>
        <w:t>采购代理机构应当基于广西政府采购云平台抽（选）取评审专家。</w:t>
      </w:r>
    </w:p>
    <w:p w14:paraId="60FD4C22">
      <w:pPr>
        <w:pStyle w:val="7"/>
        <w:keepNext w:val="0"/>
        <w:keepLines w:val="0"/>
        <w:spacing w:before="0" w:after="0" w:line="420" w:lineRule="exact"/>
        <w:rPr>
          <w:rFonts w:hint="eastAsia" w:ascii="黑体" w:hAnsi="黑体" w:eastAsia="黑体"/>
          <w:color w:val="auto"/>
          <w:sz w:val="24"/>
          <w:highlight w:val="none"/>
        </w:rPr>
      </w:pPr>
      <w:r>
        <w:rPr>
          <w:rFonts w:hint="eastAsia" w:ascii="黑体" w:hAnsi="黑体" w:eastAsia="黑体"/>
          <w:color w:val="auto"/>
          <w:sz w:val="24"/>
          <w:highlight w:val="none"/>
        </w:rPr>
        <w:t>27.评标的依据</w:t>
      </w:r>
    </w:p>
    <w:p w14:paraId="705E8D5D">
      <w:pPr>
        <w:pStyle w:val="24"/>
        <w:snapToGrid w:val="0"/>
        <w:spacing w:line="420" w:lineRule="exact"/>
        <w:ind w:firstLine="398" w:firstLineChars="200"/>
        <w:rPr>
          <w:rFonts w:hint="eastAsia" w:hAnsi="宋体"/>
          <w:color w:val="auto"/>
          <w:sz w:val="21"/>
          <w:highlight w:val="none"/>
        </w:rPr>
      </w:pPr>
      <w:r>
        <w:rPr>
          <w:rFonts w:hint="eastAsia" w:hAnsi="宋体"/>
          <w:color w:val="auto"/>
          <w:sz w:val="21"/>
          <w:highlight w:val="none"/>
        </w:rPr>
        <w:t>评标委员会以</w:t>
      </w:r>
      <w:r>
        <w:rPr>
          <w:rFonts w:hint="eastAsia" w:hAnsi="宋体" w:cs="宋体"/>
          <w:color w:val="auto"/>
          <w:sz w:val="21"/>
          <w:highlight w:val="none"/>
        </w:rPr>
        <w:t>“第四章 评标方法和评标标准”</w:t>
      </w:r>
      <w:r>
        <w:rPr>
          <w:rFonts w:hint="eastAsia" w:hAnsi="宋体"/>
          <w:color w:val="auto"/>
          <w:sz w:val="21"/>
          <w:highlight w:val="none"/>
        </w:rPr>
        <w:t>为依据对投标文件进行评审，</w:t>
      </w:r>
      <w:r>
        <w:rPr>
          <w:rFonts w:hAnsi="宋体"/>
          <w:color w:val="auto"/>
          <w:sz w:val="21"/>
          <w:highlight w:val="none"/>
        </w:rPr>
        <w:t>没有规定的方法、评审因素和标准，不作为评标依据。</w:t>
      </w:r>
    </w:p>
    <w:p w14:paraId="766220E4">
      <w:pPr>
        <w:pStyle w:val="7"/>
        <w:keepNext w:val="0"/>
        <w:keepLines w:val="0"/>
        <w:spacing w:before="0" w:after="0" w:line="420" w:lineRule="exact"/>
        <w:rPr>
          <w:rFonts w:hint="eastAsia" w:ascii="黑体" w:hAnsi="黑体" w:eastAsia="黑体"/>
          <w:color w:val="auto"/>
          <w:sz w:val="24"/>
          <w:highlight w:val="none"/>
        </w:rPr>
      </w:pPr>
      <w:r>
        <w:rPr>
          <w:rFonts w:hint="eastAsia" w:ascii="黑体" w:hAnsi="黑体" w:eastAsia="黑体"/>
          <w:color w:val="auto"/>
          <w:sz w:val="24"/>
          <w:highlight w:val="none"/>
        </w:rPr>
        <w:t>28.评标原则</w:t>
      </w:r>
    </w:p>
    <w:p w14:paraId="2D94D1A0">
      <w:pPr>
        <w:pStyle w:val="24"/>
        <w:snapToGrid w:val="0"/>
        <w:spacing w:line="420" w:lineRule="exact"/>
        <w:ind w:firstLine="398" w:firstLineChars="200"/>
        <w:rPr>
          <w:rFonts w:hint="eastAsia" w:hAnsi="宋体"/>
          <w:color w:val="auto"/>
          <w:sz w:val="21"/>
          <w:highlight w:val="none"/>
        </w:rPr>
      </w:pPr>
      <w:r>
        <w:rPr>
          <w:rFonts w:hint="eastAsia" w:hAnsi="宋体"/>
          <w:color w:val="auto"/>
          <w:sz w:val="21"/>
          <w:highlight w:val="none"/>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413AB846">
      <w:pPr>
        <w:pStyle w:val="24"/>
        <w:snapToGrid w:val="0"/>
        <w:spacing w:line="420" w:lineRule="exact"/>
        <w:ind w:firstLine="398" w:firstLineChars="200"/>
        <w:rPr>
          <w:rFonts w:hint="eastAsia" w:hAnsi="宋体"/>
          <w:color w:val="auto"/>
          <w:sz w:val="21"/>
          <w:highlight w:val="none"/>
        </w:rPr>
      </w:pPr>
      <w:r>
        <w:rPr>
          <w:rFonts w:hint="eastAsia" w:hAnsi="宋体"/>
          <w:color w:val="auto"/>
          <w:sz w:val="21"/>
          <w:highlight w:val="none"/>
        </w:rPr>
        <w:t>28.2</w:t>
      </w:r>
      <w:bookmarkStart w:id="124" w:name="_28.3评标方法。本项目将按须知前附表规定的评标办法进行评标，具体评标"/>
      <w:bookmarkEnd w:id="124"/>
      <w:r>
        <w:rPr>
          <w:rFonts w:hint="eastAsia" w:hAnsi="宋体"/>
          <w:color w:val="auto"/>
          <w:sz w:val="21"/>
          <w:highlight w:val="none"/>
        </w:rPr>
        <w:t>评委表决。评标委员会成员对需要共同认定的事项存在争议的，应当按照少数服从多数的原则作出结论。</w:t>
      </w:r>
    </w:p>
    <w:p w14:paraId="04BC2468">
      <w:pPr>
        <w:pStyle w:val="24"/>
        <w:snapToGrid w:val="0"/>
        <w:spacing w:line="420" w:lineRule="exact"/>
        <w:ind w:firstLine="398" w:firstLineChars="200"/>
        <w:rPr>
          <w:rFonts w:hint="eastAsia" w:hAnsi="宋体"/>
          <w:color w:val="auto"/>
          <w:sz w:val="21"/>
          <w:highlight w:val="none"/>
        </w:rPr>
      </w:pPr>
      <w:r>
        <w:rPr>
          <w:rFonts w:hint="eastAsia" w:hAnsi="宋体"/>
          <w:color w:val="auto"/>
          <w:sz w:val="21"/>
          <w:highlight w:val="none"/>
        </w:rPr>
        <w:t>28.</w:t>
      </w:r>
      <w:r>
        <w:rPr>
          <w:rFonts w:hAnsi="宋体"/>
          <w:color w:val="auto"/>
          <w:sz w:val="21"/>
          <w:highlight w:val="none"/>
        </w:rPr>
        <w:t>3</w:t>
      </w:r>
      <w:r>
        <w:rPr>
          <w:rFonts w:hint="eastAsia" w:hAnsi="宋体"/>
          <w:color w:val="auto"/>
          <w:sz w:val="21"/>
          <w:highlight w:val="none"/>
        </w:rPr>
        <w:t>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40CD6E7E">
      <w:pPr>
        <w:pStyle w:val="24"/>
        <w:snapToGrid w:val="0"/>
        <w:spacing w:line="420" w:lineRule="exact"/>
        <w:ind w:firstLine="398" w:firstLineChars="200"/>
        <w:rPr>
          <w:rFonts w:hint="eastAsia" w:hAnsi="宋体"/>
          <w:color w:val="auto"/>
          <w:sz w:val="21"/>
          <w:highlight w:val="none"/>
        </w:rPr>
      </w:pPr>
      <w:r>
        <w:rPr>
          <w:rFonts w:hint="eastAsia" w:hAnsi="宋体"/>
          <w:color w:val="auto"/>
          <w:sz w:val="21"/>
          <w:highlight w:val="none"/>
        </w:rPr>
        <w:t>2</w:t>
      </w:r>
      <w:r>
        <w:rPr>
          <w:rFonts w:hAnsi="宋体"/>
          <w:color w:val="auto"/>
          <w:sz w:val="21"/>
          <w:highlight w:val="none"/>
        </w:rPr>
        <w:t>8.4</w:t>
      </w:r>
      <w:r>
        <w:rPr>
          <w:rFonts w:hint="eastAsia" w:hAnsi="宋体"/>
          <w:color w:val="auto"/>
          <w:sz w:val="21"/>
          <w:highlight w:val="none"/>
        </w:rPr>
        <w:t>评标过程的监控。本项目电子评标过程实行网上留痕、全程录音、录像监控，</w:t>
      </w:r>
      <w:r>
        <w:rPr>
          <w:rFonts w:hint="eastAsia" w:hAnsi="宋体"/>
          <w:b/>
          <w:color w:val="auto"/>
          <w:sz w:val="21"/>
          <w:highlight w:val="none"/>
        </w:rPr>
        <w:t>投标人在评标过程中所进行的试图影响评标结果的不公正活动，可能导致其投标按无效处理。</w:t>
      </w:r>
    </w:p>
    <w:p w14:paraId="2414A0E8">
      <w:pPr>
        <w:pStyle w:val="7"/>
        <w:keepNext w:val="0"/>
        <w:keepLines w:val="0"/>
        <w:spacing w:before="0" w:after="0" w:line="420" w:lineRule="exact"/>
        <w:rPr>
          <w:rFonts w:hint="eastAsia" w:ascii="黑体" w:hAnsi="黑体" w:eastAsia="黑体"/>
          <w:color w:val="auto"/>
          <w:sz w:val="21"/>
          <w:szCs w:val="21"/>
          <w:highlight w:val="none"/>
        </w:rPr>
      </w:pPr>
      <w:r>
        <w:rPr>
          <w:rFonts w:hint="eastAsia" w:ascii="黑体" w:hAnsi="黑体" w:eastAsia="黑体"/>
          <w:color w:val="auto"/>
          <w:sz w:val="21"/>
          <w:szCs w:val="21"/>
          <w:highlight w:val="none"/>
        </w:rPr>
        <w:t>29.评标方法及中标候选人推荐</w:t>
      </w:r>
    </w:p>
    <w:p w14:paraId="466DA28C">
      <w:pPr>
        <w:pStyle w:val="24"/>
        <w:snapToGrid w:val="0"/>
        <w:spacing w:line="420" w:lineRule="exact"/>
        <w:ind w:firstLine="398" w:firstLineChars="200"/>
        <w:rPr>
          <w:rFonts w:hint="eastAsia" w:hAnsi="宋体"/>
          <w:color w:val="auto"/>
          <w:sz w:val="21"/>
          <w:highlight w:val="none"/>
        </w:rPr>
      </w:pPr>
      <w:r>
        <w:rPr>
          <w:rFonts w:hint="eastAsia" w:hAnsi="宋体"/>
          <w:color w:val="auto"/>
          <w:sz w:val="21"/>
          <w:highlight w:val="none"/>
        </w:rPr>
        <w:t>2</w:t>
      </w:r>
      <w:r>
        <w:rPr>
          <w:rFonts w:hAnsi="宋体"/>
          <w:color w:val="auto"/>
          <w:sz w:val="21"/>
          <w:highlight w:val="none"/>
        </w:rPr>
        <w:t>9.1</w:t>
      </w:r>
      <w:r>
        <w:rPr>
          <w:rFonts w:hint="eastAsia" w:hAnsi="宋体"/>
          <w:color w:val="auto"/>
          <w:sz w:val="21"/>
          <w:highlight w:val="none"/>
        </w:rPr>
        <w:t>本项目的评标方法详见“投标人须知前附表”。</w:t>
      </w:r>
    </w:p>
    <w:p w14:paraId="7701AC86">
      <w:pPr>
        <w:pStyle w:val="24"/>
        <w:snapToGrid w:val="0"/>
        <w:spacing w:line="420" w:lineRule="exact"/>
        <w:ind w:firstLine="398" w:firstLineChars="200"/>
        <w:rPr>
          <w:rFonts w:hint="eastAsia" w:hAnsi="宋体"/>
          <w:color w:val="auto"/>
          <w:sz w:val="21"/>
          <w:highlight w:val="none"/>
        </w:rPr>
      </w:pPr>
      <w:r>
        <w:rPr>
          <w:rFonts w:hint="eastAsia" w:hAnsi="宋体"/>
          <w:color w:val="auto"/>
          <w:sz w:val="21"/>
          <w:highlight w:val="none"/>
        </w:rPr>
        <w:t>2</w:t>
      </w:r>
      <w:r>
        <w:rPr>
          <w:rFonts w:hAnsi="宋体"/>
          <w:color w:val="auto"/>
          <w:sz w:val="21"/>
          <w:highlight w:val="none"/>
        </w:rPr>
        <w:t>9.2</w:t>
      </w:r>
      <w:r>
        <w:rPr>
          <w:rFonts w:hAnsi="宋体" w:cs="宋体"/>
          <w:color w:val="auto"/>
          <w:sz w:val="21"/>
          <w:highlight w:val="none"/>
        </w:rPr>
        <w:t xml:space="preserve"> </w:t>
      </w:r>
      <w:r>
        <w:rPr>
          <w:rFonts w:hint="eastAsia" w:hAnsi="宋体" w:cs="宋体"/>
          <w:color w:val="auto"/>
          <w:sz w:val="21"/>
          <w:highlight w:val="none"/>
        </w:rPr>
        <w:t>商务/技术要求</w:t>
      </w:r>
      <w:r>
        <w:rPr>
          <w:rFonts w:hint="eastAsia" w:hAnsi="宋体"/>
          <w:color w:val="auto"/>
          <w:sz w:val="21"/>
          <w:highlight w:val="none"/>
        </w:rPr>
        <w:t>允许负偏离的条款数</w:t>
      </w:r>
      <w:r>
        <w:rPr>
          <w:rFonts w:hAnsi="宋体"/>
          <w:color w:val="auto"/>
          <w:sz w:val="21"/>
          <w:highlight w:val="none"/>
        </w:rPr>
        <w:t>详见</w:t>
      </w:r>
      <w:r>
        <w:rPr>
          <w:rFonts w:hint="eastAsia" w:hAnsi="宋体"/>
          <w:color w:val="auto"/>
          <w:sz w:val="21"/>
          <w:highlight w:val="none"/>
        </w:rPr>
        <w:t>“投标人须知前附表”。</w:t>
      </w:r>
    </w:p>
    <w:p w14:paraId="16447E74">
      <w:pPr>
        <w:pStyle w:val="24"/>
        <w:snapToGrid w:val="0"/>
        <w:spacing w:line="420" w:lineRule="exact"/>
        <w:ind w:firstLine="398" w:firstLineChars="200"/>
        <w:rPr>
          <w:rFonts w:hint="eastAsia" w:hAnsi="宋体" w:cs="宋体"/>
          <w:color w:val="auto"/>
          <w:sz w:val="21"/>
          <w:highlight w:val="none"/>
        </w:rPr>
      </w:pPr>
      <w:r>
        <w:rPr>
          <w:rFonts w:hint="eastAsia" w:hAnsi="宋体"/>
          <w:color w:val="auto"/>
          <w:sz w:val="21"/>
          <w:highlight w:val="none"/>
        </w:rPr>
        <w:t>2</w:t>
      </w:r>
      <w:r>
        <w:rPr>
          <w:rFonts w:hAnsi="宋体"/>
          <w:color w:val="auto"/>
          <w:sz w:val="21"/>
          <w:highlight w:val="none"/>
        </w:rPr>
        <w:t>9.3</w:t>
      </w:r>
      <w:r>
        <w:rPr>
          <w:rFonts w:hAnsi="宋体" w:cs="宋体"/>
          <w:color w:val="auto"/>
          <w:sz w:val="21"/>
          <w:highlight w:val="none"/>
        </w:rPr>
        <w:t xml:space="preserve"> </w:t>
      </w:r>
      <w:r>
        <w:rPr>
          <w:rFonts w:hAnsi="宋体"/>
          <w:color w:val="auto"/>
          <w:sz w:val="21"/>
          <w:highlight w:val="none"/>
        </w:rPr>
        <w:t>中标候选人推荐数量详见</w:t>
      </w:r>
      <w:r>
        <w:rPr>
          <w:rFonts w:hint="eastAsia" w:hAnsi="宋体"/>
          <w:color w:val="auto"/>
          <w:sz w:val="21"/>
          <w:highlight w:val="none"/>
        </w:rPr>
        <w:t>“投标人须知前附表”。</w:t>
      </w:r>
    </w:p>
    <w:p w14:paraId="5CB3DFA9">
      <w:pPr>
        <w:pStyle w:val="24"/>
        <w:snapToGrid w:val="0"/>
        <w:spacing w:line="420" w:lineRule="exact"/>
        <w:ind w:firstLine="398" w:firstLineChars="200"/>
        <w:rPr>
          <w:rFonts w:hint="eastAsia" w:hAnsi="宋体"/>
          <w:color w:val="auto"/>
          <w:sz w:val="21"/>
          <w:highlight w:val="none"/>
        </w:rPr>
      </w:pPr>
      <w:r>
        <w:rPr>
          <w:rFonts w:hint="eastAsia" w:hAnsi="宋体"/>
          <w:color w:val="auto"/>
          <w:sz w:val="21"/>
          <w:highlight w:val="none"/>
        </w:rPr>
        <w:t>29.</w:t>
      </w:r>
      <w:r>
        <w:rPr>
          <w:rFonts w:hAnsi="宋体"/>
          <w:color w:val="auto"/>
          <w:sz w:val="21"/>
          <w:highlight w:val="none"/>
        </w:rPr>
        <w:t>4</w:t>
      </w:r>
      <w:r>
        <w:rPr>
          <w:rFonts w:hint="eastAsia" w:hAnsi="宋体"/>
          <w:color w:val="auto"/>
          <w:sz w:val="21"/>
          <w:highlight w:val="none"/>
        </w:rPr>
        <w:t xml:space="preserve"> 电子交易活动的中止。采购过程中出现以下情形，导致电子交易平台无法正常运行，或者无法保证电子交易的公平、公正和安全时，采购代理机构可以中止电子交易活动：</w:t>
      </w:r>
    </w:p>
    <w:p w14:paraId="7B984715">
      <w:pPr>
        <w:pStyle w:val="24"/>
        <w:snapToGrid w:val="0"/>
        <w:spacing w:line="420" w:lineRule="exact"/>
        <w:ind w:firstLine="398" w:firstLineChars="200"/>
        <w:rPr>
          <w:rFonts w:hint="eastAsia" w:hAnsi="宋体"/>
          <w:color w:val="auto"/>
          <w:sz w:val="21"/>
          <w:highlight w:val="none"/>
        </w:rPr>
      </w:pPr>
      <w:r>
        <w:rPr>
          <w:rFonts w:hint="eastAsia" w:hAnsi="宋体"/>
          <w:color w:val="auto"/>
          <w:sz w:val="21"/>
          <w:highlight w:val="none"/>
        </w:rPr>
        <w:t xml:space="preserve">（1）电子交易平台发生故障而无法登录访问的； </w:t>
      </w:r>
    </w:p>
    <w:p w14:paraId="1BEBF807">
      <w:pPr>
        <w:pStyle w:val="24"/>
        <w:snapToGrid w:val="0"/>
        <w:spacing w:line="420" w:lineRule="exact"/>
        <w:ind w:firstLine="398" w:firstLineChars="200"/>
        <w:rPr>
          <w:rFonts w:hint="eastAsia" w:hAnsi="宋体"/>
          <w:color w:val="auto"/>
          <w:sz w:val="21"/>
          <w:highlight w:val="none"/>
        </w:rPr>
      </w:pPr>
      <w:r>
        <w:rPr>
          <w:rFonts w:hint="eastAsia" w:hAnsi="宋体"/>
          <w:color w:val="auto"/>
          <w:sz w:val="21"/>
          <w:highlight w:val="none"/>
        </w:rPr>
        <w:t>（2）电子交易平台应用或数据库出现错误，不能进行正常操作的；</w:t>
      </w:r>
    </w:p>
    <w:p w14:paraId="4696E0B6">
      <w:pPr>
        <w:pStyle w:val="24"/>
        <w:snapToGrid w:val="0"/>
        <w:spacing w:line="420" w:lineRule="exact"/>
        <w:ind w:firstLine="398" w:firstLineChars="200"/>
        <w:rPr>
          <w:rFonts w:hint="eastAsia" w:hAnsi="宋体"/>
          <w:color w:val="auto"/>
          <w:sz w:val="21"/>
          <w:highlight w:val="none"/>
        </w:rPr>
      </w:pPr>
      <w:r>
        <w:rPr>
          <w:rFonts w:hint="eastAsia" w:hAnsi="宋体"/>
          <w:color w:val="auto"/>
          <w:sz w:val="21"/>
          <w:highlight w:val="none"/>
        </w:rPr>
        <w:t>（3）电子交易平台发现严重安全漏洞，有潜在泄密危险的；</w:t>
      </w:r>
    </w:p>
    <w:p w14:paraId="25377A7D">
      <w:pPr>
        <w:pStyle w:val="24"/>
        <w:snapToGrid w:val="0"/>
        <w:spacing w:line="420" w:lineRule="exact"/>
        <w:ind w:firstLine="398" w:firstLineChars="200"/>
        <w:rPr>
          <w:rFonts w:hint="eastAsia" w:hAnsi="宋体"/>
          <w:color w:val="auto"/>
          <w:sz w:val="21"/>
          <w:highlight w:val="none"/>
        </w:rPr>
      </w:pPr>
      <w:r>
        <w:rPr>
          <w:rFonts w:hint="eastAsia" w:hAnsi="宋体"/>
          <w:color w:val="auto"/>
          <w:sz w:val="21"/>
          <w:highlight w:val="none"/>
        </w:rPr>
        <w:t xml:space="preserve">（4）病毒发作导致不能进行正常操作的； </w:t>
      </w:r>
    </w:p>
    <w:p w14:paraId="5C62D51D">
      <w:pPr>
        <w:pStyle w:val="24"/>
        <w:snapToGrid w:val="0"/>
        <w:spacing w:line="420" w:lineRule="exact"/>
        <w:ind w:firstLine="398" w:firstLineChars="200"/>
        <w:rPr>
          <w:rFonts w:hint="eastAsia" w:hAnsi="宋体"/>
          <w:color w:val="auto"/>
          <w:sz w:val="21"/>
          <w:highlight w:val="none"/>
        </w:rPr>
      </w:pPr>
      <w:r>
        <w:rPr>
          <w:rFonts w:hint="eastAsia" w:hAnsi="宋体"/>
          <w:color w:val="auto"/>
          <w:sz w:val="21"/>
          <w:highlight w:val="none"/>
        </w:rPr>
        <w:t>（5）其他无法保证电子交易的公平、公正和安全的情况。</w:t>
      </w:r>
    </w:p>
    <w:p w14:paraId="5696B338">
      <w:pPr>
        <w:pStyle w:val="24"/>
        <w:snapToGrid w:val="0"/>
        <w:spacing w:line="420" w:lineRule="exact"/>
        <w:ind w:firstLine="398" w:firstLineChars="200"/>
        <w:rPr>
          <w:rFonts w:hint="eastAsia" w:hAnsi="宋体"/>
          <w:color w:val="auto"/>
          <w:sz w:val="21"/>
          <w:highlight w:val="none"/>
        </w:rPr>
      </w:pPr>
      <w:r>
        <w:rPr>
          <w:rFonts w:hint="eastAsia" w:hAnsi="宋体"/>
          <w:color w:val="auto"/>
          <w:sz w:val="21"/>
          <w:highlight w:val="none"/>
        </w:rPr>
        <w:t>出现以上情形，不影响采购公平、公正性的，采购代理机构可以待上述情形消除后继续组织电子交易活动；影响或可能影响采购公平、公正性的，经采购代理机构确认、报采购人同意后，终止电子采购活动，应当重新采购。采购代理机构必须对原有的资料及信息作出妥善保密处理，并报财政部门备案。</w:t>
      </w:r>
    </w:p>
    <w:p w14:paraId="6E664495">
      <w:pPr>
        <w:pStyle w:val="24"/>
        <w:snapToGrid w:val="0"/>
        <w:spacing w:line="420" w:lineRule="exact"/>
        <w:ind w:firstLine="398" w:firstLineChars="200"/>
        <w:rPr>
          <w:rFonts w:hint="eastAsia" w:hAnsi="宋体"/>
          <w:color w:val="auto"/>
          <w:sz w:val="21"/>
          <w:highlight w:val="none"/>
        </w:rPr>
      </w:pPr>
      <w:r>
        <w:rPr>
          <w:rFonts w:hint="eastAsia" w:hAnsi="宋体"/>
          <w:color w:val="auto"/>
          <w:sz w:val="21"/>
          <w:highlight w:val="none"/>
        </w:rPr>
        <w:t>29.5出现下列情形之一的，应予废标：</w:t>
      </w:r>
    </w:p>
    <w:p w14:paraId="6461EEC7">
      <w:pPr>
        <w:pStyle w:val="24"/>
        <w:snapToGrid w:val="0"/>
        <w:spacing w:line="420" w:lineRule="exact"/>
        <w:ind w:firstLine="398" w:firstLineChars="200"/>
        <w:rPr>
          <w:rFonts w:hint="eastAsia" w:hAnsi="宋体"/>
          <w:color w:val="auto"/>
          <w:sz w:val="21"/>
          <w:highlight w:val="none"/>
        </w:rPr>
      </w:pPr>
      <w:r>
        <w:rPr>
          <w:rFonts w:hint="eastAsia" w:hAnsi="宋体"/>
          <w:color w:val="auto"/>
          <w:sz w:val="21"/>
          <w:highlight w:val="none"/>
        </w:rPr>
        <w:t>（1）符合专业条件的供应商或者对招标文件作实质响应的供应商不足三家的；</w:t>
      </w:r>
    </w:p>
    <w:p w14:paraId="1C1242CE">
      <w:pPr>
        <w:pStyle w:val="24"/>
        <w:snapToGrid w:val="0"/>
        <w:spacing w:line="420" w:lineRule="exact"/>
        <w:ind w:firstLine="398" w:firstLineChars="200"/>
        <w:rPr>
          <w:rFonts w:hint="eastAsia" w:hAnsi="宋体"/>
          <w:color w:val="auto"/>
          <w:sz w:val="21"/>
          <w:highlight w:val="none"/>
        </w:rPr>
      </w:pPr>
      <w:r>
        <w:rPr>
          <w:rFonts w:hint="eastAsia" w:hAnsi="宋体"/>
          <w:color w:val="auto"/>
          <w:sz w:val="21"/>
          <w:highlight w:val="none"/>
        </w:rPr>
        <w:t>（2）出现影响采购公正的违法、违规行为的；</w:t>
      </w:r>
    </w:p>
    <w:p w14:paraId="03998BA4">
      <w:pPr>
        <w:pStyle w:val="24"/>
        <w:snapToGrid w:val="0"/>
        <w:spacing w:line="420" w:lineRule="exact"/>
        <w:ind w:firstLine="398" w:firstLineChars="200"/>
        <w:rPr>
          <w:rFonts w:hint="eastAsia" w:hAnsi="宋体"/>
          <w:color w:val="auto"/>
          <w:sz w:val="21"/>
          <w:highlight w:val="none"/>
        </w:rPr>
      </w:pPr>
      <w:r>
        <w:rPr>
          <w:rFonts w:hint="eastAsia" w:hAnsi="宋体"/>
          <w:color w:val="auto"/>
          <w:sz w:val="21"/>
          <w:highlight w:val="none"/>
        </w:rPr>
        <w:t>（3）投标人的报价均超过了采购预算，采购人不能支付的；</w:t>
      </w:r>
    </w:p>
    <w:p w14:paraId="348ECBE6">
      <w:pPr>
        <w:pStyle w:val="24"/>
        <w:snapToGrid w:val="0"/>
        <w:spacing w:line="420" w:lineRule="exact"/>
        <w:ind w:firstLine="398" w:firstLineChars="200"/>
        <w:rPr>
          <w:rFonts w:hint="eastAsia" w:hAnsi="宋体"/>
          <w:color w:val="auto"/>
          <w:sz w:val="21"/>
          <w:highlight w:val="none"/>
        </w:rPr>
      </w:pPr>
      <w:r>
        <w:rPr>
          <w:rFonts w:hint="eastAsia" w:hAnsi="宋体"/>
          <w:color w:val="auto"/>
          <w:sz w:val="21"/>
          <w:highlight w:val="none"/>
        </w:rPr>
        <w:t>（4）因重大变故，采购任务取消的。</w:t>
      </w:r>
    </w:p>
    <w:p w14:paraId="65310EAB">
      <w:pPr>
        <w:pStyle w:val="24"/>
        <w:snapToGrid w:val="0"/>
        <w:spacing w:line="420" w:lineRule="exact"/>
        <w:ind w:firstLine="398" w:firstLineChars="200"/>
        <w:rPr>
          <w:rFonts w:hint="eastAsia" w:hAnsi="宋体"/>
          <w:color w:val="auto"/>
          <w:sz w:val="21"/>
          <w:highlight w:val="none"/>
        </w:rPr>
      </w:pPr>
      <w:r>
        <w:rPr>
          <w:rFonts w:hint="eastAsia" w:hAnsi="宋体"/>
          <w:color w:val="auto"/>
          <w:sz w:val="21"/>
          <w:highlight w:val="none"/>
        </w:rPr>
        <w:t>废标后，采购人应当将废标理由通知所有投标人。</w:t>
      </w:r>
    </w:p>
    <w:p w14:paraId="260CA757">
      <w:pPr>
        <w:pStyle w:val="24"/>
        <w:snapToGrid w:val="0"/>
        <w:spacing w:line="420" w:lineRule="exact"/>
        <w:rPr>
          <w:rFonts w:hint="eastAsia" w:hAnsi="宋体"/>
          <w:color w:val="auto"/>
          <w:sz w:val="21"/>
          <w:highlight w:val="none"/>
        </w:rPr>
      </w:pPr>
    </w:p>
    <w:p w14:paraId="4E7C79B0">
      <w:pPr>
        <w:pStyle w:val="5"/>
        <w:keepNext w:val="0"/>
        <w:keepLines w:val="0"/>
        <w:spacing w:before="0" w:after="0" w:line="420" w:lineRule="exact"/>
        <w:jc w:val="center"/>
        <w:rPr>
          <w:color w:val="auto"/>
          <w:highlight w:val="none"/>
        </w:rPr>
      </w:pPr>
      <w:bookmarkStart w:id="125" w:name="_Toc254970687"/>
      <w:bookmarkStart w:id="126" w:name="_Toc254970546"/>
      <w:r>
        <w:rPr>
          <w:rFonts w:hint="eastAsia"/>
          <w:color w:val="auto"/>
          <w:highlight w:val="none"/>
        </w:rPr>
        <w:t>七、</w:t>
      </w:r>
      <w:bookmarkEnd w:id="125"/>
      <w:bookmarkEnd w:id="126"/>
      <w:r>
        <w:rPr>
          <w:rFonts w:hint="eastAsia"/>
          <w:color w:val="auto"/>
          <w:highlight w:val="none"/>
        </w:rPr>
        <w:t>中标和合同</w:t>
      </w:r>
    </w:p>
    <w:p w14:paraId="185540E9">
      <w:pPr>
        <w:pStyle w:val="7"/>
        <w:keepNext w:val="0"/>
        <w:keepLines w:val="0"/>
        <w:spacing w:before="0" w:after="0" w:line="420" w:lineRule="exact"/>
        <w:rPr>
          <w:rFonts w:hint="eastAsia" w:ascii="黑体" w:hAnsi="黑体" w:eastAsia="黑体"/>
          <w:color w:val="auto"/>
          <w:sz w:val="24"/>
          <w:highlight w:val="none"/>
        </w:rPr>
      </w:pPr>
      <w:r>
        <w:rPr>
          <w:rFonts w:hint="eastAsia" w:ascii="黑体" w:hAnsi="黑体" w:eastAsia="黑体"/>
          <w:color w:val="auto"/>
          <w:sz w:val="24"/>
          <w:highlight w:val="none"/>
        </w:rPr>
        <w:t>30.确定中标人</w:t>
      </w:r>
    </w:p>
    <w:p w14:paraId="19A7FAAC">
      <w:pPr>
        <w:pStyle w:val="7"/>
        <w:keepNext w:val="0"/>
        <w:keepLines w:val="0"/>
        <w:spacing w:before="0" w:after="0" w:line="420" w:lineRule="exact"/>
        <w:ind w:firstLine="398" w:firstLineChars="200"/>
        <w:rPr>
          <w:rFonts w:hint="eastAsia" w:ascii="宋体" w:hAnsi="宋体"/>
          <w:b w:val="0"/>
          <w:color w:val="auto"/>
          <w:sz w:val="21"/>
          <w:szCs w:val="21"/>
          <w:highlight w:val="none"/>
        </w:rPr>
      </w:pPr>
      <w:r>
        <w:rPr>
          <w:rFonts w:ascii="宋体" w:hAnsi="宋体"/>
          <w:b w:val="0"/>
          <w:color w:val="auto"/>
          <w:sz w:val="21"/>
          <w:szCs w:val="21"/>
          <w:highlight w:val="none"/>
        </w:rPr>
        <w:t>30.1</w:t>
      </w:r>
      <w:r>
        <w:rPr>
          <w:rFonts w:hint="eastAsia" w:ascii="宋体" w:hAnsi="宋体"/>
          <w:b w:val="0"/>
          <w:color w:val="auto"/>
          <w:sz w:val="21"/>
          <w:szCs w:val="21"/>
          <w:highlight w:val="none"/>
        </w:rPr>
        <w:t>采购代理机构在评标结束之日起2个工作日内将评标报告送采购人，采购人在收到评标报告之日起5个工作日内，在评标报告确定的中标候选人名单中按顺序确定中标人。中标候选人并列的，按照“投标人须知前附表”规定的方式确定中标人。采购人也可以事先授权评标委员会直接确定中标人。</w:t>
      </w:r>
    </w:p>
    <w:p w14:paraId="5C484BA9">
      <w:pPr>
        <w:snapToGrid w:val="0"/>
        <w:spacing w:line="420" w:lineRule="exact"/>
        <w:ind w:firstLine="398" w:firstLineChars="200"/>
        <w:rPr>
          <w:rFonts w:hint="eastAsia" w:ascii="宋体" w:hAnsi="宋体" w:cs="Courier New"/>
          <w:color w:val="auto"/>
          <w:szCs w:val="21"/>
          <w:highlight w:val="none"/>
        </w:rPr>
      </w:pPr>
      <w:r>
        <w:rPr>
          <w:rFonts w:ascii="宋体" w:hAnsi="宋体" w:cs="Courier New"/>
          <w:color w:val="auto"/>
          <w:szCs w:val="21"/>
          <w:highlight w:val="none"/>
        </w:rPr>
        <w:t>30.2</w:t>
      </w:r>
      <w:r>
        <w:rPr>
          <w:rFonts w:hint="eastAsia" w:ascii="宋体" w:hAnsi="宋体" w:cs="Courier New"/>
          <w:color w:val="auto"/>
          <w:szCs w:val="21"/>
          <w:highlight w:val="none"/>
        </w:rPr>
        <w:t>采购人在收到评标报告5个工作日内未按评标报告推荐的中标候选人顺序确定中标人，又不能说明合法理由的，视同按评标报告推荐的顺序确定排名第一的中标候选人为中标人。</w:t>
      </w:r>
    </w:p>
    <w:p w14:paraId="5C8B6E8E">
      <w:pPr>
        <w:pStyle w:val="7"/>
        <w:keepNext w:val="0"/>
        <w:keepLines w:val="0"/>
        <w:spacing w:before="0" w:after="0" w:line="420" w:lineRule="exact"/>
        <w:rPr>
          <w:rFonts w:hint="eastAsia" w:ascii="黑体" w:hAnsi="黑体" w:eastAsia="黑体"/>
          <w:color w:val="auto"/>
          <w:sz w:val="24"/>
          <w:highlight w:val="none"/>
        </w:rPr>
      </w:pPr>
      <w:r>
        <w:rPr>
          <w:rFonts w:hint="eastAsia" w:ascii="黑体" w:hAnsi="黑体" w:eastAsia="黑体"/>
          <w:color w:val="auto"/>
          <w:sz w:val="24"/>
          <w:highlight w:val="none"/>
        </w:rPr>
        <w:t>31.结果公告</w:t>
      </w:r>
    </w:p>
    <w:p w14:paraId="6C1D2775">
      <w:pPr>
        <w:pStyle w:val="7"/>
        <w:keepNext w:val="0"/>
        <w:keepLines w:val="0"/>
        <w:spacing w:before="0" w:after="0" w:line="420" w:lineRule="exact"/>
        <w:ind w:firstLine="398"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3</w:t>
      </w:r>
      <w:r>
        <w:rPr>
          <w:rFonts w:ascii="宋体" w:hAnsi="宋体"/>
          <w:b w:val="0"/>
          <w:color w:val="auto"/>
          <w:sz w:val="21"/>
          <w:szCs w:val="21"/>
          <w:highlight w:val="none"/>
        </w:rPr>
        <w:t>1.1</w:t>
      </w:r>
      <w:r>
        <w:rPr>
          <w:rFonts w:hint="eastAsia" w:ascii="宋体" w:hAnsi="宋体"/>
          <w:b w:val="0"/>
          <w:color w:val="auto"/>
          <w:sz w:val="21"/>
          <w:szCs w:val="21"/>
          <w:highlight w:val="none"/>
        </w:rPr>
        <w:t>采购人或者采购代理机构应当自中标人确定之日起2个工作日内，在省级以上财政部门指定的媒体上公告中标结果，招标文件应当随中标结果同时公告。采购人或者采购代理发出中标通知书前，应当对中标人信用进行查询，对列入失信被执行人、重大税收违法失信主体、政府采购严重违法失信行为记录名单及其他不符合《中华人民共和国政府采购法》第二十二条规定条件的投标人，取消其中标资格，并确定排名第二的中标候选人为中标人。排名第二的中标候选人因前款规定的同样原因被取消中标资格的，采购人可以确定排名第三的中标候选人为中标人，以此类推。</w:t>
      </w:r>
    </w:p>
    <w:p w14:paraId="357FA698">
      <w:pPr>
        <w:snapToGrid w:val="0"/>
        <w:spacing w:line="420" w:lineRule="exact"/>
        <w:ind w:firstLine="398" w:firstLineChars="200"/>
        <w:rPr>
          <w:rFonts w:hint="eastAsia" w:ascii="宋体" w:hAnsi="宋体"/>
          <w:color w:val="auto"/>
          <w:szCs w:val="21"/>
          <w:highlight w:val="none"/>
        </w:rPr>
      </w:pPr>
      <w:r>
        <w:rPr>
          <w:rFonts w:hint="eastAsia" w:ascii="宋体" w:hAnsi="宋体"/>
          <w:color w:val="auto"/>
          <w:szCs w:val="21"/>
          <w:highlight w:val="none"/>
        </w:rPr>
        <w:t>以上信息查询记录及相关证据与招标文件一并保存。</w:t>
      </w:r>
    </w:p>
    <w:p w14:paraId="7D26EF0E">
      <w:pPr>
        <w:pStyle w:val="7"/>
        <w:keepNext w:val="0"/>
        <w:keepLines w:val="0"/>
        <w:spacing w:before="0" w:after="0" w:line="420" w:lineRule="exact"/>
        <w:ind w:firstLine="398"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31.2中标供应商享受《政府采购促进中小企业发展管理办法》（财库〔2020〕46号）规定的中小企业扶持政策的，采购人、采购代理机构应当随中标结果公开中标供应商的《中小企业声明函》。</w:t>
      </w:r>
    </w:p>
    <w:p w14:paraId="59ADE41F">
      <w:pPr>
        <w:pStyle w:val="7"/>
        <w:keepNext w:val="0"/>
        <w:keepLines w:val="0"/>
        <w:spacing w:before="0" w:after="0" w:line="420" w:lineRule="exact"/>
        <w:rPr>
          <w:rFonts w:hint="eastAsia" w:ascii="黑体" w:hAnsi="黑体" w:eastAsia="黑体"/>
          <w:color w:val="auto"/>
          <w:sz w:val="24"/>
          <w:highlight w:val="none"/>
        </w:rPr>
      </w:pPr>
      <w:r>
        <w:rPr>
          <w:rFonts w:hint="eastAsia" w:ascii="黑体" w:hAnsi="黑体" w:eastAsia="黑体"/>
          <w:color w:val="auto"/>
          <w:sz w:val="24"/>
          <w:highlight w:val="none"/>
        </w:rPr>
        <w:t>32.发出中标通知书</w:t>
      </w:r>
    </w:p>
    <w:p w14:paraId="7F1552CC">
      <w:pPr>
        <w:pStyle w:val="7"/>
        <w:keepNext w:val="0"/>
        <w:keepLines w:val="0"/>
        <w:numPr>
          <w:ilvl w:val="4"/>
          <w:numId w:val="0"/>
        </w:numPr>
        <w:spacing w:before="0" w:after="0" w:line="420" w:lineRule="exact"/>
        <w:ind w:leftChars="0" w:firstLine="398"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在发布中标公告的同时，采购代理机构向中标人通过广西政府采购云平台发出电子中标通知书。对未通过资格审查的投标人，应当告知其未通过的原因；采用综合评分办法评审的，还应当告知未中标人本人的评审得分与排序。</w:t>
      </w:r>
    </w:p>
    <w:p w14:paraId="70165EA2">
      <w:pPr>
        <w:pStyle w:val="7"/>
        <w:keepNext w:val="0"/>
        <w:keepLines w:val="0"/>
        <w:spacing w:before="0" w:after="0" w:line="420" w:lineRule="exact"/>
        <w:rPr>
          <w:rFonts w:hint="eastAsia" w:ascii="黑体" w:hAnsi="黑体" w:eastAsia="黑体"/>
          <w:color w:val="auto"/>
          <w:sz w:val="24"/>
          <w:highlight w:val="none"/>
        </w:rPr>
      </w:pPr>
      <w:r>
        <w:rPr>
          <w:rFonts w:hint="eastAsia" w:ascii="黑体" w:hAnsi="黑体" w:eastAsia="黑体"/>
          <w:color w:val="auto"/>
          <w:sz w:val="24"/>
          <w:highlight w:val="none"/>
        </w:rPr>
        <w:t>33.无义务解释未中标原因</w:t>
      </w:r>
    </w:p>
    <w:p w14:paraId="253956E1">
      <w:pPr>
        <w:pStyle w:val="7"/>
        <w:keepNext w:val="0"/>
        <w:keepLines w:val="0"/>
        <w:spacing w:before="0" w:after="0" w:line="420" w:lineRule="exact"/>
        <w:rPr>
          <w:rFonts w:hint="eastAsia" w:ascii="宋体" w:hAnsi="宋体"/>
          <w:b w:val="0"/>
          <w:color w:val="auto"/>
          <w:sz w:val="21"/>
          <w:szCs w:val="21"/>
          <w:highlight w:val="none"/>
        </w:rPr>
      </w:pPr>
      <w:r>
        <w:rPr>
          <w:rFonts w:hint="eastAsia" w:ascii="宋体" w:hAnsi="宋体"/>
          <w:b w:val="0"/>
          <w:color w:val="auto"/>
          <w:sz w:val="21"/>
          <w:szCs w:val="21"/>
          <w:highlight w:val="none"/>
        </w:rPr>
        <w:t>采购代理机构无义务向未中标的投标人解释未中标原因。</w:t>
      </w:r>
    </w:p>
    <w:p w14:paraId="23C6AA1D">
      <w:pPr>
        <w:pStyle w:val="7"/>
        <w:keepNext w:val="0"/>
        <w:keepLines w:val="0"/>
        <w:spacing w:before="0" w:after="0" w:line="420" w:lineRule="exact"/>
        <w:rPr>
          <w:rFonts w:hint="eastAsia" w:ascii="黑体" w:hAnsi="黑体" w:eastAsia="黑体"/>
          <w:color w:val="auto"/>
          <w:sz w:val="24"/>
          <w:highlight w:val="none"/>
        </w:rPr>
      </w:pPr>
      <w:r>
        <w:rPr>
          <w:rFonts w:hint="eastAsia" w:ascii="黑体" w:hAnsi="黑体" w:eastAsia="黑体"/>
          <w:color w:val="auto"/>
          <w:sz w:val="24"/>
          <w:highlight w:val="none"/>
        </w:rPr>
        <w:t>34.合同授予标准</w:t>
      </w:r>
    </w:p>
    <w:p w14:paraId="1778F31A">
      <w:pPr>
        <w:snapToGrid w:val="0"/>
        <w:spacing w:line="420" w:lineRule="exact"/>
        <w:ind w:firstLine="398" w:firstLineChars="200"/>
        <w:rPr>
          <w:rFonts w:hint="eastAsia" w:ascii="宋体" w:hAnsi="宋体"/>
          <w:color w:val="auto"/>
          <w:szCs w:val="21"/>
          <w:highlight w:val="none"/>
        </w:rPr>
      </w:pPr>
      <w:r>
        <w:rPr>
          <w:rFonts w:hint="eastAsia" w:ascii="宋体" w:hAnsi="宋体" w:cs="Courier New"/>
          <w:color w:val="auto"/>
          <w:szCs w:val="21"/>
          <w:highlight w:val="none"/>
        </w:rPr>
        <w:t>合同将授予被确定实质上响应招标文件要求，具备履行合同能力的中标人。</w:t>
      </w:r>
    </w:p>
    <w:p w14:paraId="1612FAC0">
      <w:pPr>
        <w:pStyle w:val="7"/>
        <w:keepNext w:val="0"/>
        <w:keepLines w:val="0"/>
        <w:spacing w:before="0" w:after="0" w:line="420" w:lineRule="exact"/>
        <w:rPr>
          <w:rFonts w:hint="eastAsia" w:ascii="黑体" w:hAnsi="黑体" w:eastAsia="黑体"/>
          <w:color w:val="auto"/>
          <w:sz w:val="24"/>
          <w:highlight w:val="none"/>
        </w:rPr>
      </w:pPr>
      <w:r>
        <w:rPr>
          <w:rFonts w:hint="eastAsia" w:ascii="黑体" w:hAnsi="黑体" w:eastAsia="黑体"/>
          <w:color w:val="auto"/>
          <w:sz w:val="24"/>
          <w:highlight w:val="none"/>
        </w:rPr>
        <w:t>35.履约保证金</w:t>
      </w:r>
    </w:p>
    <w:p w14:paraId="712A441B">
      <w:pPr>
        <w:pStyle w:val="7"/>
        <w:keepNext w:val="0"/>
        <w:keepLines w:val="0"/>
        <w:spacing w:before="0" w:after="0" w:line="420" w:lineRule="exact"/>
        <w:ind w:firstLine="299" w:firstLineChars="150"/>
        <w:rPr>
          <w:rFonts w:hint="eastAsia" w:ascii="宋体" w:hAnsi="宋体"/>
          <w:b w:val="0"/>
          <w:color w:val="auto"/>
          <w:sz w:val="21"/>
          <w:szCs w:val="21"/>
          <w:highlight w:val="none"/>
        </w:rPr>
      </w:pPr>
      <w:bookmarkStart w:id="127" w:name="_39.1中标人须于签订合同前按本须知前附表规定的金额转账或电汇到指定账"/>
      <w:bookmarkEnd w:id="127"/>
      <w:r>
        <w:rPr>
          <w:rFonts w:hint="eastAsia" w:ascii="宋体" w:hAnsi="宋体"/>
          <w:b w:val="0"/>
          <w:color w:val="auto"/>
          <w:sz w:val="21"/>
          <w:szCs w:val="21"/>
          <w:highlight w:val="none"/>
        </w:rPr>
        <w:t>3</w:t>
      </w:r>
      <w:r>
        <w:rPr>
          <w:rFonts w:ascii="宋体" w:hAnsi="宋体"/>
          <w:b w:val="0"/>
          <w:color w:val="auto"/>
          <w:sz w:val="21"/>
          <w:szCs w:val="21"/>
          <w:highlight w:val="none"/>
        </w:rPr>
        <w:t>5</w:t>
      </w:r>
      <w:r>
        <w:rPr>
          <w:rFonts w:hint="eastAsia" w:ascii="宋体" w:hAnsi="宋体"/>
          <w:b w:val="0"/>
          <w:color w:val="auto"/>
          <w:sz w:val="21"/>
          <w:szCs w:val="21"/>
          <w:highlight w:val="none"/>
        </w:rPr>
        <w:t>.1履约保证金的金额、提交方式、缴纳期限、退付的时间和条件详见 “投标人须知前附表”。中标人未按规定提交履约保证金的，视为拒绝与采购人签订合同。</w:t>
      </w:r>
    </w:p>
    <w:p w14:paraId="7D83AE06">
      <w:pPr>
        <w:pStyle w:val="7"/>
        <w:keepNext w:val="0"/>
        <w:keepLines w:val="0"/>
        <w:spacing w:before="0" w:after="0" w:line="420" w:lineRule="exact"/>
        <w:ind w:firstLine="299" w:firstLineChars="150"/>
        <w:rPr>
          <w:rFonts w:hint="eastAsia" w:ascii="宋体" w:hAnsi="宋体"/>
          <w:color w:val="auto"/>
          <w:sz w:val="21"/>
          <w:szCs w:val="21"/>
          <w:highlight w:val="none"/>
        </w:rPr>
      </w:pPr>
      <w:r>
        <w:rPr>
          <w:rFonts w:hint="eastAsia" w:ascii="宋体" w:hAnsi="宋体"/>
          <w:b w:val="0"/>
          <w:bCs/>
          <w:color w:val="auto"/>
          <w:sz w:val="21"/>
          <w:szCs w:val="21"/>
          <w:highlight w:val="none"/>
        </w:rPr>
        <w:t>35.2在履约保证金退还日期前，若中标人的开户名称、开户银行、账号有变动的，请以书面形式通知履约保证金收取单位，否则由此产生的后果由中标人自行承担。</w:t>
      </w:r>
    </w:p>
    <w:p w14:paraId="3FB823E0">
      <w:pPr>
        <w:pStyle w:val="7"/>
        <w:keepNext w:val="0"/>
        <w:keepLines w:val="0"/>
        <w:spacing w:before="0" w:after="0" w:line="420" w:lineRule="exact"/>
        <w:rPr>
          <w:rFonts w:hint="eastAsia" w:ascii="黑体" w:hAnsi="黑体" w:eastAsia="黑体"/>
          <w:color w:val="auto"/>
          <w:sz w:val="24"/>
          <w:highlight w:val="none"/>
        </w:rPr>
      </w:pPr>
      <w:r>
        <w:rPr>
          <w:rFonts w:hint="eastAsia" w:ascii="黑体" w:hAnsi="黑体" w:eastAsia="黑体"/>
          <w:color w:val="auto"/>
          <w:sz w:val="24"/>
          <w:highlight w:val="none"/>
        </w:rPr>
        <w:t>36.签订合同</w:t>
      </w:r>
    </w:p>
    <w:p w14:paraId="1645206B">
      <w:pPr>
        <w:pStyle w:val="7"/>
        <w:keepNext w:val="0"/>
        <w:keepLines w:val="0"/>
        <w:spacing w:before="0" w:after="0" w:line="420" w:lineRule="exact"/>
        <w:ind w:firstLine="299" w:firstLineChars="150"/>
        <w:rPr>
          <w:rFonts w:hint="eastAsia" w:ascii="宋体" w:hAnsi="宋体"/>
          <w:b w:val="0"/>
          <w:color w:val="auto"/>
          <w:sz w:val="21"/>
          <w:szCs w:val="21"/>
          <w:highlight w:val="none"/>
        </w:rPr>
      </w:pPr>
      <w:bookmarkStart w:id="128" w:name="_40.1投标人接到中标通知书后，按须知前附表规定向采购人出示相关资格证"/>
      <w:bookmarkEnd w:id="128"/>
      <w:r>
        <w:rPr>
          <w:rFonts w:hint="eastAsia" w:ascii="宋体" w:hAnsi="宋体"/>
          <w:color w:val="auto"/>
          <w:sz w:val="21"/>
          <w:szCs w:val="21"/>
          <w:highlight w:val="none"/>
        </w:rPr>
        <w:t>36.1签订电子采购合同：中标人领取电子中标通知书后，</w:t>
      </w:r>
      <w:r>
        <w:rPr>
          <w:rFonts w:hint="eastAsia" w:ascii="宋体" w:hAnsi="宋体"/>
          <w:color w:val="auto"/>
          <w:kern w:val="0"/>
          <w:sz w:val="21"/>
          <w:szCs w:val="21"/>
          <w:highlight w:val="none"/>
        </w:rPr>
        <w:t>在</w:t>
      </w:r>
      <w:r>
        <w:rPr>
          <w:rFonts w:hint="eastAsia" w:ascii="宋体" w:hAnsi="宋体"/>
          <w:color w:val="auto"/>
          <w:kern w:val="0"/>
          <w:sz w:val="21"/>
          <w:szCs w:val="21"/>
          <w:highlight w:val="none"/>
          <w:lang w:val="zh-CN"/>
        </w:rPr>
        <w:t>规定的日期、时间、地点，由法定代表人或其授权代表与采购人代表签订电子采购合同。如中标人为联合体的，由联合体成员各方法定代表人或其授权代表与采购人代表签订合同。</w:t>
      </w:r>
    </w:p>
    <w:p w14:paraId="74F96CC1">
      <w:pPr>
        <w:pStyle w:val="7"/>
        <w:keepNext w:val="0"/>
        <w:keepLines w:val="0"/>
        <w:spacing w:before="0" w:after="0" w:line="420" w:lineRule="exact"/>
        <w:ind w:firstLine="299"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线下签订纸质合同：投标人领取中标通知书后，按“投标人须知前附表”规定向采购人出示相关证明材料，经采购人核验合格后方可签订合同。</w:t>
      </w:r>
    </w:p>
    <w:p w14:paraId="6069F762">
      <w:pPr>
        <w:pStyle w:val="7"/>
        <w:keepNext w:val="0"/>
        <w:keepLines w:val="0"/>
        <w:numPr>
          <w:ilvl w:val="0"/>
          <w:numId w:val="0"/>
        </w:numPr>
        <w:spacing w:before="0" w:after="0" w:line="420" w:lineRule="exact"/>
        <w:ind w:firstLine="398"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36.2签订合同时间：按中标通知书规定的时间与采购人签订合同。</w:t>
      </w:r>
    </w:p>
    <w:p w14:paraId="406F59E2">
      <w:pPr>
        <w:pStyle w:val="7"/>
        <w:keepNext w:val="0"/>
        <w:keepLines w:val="0"/>
        <w:numPr>
          <w:ilvl w:val="0"/>
          <w:numId w:val="0"/>
        </w:numPr>
        <w:spacing w:before="0" w:after="0" w:line="420" w:lineRule="exact"/>
        <w:ind w:firstLine="398"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36.</w:t>
      </w:r>
      <w:r>
        <w:rPr>
          <w:rFonts w:ascii="宋体" w:hAnsi="宋体"/>
          <w:b w:val="0"/>
          <w:color w:val="auto"/>
          <w:sz w:val="21"/>
          <w:szCs w:val="21"/>
          <w:highlight w:val="none"/>
        </w:rPr>
        <w:t>3</w:t>
      </w:r>
      <w:r>
        <w:rPr>
          <w:rFonts w:hint="eastAsia" w:ascii="宋体" w:hAnsi="宋体"/>
          <w:b w:val="0"/>
          <w:color w:val="auto"/>
          <w:sz w:val="21"/>
          <w:szCs w:val="21"/>
          <w:highlight w:val="none"/>
        </w:rPr>
        <w:t>中标人拒绝签订政府采购合同（包括但不限于放弃中标、因不可抗力不能履行合同而放弃签订合同），采购人可以按照评审报告推荐的中标候选人名单排序，确定下一候选人为中标供应商，也可以重新开展政府采购活动。如采购人无正当理由拒签合同的，给中标供应商造成损失的，中标供应商可追究采购人承担相应的法律责任。</w:t>
      </w:r>
    </w:p>
    <w:p w14:paraId="0AD80D9E">
      <w:pPr>
        <w:spacing w:line="420" w:lineRule="exact"/>
        <w:ind w:firstLine="398" w:firstLineChars="200"/>
        <w:rPr>
          <w:rFonts w:hint="eastAsia" w:ascii="宋体" w:hAnsi="宋体"/>
          <w:color w:val="auto"/>
          <w:szCs w:val="21"/>
          <w:highlight w:val="none"/>
        </w:rPr>
      </w:pPr>
      <w:r>
        <w:rPr>
          <w:rFonts w:hint="eastAsia" w:ascii="宋体" w:hAnsi="宋体"/>
          <w:color w:val="auto"/>
          <w:szCs w:val="21"/>
          <w:highlight w:val="none"/>
        </w:rPr>
        <w:t>36.4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1D8F2A10">
      <w:pPr>
        <w:spacing w:line="420" w:lineRule="exact"/>
        <w:ind w:firstLine="398" w:firstLineChars="200"/>
        <w:rPr>
          <w:rFonts w:hint="eastAsia" w:ascii="宋体" w:hAnsi="宋体"/>
          <w:color w:val="auto"/>
          <w:szCs w:val="21"/>
          <w:highlight w:val="none"/>
        </w:rPr>
      </w:pPr>
      <w:r>
        <w:rPr>
          <w:rFonts w:hint="eastAsia" w:ascii="宋体" w:hAnsi="宋体"/>
          <w:color w:val="auto"/>
          <w:szCs w:val="21"/>
          <w:highlight w:val="none"/>
        </w:rPr>
        <w:t>36.5采购人或中标供应商不得单方面向合同另一方提出任何招标文件没有约定的条件或不合理的要求，作为签订合同的条件；也不得协商另行订立背离招标文件和合同实质性内容的协议。</w:t>
      </w:r>
    </w:p>
    <w:p w14:paraId="184D5C1D">
      <w:pPr>
        <w:spacing w:line="420" w:lineRule="exact"/>
        <w:ind w:firstLine="398" w:firstLineChars="200"/>
        <w:rPr>
          <w:rFonts w:hint="eastAsia" w:ascii="宋体" w:hAnsi="宋体"/>
          <w:color w:val="auto"/>
          <w:szCs w:val="21"/>
          <w:highlight w:val="none"/>
        </w:rPr>
      </w:pPr>
      <w:r>
        <w:rPr>
          <w:rFonts w:hint="eastAsia" w:ascii="宋体" w:hAnsi="宋体"/>
          <w:color w:val="auto"/>
          <w:szCs w:val="21"/>
          <w:highlight w:val="none"/>
        </w:rPr>
        <w:t>36.6</w:t>
      </w:r>
      <w:r>
        <w:rPr>
          <w:rFonts w:hint="eastAsia" w:ascii="宋体" w:hAnsi="宋体" w:cs="仿宋_GB2312"/>
          <w:color w:val="auto"/>
          <w:szCs w:val="21"/>
          <w:highlight w:val="none"/>
        </w:rPr>
        <w:t>如签订合同并生效后，供应商无故拒绝或延期，除按照合同条款处理外，将承担相应的法律责任。</w:t>
      </w:r>
    </w:p>
    <w:p w14:paraId="6AD39621">
      <w:pPr>
        <w:spacing w:line="420" w:lineRule="exact"/>
        <w:ind w:firstLine="398" w:firstLineChars="200"/>
        <w:rPr>
          <w:rFonts w:hint="eastAsia" w:ascii="宋体" w:hAnsi="宋体"/>
          <w:color w:val="auto"/>
          <w:szCs w:val="21"/>
          <w:highlight w:val="none"/>
        </w:rPr>
      </w:pPr>
      <w:r>
        <w:rPr>
          <w:rFonts w:hint="eastAsia" w:ascii="宋体" w:hAnsi="宋体"/>
          <w:color w:val="auto"/>
          <w:szCs w:val="21"/>
          <w:highlight w:val="none"/>
        </w:rPr>
        <w:t>36.7</w:t>
      </w:r>
      <w:r>
        <w:rPr>
          <w:rFonts w:hint="eastAsia" w:ascii="宋体" w:hAnsi="宋体" w:cs="宋体"/>
          <w:color w:val="auto"/>
          <w:szCs w:val="21"/>
          <w:highlight w:val="none"/>
        </w:rPr>
        <w:t>政府采购合同履行中，采购人需追加与合同标的相同的货物、工程或者服务的，在不改变合同其他条款的前提下，可以与供应商协商签订补充合同，但所有补充合同的采购金额不得超过原合同采购金额的10%。</w:t>
      </w:r>
    </w:p>
    <w:p w14:paraId="523368C6">
      <w:pPr>
        <w:pStyle w:val="7"/>
        <w:keepNext w:val="0"/>
        <w:keepLines w:val="0"/>
        <w:spacing w:before="0" w:after="0" w:line="420" w:lineRule="exact"/>
        <w:rPr>
          <w:rFonts w:hint="eastAsia" w:ascii="黑体" w:hAnsi="黑体" w:eastAsia="黑体"/>
          <w:color w:val="auto"/>
          <w:sz w:val="24"/>
          <w:highlight w:val="none"/>
        </w:rPr>
      </w:pPr>
      <w:bookmarkStart w:id="129" w:name="_41.政府采购合同公告"/>
      <w:bookmarkEnd w:id="129"/>
      <w:r>
        <w:rPr>
          <w:rFonts w:hint="eastAsia" w:ascii="黑体" w:hAnsi="黑体" w:eastAsia="黑体"/>
          <w:color w:val="auto"/>
          <w:sz w:val="24"/>
          <w:highlight w:val="none"/>
        </w:rPr>
        <w:t>37.政府采购合同公告</w:t>
      </w:r>
    </w:p>
    <w:p w14:paraId="19474647">
      <w:pPr>
        <w:pStyle w:val="24"/>
        <w:snapToGrid w:val="0"/>
        <w:spacing w:line="420" w:lineRule="exact"/>
        <w:ind w:firstLine="398" w:firstLineChars="200"/>
        <w:rPr>
          <w:rFonts w:hint="eastAsia" w:hAnsi="宋体"/>
          <w:color w:val="auto"/>
          <w:sz w:val="21"/>
          <w:highlight w:val="none"/>
        </w:rPr>
      </w:pPr>
      <w:r>
        <w:rPr>
          <w:rFonts w:hint="eastAsia" w:hAnsi="宋体"/>
          <w:color w:val="auto"/>
          <w:sz w:val="21"/>
          <w:highlight w:val="none"/>
        </w:rPr>
        <w:t>采购人或者受托采购代理机构应当自政府采购合同签订之日起2个工作日内，将政府采购合同在省级以上人民政府财政部门指定的媒体上公告，</w:t>
      </w:r>
      <w:r>
        <w:rPr>
          <w:rFonts w:hAnsi="宋体"/>
          <w:color w:val="auto"/>
          <w:sz w:val="21"/>
          <w:highlight w:val="none"/>
        </w:rPr>
        <w:t>但政府采购合同中涉及国家秘密、商业秘密的内容除外。</w:t>
      </w:r>
    </w:p>
    <w:p w14:paraId="5E5FDD2B">
      <w:pPr>
        <w:pStyle w:val="7"/>
        <w:keepNext w:val="0"/>
        <w:keepLines w:val="0"/>
        <w:spacing w:before="0" w:after="0" w:line="420" w:lineRule="exact"/>
        <w:rPr>
          <w:rFonts w:hint="eastAsia" w:ascii="黑体" w:hAnsi="黑体" w:eastAsia="黑体"/>
          <w:color w:val="auto"/>
          <w:sz w:val="24"/>
          <w:highlight w:val="none"/>
        </w:rPr>
      </w:pPr>
      <w:r>
        <w:rPr>
          <w:rFonts w:hint="eastAsia" w:ascii="黑体" w:hAnsi="黑体" w:eastAsia="黑体"/>
          <w:color w:val="auto"/>
          <w:sz w:val="24"/>
          <w:highlight w:val="none"/>
        </w:rPr>
        <w:t>3</w:t>
      </w:r>
      <w:r>
        <w:rPr>
          <w:rFonts w:ascii="黑体" w:hAnsi="黑体" w:eastAsia="黑体"/>
          <w:color w:val="auto"/>
          <w:sz w:val="24"/>
          <w:highlight w:val="none"/>
        </w:rPr>
        <w:t>8.</w:t>
      </w:r>
      <w:r>
        <w:rPr>
          <w:rFonts w:hint="eastAsia" w:ascii="黑体" w:hAnsi="黑体" w:eastAsia="黑体"/>
          <w:color w:val="auto"/>
          <w:sz w:val="24"/>
          <w:highlight w:val="none"/>
        </w:rPr>
        <w:t>询问、质疑和投诉</w:t>
      </w:r>
    </w:p>
    <w:p w14:paraId="1EB4B07C">
      <w:pPr>
        <w:pStyle w:val="8"/>
        <w:spacing w:line="420" w:lineRule="exact"/>
        <w:rPr>
          <w:rFonts w:hint="eastAsia" w:ascii="宋体" w:hAnsi="宋体"/>
          <w:color w:val="auto"/>
          <w:szCs w:val="21"/>
          <w:highlight w:val="none"/>
        </w:rPr>
      </w:pPr>
      <w:r>
        <w:rPr>
          <w:rFonts w:ascii="宋体" w:hAnsi="宋体"/>
          <w:color w:val="auto"/>
          <w:szCs w:val="21"/>
          <w:highlight w:val="none"/>
        </w:rPr>
        <w:t>38.1</w:t>
      </w:r>
      <w:r>
        <w:rPr>
          <w:rFonts w:hint="eastAsia" w:ascii="宋体" w:hAnsi="宋体"/>
          <w:color w:val="auto"/>
          <w:szCs w:val="21"/>
          <w:highlight w:val="none"/>
        </w:rPr>
        <w:t>供应商对政府采购活动事项有疑问的，可以向采购人提出询问，采购人或者采购代理机构应当在3个工作日内对供应商依法提出的询问作出答复，但答复的内容不得涉及商业秘密。</w:t>
      </w:r>
    </w:p>
    <w:p w14:paraId="14E3542D">
      <w:pPr>
        <w:pStyle w:val="7"/>
        <w:keepNext w:val="0"/>
        <w:keepLines w:val="0"/>
        <w:numPr>
          <w:ilvl w:val="4"/>
          <w:numId w:val="0"/>
        </w:numPr>
        <w:spacing w:before="0" w:after="0" w:line="420" w:lineRule="exact"/>
        <w:ind w:firstLine="398" w:firstLineChars="200"/>
        <w:rPr>
          <w:rFonts w:hint="eastAsia" w:ascii="宋体" w:hAnsi="宋体"/>
          <w:b w:val="0"/>
          <w:color w:val="auto"/>
          <w:sz w:val="21"/>
          <w:szCs w:val="21"/>
          <w:highlight w:val="none"/>
        </w:rPr>
      </w:pPr>
      <w:r>
        <w:rPr>
          <w:rFonts w:ascii="宋体" w:hAnsi="宋体"/>
          <w:b w:val="0"/>
          <w:color w:val="auto"/>
          <w:sz w:val="21"/>
          <w:szCs w:val="21"/>
          <w:highlight w:val="none"/>
        </w:rPr>
        <w:t>38</w:t>
      </w:r>
      <w:r>
        <w:rPr>
          <w:rFonts w:hint="eastAsia" w:ascii="宋体" w:hAnsi="宋体"/>
          <w:b w:val="0"/>
          <w:color w:val="auto"/>
          <w:sz w:val="21"/>
          <w:szCs w:val="21"/>
          <w:highlight w:val="none"/>
        </w:rPr>
        <w:t>.</w:t>
      </w:r>
      <w:r>
        <w:rPr>
          <w:rFonts w:ascii="宋体" w:hAnsi="宋体"/>
          <w:b w:val="0"/>
          <w:color w:val="auto"/>
          <w:sz w:val="21"/>
          <w:szCs w:val="21"/>
          <w:highlight w:val="none"/>
        </w:rPr>
        <w:t>2</w:t>
      </w:r>
      <w:r>
        <w:rPr>
          <w:rFonts w:hint="eastAsia" w:ascii="宋体" w:hAnsi="宋体"/>
          <w:b w:val="0"/>
          <w:color w:val="auto"/>
          <w:sz w:val="21"/>
          <w:szCs w:val="21"/>
          <w:highlight w:val="none"/>
        </w:rPr>
        <w:t>供应商认为招标文件、采购过程或者中标结果使自己的合法权益受到损害的，必须在知道或者应知其权益受到损害之日起7个工作日内，以书面形式向采购人、采购代理机构提出质疑。采购人、采购代理机构接收质疑函的方式、联系部门、联系电话和通讯地址等信息详见“投标人须知前附表”。具体质疑起算时间如下：</w:t>
      </w:r>
    </w:p>
    <w:p w14:paraId="7020EEA1">
      <w:pPr>
        <w:pStyle w:val="24"/>
        <w:snapToGrid w:val="0"/>
        <w:spacing w:line="420" w:lineRule="exact"/>
        <w:ind w:firstLine="398" w:firstLineChars="200"/>
        <w:rPr>
          <w:rFonts w:hint="eastAsia" w:hAnsi="宋体"/>
          <w:color w:val="auto"/>
          <w:sz w:val="21"/>
          <w:highlight w:val="none"/>
        </w:rPr>
      </w:pPr>
      <w:r>
        <w:rPr>
          <w:rFonts w:hAnsi="宋体"/>
          <w:color w:val="auto"/>
          <w:sz w:val="21"/>
          <w:highlight w:val="none"/>
        </w:rPr>
        <w:t>（</w:t>
      </w:r>
      <w:r>
        <w:rPr>
          <w:rFonts w:hint="eastAsia" w:hAnsi="宋体"/>
          <w:color w:val="auto"/>
          <w:sz w:val="21"/>
          <w:highlight w:val="none"/>
        </w:rPr>
        <w:t>1</w:t>
      </w:r>
      <w:r>
        <w:rPr>
          <w:rFonts w:hAnsi="宋体"/>
          <w:color w:val="auto"/>
          <w:sz w:val="21"/>
          <w:highlight w:val="none"/>
        </w:rPr>
        <w:t>）对可以质疑的</w:t>
      </w:r>
      <w:r>
        <w:rPr>
          <w:rFonts w:hint="eastAsia" w:hAnsi="宋体"/>
          <w:color w:val="auto"/>
          <w:sz w:val="21"/>
          <w:highlight w:val="none"/>
        </w:rPr>
        <w:t>招标</w:t>
      </w:r>
      <w:r>
        <w:rPr>
          <w:rFonts w:hAnsi="宋体"/>
          <w:color w:val="auto"/>
          <w:sz w:val="21"/>
          <w:highlight w:val="none"/>
        </w:rPr>
        <w:t>文件提出质疑的，为收到</w:t>
      </w:r>
      <w:r>
        <w:rPr>
          <w:rFonts w:hint="eastAsia" w:hAnsi="宋体"/>
          <w:color w:val="auto"/>
          <w:sz w:val="21"/>
          <w:highlight w:val="none"/>
        </w:rPr>
        <w:t>招标</w:t>
      </w:r>
      <w:r>
        <w:rPr>
          <w:rFonts w:hAnsi="宋体"/>
          <w:color w:val="auto"/>
          <w:sz w:val="21"/>
          <w:highlight w:val="none"/>
        </w:rPr>
        <w:t>文件之日</w:t>
      </w:r>
      <w:r>
        <w:rPr>
          <w:rFonts w:hint="eastAsia" w:hAnsi="宋体"/>
          <w:color w:val="auto"/>
          <w:sz w:val="21"/>
          <w:highlight w:val="none"/>
        </w:rPr>
        <w:t>或者招标文件公告期限届满之日</w:t>
      </w:r>
      <w:r>
        <w:rPr>
          <w:rFonts w:hAnsi="宋体"/>
          <w:color w:val="auto"/>
          <w:sz w:val="21"/>
          <w:highlight w:val="none"/>
        </w:rPr>
        <w:t>；</w:t>
      </w:r>
    </w:p>
    <w:p w14:paraId="3A6F7DBD">
      <w:pPr>
        <w:pStyle w:val="24"/>
        <w:snapToGrid w:val="0"/>
        <w:spacing w:line="420" w:lineRule="exact"/>
        <w:ind w:firstLine="398" w:firstLineChars="200"/>
        <w:rPr>
          <w:rFonts w:hint="eastAsia" w:hAnsi="宋体"/>
          <w:color w:val="auto"/>
          <w:sz w:val="21"/>
          <w:highlight w:val="none"/>
        </w:rPr>
      </w:pPr>
      <w:r>
        <w:rPr>
          <w:rFonts w:hAnsi="宋体"/>
          <w:color w:val="auto"/>
          <w:sz w:val="21"/>
          <w:highlight w:val="none"/>
        </w:rPr>
        <w:t>（</w:t>
      </w:r>
      <w:r>
        <w:rPr>
          <w:rFonts w:hint="eastAsia" w:hAnsi="宋体"/>
          <w:color w:val="auto"/>
          <w:sz w:val="21"/>
          <w:highlight w:val="none"/>
        </w:rPr>
        <w:t>2</w:t>
      </w:r>
      <w:r>
        <w:rPr>
          <w:rFonts w:hAnsi="宋体"/>
          <w:color w:val="auto"/>
          <w:sz w:val="21"/>
          <w:highlight w:val="none"/>
        </w:rPr>
        <w:t>）对</w:t>
      </w:r>
      <w:r>
        <w:rPr>
          <w:rFonts w:hint="eastAsia" w:hAnsi="宋体"/>
          <w:color w:val="auto"/>
          <w:sz w:val="21"/>
          <w:highlight w:val="none"/>
        </w:rPr>
        <w:t>采购</w:t>
      </w:r>
      <w:r>
        <w:rPr>
          <w:rFonts w:hAnsi="宋体"/>
          <w:color w:val="auto"/>
          <w:sz w:val="21"/>
          <w:highlight w:val="none"/>
        </w:rPr>
        <w:t>过程提出质疑的，为各采购程序环节结束之日；</w:t>
      </w:r>
    </w:p>
    <w:p w14:paraId="6237A130">
      <w:pPr>
        <w:pStyle w:val="24"/>
        <w:snapToGrid w:val="0"/>
        <w:spacing w:line="420" w:lineRule="exact"/>
        <w:ind w:firstLine="398" w:firstLineChars="200"/>
        <w:rPr>
          <w:rFonts w:hint="eastAsia" w:hAnsi="宋体"/>
          <w:bCs/>
          <w:color w:val="auto"/>
          <w:sz w:val="21"/>
          <w:highlight w:val="none"/>
        </w:rPr>
      </w:pPr>
      <w:r>
        <w:rPr>
          <w:rFonts w:hAnsi="宋体"/>
          <w:color w:val="auto"/>
          <w:sz w:val="21"/>
          <w:highlight w:val="none"/>
        </w:rPr>
        <w:t>（</w:t>
      </w:r>
      <w:r>
        <w:rPr>
          <w:rFonts w:hint="eastAsia" w:hAnsi="宋体"/>
          <w:color w:val="auto"/>
          <w:sz w:val="21"/>
          <w:highlight w:val="none"/>
        </w:rPr>
        <w:t>3</w:t>
      </w:r>
      <w:r>
        <w:rPr>
          <w:rFonts w:hAnsi="宋体"/>
          <w:color w:val="auto"/>
          <w:sz w:val="21"/>
          <w:highlight w:val="none"/>
        </w:rPr>
        <w:t>）对中标结果提出质疑的，为中标结果公告期限届满之日。</w:t>
      </w:r>
    </w:p>
    <w:p w14:paraId="0B2F8D00">
      <w:pPr>
        <w:pStyle w:val="7"/>
        <w:keepNext w:val="0"/>
        <w:keepLines w:val="0"/>
        <w:numPr>
          <w:ilvl w:val="4"/>
          <w:numId w:val="0"/>
        </w:numPr>
        <w:spacing w:before="0" w:after="0" w:line="420" w:lineRule="exact"/>
        <w:ind w:firstLine="398" w:firstLineChars="200"/>
        <w:rPr>
          <w:rFonts w:hint="eastAsia" w:ascii="宋体" w:hAnsi="宋体"/>
          <w:b w:val="0"/>
          <w:color w:val="auto"/>
          <w:sz w:val="21"/>
          <w:szCs w:val="21"/>
          <w:highlight w:val="none"/>
        </w:rPr>
      </w:pPr>
      <w:bookmarkStart w:id="130" w:name="_9.2质疑、投诉应当采用书面形式，质疑函、投诉书均应明确阐述招标文件、"/>
      <w:bookmarkEnd w:id="130"/>
      <w:r>
        <w:rPr>
          <w:rFonts w:ascii="宋体" w:hAnsi="宋体"/>
          <w:b w:val="0"/>
          <w:color w:val="auto"/>
          <w:sz w:val="21"/>
          <w:szCs w:val="21"/>
          <w:highlight w:val="none"/>
        </w:rPr>
        <w:t>38</w:t>
      </w:r>
      <w:r>
        <w:rPr>
          <w:rFonts w:hint="eastAsia" w:ascii="宋体" w:hAnsi="宋体"/>
          <w:b w:val="0"/>
          <w:color w:val="auto"/>
          <w:sz w:val="21"/>
          <w:szCs w:val="21"/>
          <w:highlight w:val="none"/>
        </w:rPr>
        <w:t>.</w:t>
      </w:r>
      <w:r>
        <w:rPr>
          <w:rFonts w:ascii="宋体" w:hAnsi="宋体"/>
          <w:b w:val="0"/>
          <w:color w:val="auto"/>
          <w:sz w:val="21"/>
          <w:szCs w:val="21"/>
          <w:highlight w:val="none"/>
        </w:rPr>
        <w:t>3</w:t>
      </w:r>
      <w:r>
        <w:rPr>
          <w:rFonts w:hAnsi="宋体"/>
          <w:b w:val="0"/>
          <w:bCs/>
          <w:color w:val="auto"/>
          <w:sz w:val="21"/>
          <w:highlight w:val="none"/>
        </w:rPr>
        <w:t>供应商提出质疑应当提交质疑函和必要的证明材料</w:t>
      </w:r>
      <w:r>
        <w:rPr>
          <w:rFonts w:hint="eastAsia" w:hAnsi="宋体"/>
          <w:b w:val="0"/>
          <w:bCs/>
          <w:color w:val="auto"/>
          <w:sz w:val="21"/>
          <w:highlight w:val="none"/>
        </w:rPr>
        <w:t>，</w:t>
      </w:r>
      <w:r>
        <w:rPr>
          <w:rFonts w:hAnsi="宋体"/>
          <w:b w:val="0"/>
          <w:bCs/>
          <w:color w:val="auto"/>
          <w:sz w:val="21"/>
          <w:highlight w:val="none"/>
        </w:rPr>
        <w:t>针对同一采购程序环节的质疑</w:t>
      </w:r>
      <w:r>
        <w:rPr>
          <w:rFonts w:hint="eastAsia" w:hAnsi="宋体"/>
          <w:b w:val="0"/>
          <w:bCs/>
          <w:color w:val="auto"/>
          <w:sz w:val="21"/>
          <w:highlight w:val="none"/>
        </w:rPr>
        <w:t>必须</w:t>
      </w:r>
      <w:r>
        <w:rPr>
          <w:rFonts w:hAnsi="宋体"/>
          <w:b w:val="0"/>
          <w:bCs/>
          <w:color w:val="auto"/>
          <w:sz w:val="21"/>
          <w:highlight w:val="none"/>
        </w:rPr>
        <w:t>在法定质疑期内一次性提出。质疑函应当包括下列内容</w:t>
      </w:r>
      <w:r>
        <w:rPr>
          <w:rFonts w:hint="eastAsia" w:hAnsi="宋体"/>
          <w:b w:val="0"/>
          <w:bCs/>
          <w:color w:val="auto"/>
          <w:sz w:val="21"/>
          <w:highlight w:val="none"/>
        </w:rPr>
        <w:t>（质疑函格式后附）</w:t>
      </w:r>
      <w:r>
        <w:rPr>
          <w:rFonts w:hAnsi="宋体"/>
          <w:b w:val="0"/>
          <w:bCs/>
          <w:color w:val="auto"/>
          <w:sz w:val="21"/>
          <w:highlight w:val="none"/>
        </w:rPr>
        <w:t>：</w:t>
      </w:r>
    </w:p>
    <w:p w14:paraId="3A40F551">
      <w:pPr>
        <w:pStyle w:val="24"/>
        <w:snapToGrid w:val="0"/>
        <w:spacing w:line="420" w:lineRule="exact"/>
        <w:ind w:firstLine="398" w:firstLineChars="200"/>
        <w:rPr>
          <w:rFonts w:hint="eastAsia" w:hAnsi="宋体"/>
          <w:bCs/>
          <w:color w:val="auto"/>
          <w:sz w:val="21"/>
          <w:highlight w:val="none"/>
        </w:rPr>
      </w:pPr>
      <w:r>
        <w:rPr>
          <w:rFonts w:hAnsi="宋体"/>
          <w:bCs/>
          <w:color w:val="auto"/>
          <w:sz w:val="21"/>
          <w:highlight w:val="none"/>
        </w:rPr>
        <w:t>（</w:t>
      </w:r>
      <w:r>
        <w:rPr>
          <w:rFonts w:hint="eastAsia" w:hAnsi="宋体"/>
          <w:bCs/>
          <w:color w:val="auto"/>
          <w:sz w:val="21"/>
          <w:highlight w:val="none"/>
        </w:rPr>
        <w:t>1</w:t>
      </w:r>
      <w:r>
        <w:rPr>
          <w:rFonts w:hAnsi="宋体"/>
          <w:bCs/>
          <w:color w:val="auto"/>
          <w:sz w:val="21"/>
          <w:highlight w:val="none"/>
        </w:rPr>
        <w:t>）供应商的姓名或者名称、地址、邮编、联系人及联系电话；</w:t>
      </w:r>
    </w:p>
    <w:p w14:paraId="691006BB">
      <w:pPr>
        <w:pStyle w:val="24"/>
        <w:snapToGrid w:val="0"/>
        <w:spacing w:line="420" w:lineRule="exact"/>
        <w:ind w:firstLine="398" w:firstLineChars="200"/>
        <w:rPr>
          <w:rFonts w:hint="eastAsia" w:hAnsi="宋体"/>
          <w:bCs/>
          <w:color w:val="auto"/>
          <w:sz w:val="21"/>
          <w:highlight w:val="none"/>
        </w:rPr>
      </w:pPr>
      <w:r>
        <w:rPr>
          <w:rFonts w:hAnsi="宋体"/>
          <w:bCs/>
          <w:color w:val="auto"/>
          <w:sz w:val="21"/>
          <w:highlight w:val="none"/>
        </w:rPr>
        <w:t>（</w:t>
      </w:r>
      <w:r>
        <w:rPr>
          <w:rFonts w:hint="eastAsia" w:hAnsi="宋体"/>
          <w:bCs/>
          <w:color w:val="auto"/>
          <w:sz w:val="21"/>
          <w:highlight w:val="none"/>
        </w:rPr>
        <w:t>2</w:t>
      </w:r>
      <w:r>
        <w:rPr>
          <w:rFonts w:hAnsi="宋体"/>
          <w:bCs/>
          <w:color w:val="auto"/>
          <w:sz w:val="21"/>
          <w:highlight w:val="none"/>
        </w:rPr>
        <w:t>）质疑项目的名称、编号；</w:t>
      </w:r>
    </w:p>
    <w:p w14:paraId="26DF19C3">
      <w:pPr>
        <w:pStyle w:val="24"/>
        <w:snapToGrid w:val="0"/>
        <w:spacing w:line="420" w:lineRule="exact"/>
        <w:ind w:firstLine="398" w:firstLineChars="200"/>
        <w:rPr>
          <w:rFonts w:hint="eastAsia" w:hAnsi="宋体"/>
          <w:bCs/>
          <w:color w:val="auto"/>
          <w:sz w:val="21"/>
          <w:highlight w:val="none"/>
        </w:rPr>
      </w:pPr>
      <w:r>
        <w:rPr>
          <w:rFonts w:hAnsi="宋体"/>
          <w:bCs/>
          <w:color w:val="auto"/>
          <w:sz w:val="21"/>
          <w:highlight w:val="none"/>
        </w:rPr>
        <w:t>（</w:t>
      </w:r>
      <w:r>
        <w:rPr>
          <w:rFonts w:hint="eastAsia" w:hAnsi="宋体"/>
          <w:bCs/>
          <w:color w:val="auto"/>
          <w:sz w:val="21"/>
          <w:highlight w:val="none"/>
        </w:rPr>
        <w:t>3</w:t>
      </w:r>
      <w:r>
        <w:rPr>
          <w:rFonts w:hAnsi="宋体"/>
          <w:bCs/>
          <w:color w:val="auto"/>
          <w:sz w:val="21"/>
          <w:highlight w:val="none"/>
        </w:rPr>
        <w:t>）具体、明确的质疑事项和与质疑事项相关的请求；</w:t>
      </w:r>
    </w:p>
    <w:p w14:paraId="57EC21E9">
      <w:pPr>
        <w:pStyle w:val="24"/>
        <w:snapToGrid w:val="0"/>
        <w:spacing w:line="420" w:lineRule="exact"/>
        <w:ind w:firstLine="398" w:firstLineChars="200"/>
        <w:rPr>
          <w:rFonts w:hint="eastAsia" w:hAnsi="宋体"/>
          <w:bCs/>
          <w:color w:val="auto"/>
          <w:sz w:val="21"/>
          <w:highlight w:val="none"/>
        </w:rPr>
      </w:pPr>
      <w:r>
        <w:rPr>
          <w:rFonts w:hAnsi="宋体"/>
          <w:bCs/>
          <w:color w:val="auto"/>
          <w:sz w:val="21"/>
          <w:highlight w:val="none"/>
        </w:rPr>
        <w:t>（</w:t>
      </w:r>
      <w:r>
        <w:rPr>
          <w:rFonts w:hint="eastAsia" w:hAnsi="宋体"/>
          <w:bCs/>
          <w:color w:val="auto"/>
          <w:sz w:val="21"/>
          <w:highlight w:val="none"/>
        </w:rPr>
        <w:t>4</w:t>
      </w:r>
      <w:r>
        <w:rPr>
          <w:rFonts w:hAnsi="宋体"/>
          <w:bCs/>
          <w:color w:val="auto"/>
          <w:sz w:val="21"/>
          <w:highlight w:val="none"/>
        </w:rPr>
        <w:t>）事实依据；</w:t>
      </w:r>
    </w:p>
    <w:p w14:paraId="18DDB9D8">
      <w:pPr>
        <w:pStyle w:val="24"/>
        <w:snapToGrid w:val="0"/>
        <w:spacing w:line="420" w:lineRule="exact"/>
        <w:ind w:firstLine="398" w:firstLineChars="200"/>
        <w:rPr>
          <w:rFonts w:hint="eastAsia" w:hAnsi="宋体"/>
          <w:bCs/>
          <w:color w:val="auto"/>
          <w:sz w:val="21"/>
          <w:highlight w:val="none"/>
        </w:rPr>
      </w:pPr>
      <w:r>
        <w:rPr>
          <w:rFonts w:hAnsi="宋体"/>
          <w:bCs/>
          <w:color w:val="auto"/>
          <w:sz w:val="21"/>
          <w:highlight w:val="none"/>
        </w:rPr>
        <w:t>（</w:t>
      </w:r>
      <w:r>
        <w:rPr>
          <w:rFonts w:hint="eastAsia" w:hAnsi="宋体"/>
          <w:bCs/>
          <w:color w:val="auto"/>
          <w:sz w:val="21"/>
          <w:highlight w:val="none"/>
        </w:rPr>
        <w:t>5</w:t>
      </w:r>
      <w:r>
        <w:rPr>
          <w:rFonts w:hAnsi="宋体"/>
          <w:bCs/>
          <w:color w:val="auto"/>
          <w:sz w:val="21"/>
          <w:highlight w:val="none"/>
        </w:rPr>
        <w:t>）必要的法律依据；</w:t>
      </w:r>
    </w:p>
    <w:p w14:paraId="0D2F50EA">
      <w:pPr>
        <w:pStyle w:val="24"/>
        <w:snapToGrid w:val="0"/>
        <w:spacing w:line="420" w:lineRule="exact"/>
        <w:ind w:firstLine="398" w:firstLineChars="200"/>
        <w:rPr>
          <w:rFonts w:hint="eastAsia" w:hAnsi="宋体"/>
          <w:bCs/>
          <w:color w:val="auto"/>
          <w:sz w:val="21"/>
          <w:highlight w:val="none"/>
        </w:rPr>
      </w:pPr>
      <w:r>
        <w:rPr>
          <w:rFonts w:hAnsi="宋体"/>
          <w:bCs/>
          <w:color w:val="auto"/>
          <w:sz w:val="21"/>
          <w:highlight w:val="none"/>
        </w:rPr>
        <w:t>（</w:t>
      </w:r>
      <w:r>
        <w:rPr>
          <w:rFonts w:hint="eastAsia" w:hAnsi="宋体"/>
          <w:bCs/>
          <w:color w:val="auto"/>
          <w:sz w:val="21"/>
          <w:highlight w:val="none"/>
        </w:rPr>
        <w:t>6</w:t>
      </w:r>
      <w:r>
        <w:rPr>
          <w:rFonts w:hAnsi="宋体"/>
          <w:bCs/>
          <w:color w:val="auto"/>
          <w:sz w:val="21"/>
          <w:highlight w:val="none"/>
        </w:rPr>
        <w:t>）提出质疑的日期。</w:t>
      </w:r>
    </w:p>
    <w:p w14:paraId="6B3FD262">
      <w:pPr>
        <w:pStyle w:val="24"/>
        <w:snapToGrid w:val="0"/>
        <w:spacing w:line="420" w:lineRule="exact"/>
        <w:ind w:firstLine="398" w:firstLineChars="200"/>
        <w:rPr>
          <w:rFonts w:hint="eastAsia" w:hAnsi="宋体"/>
          <w:bCs/>
          <w:color w:val="auto"/>
          <w:sz w:val="21"/>
          <w:highlight w:val="none"/>
        </w:rPr>
      </w:pPr>
      <w:r>
        <w:rPr>
          <w:rFonts w:hAnsi="宋体"/>
          <w:bCs/>
          <w:color w:val="auto"/>
          <w:sz w:val="21"/>
          <w:highlight w:val="none"/>
        </w:rPr>
        <w:t>供应商为自然人的，应当由本人签字；供应商为法人或者其他组织的，应当由法定代表人、主要负责人，或者其委托代理人签字或者盖章，并加盖公章</w:t>
      </w:r>
      <w:r>
        <w:rPr>
          <w:rFonts w:hint="eastAsia" w:hAnsi="宋体"/>
          <w:bCs/>
          <w:color w:val="auto"/>
          <w:sz w:val="21"/>
          <w:highlight w:val="none"/>
        </w:rPr>
        <w:t>。</w:t>
      </w:r>
    </w:p>
    <w:p w14:paraId="0A76EE58">
      <w:pPr>
        <w:pStyle w:val="7"/>
        <w:keepNext w:val="0"/>
        <w:keepLines w:val="0"/>
        <w:snapToGrid w:val="0"/>
        <w:spacing w:before="0" w:after="0" w:line="420" w:lineRule="exact"/>
        <w:ind w:firstLine="398" w:firstLineChars="200"/>
        <w:rPr>
          <w:rFonts w:hint="eastAsia" w:ascii="宋体" w:hAnsi="宋体"/>
          <w:b w:val="0"/>
          <w:bCs/>
          <w:color w:val="auto"/>
          <w:sz w:val="21"/>
          <w:szCs w:val="21"/>
          <w:highlight w:val="none"/>
        </w:rPr>
      </w:pPr>
      <w:r>
        <w:rPr>
          <w:rFonts w:ascii="宋体" w:hAnsi="宋体"/>
          <w:b w:val="0"/>
          <w:color w:val="auto"/>
          <w:sz w:val="21"/>
          <w:szCs w:val="21"/>
          <w:highlight w:val="none"/>
        </w:rPr>
        <w:t>3</w:t>
      </w:r>
      <w:r>
        <w:rPr>
          <w:rFonts w:ascii="宋体" w:hAnsi="宋体"/>
          <w:b w:val="0"/>
          <w:bCs/>
          <w:color w:val="auto"/>
          <w:sz w:val="21"/>
          <w:szCs w:val="21"/>
          <w:highlight w:val="none"/>
        </w:rPr>
        <w:t>8.4</w:t>
      </w:r>
      <w:r>
        <w:rPr>
          <w:rFonts w:hint="eastAsia" w:ascii="宋体" w:hAnsi="宋体"/>
          <w:b w:val="0"/>
          <w:bCs/>
          <w:color w:val="auto"/>
          <w:sz w:val="21"/>
          <w:szCs w:val="21"/>
          <w:highlight w:val="none"/>
        </w:rPr>
        <w:t>采购人、采购代理机构认为供应商质疑不成立，或者成立但未对中标结果构成影响的，继续开展采购活动；认为供应商质疑成立且影响或者可能影响中标结果的，按照下列情况处理：</w:t>
      </w:r>
    </w:p>
    <w:p w14:paraId="0FA25973">
      <w:pPr>
        <w:pStyle w:val="24"/>
        <w:snapToGrid w:val="0"/>
        <w:spacing w:line="420" w:lineRule="exact"/>
        <w:ind w:firstLine="398" w:firstLineChars="200"/>
        <w:rPr>
          <w:rFonts w:hint="eastAsia" w:hAnsi="宋体"/>
          <w:bCs/>
          <w:color w:val="auto"/>
          <w:sz w:val="21"/>
          <w:highlight w:val="none"/>
        </w:rPr>
      </w:pPr>
      <w:r>
        <w:rPr>
          <w:rFonts w:hint="eastAsia" w:hAnsi="宋体"/>
          <w:bCs/>
          <w:color w:val="auto"/>
          <w:sz w:val="21"/>
          <w:highlight w:val="none"/>
        </w:rPr>
        <w:t>（一）对招标文件提出的质疑，依法通过澄清或者修改可以继续开展采购活动的，澄清或者修改招标文件后继续开展采购活动；否则应当修改招标文件后重新开展采购活动。</w:t>
      </w:r>
    </w:p>
    <w:p w14:paraId="624E3C16">
      <w:pPr>
        <w:pStyle w:val="24"/>
        <w:snapToGrid w:val="0"/>
        <w:spacing w:line="420" w:lineRule="exact"/>
        <w:ind w:firstLine="398" w:firstLineChars="200"/>
        <w:rPr>
          <w:rFonts w:hint="eastAsia" w:hAnsi="宋体"/>
          <w:bCs/>
          <w:color w:val="auto"/>
          <w:sz w:val="21"/>
          <w:highlight w:val="none"/>
        </w:rPr>
      </w:pPr>
      <w:r>
        <w:rPr>
          <w:rFonts w:hint="eastAsia" w:hAnsi="宋体"/>
          <w:bCs/>
          <w:color w:val="auto"/>
          <w:sz w:val="21"/>
          <w:highlight w:val="none"/>
        </w:rPr>
        <w:t>（二）对采购过程、中标结果提出的质疑，合格供应商符合法定数量时，可以从合格的中标候选人中另行确定中标供应商的，应当依法另行确定中标供应商；否则应当重新开展采购活动。</w:t>
      </w:r>
    </w:p>
    <w:p w14:paraId="6E63F161">
      <w:pPr>
        <w:pStyle w:val="24"/>
        <w:snapToGrid w:val="0"/>
        <w:spacing w:line="420" w:lineRule="exact"/>
        <w:ind w:firstLine="420"/>
        <w:rPr>
          <w:rFonts w:hint="eastAsia" w:hAnsi="宋体"/>
          <w:bCs/>
          <w:color w:val="auto"/>
          <w:sz w:val="21"/>
          <w:highlight w:val="none"/>
        </w:rPr>
      </w:pPr>
      <w:r>
        <w:rPr>
          <w:rFonts w:hint="eastAsia" w:hAnsi="宋体"/>
          <w:bCs/>
          <w:color w:val="auto"/>
          <w:sz w:val="21"/>
          <w:highlight w:val="none"/>
        </w:rPr>
        <w:t>质疑答复导致中标结果改变的，采购人或者采购代理机构应当将有关情况书面报告本级财政部门。</w:t>
      </w:r>
    </w:p>
    <w:p w14:paraId="0B300AD5">
      <w:pPr>
        <w:pStyle w:val="24"/>
        <w:snapToGrid w:val="0"/>
        <w:spacing w:line="420" w:lineRule="exact"/>
        <w:ind w:firstLine="398" w:firstLineChars="200"/>
        <w:rPr>
          <w:rFonts w:hint="eastAsia" w:hAnsi="宋体"/>
          <w:color w:val="auto"/>
          <w:sz w:val="21"/>
          <w:highlight w:val="none"/>
        </w:rPr>
      </w:pPr>
      <w:r>
        <w:rPr>
          <w:rFonts w:hAnsi="宋体"/>
          <w:color w:val="auto"/>
          <w:sz w:val="21"/>
          <w:highlight w:val="none"/>
        </w:rPr>
        <w:t>38</w:t>
      </w:r>
      <w:r>
        <w:rPr>
          <w:rFonts w:hint="eastAsia" w:hAnsi="宋体"/>
          <w:color w:val="auto"/>
          <w:sz w:val="21"/>
          <w:highlight w:val="none"/>
        </w:rPr>
        <w:t>.</w:t>
      </w:r>
      <w:r>
        <w:rPr>
          <w:rFonts w:hAnsi="宋体"/>
          <w:color w:val="auto"/>
          <w:sz w:val="21"/>
          <w:highlight w:val="none"/>
        </w:rPr>
        <w:t>5</w:t>
      </w:r>
      <w:r>
        <w:rPr>
          <w:rFonts w:hint="eastAsia" w:hAnsi="宋体"/>
          <w:color w:val="auto"/>
          <w:sz w:val="21"/>
          <w:highlight w:val="none"/>
        </w:rPr>
        <w:t>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4D1C32C5">
      <w:pPr>
        <w:pStyle w:val="5"/>
        <w:keepNext w:val="0"/>
        <w:keepLines w:val="0"/>
        <w:spacing w:before="0" w:after="0" w:line="420" w:lineRule="exact"/>
        <w:jc w:val="center"/>
        <w:rPr>
          <w:color w:val="auto"/>
          <w:highlight w:val="none"/>
        </w:rPr>
      </w:pPr>
      <w:bookmarkStart w:id="131" w:name="_八、其他事项"/>
      <w:bookmarkEnd w:id="131"/>
      <w:r>
        <w:rPr>
          <w:rFonts w:hint="eastAsia"/>
          <w:color w:val="auto"/>
          <w:highlight w:val="none"/>
        </w:rPr>
        <w:t>八、其他事项</w:t>
      </w:r>
    </w:p>
    <w:p w14:paraId="4DD47B8B">
      <w:pPr>
        <w:pStyle w:val="7"/>
        <w:keepNext w:val="0"/>
        <w:keepLines w:val="0"/>
        <w:spacing w:before="0" w:after="0" w:line="420" w:lineRule="exact"/>
        <w:rPr>
          <w:rFonts w:hint="eastAsia" w:ascii="黑体" w:hAnsi="黑体" w:eastAsia="黑体"/>
          <w:color w:val="auto"/>
          <w:sz w:val="24"/>
          <w:highlight w:val="none"/>
        </w:rPr>
      </w:pPr>
      <w:bookmarkStart w:id="132" w:name="_42.代理服务费"/>
      <w:bookmarkEnd w:id="132"/>
      <w:r>
        <w:rPr>
          <w:rFonts w:hint="eastAsia" w:ascii="黑体" w:hAnsi="黑体" w:eastAsia="黑体"/>
          <w:color w:val="auto"/>
          <w:sz w:val="24"/>
          <w:highlight w:val="none"/>
        </w:rPr>
        <w:t>3</w:t>
      </w:r>
      <w:r>
        <w:rPr>
          <w:rFonts w:ascii="黑体" w:hAnsi="黑体" w:eastAsia="黑体"/>
          <w:color w:val="auto"/>
          <w:sz w:val="24"/>
          <w:highlight w:val="none"/>
        </w:rPr>
        <w:t>9</w:t>
      </w:r>
      <w:r>
        <w:rPr>
          <w:rFonts w:hint="eastAsia" w:ascii="黑体" w:hAnsi="黑体" w:eastAsia="黑体"/>
          <w:color w:val="auto"/>
          <w:sz w:val="24"/>
          <w:highlight w:val="none"/>
        </w:rPr>
        <w:t>.代理服务费</w:t>
      </w:r>
    </w:p>
    <w:p w14:paraId="6B946460">
      <w:pPr>
        <w:pStyle w:val="7"/>
        <w:keepNext w:val="0"/>
        <w:keepLines w:val="0"/>
        <w:spacing w:before="0" w:after="0" w:line="420" w:lineRule="exact"/>
        <w:rPr>
          <w:rFonts w:hint="eastAsia" w:ascii="宋体" w:hAnsi="宋体"/>
          <w:b w:val="0"/>
          <w:color w:val="auto"/>
          <w:sz w:val="21"/>
          <w:szCs w:val="21"/>
          <w:highlight w:val="none"/>
        </w:rPr>
      </w:pPr>
      <w:r>
        <w:rPr>
          <w:rFonts w:hint="eastAsia" w:ascii="宋体" w:hAnsi="宋体"/>
          <w:b w:val="0"/>
          <w:color w:val="auto"/>
          <w:sz w:val="21"/>
          <w:szCs w:val="21"/>
          <w:highlight w:val="none"/>
        </w:rPr>
        <w:t>3</w:t>
      </w:r>
      <w:r>
        <w:rPr>
          <w:rFonts w:ascii="宋体" w:hAnsi="宋体"/>
          <w:b w:val="0"/>
          <w:color w:val="auto"/>
          <w:sz w:val="21"/>
          <w:szCs w:val="21"/>
          <w:highlight w:val="none"/>
        </w:rPr>
        <w:t>9</w:t>
      </w:r>
      <w:r>
        <w:rPr>
          <w:rFonts w:hint="eastAsia" w:ascii="宋体" w:hAnsi="宋体"/>
          <w:b w:val="0"/>
          <w:color w:val="auto"/>
          <w:sz w:val="21"/>
          <w:szCs w:val="21"/>
          <w:highlight w:val="none"/>
        </w:rPr>
        <w:t>.1代理服务收取标准及缴费账户详见“投标人须知前附表”，投标人为联合体的，可以由联合体中的一方或者多方共同交纳代理服务费。</w:t>
      </w:r>
    </w:p>
    <w:p w14:paraId="36DBB1C2">
      <w:pPr>
        <w:pStyle w:val="7"/>
        <w:keepNext w:val="0"/>
        <w:keepLines w:val="0"/>
        <w:spacing w:before="0" w:after="0" w:line="420" w:lineRule="exact"/>
        <w:rPr>
          <w:rFonts w:hint="eastAsia" w:ascii="宋体" w:hAnsi="宋体"/>
          <w:b w:val="0"/>
          <w:color w:val="auto"/>
          <w:sz w:val="21"/>
          <w:szCs w:val="21"/>
          <w:highlight w:val="none"/>
        </w:rPr>
      </w:pPr>
      <w:r>
        <w:rPr>
          <w:rFonts w:hint="eastAsia" w:ascii="宋体" w:hAnsi="宋体"/>
          <w:b w:val="0"/>
          <w:color w:val="auto"/>
          <w:sz w:val="21"/>
          <w:szCs w:val="21"/>
          <w:highlight w:val="none"/>
        </w:rPr>
        <w:t>3</w:t>
      </w:r>
      <w:r>
        <w:rPr>
          <w:rFonts w:ascii="宋体" w:hAnsi="宋体"/>
          <w:b w:val="0"/>
          <w:color w:val="auto"/>
          <w:sz w:val="21"/>
          <w:szCs w:val="21"/>
          <w:highlight w:val="none"/>
        </w:rPr>
        <w:t>9</w:t>
      </w:r>
      <w:r>
        <w:rPr>
          <w:rFonts w:hint="eastAsia" w:ascii="宋体" w:hAnsi="宋体"/>
          <w:b w:val="0"/>
          <w:color w:val="auto"/>
          <w:sz w:val="21"/>
          <w:szCs w:val="21"/>
          <w:highlight w:val="none"/>
        </w:rPr>
        <w:t>.2代理服务收费标准：</w:t>
      </w:r>
    </w:p>
    <w:p w14:paraId="253F351F">
      <w:pPr>
        <w:spacing w:line="420" w:lineRule="exact"/>
        <w:rPr>
          <w:rFonts w:hint="eastAsia" w:ascii="宋体" w:hAnsi="宋体"/>
          <w:color w:val="auto"/>
          <w:szCs w:val="21"/>
          <w:highlight w:val="none"/>
        </w:rPr>
      </w:pPr>
    </w:p>
    <w:tbl>
      <w:tblPr>
        <w:tblStyle w:val="47"/>
        <w:tblW w:w="8477"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687"/>
        <w:gridCol w:w="1659"/>
      </w:tblGrid>
      <w:tr w14:paraId="141C6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tcPr>
          <w:p w14:paraId="04E5B158">
            <w:pPr>
              <w:spacing w:line="420" w:lineRule="exact"/>
              <w:rPr>
                <w:rFonts w:hint="eastAsia" w:ascii="宋体" w:hAnsi="宋体"/>
                <w:color w:val="auto"/>
                <w:szCs w:val="21"/>
                <w:highlight w:val="none"/>
              </w:rPr>
            </w:pPr>
            <w:r>
              <w:rPr>
                <w:rFonts w:hint="eastAsia" w:ascii="宋体" w:hAnsi="宋体"/>
                <w:color w:val="auto"/>
                <w:szCs w:val="21"/>
                <w:highlight w:val="none"/>
              </w:rPr>
              <w:t xml:space="preserve">               费率</w:t>
            </w:r>
          </w:p>
          <w:p w14:paraId="7AD13097">
            <w:pPr>
              <w:spacing w:line="420" w:lineRule="exact"/>
              <w:rPr>
                <w:rFonts w:hint="eastAsia" w:ascii="宋体" w:hAnsi="宋体"/>
                <w:color w:val="auto"/>
                <w:szCs w:val="21"/>
                <w:highlight w:val="none"/>
              </w:rPr>
            </w:pPr>
            <w:r>
              <w:rPr>
                <w:rFonts w:hint="eastAsia" w:ascii="宋体" w:hAnsi="宋体"/>
                <w:color w:val="auto"/>
                <w:szCs w:val="21"/>
                <w:highlight w:val="none"/>
              </w:rPr>
              <w:t>中标金额</w:t>
            </w:r>
          </w:p>
        </w:tc>
        <w:tc>
          <w:tcPr>
            <w:tcW w:w="1659" w:type="dxa"/>
            <w:vAlign w:val="center"/>
          </w:tcPr>
          <w:p w14:paraId="464216D4">
            <w:pPr>
              <w:spacing w:line="420" w:lineRule="exact"/>
              <w:ind w:firstLine="100" w:firstLineChars="50"/>
              <w:jc w:val="center"/>
              <w:rPr>
                <w:rFonts w:hint="eastAsia" w:ascii="宋体" w:hAnsi="宋体"/>
                <w:color w:val="auto"/>
                <w:szCs w:val="21"/>
                <w:highlight w:val="none"/>
              </w:rPr>
            </w:pPr>
            <w:r>
              <w:rPr>
                <w:rFonts w:hint="eastAsia" w:ascii="宋体" w:hAnsi="宋体"/>
                <w:color w:val="auto"/>
                <w:szCs w:val="21"/>
                <w:highlight w:val="none"/>
              </w:rPr>
              <w:t>货物招标</w:t>
            </w:r>
          </w:p>
        </w:tc>
        <w:tc>
          <w:tcPr>
            <w:tcW w:w="1687" w:type="dxa"/>
            <w:vAlign w:val="center"/>
          </w:tcPr>
          <w:p w14:paraId="70729429">
            <w:pPr>
              <w:spacing w:line="420" w:lineRule="exact"/>
              <w:jc w:val="center"/>
              <w:rPr>
                <w:rFonts w:hint="eastAsia" w:ascii="宋体" w:hAnsi="宋体"/>
                <w:color w:val="auto"/>
                <w:szCs w:val="21"/>
                <w:highlight w:val="none"/>
              </w:rPr>
            </w:pPr>
            <w:r>
              <w:rPr>
                <w:rFonts w:hint="eastAsia" w:ascii="宋体" w:hAnsi="宋体"/>
                <w:color w:val="auto"/>
                <w:szCs w:val="21"/>
                <w:highlight w:val="none"/>
              </w:rPr>
              <w:t>服务招标</w:t>
            </w:r>
          </w:p>
        </w:tc>
        <w:tc>
          <w:tcPr>
            <w:tcW w:w="1659" w:type="dxa"/>
            <w:vAlign w:val="center"/>
          </w:tcPr>
          <w:p w14:paraId="76AADE3B">
            <w:pPr>
              <w:spacing w:line="420" w:lineRule="exact"/>
              <w:jc w:val="center"/>
              <w:rPr>
                <w:rFonts w:hint="eastAsia" w:ascii="宋体" w:hAnsi="宋体"/>
                <w:color w:val="auto"/>
                <w:szCs w:val="21"/>
                <w:highlight w:val="none"/>
              </w:rPr>
            </w:pPr>
            <w:r>
              <w:rPr>
                <w:rFonts w:hint="eastAsia" w:ascii="宋体" w:hAnsi="宋体"/>
                <w:color w:val="auto"/>
                <w:szCs w:val="21"/>
                <w:highlight w:val="none"/>
              </w:rPr>
              <w:t>工程招标</w:t>
            </w:r>
          </w:p>
        </w:tc>
      </w:tr>
      <w:tr w14:paraId="06948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20E7CC2D">
            <w:pPr>
              <w:spacing w:line="420" w:lineRule="exact"/>
              <w:rPr>
                <w:rFonts w:hint="eastAsia" w:ascii="宋体" w:hAnsi="宋体"/>
                <w:color w:val="auto"/>
                <w:szCs w:val="21"/>
                <w:highlight w:val="none"/>
              </w:rPr>
            </w:pPr>
            <w:r>
              <w:rPr>
                <w:rFonts w:hint="eastAsia" w:ascii="宋体" w:hAnsi="宋体"/>
                <w:color w:val="auto"/>
                <w:szCs w:val="21"/>
                <w:highlight w:val="none"/>
              </w:rPr>
              <w:t>100万元以下</w:t>
            </w:r>
          </w:p>
        </w:tc>
        <w:tc>
          <w:tcPr>
            <w:tcW w:w="1659" w:type="dxa"/>
          </w:tcPr>
          <w:p w14:paraId="77909756">
            <w:pPr>
              <w:spacing w:line="420" w:lineRule="exact"/>
              <w:rPr>
                <w:rFonts w:hint="eastAsia" w:ascii="宋体" w:hAnsi="宋体"/>
                <w:color w:val="auto"/>
                <w:szCs w:val="21"/>
                <w:highlight w:val="none"/>
              </w:rPr>
            </w:pP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 xml:space="preserve">1.5% </w:t>
            </w: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 xml:space="preserve">    </w:t>
            </w:r>
          </w:p>
        </w:tc>
        <w:tc>
          <w:tcPr>
            <w:tcW w:w="1687" w:type="dxa"/>
          </w:tcPr>
          <w:p w14:paraId="010AB8E7">
            <w:pPr>
              <w:spacing w:line="420" w:lineRule="exact"/>
              <w:ind w:firstLine="199" w:firstLineChars="100"/>
              <w:rPr>
                <w:rFonts w:hint="eastAsia" w:ascii="宋体" w:hAnsi="宋体"/>
                <w:color w:val="auto"/>
                <w:szCs w:val="21"/>
                <w:highlight w:val="none"/>
              </w:rPr>
            </w:pPr>
            <w:r>
              <w:rPr>
                <w:rFonts w:ascii="宋体" w:hAnsi="宋体" w:cs="宋体"/>
                <w:color w:val="auto"/>
                <w:kern w:val="0"/>
                <w:szCs w:val="21"/>
                <w:highlight w:val="none"/>
              </w:rPr>
              <w:t>1.5%</w:t>
            </w:r>
          </w:p>
        </w:tc>
        <w:tc>
          <w:tcPr>
            <w:tcW w:w="1659" w:type="dxa"/>
          </w:tcPr>
          <w:p w14:paraId="136436BC">
            <w:pPr>
              <w:spacing w:line="420" w:lineRule="exact"/>
              <w:ind w:firstLine="199" w:firstLineChars="100"/>
              <w:rPr>
                <w:rFonts w:hint="eastAsia" w:ascii="宋体" w:hAnsi="宋体"/>
                <w:color w:val="auto"/>
                <w:szCs w:val="21"/>
                <w:highlight w:val="none"/>
              </w:rPr>
            </w:pPr>
            <w:r>
              <w:rPr>
                <w:rFonts w:ascii="宋体" w:hAnsi="宋体" w:cs="宋体"/>
                <w:color w:val="auto"/>
                <w:kern w:val="0"/>
                <w:szCs w:val="21"/>
                <w:highlight w:val="none"/>
              </w:rPr>
              <w:t xml:space="preserve">1.0% </w:t>
            </w:r>
          </w:p>
        </w:tc>
      </w:tr>
      <w:tr w14:paraId="7D94E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0A594A38">
            <w:pPr>
              <w:spacing w:line="420" w:lineRule="exact"/>
              <w:rPr>
                <w:rFonts w:hint="eastAsia" w:ascii="宋体" w:hAnsi="宋体"/>
                <w:color w:val="auto"/>
                <w:szCs w:val="21"/>
                <w:highlight w:val="none"/>
              </w:rPr>
            </w:pPr>
            <w:r>
              <w:rPr>
                <w:rFonts w:hint="eastAsia" w:ascii="宋体" w:hAnsi="宋体"/>
                <w:color w:val="auto"/>
                <w:szCs w:val="21"/>
                <w:highlight w:val="none"/>
              </w:rPr>
              <w:t>100万元～500万元</w:t>
            </w:r>
          </w:p>
        </w:tc>
        <w:tc>
          <w:tcPr>
            <w:tcW w:w="1659" w:type="dxa"/>
          </w:tcPr>
          <w:p w14:paraId="1E80F2D1">
            <w:pPr>
              <w:spacing w:line="420" w:lineRule="exact"/>
              <w:ind w:firstLine="199" w:firstLineChars="100"/>
              <w:rPr>
                <w:rFonts w:hint="eastAsia" w:ascii="宋体" w:hAnsi="宋体"/>
                <w:color w:val="auto"/>
                <w:szCs w:val="21"/>
                <w:highlight w:val="none"/>
              </w:rPr>
            </w:pPr>
            <w:r>
              <w:rPr>
                <w:rFonts w:ascii="宋体" w:hAnsi="宋体" w:cs="宋体"/>
                <w:color w:val="auto"/>
                <w:kern w:val="0"/>
                <w:szCs w:val="21"/>
                <w:highlight w:val="none"/>
              </w:rPr>
              <w:t xml:space="preserve">1.1% </w:t>
            </w:r>
            <w:r>
              <w:rPr>
                <w:rFonts w:hint="eastAsia" w:ascii="宋体" w:hAnsi="宋体" w:cs="宋体"/>
                <w:color w:val="auto"/>
                <w:kern w:val="0"/>
                <w:szCs w:val="21"/>
                <w:highlight w:val="none"/>
              </w:rPr>
              <w:t xml:space="preserve">                </w:t>
            </w:r>
          </w:p>
        </w:tc>
        <w:tc>
          <w:tcPr>
            <w:tcW w:w="1687" w:type="dxa"/>
          </w:tcPr>
          <w:p w14:paraId="53EFFB0D">
            <w:pPr>
              <w:spacing w:line="420" w:lineRule="exact"/>
              <w:ind w:firstLine="199" w:firstLineChars="100"/>
              <w:rPr>
                <w:rFonts w:hint="eastAsia" w:ascii="宋体" w:hAnsi="宋体"/>
                <w:color w:val="auto"/>
                <w:szCs w:val="21"/>
                <w:highlight w:val="none"/>
              </w:rPr>
            </w:pPr>
            <w:r>
              <w:rPr>
                <w:rFonts w:ascii="宋体" w:hAnsi="宋体" w:cs="宋体"/>
                <w:color w:val="auto"/>
                <w:kern w:val="0"/>
                <w:szCs w:val="21"/>
                <w:highlight w:val="none"/>
              </w:rPr>
              <w:t>0.8%</w:t>
            </w:r>
          </w:p>
        </w:tc>
        <w:tc>
          <w:tcPr>
            <w:tcW w:w="1659" w:type="dxa"/>
          </w:tcPr>
          <w:p w14:paraId="387F0FFB">
            <w:pPr>
              <w:spacing w:line="420" w:lineRule="exact"/>
              <w:ind w:firstLine="199" w:firstLineChars="100"/>
              <w:rPr>
                <w:rFonts w:hint="eastAsia" w:ascii="宋体" w:hAnsi="宋体"/>
                <w:color w:val="auto"/>
                <w:szCs w:val="21"/>
                <w:highlight w:val="none"/>
              </w:rPr>
            </w:pPr>
            <w:r>
              <w:rPr>
                <w:rFonts w:ascii="宋体" w:hAnsi="宋体" w:cs="宋体"/>
                <w:color w:val="auto"/>
                <w:kern w:val="0"/>
                <w:szCs w:val="21"/>
                <w:highlight w:val="none"/>
              </w:rPr>
              <w:t xml:space="preserve">0.7% </w:t>
            </w:r>
          </w:p>
        </w:tc>
      </w:tr>
      <w:tr w14:paraId="311E5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53A3A835">
            <w:pPr>
              <w:spacing w:line="420" w:lineRule="exact"/>
              <w:rPr>
                <w:rFonts w:hint="eastAsia" w:ascii="宋体" w:hAnsi="宋体"/>
                <w:color w:val="auto"/>
                <w:szCs w:val="21"/>
                <w:highlight w:val="none"/>
              </w:rPr>
            </w:pPr>
            <w:r>
              <w:rPr>
                <w:rFonts w:hint="eastAsia" w:ascii="宋体" w:hAnsi="宋体"/>
                <w:color w:val="auto"/>
                <w:szCs w:val="21"/>
                <w:highlight w:val="none"/>
              </w:rPr>
              <w:t>500万元～1000万元</w:t>
            </w:r>
          </w:p>
        </w:tc>
        <w:tc>
          <w:tcPr>
            <w:tcW w:w="1659" w:type="dxa"/>
          </w:tcPr>
          <w:p w14:paraId="4878CFCC">
            <w:pPr>
              <w:spacing w:line="420" w:lineRule="exact"/>
              <w:rPr>
                <w:rFonts w:hint="eastAsia" w:ascii="宋体" w:hAnsi="宋体"/>
                <w:color w:val="auto"/>
                <w:szCs w:val="21"/>
                <w:highlight w:val="none"/>
              </w:rPr>
            </w:pP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 xml:space="preserve">0.8% </w:t>
            </w:r>
            <w:r>
              <w:rPr>
                <w:rFonts w:hint="eastAsia" w:ascii="宋体" w:hAnsi="宋体" w:cs="宋体"/>
                <w:color w:val="auto"/>
                <w:kern w:val="0"/>
                <w:szCs w:val="21"/>
                <w:highlight w:val="none"/>
              </w:rPr>
              <w:t xml:space="preserve">               </w:t>
            </w:r>
          </w:p>
        </w:tc>
        <w:tc>
          <w:tcPr>
            <w:tcW w:w="1687" w:type="dxa"/>
          </w:tcPr>
          <w:p w14:paraId="5DC89714">
            <w:pPr>
              <w:spacing w:line="420" w:lineRule="exact"/>
              <w:ind w:firstLine="199" w:firstLineChars="100"/>
              <w:rPr>
                <w:rFonts w:hint="eastAsia" w:ascii="宋体" w:hAnsi="宋体"/>
                <w:color w:val="auto"/>
                <w:szCs w:val="21"/>
                <w:highlight w:val="none"/>
              </w:rPr>
            </w:pPr>
            <w:r>
              <w:rPr>
                <w:rFonts w:ascii="宋体" w:hAnsi="宋体" w:cs="宋体"/>
                <w:color w:val="auto"/>
                <w:kern w:val="0"/>
                <w:szCs w:val="21"/>
                <w:highlight w:val="none"/>
              </w:rPr>
              <w:t>0.45%</w:t>
            </w:r>
          </w:p>
        </w:tc>
        <w:tc>
          <w:tcPr>
            <w:tcW w:w="1659" w:type="dxa"/>
          </w:tcPr>
          <w:p w14:paraId="7358CF87">
            <w:pPr>
              <w:spacing w:line="420" w:lineRule="exact"/>
              <w:ind w:firstLine="199" w:firstLineChars="100"/>
              <w:rPr>
                <w:rFonts w:hint="eastAsia" w:ascii="宋体" w:hAnsi="宋体"/>
                <w:color w:val="auto"/>
                <w:szCs w:val="21"/>
                <w:highlight w:val="none"/>
              </w:rPr>
            </w:pPr>
            <w:r>
              <w:rPr>
                <w:rFonts w:ascii="宋体" w:hAnsi="宋体" w:cs="宋体"/>
                <w:color w:val="auto"/>
                <w:kern w:val="0"/>
                <w:szCs w:val="21"/>
                <w:highlight w:val="none"/>
              </w:rPr>
              <w:t>0.55%</w:t>
            </w:r>
          </w:p>
        </w:tc>
      </w:tr>
      <w:tr w14:paraId="6C111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7342490E">
            <w:pPr>
              <w:spacing w:line="420" w:lineRule="exact"/>
              <w:rPr>
                <w:rFonts w:hint="eastAsia" w:ascii="宋体" w:hAnsi="宋体"/>
                <w:color w:val="auto"/>
                <w:szCs w:val="21"/>
                <w:highlight w:val="none"/>
              </w:rPr>
            </w:pPr>
            <w:r>
              <w:rPr>
                <w:rFonts w:hint="eastAsia" w:ascii="宋体" w:hAnsi="宋体"/>
                <w:color w:val="auto"/>
                <w:szCs w:val="21"/>
                <w:highlight w:val="none"/>
              </w:rPr>
              <w:t>1000万元～5000万元</w:t>
            </w:r>
          </w:p>
        </w:tc>
        <w:tc>
          <w:tcPr>
            <w:tcW w:w="1659" w:type="dxa"/>
          </w:tcPr>
          <w:p w14:paraId="50F98257">
            <w:pPr>
              <w:spacing w:line="420" w:lineRule="exact"/>
              <w:ind w:firstLine="199" w:firstLineChars="100"/>
              <w:rPr>
                <w:rFonts w:hint="eastAsia" w:ascii="宋体" w:hAnsi="宋体"/>
                <w:color w:val="auto"/>
                <w:szCs w:val="21"/>
                <w:highlight w:val="none"/>
              </w:rPr>
            </w:pPr>
            <w:r>
              <w:rPr>
                <w:rFonts w:ascii="宋体" w:hAnsi="宋体" w:cs="宋体"/>
                <w:color w:val="auto"/>
                <w:kern w:val="0"/>
                <w:szCs w:val="21"/>
                <w:highlight w:val="none"/>
              </w:rPr>
              <w:t xml:space="preserve">0.5% </w:t>
            </w:r>
            <w:r>
              <w:rPr>
                <w:rFonts w:hint="eastAsia" w:ascii="宋体" w:hAnsi="宋体" w:cs="宋体"/>
                <w:color w:val="auto"/>
                <w:kern w:val="0"/>
                <w:szCs w:val="21"/>
                <w:highlight w:val="none"/>
              </w:rPr>
              <w:t xml:space="preserve">               </w:t>
            </w:r>
          </w:p>
        </w:tc>
        <w:tc>
          <w:tcPr>
            <w:tcW w:w="1687" w:type="dxa"/>
          </w:tcPr>
          <w:p w14:paraId="0F0A1EF2">
            <w:pPr>
              <w:spacing w:line="420" w:lineRule="exact"/>
              <w:ind w:firstLine="199" w:firstLineChars="100"/>
              <w:rPr>
                <w:rFonts w:hint="eastAsia" w:ascii="宋体" w:hAnsi="宋体"/>
                <w:color w:val="auto"/>
                <w:szCs w:val="21"/>
                <w:highlight w:val="none"/>
              </w:rPr>
            </w:pPr>
            <w:r>
              <w:rPr>
                <w:rFonts w:ascii="宋体" w:hAnsi="宋体" w:cs="宋体"/>
                <w:color w:val="auto"/>
                <w:kern w:val="0"/>
                <w:szCs w:val="21"/>
                <w:highlight w:val="none"/>
              </w:rPr>
              <w:t>0.25%</w:t>
            </w:r>
          </w:p>
        </w:tc>
        <w:tc>
          <w:tcPr>
            <w:tcW w:w="1659" w:type="dxa"/>
          </w:tcPr>
          <w:p w14:paraId="1251ED81">
            <w:pPr>
              <w:spacing w:line="420" w:lineRule="exact"/>
              <w:ind w:firstLine="199" w:firstLineChars="100"/>
              <w:rPr>
                <w:rFonts w:hint="eastAsia" w:ascii="宋体" w:hAnsi="宋体"/>
                <w:color w:val="auto"/>
                <w:szCs w:val="21"/>
                <w:highlight w:val="none"/>
              </w:rPr>
            </w:pPr>
            <w:r>
              <w:rPr>
                <w:rFonts w:ascii="宋体" w:hAnsi="宋体" w:cs="宋体"/>
                <w:color w:val="auto"/>
                <w:kern w:val="0"/>
                <w:szCs w:val="21"/>
                <w:highlight w:val="none"/>
              </w:rPr>
              <w:t xml:space="preserve">0.35% </w:t>
            </w:r>
          </w:p>
        </w:tc>
      </w:tr>
      <w:tr w14:paraId="0D144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674D22E1">
            <w:pPr>
              <w:spacing w:line="420" w:lineRule="exact"/>
              <w:rPr>
                <w:rFonts w:hint="eastAsia" w:ascii="宋体" w:hAnsi="宋体"/>
                <w:color w:val="auto"/>
                <w:szCs w:val="21"/>
                <w:highlight w:val="none"/>
              </w:rPr>
            </w:pPr>
            <w:r>
              <w:rPr>
                <w:rFonts w:hint="eastAsia" w:ascii="宋体" w:hAnsi="宋体"/>
                <w:color w:val="auto"/>
                <w:szCs w:val="21"/>
                <w:highlight w:val="none"/>
              </w:rPr>
              <w:t>5000万元～1亿元</w:t>
            </w:r>
          </w:p>
        </w:tc>
        <w:tc>
          <w:tcPr>
            <w:tcW w:w="1659" w:type="dxa"/>
          </w:tcPr>
          <w:p w14:paraId="15400A27">
            <w:pPr>
              <w:spacing w:line="420" w:lineRule="exact"/>
              <w:ind w:firstLine="199" w:firstLineChars="100"/>
              <w:rPr>
                <w:rFonts w:hint="eastAsia" w:ascii="宋体" w:hAnsi="宋体"/>
                <w:color w:val="auto"/>
                <w:szCs w:val="21"/>
                <w:highlight w:val="none"/>
              </w:rPr>
            </w:pPr>
            <w:r>
              <w:rPr>
                <w:rFonts w:ascii="宋体" w:hAnsi="宋体" w:cs="宋体"/>
                <w:color w:val="auto"/>
                <w:kern w:val="0"/>
                <w:szCs w:val="21"/>
                <w:highlight w:val="none"/>
              </w:rPr>
              <w:t xml:space="preserve">0.25% </w:t>
            </w: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 xml:space="preserve">         </w:t>
            </w:r>
          </w:p>
        </w:tc>
        <w:tc>
          <w:tcPr>
            <w:tcW w:w="1687" w:type="dxa"/>
          </w:tcPr>
          <w:p w14:paraId="54D229AC">
            <w:pPr>
              <w:spacing w:line="420" w:lineRule="exact"/>
              <w:ind w:firstLine="199" w:firstLineChars="100"/>
              <w:rPr>
                <w:rFonts w:hint="eastAsia" w:ascii="宋体" w:hAnsi="宋体"/>
                <w:color w:val="auto"/>
                <w:szCs w:val="21"/>
                <w:highlight w:val="none"/>
              </w:rPr>
            </w:pPr>
            <w:r>
              <w:rPr>
                <w:rFonts w:ascii="宋体" w:hAnsi="宋体" w:cs="宋体"/>
                <w:color w:val="auto"/>
                <w:kern w:val="0"/>
                <w:szCs w:val="21"/>
                <w:highlight w:val="none"/>
              </w:rPr>
              <w:t>0.1%</w:t>
            </w:r>
          </w:p>
        </w:tc>
        <w:tc>
          <w:tcPr>
            <w:tcW w:w="1659" w:type="dxa"/>
          </w:tcPr>
          <w:p w14:paraId="1D958B78">
            <w:pPr>
              <w:spacing w:line="420" w:lineRule="exact"/>
              <w:ind w:firstLine="199" w:firstLineChars="100"/>
              <w:rPr>
                <w:rFonts w:hint="eastAsia" w:ascii="宋体" w:hAnsi="宋体"/>
                <w:color w:val="auto"/>
                <w:szCs w:val="21"/>
                <w:highlight w:val="none"/>
              </w:rPr>
            </w:pPr>
            <w:r>
              <w:rPr>
                <w:rFonts w:ascii="宋体" w:hAnsi="宋体" w:cs="宋体"/>
                <w:color w:val="auto"/>
                <w:kern w:val="0"/>
                <w:szCs w:val="21"/>
                <w:highlight w:val="none"/>
              </w:rPr>
              <w:t>0.2%</w:t>
            </w:r>
          </w:p>
        </w:tc>
      </w:tr>
      <w:tr w14:paraId="60850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5E236D13">
            <w:pPr>
              <w:spacing w:line="420" w:lineRule="exact"/>
              <w:rPr>
                <w:rFonts w:hint="eastAsia" w:ascii="宋体" w:hAnsi="宋体"/>
                <w:color w:val="auto"/>
                <w:szCs w:val="21"/>
                <w:highlight w:val="none"/>
              </w:rPr>
            </w:pPr>
            <w:r>
              <w:rPr>
                <w:rFonts w:hint="eastAsia" w:ascii="宋体" w:hAnsi="宋体"/>
                <w:color w:val="auto"/>
                <w:szCs w:val="21"/>
                <w:highlight w:val="none"/>
              </w:rPr>
              <w:t>1亿元～5亿元</w:t>
            </w:r>
          </w:p>
        </w:tc>
        <w:tc>
          <w:tcPr>
            <w:tcW w:w="1659" w:type="dxa"/>
          </w:tcPr>
          <w:p w14:paraId="101C5EDA">
            <w:pPr>
              <w:spacing w:line="420" w:lineRule="exact"/>
              <w:ind w:firstLine="199" w:firstLineChars="100"/>
              <w:rPr>
                <w:rFonts w:hint="eastAsia" w:ascii="宋体" w:hAnsi="宋体"/>
                <w:color w:val="auto"/>
                <w:szCs w:val="21"/>
                <w:highlight w:val="none"/>
              </w:rPr>
            </w:pPr>
            <w:r>
              <w:rPr>
                <w:rFonts w:hint="eastAsia" w:ascii="宋体" w:hAnsi="宋体"/>
                <w:color w:val="auto"/>
                <w:szCs w:val="21"/>
                <w:highlight w:val="none"/>
              </w:rPr>
              <w:t>0.05%</w:t>
            </w:r>
          </w:p>
        </w:tc>
        <w:tc>
          <w:tcPr>
            <w:tcW w:w="1687" w:type="dxa"/>
          </w:tcPr>
          <w:p w14:paraId="2B6F88B8">
            <w:pPr>
              <w:spacing w:line="420" w:lineRule="exact"/>
              <w:rPr>
                <w:rFonts w:hint="eastAsia" w:ascii="宋体" w:hAnsi="宋体"/>
                <w:color w:val="auto"/>
                <w:szCs w:val="21"/>
                <w:highlight w:val="none"/>
              </w:rPr>
            </w:pPr>
            <w:r>
              <w:rPr>
                <w:rFonts w:hint="eastAsia" w:ascii="宋体" w:hAnsi="宋体"/>
                <w:color w:val="auto"/>
                <w:szCs w:val="21"/>
                <w:highlight w:val="none"/>
              </w:rPr>
              <w:t xml:space="preserve">  0.05%</w:t>
            </w:r>
          </w:p>
        </w:tc>
        <w:tc>
          <w:tcPr>
            <w:tcW w:w="1659" w:type="dxa"/>
          </w:tcPr>
          <w:p w14:paraId="70DCC52C">
            <w:pPr>
              <w:spacing w:line="420" w:lineRule="exact"/>
              <w:rPr>
                <w:rFonts w:hint="eastAsia" w:ascii="宋体" w:hAnsi="宋体"/>
                <w:color w:val="auto"/>
                <w:szCs w:val="21"/>
                <w:highlight w:val="none"/>
              </w:rPr>
            </w:pPr>
            <w:r>
              <w:rPr>
                <w:rFonts w:hint="eastAsia" w:ascii="宋体" w:hAnsi="宋体"/>
                <w:color w:val="auto"/>
                <w:szCs w:val="21"/>
                <w:highlight w:val="none"/>
              </w:rPr>
              <w:t xml:space="preserve">  0.05%</w:t>
            </w:r>
          </w:p>
        </w:tc>
      </w:tr>
      <w:tr w14:paraId="6E834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6ADE1DFB">
            <w:pPr>
              <w:spacing w:line="420" w:lineRule="exact"/>
              <w:rPr>
                <w:rFonts w:hint="eastAsia" w:ascii="宋体" w:hAnsi="宋体"/>
                <w:color w:val="auto"/>
                <w:szCs w:val="21"/>
                <w:highlight w:val="none"/>
              </w:rPr>
            </w:pPr>
            <w:r>
              <w:rPr>
                <w:rFonts w:hint="eastAsia" w:ascii="宋体" w:hAnsi="宋体"/>
                <w:color w:val="auto"/>
                <w:szCs w:val="21"/>
                <w:highlight w:val="none"/>
              </w:rPr>
              <w:t>5亿元～10亿元</w:t>
            </w:r>
          </w:p>
        </w:tc>
        <w:tc>
          <w:tcPr>
            <w:tcW w:w="1659" w:type="dxa"/>
          </w:tcPr>
          <w:p w14:paraId="663120EA">
            <w:pPr>
              <w:spacing w:line="420" w:lineRule="exact"/>
              <w:ind w:firstLine="100" w:firstLineChars="50"/>
              <w:rPr>
                <w:rFonts w:hint="eastAsia" w:ascii="宋体" w:hAnsi="宋体"/>
                <w:color w:val="auto"/>
                <w:szCs w:val="21"/>
                <w:highlight w:val="none"/>
              </w:rPr>
            </w:pPr>
            <w:r>
              <w:rPr>
                <w:rFonts w:hint="eastAsia" w:ascii="宋体" w:hAnsi="宋体"/>
                <w:color w:val="auto"/>
                <w:szCs w:val="21"/>
                <w:highlight w:val="none"/>
              </w:rPr>
              <w:t>0.035%</w:t>
            </w:r>
          </w:p>
        </w:tc>
        <w:tc>
          <w:tcPr>
            <w:tcW w:w="1687" w:type="dxa"/>
          </w:tcPr>
          <w:p w14:paraId="05C89F3B">
            <w:pPr>
              <w:spacing w:line="420" w:lineRule="exact"/>
              <w:rPr>
                <w:rFonts w:hint="eastAsia" w:ascii="宋体" w:hAnsi="宋体"/>
                <w:color w:val="auto"/>
                <w:szCs w:val="21"/>
                <w:highlight w:val="none"/>
              </w:rPr>
            </w:pPr>
            <w:r>
              <w:rPr>
                <w:rFonts w:hint="eastAsia" w:ascii="宋体" w:hAnsi="宋体"/>
                <w:color w:val="auto"/>
                <w:szCs w:val="21"/>
                <w:highlight w:val="none"/>
              </w:rPr>
              <w:t xml:space="preserve">  0.035%</w:t>
            </w:r>
          </w:p>
        </w:tc>
        <w:tc>
          <w:tcPr>
            <w:tcW w:w="1659" w:type="dxa"/>
          </w:tcPr>
          <w:p w14:paraId="7C915553">
            <w:pPr>
              <w:spacing w:line="420" w:lineRule="exact"/>
              <w:ind w:firstLine="100" w:firstLineChars="50"/>
              <w:rPr>
                <w:rFonts w:hint="eastAsia" w:ascii="宋体" w:hAnsi="宋体"/>
                <w:color w:val="auto"/>
                <w:szCs w:val="21"/>
                <w:highlight w:val="none"/>
              </w:rPr>
            </w:pPr>
            <w:r>
              <w:rPr>
                <w:rFonts w:hint="eastAsia" w:ascii="宋体" w:hAnsi="宋体"/>
                <w:color w:val="auto"/>
                <w:szCs w:val="21"/>
                <w:highlight w:val="none"/>
              </w:rPr>
              <w:t>0.035%</w:t>
            </w:r>
          </w:p>
        </w:tc>
      </w:tr>
      <w:tr w14:paraId="2E516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3D81B111">
            <w:pPr>
              <w:spacing w:line="420" w:lineRule="exact"/>
              <w:rPr>
                <w:rFonts w:hint="eastAsia" w:ascii="宋体" w:hAnsi="宋体"/>
                <w:color w:val="auto"/>
                <w:szCs w:val="21"/>
                <w:highlight w:val="none"/>
              </w:rPr>
            </w:pPr>
            <w:r>
              <w:rPr>
                <w:rFonts w:hint="eastAsia" w:ascii="宋体" w:hAnsi="宋体"/>
                <w:color w:val="auto"/>
                <w:szCs w:val="21"/>
                <w:highlight w:val="none"/>
              </w:rPr>
              <w:t>10亿元～50亿元</w:t>
            </w:r>
          </w:p>
        </w:tc>
        <w:tc>
          <w:tcPr>
            <w:tcW w:w="1659" w:type="dxa"/>
          </w:tcPr>
          <w:p w14:paraId="3372AD2C">
            <w:pPr>
              <w:spacing w:line="420" w:lineRule="exact"/>
              <w:ind w:firstLine="100" w:firstLineChars="50"/>
              <w:rPr>
                <w:rFonts w:hint="eastAsia" w:ascii="宋体" w:hAnsi="宋体"/>
                <w:color w:val="auto"/>
                <w:szCs w:val="21"/>
                <w:highlight w:val="none"/>
              </w:rPr>
            </w:pPr>
            <w:r>
              <w:rPr>
                <w:rFonts w:hint="eastAsia" w:ascii="宋体" w:hAnsi="宋体"/>
                <w:color w:val="auto"/>
                <w:szCs w:val="21"/>
                <w:highlight w:val="none"/>
              </w:rPr>
              <w:t>0.008%</w:t>
            </w:r>
          </w:p>
        </w:tc>
        <w:tc>
          <w:tcPr>
            <w:tcW w:w="1687" w:type="dxa"/>
          </w:tcPr>
          <w:p w14:paraId="516A3C36">
            <w:pPr>
              <w:spacing w:line="420" w:lineRule="exact"/>
              <w:ind w:firstLine="199" w:firstLineChars="100"/>
              <w:rPr>
                <w:rFonts w:hint="eastAsia" w:ascii="宋体" w:hAnsi="宋体"/>
                <w:color w:val="auto"/>
                <w:szCs w:val="21"/>
                <w:highlight w:val="none"/>
              </w:rPr>
            </w:pPr>
            <w:r>
              <w:rPr>
                <w:rFonts w:hint="eastAsia" w:ascii="宋体" w:hAnsi="宋体"/>
                <w:color w:val="auto"/>
                <w:szCs w:val="21"/>
                <w:highlight w:val="none"/>
              </w:rPr>
              <w:t>0.008%</w:t>
            </w:r>
          </w:p>
        </w:tc>
        <w:tc>
          <w:tcPr>
            <w:tcW w:w="1659" w:type="dxa"/>
          </w:tcPr>
          <w:p w14:paraId="7394CB8A">
            <w:pPr>
              <w:spacing w:line="420" w:lineRule="exact"/>
              <w:ind w:firstLine="100" w:firstLineChars="50"/>
              <w:rPr>
                <w:rFonts w:hint="eastAsia" w:ascii="宋体" w:hAnsi="宋体"/>
                <w:color w:val="auto"/>
                <w:szCs w:val="21"/>
                <w:highlight w:val="none"/>
              </w:rPr>
            </w:pPr>
            <w:r>
              <w:rPr>
                <w:rFonts w:hint="eastAsia" w:ascii="宋体" w:hAnsi="宋体"/>
                <w:color w:val="auto"/>
                <w:szCs w:val="21"/>
                <w:highlight w:val="none"/>
              </w:rPr>
              <w:t>0.008%</w:t>
            </w:r>
          </w:p>
        </w:tc>
      </w:tr>
      <w:tr w14:paraId="69906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047D7256">
            <w:pPr>
              <w:spacing w:line="420" w:lineRule="exact"/>
              <w:rPr>
                <w:rFonts w:hint="eastAsia" w:ascii="宋体" w:hAnsi="宋体"/>
                <w:color w:val="auto"/>
                <w:szCs w:val="21"/>
                <w:highlight w:val="none"/>
              </w:rPr>
            </w:pPr>
            <w:r>
              <w:rPr>
                <w:rFonts w:hint="eastAsia" w:ascii="宋体" w:hAnsi="宋体"/>
                <w:color w:val="auto"/>
                <w:szCs w:val="21"/>
                <w:highlight w:val="none"/>
              </w:rPr>
              <w:t>50亿元～100亿元</w:t>
            </w:r>
          </w:p>
        </w:tc>
        <w:tc>
          <w:tcPr>
            <w:tcW w:w="1659" w:type="dxa"/>
          </w:tcPr>
          <w:p w14:paraId="5B97FCBF">
            <w:pPr>
              <w:spacing w:line="420" w:lineRule="exact"/>
              <w:rPr>
                <w:rFonts w:hint="eastAsia" w:ascii="宋体" w:hAnsi="宋体"/>
                <w:color w:val="auto"/>
                <w:szCs w:val="21"/>
                <w:highlight w:val="none"/>
              </w:rPr>
            </w:pPr>
            <w:r>
              <w:rPr>
                <w:rFonts w:hint="eastAsia" w:ascii="宋体" w:hAnsi="宋体"/>
                <w:color w:val="auto"/>
                <w:szCs w:val="21"/>
                <w:highlight w:val="none"/>
              </w:rPr>
              <w:t xml:space="preserve"> 0.006%</w:t>
            </w:r>
          </w:p>
        </w:tc>
        <w:tc>
          <w:tcPr>
            <w:tcW w:w="1687" w:type="dxa"/>
          </w:tcPr>
          <w:p w14:paraId="70C80B5E">
            <w:pPr>
              <w:spacing w:line="420" w:lineRule="exact"/>
              <w:ind w:firstLine="199" w:firstLineChars="100"/>
              <w:rPr>
                <w:rFonts w:hint="eastAsia" w:ascii="宋体" w:hAnsi="宋体"/>
                <w:color w:val="auto"/>
                <w:szCs w:val="21"/>
                <w:highlight w:val="none"/>
              </w:rPr>
            </w:pPr>
            <w:r>
              <w:rPr>
                <w:rFonts w:hint="eastAsia" w:ascii="宋体" w:hAnsi="宋体"/>
                <w:color w:val="auto"/>
                <w:szCs w:val="21"/>
                <w:highlight w:val="none"/>
              </w:rPr>
              <w:t>0.006%</w:t>
            </w:r>
          </w:p>
        </w:tc>
        <w:tc>
          <w:tcPr>
            <w:tcW w:w="1659" w:type="dxa"/>
          </w:tcPr>
          <w:p w14:paraId="45690923">
            <w:pPr>
              <w:spacing w:line="420" w:lineRule="exact"/>
              <w:ind w:firstLine="100" w:firstLineChars="50"/>
              <w:rPr>
                <w:rFonts w:hint="eastAsia" w:ascii="宋体" w:hAnsi="宋体"/>
                <w:color w:val="auto"/>
                <w:szCs w:val="21"/>
                <w:highlight w:val="none"/>
              </w:rPr>
            </w:pPr>
            <w:r>
              <w:rPr>
                <w:rFonts w:hint="eastAsia" w:ascii="宋体" w:hAnsi="宋体"/>
                <w:color w:val="auto"/>
                <w:szCs w:val="21"/>
                <w:highlight w:val="none"/>
              </w:rPr>
              <w:t>0.006%</w:t>
            </w:r>
          </w:p>
        </w:tc>
      </w:tr>
      <w:tr w14:paraId="45FAF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636A565C">
            <w:pPr>
              <w:spacing w:line="420" w:lineRule="exact"/>
              <w:rPr>
                <w:rFonts w:hint="eastAsia" w:ascii="宋体" w:hAnsi="宋体"/>
                <w:color w:val="auto"/>
                <w:szCs w:val="21"/>
                <w:highlight w:val="none"/>
              </w:rPr>
            </w:pPr>
            <w:r>
              <w:rPr>
                <w:rFonts w:hint="eastAsia" w:ascii="宋体" w:hAnsi="宋体"/>
                <w:color w:val="auto"/>
                <w:szCs w:val="21"/>
                <w:highlight w:val="none"/>
              </w:rPr>
              <w:t>100亿以上</w:t>
            </w:r>
          </w:p>
        </w:tc>
        <w:tc>
          <w:tcPr>
            <w:tcW w:w="1659" w:type="dxa"/>
          </w:tcPr>
          <w:p w14:paraId="017FE550">
            <w:pPr>
              <w:spacing w:line="420" w:lineRule="exact"/>
              <w:rPr>
                <w:rFonts w:hint="eastAsia" w:ascii="宋体" w:hAnsi="宋体"/>
                <w:color w:val="auto"/>
                <w:szCs w:val="21"/>
                <w:highlight w:val="none"/>
              </w:rPr>
            </w:pPr>
            <w:r>
              <w:rPr>
                <w:rFonts w:hint="eastAsia" w:ascii="宋体" w:hAnsi="宋体"/>
                <w:color w:val="auto"/>
                <w:szCs w:val="21"/>
                <w:highlight w:val="none"/>
              </w:rPr>
              <w:t xml:space="preserve"> 0.004%</w:t>
            </w:r>
          </w:p>
        </w:tc>
        <w:tc>
          <w:tcPr>
            <w:tcW w:w="1687" w:type="dxa"/>
          </w:tcPr>
          <w:p w14:paraId="228CD208">
            <w:pPr>
              <w:spacing w:line="420" w:lineRule="exact"/>
              <w:ind w:firstLine="199" w:firstLineChars="100"/>
              <w:rPr>
                <w:rFonts w:hint="eastAsia" w:ascii="宋体" w:hAnsi="宋体"/>
                <w:color w:val="auto"/>
                <w:szCs w:val="21"/>
                <w:highlight w:val="none"/>
              </w:rPr>
            </w:pPr>
            <w:r>
              <w:rPr>
                <w:rFonts w:hint="eastAsia" w:ascii="宋体" w:hAnsi="宋体"/>
                <w:color w:val="auto"/>
                <w:szCs w:val="21"/>
                <w:highlight w:val="none"/>
              </w:rPr>
              <w:t>0.004%</w:t>
            </w:r>
          </w:p>
        </w:tc>
        <w:tc>
          <w:tcPr>
            <w:tcW w:w="1659" w:type="dxa"/>
          </w:tcPr>
          <w:p w14:paraId="0F623794">
            <w:pPr>
              <w:spacing w:line="420" w:lineRule="exact"/>
              <w:ind w:firstLine="100" w:firstLineChars="50"/>
              <w:rPr>
                <w:rFonts w:hint="eastAsia" w:ascii="宋体" w:hAnsi="宋体"/>
                <w:color w:val="auto"/>
                <w:szCs w:val="21"/>
                <w:highlight w:val="none"/>
              </w:rPr>
            </w:pPr>
            <w:r>
              <w:rPr>
                <w:rFonts w:hint="eastAsia" w:ascii="宋体" w:hAnsi="宋体"/>
                <w:color w:val="auto"/>
                <w:szCs w:val="21"/>
                <w:highlight w:val="none"/>
              </w:rPr>
              <w:t>0.004%</w:t>
            </w:r>
          </w:p>
        </w:tc>
      </w:tr>
    </w:tbl>
    <w:p w14:paraId="46E3D579">
      <w:pPr>
        <w:spacing w:line="420" w:lineRule="exact"/>
        <w:ind w:firstLine="398" w:firstLineChars="200"/>
        <w:rPr>
          <w:rFonts w:hint="eastAsia" w:ascii="宋体" w:hAnsi="宋体" w:cs="宋体"/>
          <w:color w:val="auto"/>
          <w:szCs w:val="21"/>
          <w:highlight w:val="none"/>
        </w:rPr>
      </w:pPr>
      <w:r>
        <w:rPr>
          <w:rFonts w:hint="eastAsia" w:ascii="宋体" w:hAnsi="宋体"/>
          <w:color w:val="auto"/>
          <w:szCs w:val="21"/>
          <w:highlight w:val="none"/>
        </w:rPr>
        <w:t>注：</w:t>
      </w:r>
      <w:r>
        <w:rPr>
          <w:rFonts w:ascii="宋体" w:hAnsi="宋体" w:cs="宋体"/>
          <w:color w:val="auto"/>
          <w:szCs w:val="21"/>
          <w:highlight w:val="none"/>
        </w:rPr>
        <w:t xml:space="preserve"> </w:t>
      </w:r>
    </w:p>
    <w:p w14:paraId="2D814F3C">
      <w:pPr>
        <w:spacing w:line="420" w:lineRule="exact"/>
        <w:ind w:firstLine="398"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按本表费率计算的收费为</w:t>
      </w:r>
      <w:r>
        <w:rPr>
          <w:rFonts w:hint="eastAsia" w:ascii="宋体" w:hAnsi="宋体" w:cs="宋体"/>
          <w:color w:val="auto"/>
          <w:szCs w:val="21"/>
          <w:highlight w:val="none"/>
        </w:rPr>
        <w:t>采购</w:t>
      </w:r>
      <w:r>
        <w:rPr>
          <w:rFonts w:ascii="宋体" w:hAnsi="宋体" w:cs="宋体"/>
          <w:color w:val="auto"/>
          <w:szCs w:val="21"/>
          <w:highlight w:val="none"/>
        </w:rPr>
        <w:t>代理的收费基准价格</w:t>
      </w:r>
      <w:r>
        <w:rPr>
          <w:rFonts w:hint="eastAsia" w:ascii="宋体" w:hAnsi="宋体" w:cs="宋体"/>
          <w:color w:val="auto"/>
          <w:szCs w:val="21"/>
          <w:highlight w:val="none"/>
        </w:rPr>
        <w:t>；</w:t>
      </w:r>
    </w:p>
    <w:p w14:paraId="54C98730">
      <w:pPr>
        <w:spacing w:line="420" w:lineRule="exact"/>
        <w:ind w:firstLine="398" w:firstLineChars="200"/>
        <w:rPr>
          <w:rFonts w:hint="eastAsia" w:ascii="宋体" w:hAnsi="宋体" w:cs="宋体"/>
          <w:color w:val="auto"/>
          <w:szCs w:val="21"/>
          <w:highlight w:val="none"/>
        </w:rPr>
      </w:pPr>
      <w:r>
        <w:rPr>
          <w:rFonts w:hint="eastAsia" w:ascii="宋体" w:hAnsi="宋体" w:cs="宋体"/>
          <w:color w:val="auto"/>
          <w:szCs w:val="21"/>
          <w:highlight w:val="none"/>
        </w:rPr>
        <w:t>（2）采购</w:t>
      </w:r>
      <w:r>
        <w:rPr>
          <w:rFonts w:ascii="宋体" w:hAnsi="宋体" w:cs="宋体"/>
          <w:color w:val="auto"/>
          <w:szCs w:val="21"/>
          <w:highlight w:val="none"/>
        </w:rPr>
        <w:t>代理收费按差额定率累进法计算。</w:t>
      </w:r>
    </w:p>
    <w:p w14:paraId="525426D6">
      <w:pPr>
        <w:spacing w:line="420" w:lineRule="exact"/>
        <w:ind w:firstLine="398" w:firstLineChars="200"/>
        <w:rPr>
          <w:rFonts w:hint="eastAsia" w:ascii="宋体" w:hAnsi="宋体" w:cs="宋体"/>
          <w:color w:val="auto"/>
          <w:szCs w:val="21"/>
          <w:highlight w:val="none"/>
        </w:rPr>
      </w:pPr>
      <w:r>
        <w:rPr>
          <w:rFonts w:ascii="宋体" w:hAnsi="宋体" w:cs="宋体"/>
          <w:color w:val="auto"/>
          <w:szCs w:val="21"/>
          <w:highlight w:val="none"/>
        </w:rPr>
        <w:t>例如：某</w:t>
      </w:r>
      <w:r>
        <w:rPr>
          <w:rFonts w:hint="eastAsia" w:ascii="宋体" w:hAnsi="宋体" w:cs="宋体"/>
          <w:color w:val="auto"/>
          <w:szCs w:val="21"/>
          <w:highlight w:val="none"/>
        </w:rPr>
        <w:t>服务采购</w:t>
      </w:r>
      <w:r>
        <w:rPr>
          <w:rFonts w:ascii="宋体" w:hAnsi="宋体" w:cs="宋体"/>
          <w:color w:val="auto"/>
          <w:szCs w:val="21"/>
          <w:highlight w:val="none"/>
        </w:rPr>
        <w:t>代理业务</w:t>
      </w:r>
      <w:r>
        <w:rPr>
          <w:rFonts w:hint="eastAsia" w:ascii="宋体" w:hAnsi="宋体" w:cs="宋体"/>
          <w:color w:val="auto"/>
          <w:szCs w:val="21"/>
          <w:highlight w:val="none"/>
        </w:rPr>
        <w:t>中标</w:t>
      </w:r>
      <w:r>
        <w:rPr>
          <w:rFonts w:ascii="宋体" w:hAnsi="宋体" w:cs="宋体"/>
          <w:color w:val="auto"/>
          <w:szCs w:val="21"/>
          <w:highlight w:val="none"/>
        </w:rPr>
        <w:t>金额</w:t>
      </w:r>
      <w:r>
        <w:rPr>
          <w:rFonts w:hint="eastAsia" w:ascii="宋体" w:hAnsi="宋体" w:cs="宋体"/>
          <w:color w:val="auto"/>
          <w:szCs w:val="21"/>
          <w:highlight w:val="none"/>
        </w:rPr>
        <w:t>或者暂定价</w:t>
      </w:r>
      <w:r>
        <w:rPr>
          <w:rFonts w:ascii="宋体" w:hAnsi="宋体" w:cs="宋体"/>
          <w:color w:val="auto"/>
          <w:szCs w:val="21"/>
          <w:highlight w:val="none"/>
        </w:rPr>
        <w:t>为200万元，计算</w:t>
      </w:r>
      <w:r>
        <w:rPr>
          <w:rFonts w:hint="eastAsia" w:ascii="宋体" w:hAnsi="宋体" w:cs="宋体"/>
          <w:color w:val="auto"/>
          <w:szCs w:val="21"/>
          <w:highlight w:val="none"/>
        </w:rPr>
        <w:t>采购</w:t>
      </w:r>
      <w:r>
        <w:rPr>
          <w:rFonts w:ascii="宋体" w:hAnsi="宋体" w:cs="宋体"/>
          <w:color w:val="auto"/>
          <w:szCs w:val="21"/>
          <w:highlight w:val="none"/>
        </w:rPr>
        <w:t>代理收费额如下：</w:t>
      </w:r>
    </w:p>
    <w:p w14:paraId="0162B6E3">
      <w:pPr>
        <w:spacing w:line="420" w:lineRule="exact"/>
        <w:ind w:firstLine="398" w:firstLineChars="200"/>
        <w:rPr>
          <w:rFonts w:hint="eastAsia" w:ascii="宋体" w:hAnsi="宋体" w:cs="宋体"/>
          <w:color w:val="auto"/>
          <w:szCs w:val="21"/>
          <w:highlight w:val="none"/>
        </w:rPr>
      </w:pPr>
      <w:r>
        <w:rPr>
          <w:rFonts w:ascii="宋体" w:hAnsi="宋体" w:cs="宋体"/>
          <w:color w:val="auto"/>
          <w:szCs w:val="21"/>
          <w:highlight w:val="none"/>
        </w:rPr>
        <w:t>100 万元×l.5 %＝ 1.5 万元</w:t>
      </w:r>
    </w:p>
    <w:p w14:paraId="430EDF75">
      <w:pPr>
        <w:spacing w:line="420" w:lineRule="exact"/>
        <w:ind w:firstLine="398" w:firstLineChars="200"/>
        <w:rPr>
          <w:rFonts w:hint="eastAsia" w:ascii="宋体" w:hAnsi="宋体" w:cs="宋体"/>
          <w:color w:val="auto"/>
          <w:szCs w:val="21"/>
          <w:highlight w:val="none"/>
        </w:rPr>
      </w:pPr>
      <w:r>
        <w:rPr>
          <w:rFonts w:ascii="宋体" w:hAnsi="宋体" w:cs="宋体"/>
          <w:color w:val="auto"/>
          <w:szCs w:val="21"/>
          <w:highlight w:val="none"/>
        </w:rPr>
        <w:t>（ 200 － 100 ）万元 ×0.8%＝0.8万元</w:t>
      </w:r>
    </w:p>
    <w:p w14:paraId="2C9F5FCD">
      <w:pPr>
        <w:pStyle w:val="24"/>
        <w:snapToGrid w:val="0"/>
        <w:spacing w:line="420" w:lineRule="exact"/>
        <w:ind w:firstLine="398" w:firstLineChars="200"/>
        <w:rPr>
          <w:rFonts w:hint="eastAsia" w:hAnsi="宋体" w:cs="宋体"/>
          <w:color w:val="auto"/>
          <w:sz w:val="21"/>
          <w:highlight w:val="none"/>
        </w:rPr>
      </w:pPr>
      <w:r>
        <w:rPr>
          <w:rFonts w:hAnsi="宋体" w:cs="宋体"/>
          <w:color w:val="auto"/>
          <w:sz w:val="21"/>
          <w:highlight w:val="none"/>
        </w:rPr>
        <w:t>合计收费＝ 1.5</w:t>
      </w:r>
      <w:r>
        <w:rPr>
          <w:rFonts w:hint="eastAsia" w:hAnsi="宋体" w:cs="宋体"/>
          <w:color w:val="auto"/>
          <w:sz w:val="21"/>
          <w:highlight w:val="none"/>
        </w:rPr>
        <w:t>+</w:t>
      </w:r>
      <w:r>
        <w:rPr>
          <w:rFonts w:hAnsi="宋体" w:cs="宋体"/>
          <w:color w:val="auto"/>
          <w:sz w:val="21"/>
          <w:highlight w:val="none"/>
        </w:rPr>
        <w:t>0.8＝ 2.3（万元）</w:t>
      </w:r>
    </w:p>
    <w:p w14:paraId="792B07AC">
      <w:pPr>
        <w:pStyle w:val="7"/>
        <w:keepNext w:val="0"/>
        <w:keepLines w:val="0"/>
        <w:spacing w:before="0" w:after="0" w:line="420" w:lineRule="exact"/>
        <w:rPr>
          <w:rFonts w:hint="eastAsia" w:ascii="黑体" w:hAnsi="黑体" w:eastAsia="黑体"/>
          <w:color w:val="auto"/>
          <w:sz w:val="24"/>
          <w:highlight w:val="none"/>
        </w:rPr>
      </w:pPr>
      <w:r>
        <w:rPr>
          <w:rFonts w:ascii="黑体" w:hAnsi="黑体" w:eastAsia="黑体"/>
          <w:color w:val="auto"/>
          <w:sz w:val="24"/>
          <w:highlight w:val="none"/>
        </w:rPr>
        <w:t>40.需要补充的其他内容</w:t>
      </w:r>
    </w:p>
    <w:p w14:paraId="02D24747">
      <w:pPr>
        <w:pStyle w:val="24"/>
        <w:spacing w:line="420" w:lineRule="exact"/>
        <w:ind w:firstLine="398" w:firstLineChars="200"/>
        <w:rPr>
          <w:rFonts w:hint="eastAsia" w:hAnsi="宋体" w:cs="宋体"/>
          <w:color w:val="auto"/>
          <w:sz w:val="21"/>
          <w:highlight w:val="none"/>
        </w:rPr>
      </w:pPr>
      <w:r>
        <w:rPr>
          <w:rFonts w:hint="eastAsia" w:hAnsi="宋体" w:cs="宋体"/>
          <w:color w:val="auto"/>
          <w:sz w:val="21"/>
          <w:highlight w:val="none"/>
        </w:rPr>
        <w:t>40.1本招标文件解释规则详见“投标人须知前附表”。</w:t>
      </w:r>
    </w:p>
    <w:p w14:paraId="58051096">
      <w:pPr>
        <w:pStyle w:val="24"/>
        <w:spacing w:line="420" w:lineRule="exact"/>
        <w:ind w:firstLine="398" w:firstLineChars="200"/>
        <w:rPr>
          <w:rFonts w:hint="eastAsia" w:hAnsi="宋体" w:cs="宋体"/>
          <w:color w:val="auto"/>
          <w:sz w:val="21"/>
          <w:highlight w:val="none"/>
        </w:rPr>
      </w:pPr>
      <w:r>
        <w:rPr>
          <w:rFonts w:hint="eastAsia" w:hAnsi="宋体" w:cs="宋体"/>
          <w:color w:val="auto"/>
          <w:sz w:val="21"/>
          <w:highlight w:val="none"/>
        </w:rPr>
        <w:t>40.2其他事项详见“投标人须知前附表”。</w:t>
      </w:r>
    </w:p>
    <w:p w14:paraId="555A2143">
      <w:pPr>
        <w:pStyle w:val="24"/>
        <w:spacing w:line="420" w:lineRule="exact"/>
        <w:ind w:firstLine="398" w:firstLineChars="200"/>
        <w:rPr>
          <w:rFonts w:hint="eastAsia" w:hAnsi="宋体" w:cs="宋体"/>
          <w:color w:val="auto"/>
          <w:sz w:val="21"/>
          <w:highlight w:val="none"/>
        </w:rPr>
      </w:pPr>
      <w:r>
        <w:rPr>
          <w:rFonts w:hint="eastAsia" w:hAnsi="宋体" w:cs="宋体"/>
          <w:color w:val="auto"/>
          <w:sz w:val="21"/>
          <w:highlight w:val="none"/>
        </w:rPr>
        <w:t>40.3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招标文件规定的中小企业扶持政策：</w:t>
      </w:r>
    </w:p>
    <w:p w14:paraId="7DBADEDA">
      <w:pPr>
        <w:pStyle w:val="24"/>
        <w:spacing w:line="420" w:lineRule="exact"/>
        <w:ind w:firstLine="398" w:firstLineChars="200"/>
        <w:rPr>
          <w:rFonts w:hint="eastAsia" w:hAnsi="宋体" w:cs="宋体"/>
          <w:color w:val="auto"/>
          <w:sz w:val="21"/>
          <w:highlight w:val="none"/>
        </w:rPr>
      </w:pPr>
      <w:r>
        <w:rPr>
          <w:rFonts w:hint="eastAsia" w:hAnsi="宋体" w:cs="宋体"/>
          <w:color w:val="auto"/>
          <w:sz w:val="21"/>
          <w:highlight w:val="none"/>
        </w:rPr>
        <w:t>（1）在货物采购项目中，货物由中小企业制造，即货物由中小企业生产且使用该中小企业商号或者注册商标，不对其中涉及的工程承建商和服务的承接商作出要求；</w:t>
      </w:r>
    </w:p>
    <w:p w14:paraId="05045765">
      <w:pPr>
        <w:pStyle w:val="24"/>
        <w:spacing w:line="420" w:lineRule="exact"/>
        <w:ind w:firstLine="398" w:firstLineChars="200"/>
        <w:rPr>
          <w:rFonts w:hint="eastAsia" w:hAnsi="宋体" w:cs="宋体"/>
          <w:color w:val="auto"/>
          <w:sz w:val="21"/>
          <w:highlight w:val="none"/>
        </w:rPr>
      </w:pPr>
      <w:r>
        <w:rPr>
          <w:rFonts w:hint="eastAsia" w:hAnsi="宋体" w:cs="宋体"/>
          <w:color w:val="auto"/>
          <w:sz w:val="21"/>
          <w:highlight w:val="none"/>
        </w:rPr>
        <w:t>（2）在工程采购项目中，工程由中小企业承建，即工程施工单位为中小企业，不对其中涉及的货物的制造商和服务的承接商作出要求；</w:t>
      </w:r>
    </w:p>
    <w:p w14:paraId="12997D75">
      <w:pPr>
        <w:pStyle w:val="24"/>
        <w:spacing w:line="420" w:lineRule="exact"/>
        <w:ind w:firstLine="398" w:firstLineChars="200"/>
        <w:rPr>
          <w:rFonts w:hint="eastAsia" w:hAnsi="宋体" w:cs="宋体"/>
          <w:color w:val="auto"/>
          <w:sz w:val="21"/>
          <w:highlight w:val="none"/>
        </w:rPr>
      </w:pPr>
      <w:r>
        <w:rPr>
          <w:rFonts w:hint="eastAsia" w:hAnsi="宋体" w:cs="宋体"/>
          <w:color w:val="auto"/>
          <w:sz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256EBB16">
      <w:pPr>
        <w:pStyle w:val="24"/>
        <w:spacing w:line="420" w:lineRule="exact"/>
        <w:ind w:firstLine="398" w:firstLineChars="200"/>
        <w:rPr>
          <w:rFonts w:hint="eastAsia" w:hAnsi="宋体" w:cs="宋体"/>
          <w:color w:val="auto"/>
          <w:sz w:val="21"/>
          <w:highlight w:val="none"/>
        </w:rPr>
      </w:pPr>
      <w:r>
        <w:rPr>
          <w:rFonts w:hint="eastAsia" w:hAnsi="宋体" w:cs="宋体"/>
          <w:color w:val="auto"/>
          <w:sz w:val="21"/>
          <w:highlight w:val="none"/>
        </w:rPr>
        <w:t>在货物采购项目中，供应商提供的货物既有中小企业制造货物，也有大型企业制造货物的，不享受本招标文件规定的中小企业扶持政策。以联合体形式参加政府采购活动，联合体各方均为中小企业的，联合体视同中小企业。其中，联合体各方均为小微企业的，联合体视同小微企业。</w:t>
      </w:r>
    </w:p>
    <w:p w14:paraId="240BFCB5">
      <w:pPr>
        <w:pStyle w:val="24"/>
        <w:spacing w:line="420" w:lineRule="exact"/>
        <w:ind w:firstLine="398" w:firstLineChars="200"/>
        <w:rPr>
          <w:rFonts w:hint="eastAsia" w:hAnsi="宋体"/>
          <w:color w:val="auto"/>
          <w:highlight w:val="none"/>
        </w:rPr>
      </w:pPr>
      <w:r>
        <w:rPr>
          <w:rFonts w:hint="eastAsia" w:hAnsi="宋体" w:cs="宋体"/>
          <w:color w:val="auto"/>
          <w:sz w:val="21"/>
          <w:highlight w:val="none"/>
        </w:rPr>
        <w:t>依据本招标文件规定享受扶持政策获得政府采购合同的，小微企业不得将合同分包给大中型企业，中型企业不得将合同分包给大型企业。</w:t>
      </w:r>
      <w:r>
        <w:rPr>
          <w:rFonts w:hAnsi="宋体"/>
          <w:color w:val="auto"/>
          <w:highlight w:val="none"/>
        </w:rPr>
        <w:br w:type="page"/>
      </w:r>
    </w:p>
    <w:p w14:paraId="7AEA6AB1">
      <w:pPr>
        <w:pStyle w:val="24"/>
        <w:snapToGrid w:val="0"/>
        <w:spacing w:before="120" w:after="120"/>
        <w:rPr>
          <w:rFonts w:hint="eastAsia" w:hAnsi="宋体"/>
          <w:color w:val="auto"/>
          <w:highlight w:val="none"/>
        </w:rPr>
      </w:pPr>
    </w:p>
    <w:p w14:paraId="0E0BF852">
      <w:pPr>
        <w:pStyle w:val="24"/>
        <w:snapToGrid w:val="0"/>
        <w:spacing w:before="120" w:after="120"/>
        <w:rPr>
          <w:rFonts w:hint="eastAsia" w:hAnsi="宋体"/>
          <w:color w:val="auto"/>
          <w:highlight w:val="none"/>
        </w:rPr>
      </w:pPr>
    </w:p>
    <w:p w14:paraId="7C422A8B">
      <w:pPr>
        <w:pStyle w:val="24"/>
        <w:snapToGrid w:val="0"/>
        <w:spacing w:before="120" w:after="120"/>
        <w:rPr>
          <w:rFonts w:hint="eastAsia" w:hAnsi="宋体"/>
          <w:color w:val="auto"/>
          <w:highlight w:val="none"/>
        </w:rPr>
      </w:pPr>
    </w:p>
    <w:p w14:paraId="1166FEA6">
      <w:pPr>
        <w:pStyle w:val="24"/>
        <w:snapToGrid w:val="0"/>
        <w:spacing w:before="120" w:after="120"/>
        <w:rPr>
          <w:rFonts w:hint="eastAsia" w:hAnsi="宋体"/>
          <w:color w:val="auto"/>
          <w:highlight w:val="none"/>
        </w:rPr>
      </w:pPr>
    </w:p>
    <w:p w14:paraId="3743EC5D">
      <w:pPr>
        <w:pStyle w:val="24"/>
        <w:snapToGrid w:val="0"/>
        <w:spacing w:before="120" w:after="120"/>
        <w:rPr>
          <w:rFonts w:hint="eastAsia" w:hAnsi="宋体"/>
          <w:color w:val="auto"/>
          <w:highlight w:val="none"/>
        </w:rPr>
      </w:pPr>
    </w:p>
    <w:p w14:paraId="43CF7F41">
      <w:pPr>
        <w:pStyle w:val="24"/>
        <w:snapToGrid w:val="0"/>
        <w:spacing w:before="120" w:after="120"/>
        <w:rPr>
          <w:rFonts w:hint="eastAsia" w:hAnsi="宋体"/>
          <w:color w:val="auto"/>
          <w:highlight w:val="none"/>
        </w:rPr>
      </w:pPr>
    </w:p>
    <w:p w14:paraId="0A51C7CB">
      <w:pPr>
        <w:pStyle w:val="24"/>
        <w:snapToGrid w:val="0"/>
        <w:spacing w:before="120" w:after="120"/>
        <w:rPr>
          <w:rFonts w:hint="eastAsia" w:hAnsi="宋体"/>
          <w:color w:val="auto"/>
          <w:highlight w:val="none"/>
        </w:rPr>
      </w:pPr>
    </w:p>
    <w:p w14:paraId="7E6A6ECA">
      <w:pPr>
        <w:pStyle w:val="24"/>
        <w:snapToGrid w:val="0"/>
        <w:spacing w:before="120" w:after="120"/>
        <w:rPr>
          <w:rFonts w:hint="eastAsia" w:hAnsi="宋体"/>
          <w:color w:val="auto"/>
          <w:highlight w:val="none"/>
        </w:rPr>
      </w:pPr>
    </w:p>
    <w:p w14:paraId="5429367D">
      <w:pPr>
        <w:pStyle w:val="24"/>
        <w:snapToGrid w:val="0"/>
        <w:spacing w:before="120" w:after="120"/>
        <w:rPr>
          <w:rFonts w:hint="eastAsia" w:hAnsi="宋体"/>
          <w:color w:val="auto"/>
          <w:highlight w:val="none"/>
        </w:rPr>
      </w:pPr>
    </w:p>
    <w:p w14:paraId="4C1C4408">
      <w:pPr>
        <w:pStyle w:val="24"/>
        <w:snapToGrid w:val="0"/>
        <w:spacing w:before="120" w:after="120"/>
        <w:rPr>
          <w:rFonts w:hint="eastAsia" w:hAnsi="宋体"/>
          <w:color w:val="auto"/>
          <w:highlight w:val="none"/>
        </w:rPr>
      </w:pPr>
    </w:p>
    <w:p w14:paraId="736AD2F3">
      <w:pPr>
        <w:pStyle w:val="24"/>
        <w:snapToGrid w:val="0"/>
        <w:spacing w:before="120" w:after="120"/>
        <w:rPr>
          <w:rFonts w:hint="eastAsia" w:hAnsi="宋体"/>
          <w:color w:val="auto"/>
          <w:highlight w:val="none"/>
        </w:rPr>
      </w:pPr>
    </w:p>
    <w:p w14:paraId="642BB1A1">
      <w:pPr>
        <w:pStyle w:val="24"/>
        <w:snapToGrid w:val="0"/>
        <w:spacing w:before="120" w:after="120"/>
        <w:rPr>
          <w:rFonts w:hint="eastAsia" w:hAnsi="宋体"/>
          <w:color w:val="auto"/>
          <w:highlight w:val="none"/>
        </w:rPr>
      </w:pPr>
    </w:p>
    <w:p w14:paraId="7B4A6957">
      <w:pPr>
        <w:pStyle w:val="24"/>
        <w:snapToGrid w:val="0"/>
        <w:spacing w:before="120" w:after="120"/>
        <w:rPr>
          <w:rFonts w:hint="eastAsia" w:hAnsi="宋体"/>
          <w:color w:val="auto"/>
          <w:highlight w:val="none"/>
        </w:rPr>
      </w:pPr>
    </w:p>
    <w:p w14:paraId="70B83879">
      <w:pPr>
        <w:pStyle w:val="3"/>
        <w:jc w:val="center"/>
        <w:rPr>
          <w:color w:val="auto"/>
          <w:highlight w:val="none"/>
        </w:rPr>
      </w:pPr>
      <w:bookmarkStart w:id="133" w:name="_Toc330456896"/>
      <w:bookmarkStart w:id="134" w:name="_Toc254970689"/>
      <w:bookmarkStart w:id="135" w:name="_Toc254970548"/>
      <w:bookmarkStart w:id="136" w:name="_Toc15687"/>
      <w:r>
        <w:rPr>
          <w:rFonts w:hint="eastAsia"/>
          <w:color w:val="auto"/>
          <w:highlight w:val="none"/>
        </w:rPr>
        <w:t>第四章  评标方法及评标标准</w:t>
      </w:r>
      <w:bookmarkEnd w:id="133"/>
      <w:bookmarkEnd w:id="134"/>
      <w:bookmarkEnd w:id="135"/>
      <w:bookmarkEnd w:id="136"/>
    </w:p>
    <w:p w14:paraId="665B5C30">
      <w:pPr>
        <w:rPr>
          <w:color w:val="auto"/>
          <w:highlight w:val="none"/>
        </w:rPr>
      </w:pPr>
      <w:bookmarkStart w:id="137" w:name="_Toc254970690"/>
      <w:bookmarkStart w:id="138" w:name="_Toc254970549"/>
    </w:p>
    <w:bookmarkEnd w:id="137"/>
    <w:bookmarkEnd w:id="138"/>
    <w:p w14:paraId="59EC7C5F">
      <w:pPr>
        <w:rPr>
          <w:color w:val="auto"/>
          <w:highlight w:val="none"/>
        </w:rPr>
      </w:pPr>
    </w:p>
    <w:p w14:paraId="28467F30">
      <w:pPr>
        <w:pStyle w:val="24"/>
        <w:spacing w:line="360" w:lineRule="exact"/>
        <w:rPr>
          <w:rFonts w:hint="eastAsia" w:hAnsi="宋体"/>
          <w:b/>
          <w:color w:val="auto"/>
          <w:sz w:val="24"/>
          <w:highlight w:val="none"/>
        </w:rPr>
      </w:pPr>
    </w:p>
    <w:p w14:paraId="338A25E3">
      <w:pPr>
        <w:pStyle w:val="24"/>
        <w:spacing w:line="360" w:lineRule="exact"/>
        <w:rPr>
          <w:rFonts w:hint="eastAsia" w:hAnsi="宋体"/>
          <w:bCs/>
          <w:color w:val="auto"/>
          <w:highlight w:val="none"/>
        </w:rPr>
      </w:pPr>
    </w:p>
    <w:p w14:paraId="55DC39F3">
      <w:pPr>
        <w:pStyle w:val="4"/>
        <w:keepNext w:val="0"/>
        <w:keepLines w:val="0"/>
        <w:jc w:val="center"/>
        <w:rPr>
          <w:color w:val="auto"/>
          <w:highlight w:val="none"/>
        </w:rPr>
      </w:pPr>
      <w:r>
        <w:rPr>
          <w:rFonts w:hint="eastAsia"/>
          <w:color w:val="auto"/>
          <w:highlight w:val="none"/>
        </w:rPr>
        <w:br w:type="page"/>
      </w:r>
      <w:r>
        <w:rPr>
          <w:rFonts w:hint="eastAsia"/>
          <w:color w:val="auto"/>
          <w:highlight w:val="none"/>
        </w:rPr>
        <w:t>一、评标方法</w:t>
      </w:r>
    </w:p>
    <w:p w14:paraId="7CA7F9DD">
      <w:pPr>
        <w:pStyle w:val="24"/>
        <w:spacing w:line="420" w:lineRule="exact"/>
        <w:ind w:firstLine="420"/>
        <w:rPr>
          <w:rFonts w:hint="eastAsia" w:hAnsi="宋体"/>
          <w:color w:val="auto"/>
          <w:sz w:val="21"/>
          <w:highlight w:val="none"/>
        </w:rPr>
      </w:pPr>
      <w:r>
        <w:rPr>
          <w:rFonts w:hint="eastAsia" w:hAnsi="宋体"/>
          <w:color w:val="auto"/>
          <w:sz w:val="21"/>
          <w:highlight w:val="none"/>
        </w:rPr>
        <w:t>综合评分法，是指投标文件满足招标文件全部实质性要求，且按照评审因素的量化指标评审得分最高的投标人为中标候选人的评标方法。</w:t>
      </w:r>
    </w:p>
    <w:p w14:paraId="53298447">
      <w:pPr>
        <w:pStyle w:val="4"/>
        <w:keepNext w:val="0"/>
        <w:keepLines w:val="0"/>
        <w:jc w:val="center"/>
        <w:outlineLvl w:val="1"/>
        <w:rPr>
          <w:color w:val="auto"/>
          <w:highlight w:val="none"/>
        </w:rPr>
      </w:pPr>
      <w:r>
        <w:rPr>
          <w:rFonts w:hint="eastAsia"/>
          <w:color w:val="auto"/>
          <w:highlight w:val="none"/>
        </w:rPr>
        <w:t>二、评标程序</w:t>
      </w:r>
    </w:p>
    <w:p w14:paraId="7AC46E55">
      <w:pPr>
        <w:pStyle w:val="5"/>
        <w:keepNext w:val="0"/>
        <w:keepLines w:val="0"/>
        <w:spacing w:before="0" w:after="0" w:line="420" w:lineRule="exact"/>
        <w:ind w:left="398" w:leftChars="200"/>
        <w:rPr>
          <w:rFonts w:hint="eastAsia" w:ascii="宋体" w:hAnsi="宋体"/>
          <w:color w:val="auto"/>
          <w:sz w:val="21"/>
          <w:szCs w:val="21"/>
          <w:highlight w:val="none"/>
        </w:rPr>
      </w:pPr>
      <w:r>
        <w:rPr>
          <w:rFonts w:hint="eastAsia" w:ascii="宋体" w:hAnsi="宋体"/>
          <w:color w:val="auto"/>
          <w:sz w:val="21"/>
          <w:szCs w:val="21"/>
          <w:highlight w:val="none"/>
        </w:rPr>
        <w:t>1.符合性审查</w:t>
      </w:r>
    </w:p>
    <w:p w14:paraId="5CC9AB36">
      <w:pPr>
        <w:pStyle w:val="24"/>
        <w:snapToGrid w:val="0"/>
        <w:spacing w:line="420" w:lineRule="exact"/>
        <w:ind w:left="1" w:firstLine="420"/>
        <w:rPr>
          <w:rFonts w:hint="eastAsia" w:hAnsi="宋体"/>
          <w:b/>
          <w:color w:val="auto"/>
          <w:kern w:val="2"/>
          <w:sz w:val="21"/>
          <w:highlight w:val="none"/>
        </w:rPr>
      </w:pPr>
      <w:r>
        <w:rPr>
          <w:rFonts w:hint="eastAsia" w:hAnsi="宋体"/>
          <w:b/>
          <w:color w:val="auto"/>
          <w:kern w:val="2"/>
          <w:sz w:val="21"/>
          <w:highlight w:val="none"/>
        </w:rPr>
        <w:t>评标委员会应当对符合资格的投标人的投标文件进行投标报价、商务、技术等实质性内容符合性审查，以确定其是否满足招标文件的实质性要求。</w:t>
      </w:r>
    </w:p>
    <w:p w14:paraId="3FBA2C08">
      <w:pPr>
        <w:pStyle w:val="5"/>
        <w:keepNext w:val="0"/>
        <w:keepLines w:val="0"/>
        <w:spacing w:before="0" w:after="0" w:line="420" w:lineRule="exact"/>
        <w:ind w:left="398" w:leftChars="200"/>
        <w:rPr>
          <w:rFonts w:hint="eastAsia" w:ascii="宋体" w:hAnsi="宋体"/>
          <w:color w:val="auto"/>
          <w:sz w:val="21"/>
          <w:szCs w:val="21"/>
          <w:highlight w:val="none"/>
        </w:rPr>
      </w:pPr>
      <w:r>
        <w:rPr>
          <w:rFonts w:hint="eastAsia" w:ascii="宋体" w:hAnsi="宋体"/>
          <w:color w:val="auto"/>
          <w:sz w:val="21"/>
          <w:szCs w:val="21"/>
          <w:highlight w:val="none"/>
        </w:rPr>
        <w:t>2</w:t>
      </w:r>
      <w:r>
        <w:rPr>
          <w:rFonts w:ascii="宋体" w:hAnsi="宋体"/>
          <w:color w:val="auto"/>
          <w:sz w:val="21"/>
          <w:szCs w:val="21"/>
          <w:highlight w:val="none"/>
        </w:rPr>
        <w:t>.</w:t>
      </w:r>
      <w:r>
        <w:rPr>
          <w:rFonts w:hint="eastAsia" w:ascii="宋体" w:hAnsi="宋体"/>
          <w:color w:val="auto"/>
          <w:sz w:val="21"/>
          <w:szCs w:val="21"/>
          <w:highlight w:val="none"/>
        </w:rPr>
        <w:t>符合性审查不通过而导致投标无效的情形</w:t>
      </w:r>
    </w:p>
    <w:p w14:paraId="6437FA95">
      <w:pPr>
        <w:snapToGrid w:val="0"/>
        <w:spacing w:line="420" w:lineRule="exact"/>
        <w:ind w:firstLine="398" w:firstLineChars="200"/>
        <w:rPr>
          <w:rFonts w:hint="eastAsia" w:ascii="宋体" w:hAnsi="宋体"/>
          <w:b/>
          <w:color w:val="auto"/>
          <w:szCs w:val="21"/>
          <w:highlight w:val="none"/>
        </w:rPr>
      </w:pPr>
      <w:r>
        <w:rPr>
          <w:rFonts w:hint="eastAsia" w:ascii="宋体" w:hAnsi="宋体"/>
          <w:b/>
          <w:color w:val="auto"/>
          <w:szCs w:val="21"/>
          <w:highlight w:val="none"/>
        </w:rPr>
        <w:t>投标人的投标文件中存在对招标文件的任何实质性要求和条件的负偏离，将被视为投标无效。</w:t>
      </w:r>
    </w:p>
    <w:p w14:paraId="52951180">
      <w:pPr>
        <w:pStyle w:val="5"/>
        <w:keepNext w:val="0"/>
        <w:keepLines w:val="0"/>
        <w:spacing w:before="0" w:after="0" w:line="420" w:lineRule="exact"/>
        <w:ind w:left="398" w:leftChars="200"/>
        <w:rPr>
          <w:rFonts w:hint="eastAsia" w:ascii="宋体" w:hAnsi="宋体"/>
          <w:color w:val="auto"/>
          <w:sz w:val="21"/>
          <w:szCs w:val="21"/>
          <w:highlight w:val="none"/>
        </w:rPr>
      </w:pPr>
      <w:r>
        <w:rPr>
          <w:rFonts w:hint="eastAsia" w:ascii="宋体" w:hAnsi="宋体"/>
          <w:color w:val="auto"/>
          <w:sz w:val="21"/>
          <w:szCs w:val="21"/>
          <w:highlight w:val="none"/>
        </w:rPr>
        <w:t>2.1在报价评审时，如发现下列情形之一的，将被视为投标无效：</w:t>
      </w:r>
    </w:p>
    <w:p w14:paraId="3BCD4081">
      <w:pPr>
        <w:pStyle w:val="8"/>
        <w:numPr>
          <w:ilvl w:val="0"/>
          <w:numId w:val="4"/>
        </w:numPr>
        <w:spacing w:line="420" w:lineRule="exact"/>
        <w:ind w:firstLine="374" w:firstLineChars="200"/>
        <w:rPr>
          <w:rFonts w:hint="eastAsia" w:ascii="宋体" w:hAnsi="宋体"/>
          <w:b/>
          <w:color w:val="auto"/>
          <w:spacing w:val="-6"/>
          <w:szCs w:val="21"/>
          <w:highlight w:val="none"/>
        </w:rPr>
      </w:pPr>
      <w:r>
        <w:rPr>
          <w:rFonts w:hint="eastAsia" w:ascii="宋体" w:hAnsi="宋体"/>
          <w:b/>
          <w:color w:val="auto"/>
          <w:spacing w:val="-6"/>
          <w:szCs w:val="21"/>
          <w:highlight w:val="none"/>
        </w:rPr>
        <w:t>报价文件未提供“投标人须知前附表”第13条</w:t>
      </w:r>
      <w:r>
        <w:rPr>
          <w:rFonts w:hint="eastAsia" w:ascii="宋体" w:hAnsi="宋体"/>
          <w:b/>
          <w:color w:val="auto"/>
          <w:szCs w:val="21"/>
          <w:highlight w:val="none"/>
        </w:rPr>
        <w:t>“报价文件”</w:t>
      </w:r>
      <w:r>
        <w:rPr>
          <w:rFonts w:hint="eastAsia" w:ascii="宋体" w:hAnsi="宋体"/>
          <w:b/>
          <w:color w:val="auto"/>
          <w:spacing w:val="-6"/>
          <w:szCs w:val="21"/>
          <w:highlight w:val="none"/>
        </w:rPr>
        <w:t>规定中“必须提供”的文件资料的；</w:t>
      </w:r>
    </w:p>
    <w:p w14:paraId="4C306902">
      <w:pPr>
        <w:pStyle w:val="8"/>
        <w:numPr>
          <w:ilvl w:val="0"/>
          <w:numId w:val="4"/>
        </w:numPr>
        <w:spacing w:line="420" w:lineRule="exact"/>
        <w:ind w:firstLine="398" w:firstLineChars="200"/>
        <w:rPr>
          <w:rFonts w:hint="eastAsia" w:ascii="宋体" w:hAnsi="宋体"/>
          <w:b/>
          <w:color w:val="auto"/>
          <w:szCs w:val="21"/>
          <w:highlight w:val="none"/>
        </w:rPr>
      </w:pPr>
      <w:r>
        <w:rPr>
          <w:rFonts w:hint="eastAsia" w:ascii="宋体" w:hAnsi="宋体"/>
          <w:b/>
          <w:color w:val="auto"/>
          <w:szCs w:val="21"/>
          <w:highlight w:val="none"/>
        </w:rPr>
        <w:t>未采用人民币报价或者未按照招标文件标明的币种报价的；</w:t>
      </w:r>
    </w:p>
    <w:p w14:paraId="78394AE3">
      <w:pPr>
        <w:pStyle w:val="8"/>
        <w:numPr>
          <w:ilvl w:val="0"/>
          <w:numId w:val="4"/>
        </w:numPr>
        <w:spacing w:line="420" w:lineRule="exact"/>
        <w:ind w:left="-2" w:firstLine="422"/>
        <w:rPr>
          <w:rFonts w:hint="eastAsia" w:ascii="宋体" w:hAnsi="宋体"/>
          <w:b/>
          <w:color w:val="auto"/>
          <w:spacing w:val="-6"/>
          <w:szCs w:val="21"/>
          <w:highlight w:val="none"/>
        </w:rPr>
      </w:pPr>
      <w:r>
        <w:rPr>
          <w:rFonts w:hint="eastAsia" w:ascii="宋体" w:hAnsi="宋体"/>
          <w:b/>
          <w:color w:val="auto"/>
          <w:spacing w:val="-6"/>
          <w:szCs w:val="21"/>
          <w:highlight w:val="none"/>
        </w:rPr>
        <w:t>各分标报价超出招标文件相应分标规定最高限价，或者超出相应分标采购预算金额的；</w:t>
      </w:r>
    </w:p>
    <w:p w14:paraId="48FAEC83">
      <w:pPr>
        <w:pStyle w:val="8"/>
        <w:numPr>
          <w:ilvl w:val="0"/>
          <w:numId w:val="4"/>
        </w:numPr>
        <w:spacing w:line="420" w:lineRule="exact"/>
        <w:ind w:firstLine="398" w:firstLineChars="200"/>
        <w:rPr>
          <w:rFonts w:hint="eastAsia" w:ascii="宋体" w:hAnsi="宋体"/>
          <w:b/>
          <w:color w:val="auto"/>
          <w:szCs w:val="21"/>
          <w:highlight w:val="none"/>
        </w:rPr>
      </w:pPr>
      <w:r>
        <w:rPr>
          <w:rFonts w:hint="eastAsia" w:ascii="宋体" w:hAnsi="宋体"/>
          <w:b/>
          <w:color w:val="auto"/>
          <w:szCs w:val="21"/>
          <w:highlight w:val="none"/>
        </w:rPr>
        <w:t>投标人未就所投分标进行报价或者存在漏项报价；投标人未就所投分标的单项内容作唯一报价；投标人未就所投分标的全部内容作完整唯一总价报价；存在有选择、有条件报价的（招标文件允许有备选方案或者其他约定的除外）；</w:t>
      </w:r>
    </w:p>
    <w:p w14:paraId="5D5035C7">
      <w:pPr>
        <w:pStyle w:val="8"/>
        <w:numPr>
          <w:ilvl w:val="0"/>
          <w:numId w:val="4"/>
        </w:numPr>
        <w:spacing w:line="420" w:lineRule="exact"/>
        <w:ind w:firstLine="398" w:firstLineChars="200"/>
        <w:rPr>
          <w:rFonts w:hint="eastAsia" w:ascii="宋体" w:hAnsi="宋体"/>
          <w:b/>
          <w:color w:val="auto"/>
          <w:szCs w:val="21"/>
          <w:highlight w:val="none"/>
        </w:rPr>
      </w:pPr>
      <w:r>
        <w:rPr>
          <w:rFonts w:hint="eastAsia" w:ascii="宋体" w:hAnsi="宋体"/>
          <w:b/>
          <w:color w:val="auto"/>
          <w:szCs w:val="21"/>
          <w:highlight w:val="none"/>
        </w:rPr>
        <w:t>修正后的报价，投标人不确认的；</w:t>
      </w:r>
    </w:p>
    <w:p w14:paraId="692C0B7A">
      <w:pPr>
        <w:pStyle w:val="8"/>
        <w:numPr>
          <w:ilvl w:val="0"/>
          <w:numId w:val="4"/>
        </w:numPr>
        <w:spacing w:line="420" w:lineRule="exact"/>
        <w:ind w:firstLine="398" w:firstLineChars="200"/>
        <w:rPr>
          <w:rFonts w:hint="eastAsia" w:ascii="宋体" w:hAnsi="宋体"/>
          <w:b/>
          <w:color w:val="auto"/>
          <w:szCs w:val="21"/>
          <w:highlight w:val="none"/>
        </w:rPr>
      </w:pPr>
      <w:r>
        <w:rPr>
          <w:rFonts w:hint="eastAsia" w:ascii="宋体" w:hAnsi="宋体"/>
          <w:b/>
          <w:color w:val="auto"/>
          <w:szCs w:val="21"/>
          <w:highlight w:val="none"/>
        </w:rPr>
        <w:t>投标人属于本章第</w:t>
      </w:r>
      <w:r>
        <w:rPr>
          <w:rFonts w:ascii="宋体" w:hAnsi="宋体"/>
          <w:b/>
          <w:color w:val="auto"/>
          <w:szCs w:val="21"/>
          <w:highlight w:val="none"/>
        </w:rPr>
        <w:t>5.1</w:t>
      </w:r>
      <w:r>
        <w:rPr>
          <w:rFonts w:hint="eastAsia" w:ascii="宋体" w:hAnsi="宋体"/>
          <w:b/>
          <w:color w:val="auto"/>
          <w:szCs w:val="21"/>
          <w:highlight w:val="none"/>
        </w:rPr>
        <w:t>条（2）或者第5</w:t>
      </w:r>
      <w:r>
        <w:rPr>
          <w:rFonts w:ascii="宋体" w:hAnsi="宋体"/>
          <w:b/>
          <w:color w:val="auto"/>
          <w:szCs w:val="21"/>
          <w:highlight w:val="none"/>
        </w:rPr>
        <w:t>.2条</w:t>
      </w:r>
      <w:r>
        <w:rPr>
          <w:rFonts w:hint="eastAsia" w:ascii="宋体" w:hAnsi="宋体"/>
          <w:b/>
          <w:color w:val="auto"/>
          <w:szCs w:val="21"/>
          <w:highlight w:val="none"/>
        </w:rPr>
        <w:t>（2）项情形的。</w:t>
      </w:r>
    </w:p>
    <w:p w14:paraId="59C12EA5">
      <w:pPr>
        <w:pStyle w:val="8"/>
        <w:numPr>
          <w:ilvl w:val="0"/>
          <w:numId w:val="4"/>
        </w:numPr>
        <w:spacing w:line="420" w:lineRule="exact"/>
        <w:ind w:firstLine="374" w:firstLineChars="200"/>
        <w:rPr>
          <w:rFonts w:hint="eastAsia" w:ascii="宋体" w:hAnsi="宋体"/>
          <w:b/>
          <w:color w:val="auto"/>
          <w:szCs w:val="21"/>
          <w:highlight w:val="none"/>
        </w:rPr>
      </w:pPr>
      <w:r>
        <w:rPr>
          <w:rFonts w:hint="eastAsia" w:ascii="宋体" w:hAnsi="宋体"/>
          <w:b/>
          <w:color w:val="auto"/>
          <w:spacing w:val="-6"/>
          <w:szCs w:val="21"/>
          <w:highlight w:val="none"/>
        </w:rPr>
        <w:t>报价文件</w:t>
      </w:r>
      <w:r>
        <w:rPr>
          <w:rFonts w:hint="eastAsia" w:ascii="宋体" w:hAnsi="宋体"/>
          <w:b/>
          <w:color w:val="auto"/>
          <w:szCs w:val="21"/>
          <w:highlight w:val="none"/>
        </w:rPr>
        <w:t>响应的标的数量及单位与招标文件要求实质性不一致的。</w:t>
      </w:r>
    </w:p>
    <w:p w14:paraId="63275C49">
      <w:pPr>
        <w:pStyle w:val="5"/>
        <w:keepNext w:val="0"/>
        <w:keepLines w:val="0"/>
        <w:spacing w:before="0" w:after="0" w:line="420" w:lineRule="exact"/>
        <w:ind w:left="398" w:leftChars="200"/>
        <w:rPr>
          <w:rFonts w:hint="eastAsia" w:ascii="宋体" w:hAnsi="宋体"/>
          <w:color w:val="auto"/>
          <w:sz w:val="21"/>
          <w:szCs w:val="21"/>
          <w:highlight w:val="none"/>
        </w:rPr>
      </w:pPr>
      <w:r>
        <w:rPr>
          <w:rFonts w:hint="eastAsia" w:ascii="宋体" w:hAnsi="宋体"/>
          <w:color w:val="auto"/>
          <w:sz w:val="21"/>
          <w:szCs w:val="21"/>
          <w:highlight w:val="none"/>
        </w:rPr>
        <w:t>2.2在商务及技术评审时，如发现下列情形之一的，将被视为投标无效：</w:t>
      </w:r>
    </w:p>
    <w:p w14:paraId="780C4F62">
      <w:pPr>
        <w:numPr>
          <w:ilvl w:val="0"/>
          <w:numId w:val="5"/>
        </w:numPr>
        <w:snapToGrid w:val="0"/>
        <w:spacing w:line="420" w:lineRule="exact"/>
        <w:ind w:firstLine="398" w:firstLineChars="200"/>
        <w:rPr>
          <w:rFonts w:hint="eastAsia" w:ascii="宋体" w:hAnsi="宋体"/>
          <w:b/>
          <w:color w:val="auto"/>
          <w:szCs w:val="21"/>
          <w:highlight w:val="none"/>
        </w:rPr>
      </w:pPr>
      <w:r>
        <w:rPr>
          <w:rFonts w:hint="eastAsia" w:ascii="宋体" w:hAnsi="宋体"/>
          <w:b/>
          <w:color w:val="auto"/>
          <w:szCs w:val="21"/>
          <w:highlight w:val="none"/>
        </w:rPr>
        <w:t>投标文件未按招标文件要求签署、盖章的；</w:t>
      </w:r>
    </w:p>
    <w:p w14:paraId="0B4E4DE7">
      <w:pPr>
        <w:numPr>
          <w:ilvl w:val="0"/>
          <w:numId w:val="5"/>
        </w:numPr>
        <w:snapToGrid w:val="0"/>
        <w:spacing w:line="420" w:lineRule="exact"/>
        <w:ind w:firstLine="398" w:firstLineChars="200"/>
        <w:rPr>
          <w:rFonts w:hint="eastAsia" w:ascii="宋体" w:hAnsi="宋体"/>
          <w:b/>
          <w:color w:val="auto"/>
          <w:szCs w:val="21"/>
          <w:highlight w:val="none"/>
        </w:rPr>
      </w:pPr>
      <w:r>
        <w:rPr>
          <w:rFonts w:hint="eastAsia" w:ascii="宋体" w:hAnsi="宋体"/>
          <w:b/>
          <w:color w:val="auto"/>
          <w:szCs w:val="21"/>
          <w:highlight w:val="none"/>
        </w:rPr>
        <w:t xml:space="preserve">委托代理人未能出具有效身份证或者出具的身份证与授权委托书中的信息不符的； </w:t>
      </w:r>
    </w:p>
    <w:p w14:paraId="560F4E97">
      <w:pPr>
        <w:numPr>
          <w:ilvl w:val="0"/>
          <w:numId w:val="5"/>
        </w:numPr>
        <w:snapToGrid w:val="0"/>
        <w:spacing w:line="420" w:lineRule="exact"/>
        <w:ind w:firstLine="398" w:firstLineChars="200"/>
        <w:rPr>
          <w:rFonts w:hint="eastAsia" w:ascii="宋体" w:hAnsi="宋体"/>
          <w:b/>
          <w:color w:val="auto"/>
          <w:szCs w:val="21"/>
          <w:highlight w:val="none"/>
        </w:rPr>
      </w:pPr>
      <w:r>
        <w:rPr>
          <w:rFonts w:hint="eastAsia" w:ascii="宋体" w:hAnsi="宋体"/>
          <w:b/>
          <w:color w:val="auto"/>
          <w:szCs w:val="21"/>
          <w:highlight w:val="none"/>
        </w:rPr>
        <w:t>为无效投标保证金的或者未按照招标文件的规定提交投标保证金的；</w:t>
      </w:r>
    </w:p>
    <w:p w14:paraId="2446CF1F">
      <w:pPr>
        <w:numPr>
          <w:ilvl w:val="0"/>
          <w:numId w:val="5"/>
        </w:numPr>
        <w:snapToGrid w:val="0"/>
        <w:spacing w:line="420" w:lineRule="exact"/>
        <w:ind w:firstLine="398" w:firstLineChars="200"/>
        <w:rPr>
          <w:rFonts w:hint="eastAsia" w:ascii="宋体" w:hAnsi="宋体"/>
          <w:b/>
          <w:color w:val="auto"/>
          <w:szCs w:val="21"/>
          <w:highlight w:val="none"/>
        </w:rPr>
      </w:pPr>
      <w:r>
        <w:rPr>
          <w:rFonts w:hint="eastAsia" w:ascii="宋体" w:hAnsi="宋体"/>
          <w:b/>
          <w:color w:val="auto"/>
          <w:szCs w:val="21"/>
          <w:highlight w:val="none"/>
        </w:rPr>
        <w:t>投标文件未提供“投标人须知前附表”第13条“商务及技术文件”规定中“必须提供”或者“委托时必须提供”的文件资料的；</w:t>
      </w:r>
    </w:p>
    <w:p w14:paraId="4B84B10D">
      <w:pPr>
        <w:numPr>
          <w:ilvl w:val="0"/>
          <w:numId w:val="5"/>
        </w:numPr>
        <w:snapToGrid w:val="0"/>
        <w:spacing w:line="420" w:lineRule="exact"/>
        <w:ind w:firstLine="398" w:firstLineChars="200"/>
        <w:rPr>
          <w:rFonts w:hint="eastAsia" w:ascii="宋体" w:hAnsi="宋体"/>
          <w:b/>
          <w:color w:val="auto"/>
          <w:szCs w:val="21"/>
          <w:highlight w:val="none"/>
        </w:rPr>
      </w:pPr>
      <w:r>
        <w:rPr>
          <w:rFonts w:hint="eastAsia" w:ascii="宋体" w:hAnsi="宋体"/>
          <w:b/>
          <w:color w:val="auto"/>
          <w:szCs w:val="21"/>
          <w:highlight w:val="none"/>
        </w:rPr>
        <w:t>商务要求评审允许负偏离的条款数超过“投标人须知前附表”规定项数的；</w:t>
      </w:r>
    </w:p>
    <w:p w14:paraId="3C8922EE">
      <w:pPr>
        <w:numPr>
          <w:ilvl w:val="0"/>
          <w:numId w:val="5"/>
        </w:numPr>
        <w:snapToGrid w:val="0"/>
        <w:spacing w:line="420" w:lineRule="exact"/>
        <w:ind w:firstLine="398" w:firstLineChars="200"/>
        <w:rPr>
          <w:rFonts w:hint="eastAsia" w:ascii="宋体" w:hAnsi="宋体"/>
          <w:b/>
          <w:color w:val="auto"/>
          <w:szCs w:val="21"/>
          <w:highlight w:val="none"/>
        </w:rPr>
      </w:pPr>
      <w:r>
        <w:rPr>
          <w:rFonts w:hint="eastAsia" w:ascii="宋体" w:hAnsi="宋体"/>
          <w:b/>
          <w:color w:val="auto"/>
          <w:szCs w:val="21"/>
          <w:highlight w:val="none"/>
        </w:rPr>
        <w:t>投标文件的实质性内容未使用中文表述、使用计量单位不符合招标文件要求的；</w:t>
      </w:r>
    </w:p>
    <w:p w14:paraId="740DCAD1">
      <w:pPr>
        <w:numPr>
          <w:ilvl w:val="0"/>
          <w:numId w:val="5"/>
        </w:numPr>
        <w:snapToGrid w:val="0"/>
        <w:spacing w:line="420" w:lineRule="exact"/>
        <w:ind w:firstLine="398" w:firstLineChars="200"/>
        <w:rPr>
          <w:rFonts w:hint="eastAsia" w:ascii="宋体" w:hAnsi="宋体"/>
          <w:b/>
          <w:color w:val="auto"/>
          <w:szCs w:val="21"/>
          <w:highlight w:val="none"/>
        </w:rPr>
      </w:pPr>
      <w:r>
        <w:rPr>
          <w:rFonts w:hint="eastAsia" w:ascii="宋体" w:hAnsi="宋体"/>
          <w:b/>
          <w:color w:val="auto"/>
          <w:szCs w:val="21"/>
          <w:highlight w:val="none"/>
        </w:rPr>
        <w:t>投标文件中的文件资料因填写不齐全或者内容虚假或者出现其他情形而导致被评标委员会认定无效的；</w:t>
      </w:r>
    </w:p>
    <w:p w14:paraId="502AA345">
      <w:pPr>
        <w:numPr>
          <w:ilvl w:val="0"/>
          <w:numId w:val="5"/>
        </w:numPr>
        <w:snapToGrid w:val="0"/>
        <w:spacing w:line="420" w:lineRule="exact"/>
        <w:ind w:firstLine="398" w:firstLineChars="200"/>
        <w:rPr>
          <w:rFonts w:hint="eastAsia" w:ascii="宋体" w:hAnsi="宋体"/>
          <w:b/>
          <w:color w:val="auto"/>
          <w:szCs w:val="21"/>
          <w:highlight w:val="none"/>
        </w:rPr>
      </w:pPr>
      <w:r>
        <w:rPr>
          <w:rFonts w:hint="eastAsia" w:ascii="宋体" w:hAnsi="宋体"/>
          <w:b/>
          <w:color w:val="auto"/>
          <w:szCs w:val="21"/>
          <w:highlight w:val="none"/>
        </w:rPr>
        <w:t>投标文件含有采购人不能接受的附加条件的；</w:t>
      </w:r>
    </w:p>
    <w:p w14:paraId="0EC664E9">
      <w:pPr>
        <w:numPr>
          <w:ilvl w:val="0"/>
          <w:numId w:val="5"/>
        </w:numPr>
        <w:snapToGrid w:val="0"/>
        <w:spacing w:line="420" w:lineRule="exact"/>
        <w:ind w:firstLine="398" w:firstLineChars="200"/>
        <w:rPr>
          <w:rFonts w:hint="eastAsia" w:ascii="宋体" w:hAnsi="宋体"/>
          <w:b/>
          <w:color w:val="auto"/>
          <w:szCs w:val="21"/>
          <w:highlight w:val="none"/>
        </w:rPr>
      </w:pPr>
      <w:r>
        <w:rPr>
          <w:rFonts w:hint="eastAsia" w:ascii="宋体" w:hAnsi="宋体"/>
          <w:b/>
          <w:color w:val="auto"/>
          <w:szCs w:val="21"/>
          <w:highlight w:val="none"/>
        </w:rPr>
        <w:t>属于投标人须知正文第</w:t>
      </w:r>
      <w:r>
        <w:rPr>
          <w:rFonts w:ascii="宋体" w:hAnsi="宋体"/>
          <w:b/>
          <w:color w:val="auto"/>
          <w:szCs w:val="21"/>
          <w:highlight w:val="none"/>
        </w:rPr>
        <w:t>9.2</w:t>
      </w:r>
      <w:r>
        <w:rPr>
          <w:rFonts w:hint="eastAsia" w:ascii="宋体" w:hAnsi="宋体"/>
          <w:b/>
          <w:color w:val="auto"/>
          <w:szCs w:val="21"/>
          <w:highlight w:val="none"/>
        </w:rPr>
        <w:t>条情形的；</w:t>
      </w:r>
    </w:p>
    <w:p w14:paraId="6C1A0620">
      <w:pPr>
        <w:numPr>
          <w:ilvl w:val="0"/>
          <w:numId w:val="5"/>
        </w:numPr>
        <w:snapToGrid w:val="0"/>
        <w:spacing w:line="420" w:lineRule="exact"/>
        <w:ind w:firstLine="398" w:firstLineChars="200"/>
        <w:rPr>
          <w:rFonts w:hint="eastAsia" w:ascii="宋体" w:hAnsi="宋体"/>
          <w:b/>
          <w:color w:val="auto"/>
          <w:szCs w:val="21"/>
          <w:highlight w:val="none"/>
        </w:rPr>
      </w:pPr>
      <w:r>
        <w:rPr>
          <w:rFonts w:hint="eastAsia" w:ascii="宋体" w:hAnsi="宋体"/>
          <w:b/>
          <w:color w:val="auto"/>
          <w:szCs w:val="21"/>
          <w:highlight w:val="none"/>
        </w:rPr>
        <w:t>投标文件标注的项目名称或者项目编号与招标文件标注的项目名称或者项目编号不一致的；</w:t>
      </w:r>
    </w:p>
    <w:p w14:paraId="3D69DE67">
      <w:pPr>
        <w:numPr>
          <w:ilvl w:val="0"/>
          <w:numId w:val="5"/>
        </w:numPr>
        <w:snapToGrid w:val="0"/>
        <w:spacing w:line="420" w:lineRule="exact"/>
        <w:ind w:firstLine="398" w:firstLineChars="200"/>
        <w:rPr>
          <w:rFonts w:hint="eastAsia" w:ascii="宋体" w:hAnsi="宋体"/>
          <w:b/>
          <w:color w:val="auto"/>
          <w:szCs w:val="21"/>
          <w:highlight w:val="none"/>
        </w:rPr>
      </w:pPr>
      <w:r>
        <w:rPr>
          <w:rFonts w:hint="eastAsia" w:ascii="宋体" w:hAnsi="宋体"/>
          <w:b/>
          <w:color w:val="auto"/>
          <w:szCs w:val="21"/>
          <w:highlight w:val="none"/>
        </w:rPr>
        <w:t>投标文件中承诺的投标有效期低于招标文件要求的期限的；</w:t>
      </w:r>
    </w:p>
    <w:p w14:paraId="2185FB19">
      <w:pPr>
        <w:numPr>
          <w:ilvl w:val="0"/>
          <w:numId w:val="5"/>
        </w:numPr>
        <w:snapToGrid w:val="0"/>
        <w:spacing w:line="420" w:lineRule="exact"/>
        <w:ind w:firstLine="398" w:firstLineChars="200"/>
        <w:rPr>
          <w:rFonts w:hint="eastAsia" w:ascii="宋体" w:hAnsi="宋体"/>
          <w:b/>
          <w:color w:val="auto"/>
          <w:szCs w:val="21"/>
          <w:highlight w:val="none"/>
        </w:rPr>
      </w:pPr>
      <w:r>
        <w:rPr>
          <w:rFonts w:hint="eastAsia" w:ascii="宋体" w:hAnsi="宋体"/>
          <w:b/>
          <w:color w:val="auto"/>
          <w:szCs w:val="21"/>
          <w:highlight w:val="none"/>
        </w:rPr>
        <w:t>虚假投标，或者出现其他情形而导致被评标委员会认定无效的；</w:t>
      </w:r>
    </w:p>
    <w:p w14:paraId="2BFEB437">
      <w:pPr>
        <w:numPr>
          <w:ilvl w:val="0"/>
          <w:numId w:val="5"/>
        </w:numPr>
        <w:snapToGrid w:val="0"/>
        <w:spacing w:line="420" w:lineRule="exact"/>
        <w:ind w:firstLine="398" w:firstLineChars="200"/>
        <w:rPr>
          <w:rFonts w:hint="eastAsia" w:ascii="宋体" w:hAnsi="宋体"/>
          <w:b/>
          <w:color w:val="auto"/>
          <w:szCs w:val="21"/>
          <w:highlight w:val="none"/>
        </w:rPr>
      </w:pPr>
      <w:r>
        <w:rPr>
          <w:rFonts w:hint="eastAsia" w:ascii="宋体" w:hAnsi="宋体"/>
          <w:b/>
          <w:color w:val="auto"/>
          <w:szCs w:val="21"/>
          <w:highlight w:val="none"/>
        </w:rPr>
        <w:t>招标文件未载明允许提供备选（替代）投标方案或明确不允许提供备选（替代）投标方案时，投标人提供了备选（替代）投标方案的；</w:t>
      </w:r>
    </w:p>
    <w:p w14:paraId="65547C6B">
      <w:pPr>
        <w:numPr>
          <w:ilvl w:val="0"/>
          <w:numId w:val="5"/>
        </w:numPr>
        <w:snapToGrid w:val="0"/>
        <w:spacing w:line="420" w:lineRule="exact"/>
        <w:ind w:firstLine="398" w:firstLineChars="200"/>
        <w:rPr>
          <w:rFonts w:hint="eastAsia" w:ascii="宋体" w:hAnsi="宋体"/>
          <w:b/>
          <w:color w:val="auto"/>
          <w:szCs w:val="21"/>
          <w:highlight w:val="none"/>
        </w:rPr>
      </w:pPr>
      <w:r>
        <w:rPr>
          <w:rFonts w:hint="eastAsia" w:ascii="宋体" w:hAnsi="宋体"/>
          <w:b/>
          <w:color w:val="auto"/>
          <w:szCs w:val="21"/>
          <w:highlight w:val="none"/>
        </w:rPr>
        <w:t>未响应招标文件实质性要求的。</w:t>
      </w:r>
    </w:p>
    <w:p w14:paraId="7535F7EC">
      <w:pPr>
        <w:numPr>
          <w:ilvl w:val="0"/>
          <w:numId w:val="5"/>
        </w:numPr>
        <w:snapToGrid w:val="0"/>
        <w:spacing w:line="420" w:lineRule="exact"/>
        <w:ind w:firstLine="398" w:firstLineChars="200"/>
        <w:rPr>
          <w:rFonts w:hint="eastAsia" w:ascii="宋体" w:hAnsi="宋体"/>
          <w:b/>
          <w:color w:val="auto"/>
          <w:szCs w:val="21"/>
          <w:highlight w:val="none"/>
        </w:rPr>
      </w:pPr>
      <w:r>
        <w:rPr>
          <w:rFonts w:hint="eastAsia" w:ascii="宋体" w:hAnsi="宋体"/>
          <w:b/>
          <w:color w:val="auto"/>
          <w:szCs w:val="21"/>
          <w:highlight w:val="none"/>
        </w:rPr>
        <w:t>法律、法规和招标文件规定的其他无效情形。</w:t>
      </w:r>
    </w:p>
    <w:p w14:paraId="32751DE2">
      <w:pPr>
        <w:pStyle w:val="5"/>
        <w:keepNext w:val="0"/>
        <w:keepLines w:val="0"/>
        <w:spacing w:before="0" w:after="0" w:line="420" w:lineRule="exact"/>
        <w:ind w:left="398" w:leftChars="200"/>
        <w:rPr>
          <w:rFonts w:hint="eastAsia" w:ascii="宋体" w:hAnsi="宋体"/>
          <w:color w:val="auto"/>
          <w:sz w:val="21"/>
          <w:szCs w:val="21"/>
          <w:highlight w:val="none"/>
        </w:rPr>
      </w:pPr>
      <w:r>
        <w:rPr>
          <w:rFonts w:hint="eastAsia" w:ascii="宋体" w:hAnsi="宋体"/>
          <w:color w:val="auto"/>
          <w:sz w:val="21"/>
          <w:szCs w:val="21"/>
          <w:highlight w:val="none"/>
        </w:rPr>
        <w:t>3</w:t>
      </w:r>
      <w:r>
        <w:rPr>
          <w:rFonts w:ascii="宋体" w:hAnsi="宋体"/>
          <w:color w:val="auto"/>
          <w:sz w:val="21"/>
          <w:szCs w:val="21"/>
          <w:highlight w:val="none"/>
        </w:rPr>
        <w:t>.</w:t>
      </w:r>
      <w:r>
        <w:rPr>
          <w:rFonts w:hint="eastAsia" w:ascii="宋体" w:hAnsi="宋体"/>
          <w:color w:val="auto"/>
          <w:sz w:val="21"/>
          <w:szCs w:val="21"/>
          <w:highlight w:val="none"/>
        </w:rPr>
        <w:t>澄清补正</w:t>
      </w:r>
    </w:p>
    <w:p w14:paraId="52083866">
      <w:pPr>
        <w:spacing w:line="420" w:lineRule="exact"/>
        <w:ind w:firstLine="398" w:firstLineChars="200"/>
        <w:rPr>
          <w:rFonts w:hint="eastAsia" w:ascii="宋体" w:hAnsi="宋体" w:cs="Courier New"/>
          <w:b/>
          <w:color w:val="auto"/>
          <w:szCs w:val="21"/>
          <w:highlight w:val="none"/>
        </w:rPr>
      </w:pPr>
      <w:r>
        <w:rPr>
          <w:rFonts w:hint="eastAsia" w:ascii="宋体" w:hAnsi="宋体" w:cs="Courier New"/>
          <w:color w:val="auto"/>
          <w:szCs w:val="21"/>
          <w:highlight w:val="none"/>
        </w:rPr>
        <w:t>对投标文件中含义不明确、同类问题表述不一致或者有明显文字和计算错误的内容，评标委员会应在广西政府采购云平台发布电子澄清函，要求投标人在规定时间内作出必要的澄清、说明或者补正。投标人在广西政府采购云平台接收到电子澄清函后根据澄清函内容上传PDF格式回函，电子澄清答复函使用CA证书加盖投标人电子签章后在线上传至评标委员会。投标人的澄清、说明或者补正不得超出投标文件的范围或者改变投标文件的实质性内容。</w:t>
      </w:r>
    </w:p>
    <w:p w14:paraId="20687DF8">
      <w:pPr>
        <w:spacing w:line="420" w:lineRule="exact"/>
        <w:ind w:firstLine="398" w:firstLineChars="200"/>
        <w:rPr>
          <w:rFonts w:hint="eastAsia" w:ascii="宋体" w:hAnsi="宋体" w:cs="Courier New"/>
          <w:color w:val="auto"/>
          <w:szCs w:val="21"/>
          <w:highlight w:val="none"/>
        </w:rPr>
      </w:pPr>
      <w:r>
        <w:rPr>
          <w:rFonts w:hint="eastAsia" w:ascii="宋体" w:hAnsi="宋体" w:cs="Courier New"/>
          <w:color w:val="auto"/>
          <w:szCs w:val="21"/>
          <w:highlight w:val="none"/>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63B54F8F">
      <w:pPr>
        <w:spacing w:line="420" w:lineRule="exact"/>
        <w:ind w:firstLine="398" w:firstLineChars="200"/>
        <w:rPr>
          <w:rFonts w:hint="eastAsia" w:ascii="宋体" w:hAnsi="宋体" w:cs="Courier New"/>
          <w:color w:val="auto"/>
          <w:szCs w:val="21"/>
          <w:highlight w:val="none"/>
        </w:rPr>
      </w:pPr>
      <w:r>
        <w:rPr>
          <w:rFonts w:hint="eastAsia" w:ascii="宋体" w:hAnsi="宋体" w:cs="Courier New"/>
          <w:color w:val="auto"/>
          <w:szCs w:val="21"/>
          <w:highlight w:val="none"/>
        </w:rPr>
        <w:t>未按评标委员会的要求作出明确澄清、说明或者更正的投标人的投标文件将按照有利于采购人的原则由评标委员会进行判定。</w:t>
      </w:r>
    </w:p>
    <w:p w14:paraId="3DBA1131">
      <w:pPr>
        <w:pStyle w:val="5"/>
        <w:keepNext w:val="0"/>
        <w:keepLines w:val="0"/>
        <w:spacing w:before="0" w:after="0" w:line="420" w:lineRule="exact"/>
        <w:ind w:left="398" w:leftChars="200"/>
        <w:rPr>
          <w:rFonts w:hint="eastAsia" w:ascii="宋体" w:hAnsi="宋体"/>
          <w:color w:val="auto"/>
          <w:sz w:val="21"/>
          <w:szCs w:val="21"/>
          <w:highlight w:val="none"/>
        </w:rPr>
      </w:pPr>
      <w:r>
        <w:rPr>
          <w:rFonts w:ascii="宋体" w:hAnsi="宋体"/>
          <w:color w:val="auto"/>
          <w:sz w:val="21"/>
          <w:szCs w:val="21"/>
          <w:highlight w:val="none"/>
        </w:rPr>
        <w:t>4.</w:t>
      </w:r>
      <w:r>
        <w:rPr>
          <w:rFonts w:hint="eastAsia" w:ascii="宋体" w:hAnsi="宋体"/>
          <w:color w:val="auto"/>
          <w:sz w:val="21"/>
          <w:szCs w:val="21"/>
          <w:highlight w:val="none"/>
        </w:rPr>
        <w:t>投标文件修正</w:t>
      </w:r>
    </w:p>
    <w:p w14:paraId="26326263">
      <w:pPr>
        <w:pStyle w:val="5"/>
        <w:keepNext w:val="0"/>
        <w:keepLines w:val="0"/>
        <w:spacing w:before="0" w:after="0" w:line="420" w:lineRule="exact"/>
        <w:ind w:left="398" w:leftChars="200"/>
        <w:rPr>
          <w:rFonts w:hint="eastAsia" w:ascii="宋体" w:hAnsi="宋体"/>
          <w:b w:val="0"/>
          <w:color w:val="auto"/>
          <w:sz w:val="21"/>
          <w:szCs w:val="21"/>
          <w:highlight w:val="none"/>
        </w:rPr>
      </w:pPr>
      <w:r>
        <w:rPr>
          <w:rFonts w:ascii="宋体" w:hAnsi="宋体"/>
          <w:b w:val="0"/>
          <w:color w:val="auto"/>
          <w:sz w:val="21"/>
          <w:szCs w:val="21"/>
          <w:highlight w:val="none"/>
        </w:rPr>
        <w:t>4</w:t>
      </w:r>
      <w:r>
        <w:rPr>
          <w:rFonts w:hint="eastAsia" w:ascii="宋体" w:hAnsi="宋体"/>
          <w:b w:val="0"/>
          <w:color w:val="auto"/>
          <w:sz w:val="21"/>
          <w:szCs w:val="21"/>
          <w:highlight w:val="none"/>
        </w:rPr>
        <w:t>.1投标文件报价出现前后不一致的，按照下列规定修正：</w:t>
      </w:r>
    </w:p>
    <w:p w14:paraId="75F544C8">
      <w:pPr>
        <w:pStyle w:val="24"/>
        <w:snapToGrid w:val="0"/>
        <w:spacing w:line="420" w:lineRule="exact"/>
        <w:ind w:firstLine="398" w:firstLineChars="200"/>
        <w:rPr>
          <w:rFonts w:hint="eastAsia" w:hAnsi="宋体"/>
          <w:color w:val="auto"/>
          <w:sz w:val="21"/>
          <w:highlight w:val="none"/>
        </w:rPr>
      </w:pPr>
      <w:r>
        <w:rPr>
          <w:rFonts w:hint="eastAsia" w:hAnsi="宋体"/>
          <w:color w:val="auto"/>
          <w:sz w:val="21"/>
          <w:highlight w:val="none"/>
        </w:rPr>
        <w:t>（1）投标文件中开标一览表（报价表）内容与投标文件中相应内容不一致的，以开标一览表（报价表）为准；</w:t>
      </w:r>
    </w:p>
    <w:p w14:paraId="5D5C9E2C">
      <w:pPr>
        <w:pStyle w:val="24"/>
        <w:snapToGrid w:val="0"/>
        <w:spacing w:line="420" w:lineRule="exact"/>
        <w:ind w:firstLine="398" w:firstLineChars="200"/>
        <w:rPr>
          <w:rFonts w:hint="eastAsia" w:hAnsi="宋体"/>
          <w:color w:val="auto"/>
          <w:sz w:val="21"/>
          <w:highlight w:val="none"/>
        </w:rPr>
      </w:pPr>
      <w:r>
        <w:rPr>
          <w:rFonts w:hint="eastAsia" w:hAnsi="宋体"/>
          <w:color w:val="auto"/>
          <w:sz w:val="21"/>
          <w:highlight w:val="none"/>
        </w:rPr>
        <w:t>（2）大写金额和小写金额不一致的，以大写金额为准；</w:t>
      </w:r>
    </w:p>
    <w:p w14:paraId="452CDF04">
      <w:pPr>
        <w:pStyle w:val="24"/>
        <w:snapToGrid w:val="0"/>
        <w:spacing w:line="420" w:lineRule="exact"/>
        <w:ind w:firstLine="398" w:firstLineChars="200"/>
        <w:rPr>
          <w:rFonts w:hint="eastAsia" w:hAnsi="宋体"/>
          <w:color w:val="auto"/>
          <w:sz w:val="21"/>
          <w:highlight w:val="none"/>
        </w:rPr>
      </w:pPr>
      <w:r>
        <w:rPr>
          <w:rFonts w:hint="eastAsia" w:hAnsi="宋体"/>
          <w:color w:val="auto"/>
          <w:sz w:val="21"/>
          <w:highlight w:val="none"/>
        </w:rPr>
        <w:t>（3）单价金额小数点或者百分比有明显错位的，以开标一览表的总价为准，并修改单价；</w:t>
      </w:r>
    </w:p>
    <w:p w14:paraId="65747EE8">
      <w:pPr>
        <w:pStyle w:val="24"/>
        <w:snapToGrid w:val="0"/>
        <w:spacing w:line="420" w:lineRule="exact"/>
        <w:ind w:firstLine="398" w:firstLineChars="200"/>
        <w:rPr>
          <w:rFonts w:hint="eastAsia" w:hAnsi="宋体"/>
          <w:color w:val="auto"/>
          <w:sz w:val="21"/>
          <w:highlight w:val="none"/>
        </w:rPr>
      </w:pPr>
      <w:r>
        <w:rPr>
          <w:rFonts w:hint="eastAsia" w:hAnsi="宋体"/>
          <w:color w:val="auto"/>
          <w:sz w:val="21"/>
          <w:highlight w:val="none"/>
        </w:rPr>
        <w:t>（4）总价金额与按单价汇总金额不一致的，以单价金额计算结果为准。</w:t>
      </w:r>
    </w:p>
    <w:p w14:paraId="19816450">
      <w:pPr>
        <w:pStyle w:val="24"/>
        <w:snapToGrid w:val="0"/>
        <w:spacing w:line="420" w:lineRule="exact"/>
        <w:ind w:firstLine="398" w:firstLineChars="200"/>
        <w:rPr>
          <w:rFonts w:hint="eastAsia" w:hAnsi="宋体"/>
          <w:color w:val="auto"/>
          <w:sz w:val="21"/>
          <w:highlight w:val="none"/>
        </w:rPr>
      </w:pPr>
      <w:r>
        <w:rPr>
          <w:rFonts w:hint="eastAsia" w:hAnsi="宋体"/>
          <w:color w:val="auto"/>
          <w:sz w:val="21"/>
          <w:highlight w:val="none"/>
        </w:rPr>
        <w:t>同时出现两种以上不一致的，按照以上（1）-（4）规定的顺序修正。修正后的报价经投标人确认后产生约束力，投标人不确认的，</w:t>
      </w:r>
      <w:r>
        <w:rPr>
          <w:rFonts w:hint="eastAsia" w:hAnsi="宋体"/>
          <w:b/>
          <w:color w:val="auto"/>
          <w:kern w:val="2"/>
          <w:sz w:val="21"/>
          <w:highlight w:val="none"/>
        </w:rPr>
        <w:t>其投标无效</w:t>
      </w:r>
      <w:r>
        <w:rPr>
          <w:rFonts w:hint="eastAsia" w:hAnsi="宋体"/>
          <w:color w:val="auto"/>
          <w:sz w:val="21"/>
          <w:highlight w:val="none"/>
        </w:rPr>
        <w:t>。</w:t>
      </w:r>
    </w:p>
    <w:p w14:paraId="3C315E30">
      <w:pPr>
        <w:pStyle w:val="24"/>
        <w:snapToGrid w:val="0"/>
        <w:spacing w:line="420" w:lineRule="exact"/>
        <w:ind w:firstLine="398" w:firstLineChars="200"/>
        <w:rPr>
          <w:rFonts w:hint="eastAsia" w:ascii="宋体" w:hAnsi="宋体"/>
          <w:b w:val="0"/>
          <w:color w:val="auto"/>
          <w:sz w:val="21"/>
          <w:szCs w:val="21"/>
          <w:highlight w:val="none"/>
        </w:rPr>
      </w:pPr>
      <w:r>
        <w:rPr>
          <w:rFonts w:ascii="宋体" w:hAnsi="宋体"/>
          <w:b w:val="0"/>
          <w:color w:val="auto"/>
          <w:sz w:val="21"/>
          <w:szCs w:val="21"/>
          <w:highlight w:val="none"/>
        </w:rPr>
        <w:t>4</w:t>
      </w:r>
      <w:r>
        <w:rPr>
          <w:rFonts w:hint="eastAsia" w:ascii="宋体" w:hAnsi="宋体"/>
          <w:b w:val="0"/>
          <w:color w:val="auto"/>
          <w:sz w:val="21"/>
          <w:szCs w:val="21"/>
          <w:highlight w:val="none"/>
        </w:rPr>
        <w:t>.2经投标人确认修正后的报价若超过采购预算金额或者最高限价，</w:t>
      </w:r>
      <w:r>
        <w:rPr>
          <w:rFonts w:hint="eastAsia" w:ascii="宋体" w:hAnsi="宋体"/>
          <w:color w:val="auto"/>
          <w:sz w:val="21"/>
          <w:szCs w:val="21"/>
          <w:highlight w:val="none"/>
        </w:rPr>
        <w:t>投标人的投标文件作无效投标处理</w:t>
      </w:r>
      <w:r>
        <w:rPr>
          <w:rFonts w:hint="eastAsia" w:ascii="宋体" w:hAnsi="宋体"/>
          <w:b w:val="0"/>
          <w:color w:val="auto"/>
          <w:sz w:val="21"/>
          <w:szCs w:val="21"/>
          <w:highlight w:val="none"/>
        </w:rPr>
        <w:t>。</w:t>
      </w:r>
    </w:p>
    <w:p w14:paraId="4CF72A62">
      <w:pPr>
        <w:snapToGrid w:val="0"/>
        <w:spacing w:line="420" w:lineRule="exact"/>
        <w:ind w:firstLine="398" w:firstLineChars="200"/>
        <w:rPr>
          <w:rFonts w:hint="eastAsia"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.3经投标人确认修正后的报价作为签订合同的依据，并以此报价计算价格分。</w:t>
      </w:r>
    </w:p>
    <w:p w14:paraId="4121CE5D">
      <w:pPr>
        <w:pStyle w:val="5"/>
        <w:keepNext w:val="0"/>
        <w:keepLines w:val="0"/>
        <w:spacing w:before="0" w:after="0" w:line="420" w:lineRule="exact"/>
        <w:ind w:left="398" w:leftChars="200"/>
        <w:rPr>
          <w:rFonts w:hint="eastAsia" w:ascii="宋体" w:hAnsi="宋体"/>
          <w:color w:val="auto"/>
          <w:sz w:val="21"/>
          <w:szCs w:val="21"/>
          <w:highlight w:val="none"/>
        </w:rPr>
      </w:pPr>
      <w:r>
        <w:rPr>
          <w:rFonts w:ascii="宋体" w:hAnsi="宋体"/>
          <w:color w:val="auto"/>
          <w:sz w:val="21"/>
          <w:szCs w:val="21"/>
          <w:highlight w:val="none"/>
        </w:rPr>
        <w:t>5.</w:t>
      </w:r>
      <w:r>
        <w:rPr>
          <w:rFonts w:hint="eastAsia" w:ascii="宋体" w:hAnsi="宋体"/>
          <w:color w:val="auto"/>
          <w:sz w:val="21"/>
          <w:szCs w:val="21"/>
          <w:highlight w:val="none"/>
        </w:rPr>
        <w:t>比较与评价</w:t>
      </w:r>
    </w:p>
    <w:p w14:paraId="48F69AAE">
      <w:pPr>
        <w:snapToGrid w:val="0"/>
        <w:spacing w:line="420" w:lineRule="exact"/>
        <w:ind w:firstLine="398" w:firstLineChars="200"/>
        <w:rPr>
          <w:rFonts w:hint="eastAsia" w:ascii="宋体" w:hAnsi="宋体"/>
          <w:color w:val="auto"/>
          <w:szCs w:val="21"/>
          <w:highlight w:val="none"/>
        </w:rPr>
      </w:pPr>
      <w:r>
        <w:rPr>
          <w:rFonts w:hint="eastAsia" w:ascii="宋体" w:hAnsi="宋体"/>
          <w:color w:val="auto"/>
          <w:szCs w:val="21"/>
          <w:highlight w:val="none"/>
        </w:rPr>
        <w:t>5.1采用综合评分法的</w:t>
      </w:r>
    </w:p>
    <w:p w14:paraId="3798D755">
      <w:pPr>
        <w:snapToGrid w:val="0"/>
        <w:spacing w:line="420" w:lineRule="exact"/>
        <w:ind w:firstLine="398" w:firstLineChars="200"/>
        <w:rPr>
          <w:rFonts w:hint="eastAsia" w:ascii="宋体" w:hAnsi="宋体"/>
          <w:color w:val="auto"/>
          <w:szCs w:val="21"/>
          <w:highlight w:val="none"/>
        </w:rPr>
      </w:pPr>
      <w:r>
        <w:rPr>
          <w:rFonts w:hint="eastAsia" w:ascii="宋体" w:hAnsi="宋体"/>
          <w:color w:val="auto"/>
          <w:szCs w:val="21"/>
          <w:highlight w:val="none"/>
        </w:rPr>
        <w:t>（1）评标委员会按照招标文件中规定的评标方法及评标标准，对符合性审查合格的投标文件进行商务和技术评估，综合比较与评价。</w:t>
      </w:r>
    </w:p>
    <w:p w14:paraId="7D89B4B6">
      <w:pPr>
        <w:snapToGrid w:val="0"/>
        <w:spacing w:line="420" w:lineRule="exact"/>
        <w:ind w:firstLine="398" w:firstLineChars="200"/>
        <w:rPr>
          <w:rFonts w:hint="eastAsia" w:ascii="宋体" w:hAnsi="宋体"/>
          <w:color w:val="auto"/>
          <w:szCs w:val="21"/>
          <w:highlight w:val="none"/>
        </w:rPr>
      </w:pPr>
      <w:r>
        <w:rPr>
          <w:rFonts w:hint="eastAsia" w:ascii="宋体" w:hAnsi="宋体"/>
          <w:color w:val="auto"/>
          <w:szCs w:val="21"/>
          <w:highlight w:val="none"/>
        </w:rPr>
        <w:t>（2）评标委员会独立对每个投标人的投标文件进行评价，并汇总每个投标人的得分。</w:t>
      </w:r>
    </w:p>
    <w:p w14:paraId="26E6AC58">
      <w:pPr>
        <w:snapToGrid w:val="0"/>
        <w:spacing w:line="420" w:lineRule="exact"/>
        <w:ind w:firstLine="398" w:firstLineChars="200"/>
        <w:rPr>
          <w:rFonts w:hint="eastAsia" w:ascii="宋体" w:hAnsi="宋体"/>
          <w:b/>
          <w:color w:val="auto"/>
          <w:szCs w:val="21"/>
          <w:highlight w:val="none"/>
        </w:rPr>
      </w:pPr>
      <w:r>
        <w:rPr>
          <w:rFonts w:hint="eastAsia" w:ascii="宋体" w:hAnsi="宋体"/>
          <w:color w:val="auto"/>
          <w:szCs w:val="21"/>
          <w:highlight w:val="none"/>
        </w:rPr>
        <w:t>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ascii="宋体" w:hAnsi="宋体"/>
          <w:b/>
          <w:color w:val="auto"/>
          <w:szCs w:val="21"/>
          <w:highlight w:val="none"/>
        </w:rPr>
        <w:t>投标人不能证明其报价合理性的，评标委员会应当将其作为无效投标处理。</w:t>
      </w:r>
    </w:p>
    <w:p w14:paraId="7A6E7A1E">
      <w:pPr>
        <w:snapToGrid w:val="0"/>
        <w:spacing w:line="420" w:lineRule="exact"/>
        <w:ind w:firstLine="398" w:firstLineChars="200"/>
        <w:rPr>
          <w:rFonts w:hint="eastAsia" w:ascii="宋体" w:hAnsi="宋体"/>
          <w:color w:val="auto"/>
          <w:szCs w:val="21"/>
          <w:highlight w:val="none"/>
        </w:rPr>
      </w:pPr>
      <w:r>
        <w:rPr>
          <w:rFonts w:hint="eastAsia" w:ascii="宋体" w:hAnsi="宋体"/>
          <w:color w:val="auto"/>
          <w:szCs w:val="21"/>
          <w:highlight w:val="none"/>
        </w:rPr>
        <w:t>（3）评标委员会按照招标文件中规定的评标方法和标准计算各投标人的报价得分。在计算过程中，不得去掉最高报价或者最低报价。</w:t>
      </w:r>
    </w:p>
    <w:p w14:paraId="7B4FBC0B">
      <w:pPr>
        <w:snapToGrid w:val="0"/>
        <w:spacing w:line="420" w:lineRule="exact"/>
        <w:ind w:firstLine="398" w:firstLineChars="200"/>
        <w:rPr>
          <w:rFonts w:hint="eastAsia" w:ascii="宋体" w:hAnsi="宋体"/>
          <w:color w:val="auto"/>
          <w:szCs w:val="21"/>
          <w:highlight w:val="none"/>
        </w:rPr>
      </w:pPr>
      <w:r>
        <w:rPr>
          <w:rFonts w:hint="eastAsia" w:ascii="宋体" w:hAnsi="宋体"/>
          <w:color w:val="auto"/>
          <w:szCs w:val="21"/>
          <w:highlight w:val="none"/>
        </w:rPr>
        <w:t>（4）各投标人的得分为所有评委的有效评分的算术平均数。</w:t>
      </w:r>
    </w:p>
    <w:p w14:paraId="3CEDE89C">
      <w:pPr>
        <w:snapToGrid w:val="0"/>
        <w:spacing w:line="420" w:lineRule="exact"/>
        <w:ind w:firstLine="398" w:firstLineChars="200"/>
        <w:rPr>
          <w:rFonts w:hint="eastAsia" w:ascii="宋体" w:hAnsi="宋体"/>
          <w:color w:val="auto"/>
          <w:szCs w:val="21"/>
          <w:highlight w:val="none"/>
        </w:rPr>
      </w:pPr>
      <w:r>
        <w:rPr>
          <w:rFonts w:hint="eastAsia" w:ascii="宋体" w:hAnsi="宋体"/>
          <w:color w:val="auto"/>
          <w:szCs w:val="21"/>
          <w:highlight w:val="none"/>
        </w:rPr>
        <w:t>（5）评标委员会按照招标文件中的规定推荐中标候选人。</w:t>
      </w:r>
    </w:p>
    <w:p w14:paraId="0E0170D5">
      <w:pPr>
        <w:snapToGrid w:val="0"/>
        <w:spacing w:line="420" w:lineRule="exact"/>
        <w:ind w:firstLine="398" w:firstLineChars="200"/>
        <w:rPr>
          <w:rFonts w:hint="eastAsia" w:ascii="宋体" w:hAnsi="宋体"/>
          <w:color w:val="auto"/>
          <w:szCs w:val="21"/>
          <w:highlight w:val="none"/>
        </w:rPr>
      </w:pPr>
      <w:r>
        <w:rPr>
          <w:rFonts w:hint="eastAsia" w:ascii="宋体" w:hAnsi="宋体"/>
          <w:color w:val="auto"/>
          <w:szCs w:val="21"/>
          <w:highlight w:val="none"/>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68524BC8">
      <w:pPr>
        <w:snapToGrid w:val="0"/>
        <w:spacing w:line="420" w:lineRule="exact"/>
        <w:ind w:firstLine="398" w:firstLineChars="200"/>
        <w:rPr>
          <w:rFonts w:hint="eastAsia" w:ascii="宋体" w:hAnsi="宋体"/>
          <w:color w:val="auto"/>
          <w:szCs w:val="21"/>
          <w:highlight w:val="none"/>
        </w:rPr>
      </w:pPr>
      <w:r>
        <w:rPr>
          <w:rFonts w:hint="eastAsia" w:ascii="宋体" w:hAnsi="宋体"/>
          <w:color w:val="auto"/>
          <w:szCs w:val="21"/>
          <w:highlight w:val="none"/>
        </w:rPr>
        <w:t>5.2采用</w:t>
      </w:r>
      <w:r>
        <w:rPr>
          <w:rFonts w:hint="eastAsia" w:hAnsi="宋体"/>
          <w:color w:val="auto"/>
          <w:highlight w:val="none"/>
        </w:rPr>
        <w:t>最低评标报法</w:t>
      </w:r>
      <w:r>
        <w:rPr>
          <w:rFonts w:hint="eastAsia" w:ascii="宋体" w:hAnsi="宋体"/>
          <w:color w:val="auto"/>
          <w:szCs w:val="21"/>
          <w:highlight w:val="none"/>
        </w:rPr>
        <w:t>的</w:t>
      </w:r>
    </w:p>
    <w:p w14:paraId="38321E89">
      <w:pPr>
        <w:snapToGrid w:val="0"/>
        <w:spacing w:line="420" w:lineRule="exact"/>
        <w:ind w:firstLine="402" w:firstLineChars="202"/>
        <w:jc w:val="left"/>
        <w:rPr>
          <w:rFonts w:hint="eastAsia" w:ascii="宋体" w:hAnsi="宋体"/>
          <w:color w:val="auto"/>
          <w:szCs w:val="21"/>
          <w:highlight w:val="none"/>
        </w:rPr>
      </w:pPr>
      <w:r>
        <w:rPr>
          <w:rFonts w:hint="eastAsia" w:ascii="宋体" w:hAnsi="宋体"/>
          <w:color w:val="auto"/>
          <w:szCs w:val="21"/>
          <w:highlight w:val="none"/>
        </w:rPr>
        <w:t>（1）评标委员会按照招标文件中规定的评标方法及评标标准，对符合性审查合格的投标文件报价进行比较。</w:t>
      </w:r>
    </w:p>
    <w:p w14:paraId="75CA304E">
      <w:pPr>
        <w:snapToGrid w:val="0"/>
        <w:spacing w:line="420" w:lineRule="exact"/>
        <w:ind w:firstLine="402" w:firstLineChars="202"/>
        <w:jc w:val="left"/>
        <w:rPr>
          <w:rFonts w:hint="eastAsia" w:ascii="宋体" w:hAnsi="宋体"/>
          <w:b/>
          <w:color w:val="auto"/>
          <w:szCs w:val="21"/>
          <w:highlight w:val="none"/>
        </w:rPr>
      </w:pPr>
      <w:r>
        <w:rPr>
          <w:rFonts w:hint="eastAsia" w:ascii="宋体" w:hAnsi="宋体"/>
          <w:color w:val="auto"/>
          <w:szCs w:val="21"/>
          <w:highlight w:val="none"/>
        </w:rPr>
        <w:t>（2）评标委员会认为投标人的报价明显低于其他通过符合性审查投标人的报价，有可能影响产品质量或者不能诚信履约的，应当要求其在评标现场合理的时间内提供书面说明，必要时提交相关证明材料；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ascii="宋体" w:hAnsi="宋体"/>
          <w:b/>
          <w:color w:val="auto"/>
          <w:szCs w:val="21"/>
          <w:highlight w:val="none"/>
        </w:rPr>
        <w:t>投标人不能证明其报价合理性的，评标委员会将其作为无效投标处理。</w:t>
      </w:r>
    </w:p>
    <w:p w14:paraId="68AC0590">
      <w:pPr>
        <w:snapToGrid w:val="0"/>
        <w:spacing w:line="420" w:lineRule="exact"/>
        <w:ind w:firstLine="402" w:firstLineChars="202"/>
        <w:jc w:val="left"/>
        <w:rPr>
          <w:rFonts w:hint="eastAsia" w:ascii="宋体" w:hAnsi="宋体"/>
          <w:color w:val="auto"/>
          <w:szCs w:val="21"/>
          <w:highlight w:val="none"/>
        </w:rPr>
      </w:pPr>
      <w:r>
        <w:rPr>
          <w:rFonts w:hint="eastAsia" w:ascii="宋体" w:hAnsi="宋体"/>
          <w:color w:val="auto"/>
          <w:szCs w:val="21"/>
          <w:highlight w:val="none"/>
        </w:rPr>
        <w:t>（3）评标委员会按照招标文件中的规定推荐中标候选人。</w:t>
      </w:r>
    </w:p>
    <w:p w14:paraId="2A5E4E70">
      <w:pPr>
        <w:snapToGrid w:val="0"/>
        <w:spacing w:line="420" w:lineRule="exact"/>
        <w:ind w:firstLine="402" w:firstLineChars="202"/>
        <w:jc w:val="left"/>
        <w:rPr>
          <w:rFonts w:hint="eastAsia" w:ascii="宋体" w:hAnsi="宋体"/>
          <w:color w:val="auto"/>
          <w:szCs w:val="21"/>
          <w:highlight w:val="none"/>
        </w:rPr>
      </w:pPr>
      <w:r>
        <w:rPr>
          <w:rFonts w:hint="eastAsia" w:ascii="宋体" w:hAnsi="宋体"/>
          <w:color w:val="auto"/>
          <w:szCs w:val="21"/>
          <w:highlight w:val="none"/>
        </w:rPr>
        <w:t>（4）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w:t>
      </w:r>
      <w:r>
        <w:rPr>
          <w:rFonts w:hint="eastAsia" w:ascii="宋体" w:hAnsi="宋体"/>
          <w:color w:val="auto"/>
          <w:szCs w:val="21"/>
          <w:highlight w:val="none"/>
          <w:lang w:eastAsia="zh-CN"/>
        </w:rPr>
        <w:t>作出</w:t>
      </w:r>
      <w:r>
        <w:rPr>
          <w:rFonts w:hint="eastAsia" w:ascii="宋体" w:hAnsi="宋体"/>
          <w:color w:val="auto"/>
          <w:szCs w:val="21"/>
          <w:highlight w:val="none"/>
        </w:rPr>
        <w:t>结论。持不同意见的评标委员会成员应当在评标报告上签署不同意见及理由，否则视为同意评标报告。</w:t>
      </w:r>
    </w:p>
    <w:p w14:paraId="49CDBCCB">
      <w:pPr>
        <w:pStyle w:val="2"/>
        <w:ind w:firstLine="199" w:firstLineChars="10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b/>
          <w:bCs/>
          <w:color w:val="auto"/>
          <w:kern w:val="2"/>
          <w:sz w:val="21"/>
          <w:szCs w:val="21"/>
          <w:highlight w:val="none"/>
          <w:lang w:val="en-US" w:eastAsia="zh-CN" w:bidi="ar-SA"/>
        </w:rPr>
        <w:t>6.异常低价审查</w:t>
      </w:r>
    </w:p>
    <w:p w14:paraId="21F2B911">
      <w:pPr>
        <w:pStyle w:val="2"/>
        <w:ind w:firstLine="199" w:firstLineChars="10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根据《关于推动解决政府采购异常低价问题的通知》（财库〔2026〕2号）规定，政府采购评审中出现下列情形之一的，评审委员会应当启动异常低价投标（响应）审查程序：</w:t>
      </w:r>
      <w:bookmarkStart w:id="164" w:name="_GoBack"/>
      <w:bookmarkEnd w:id="164"/>
    </w:p>
    <w:p w14:paraId="41C1BAB9">
      <w:pPr>
        <w:pStyle w:val="2"/>
        <w:ind w:firstLine="199" w:firstLineChars="100"/>
        <w:rPr>
          <w:rFonts w:hint="eastAsia" w:ascii="宋体" w:hAnsi="宋体" w:eastAsia="宋体" w:cs="Times New Roman"/>
          <w:color w:val="auto"/>
          <w:kern w:val="2"/>
          <w:sz w:val="21"/>
          <w:szCs w:val="21"/>
          <w:highlight w:val="none"/>
          <w:lang w:val="en-US" w:eastAsia="zh-CN" w:bidi="ar-SA"/>
        </w:rPr>
      </w:pPr>
      <w:r>
        <w:rPr>
          <w:rFonts w:hint="eastAsia" w:ascii="宋体" w:hAnsi="宋体" w:cs="Times New Roman"/>
          <w:color w:val="auto"/>
          <w:kern w:val="2"/>
          <w:sz w:val="21"/>
          <w:szCs w:val="21"/>
          <w:highlight w:val="none"/>
          <w:lang w:val="en-US" w:eastAsia="zh-CN" w:bidi="ar-SA"/>
        </w:rPr>
        <w:t>（</w:t>
      </w:r>
      <w:r>
        <w:rPr>
          <w:rFonts w:hint="eastAsia" w:ascii="宋体" w:hAnsi="宋体" w:eastAsia="宋体" w:cs="Times New Roman"/>
          <w:color w:val="auto"/>
          <w:kern w:val="2"/>
          <w:sz w:val="21"/>
          <w:szCs w:val="21"/>
          <w:highlight w:val="none"/>
          <w:lang w:val="en-US" w:eastAsia="zh-CN" w:bidi="ar-SA"/>
        </w:rPr>
        <w:t>1）投标（响应）报价低于全部通过符合性审查供应商投标（响应）报价平均值50%的，即投标（响应）报价&lt;全部通过符合性审查供应商投标（响应）报价平均值×50%；</w:t>
      </w:r>
    </w:p>
    <w:p w14:paraId="1BCD9CE8">
      <w:pPr>
        <w:pStyle w:val="2"/>
        <w:ind w:firstLine="199" w:firstLineChars="100"/>
        <w:rPr>
          <w:rFonts w:hint="eastAsia" w:ascii="宋体" w:hAnsi="宋体" w:eastAsia="宋体" w:cs="Times New Roman"/>
          <w:color w:val="auto"/>
          <w:kern w:val="2"/>
          <w:sz w:val="21"/>
          <w:szCs w:val="21"/>
          <w:highlight w:val="none"/>
          <w:lang w:val="en-US" w:eastAsia="zh-CN" w:bidi="ar-SA"/>
        </w:rPr>
      </w:pPr>
      <w:r>
        <w:rPr>
          <w:rFonts w:hint="eastAsia" w:ascii="宋体" w:hAnsi="宋体" w:cs="Times New Roman"/>
          <w:color w:val="auto"/>
          <w:kern w:val="2"/>
          <w:sz w:val="21"/>
          <w:szCs w:val="21"/>
          <w:highlight w:val="none"/>
          <w:lang w:val="en-US" w:eastAsia="zh-CN" w:bidi="ar-SA"/>
        </w:rPr>
        <w:t>（</w:t>
      </w:r>
      <w:r>
        <w:rPr>
          <w:rFonts w:hint="eastAsia" w:ascii="宋体" w:hAnsi="宋体" w:eastAsia="宋体" w:cs="Times New Roman"/>
          <w:color w:val="auto"/>
          <w:kern w:val="2"/>
          <w:sz w:val="21"/>
          <w:szCs w:val="21"/>
          <w:highlight w:val="none"/>
          <w:lang w:val="en-US" w:eastAsia="zh-CN" w:bidi="ar-SA"/>
        </w:rPr>
        <w:t>2）投标（响应）报价低于通过符合性审查的次低报价供应商投标（响应）报价50%的，即投标（响应）报价&lt;通过符合性审查的次低报价供应商投标（响应）报价×50%；</w:t>
      </w:r>
    </w:p>
    <w:p w14:paraId="75B4D8A3">
      <w:pPr>
        <w:pStyle w:val="2"/>
        <w:ind w:firstLine="199" w:firstLineChars="100"/>
        <w:rPr>
          <w:rFonts w:hint="eastAsia" w:ascii="宋体" w:hAnsi="宋体" w:eastAsia="宋体" w:cs="Times New Roman"/>
          <w:color w:val="auto"/>
          <w:kern w:val="2"/>
          <w:sz w:val="21"/>
          <w:szCs w:val="21"/>
          <w:highlight w:val="none"/>
          <w:lang w:val="en-US" w:eastAsia="zh-CN" w:bidi="ar-SA"/>
        </w:rPr>
      </w:pPr>
      <w:r>
        <w:rPr>
          <w:rFonts w:hint="eastAsia" w:ascii="宋体" w:hAnsi="宋体" w:cs="Times New Roman"/>
          <w:color w:val="auto"/>
          <w:kern w:val="2"/>
          <w:sz w:val="21"/>
          <w:szCs w:val="21"/>
          <w:highlight w:val="none"/>
          <w:lang w:val="en-US" w:eastAsia="zh-CN" w:bidi="ar-SA"/>
        </w:rPr>
        <w:t>（</w:t>
      </w:r>
      <w:r>
        <w:rPr>
          <w:rFonts w:hint="eastAsia" w:ascii="宋体" w:hAnsi="宋体" w:eastAsia="宋体" w:cs="Times New Roman"/>
          <w:color w:val="auto"/>
          <w:kern w:val="2"/>
          <w:sz w:val="21"/>
          <w:szCs w:val="21"/>
          <w:highlight w:val="none"/>
          <w:lang w:val="en-US" w:eastAsia="zh-CN" w:bidi="ar-SA"/>
        </w:rPr>
        <w:t>3）投标（响应）报价低于采购项目最高限价45%的，即投标（响应）报价&lt;采购项目最高限价×45%；</w:t>
      </w:r>
    </w:p>
    <w:p w14:paraId="0FE91F9F">
      <w:pPr>
        <w:pStyle w:val="2"/>
        <w:ind w:firstLine="199" w:firstLineChars="100"/>
        <w:rPr>
          <w:rFonts w:hint="eastAsia" w:ascii="宋体" w:hAnsi="宋体" w:eastAsia="宋体" w:cs="Times New Roman"/>
          <w:color w:val="auto"/>
          <w:kern w:val="2"/>
          <w:sz w:val="21"/>
          <w:szCs w:val="21"/>
          <w:highlight w:val="none"/>
          <w:lang w:val="en-US" w:eastAsia="zh-CN" w:bidi="ar-SA"/>
        </w:rPr>
      </w:pPr>
      <w:r>
        <w:rPr>
          <w:rFonts w:hint="eastAsia" w:ascii="宋体" w:hAnsi="宋体" w:cs="Times New Roman"/>
          <w:color w:val="auto"/>
          <w:kern w:val="2"/>
          <w:sz w:val="21"/>
          <w:szCs w:val="21"/>
          <w:highlight w:val="none"/>
          <w:lang w:val="en-US" w:eastAsia="zh-CN" w:bidi="ar-SA"/>
        </w:rPr>
        <w:t>（</w:t>
      </w:r>
      <w:r>
        <w:rPr>
          <w:rFonts w:hint="eastAsia" w:ascii="宋体" w:hAnsi="宋体" w:eastAsia="宋体" w:cs="Times New Roman"/>
          <w:color w:val="auto"/>
          <w:kern w:val="2"/>
          <w:sz w:val="21"/>
          <w:szCs w:val="21"/>
          <w:highlight w:val="none"/>
          <w:lang w:val="en-US" w:eastAsia="zh-CN" w:bidi="ar-SA"/>
        </w:rPr>
        <w:t>4）评审委员会基于专业判断，认为供应商报价过低，有可能影响产品质量或者不能诚信履约的其他情形。</w:t>
      </w:r>
    </w:p>
    <w:p w14:paraId="13CB48A3">
      <w:pPr>
        <w:pStyle w:val="2"/>
        <w:ind w:firstLine="398" w:firstLineChars="20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属于前述第1项至第4项情形的，评审委员会应当要求相关供应商在合理的时间内（不少于30分钟）对投标（响应）价格作出解释，提供项目具体成本测算等与报价合理性相关的书面说明及必要的证明材料，包括但不限于原材料成本、人工成本、制造费用等。其中，属于第3项情形，供应商已随投标（响应）文件一并提交相关书面说明及必要的证明材料的，可不再重复提交。</w:t>
      </w:r>
    </w:p>
    <w:p w14:paraId="5DD3D2FC">
      <w:pPr>
        <w:pStyle w:val="2"/>
        <w:ind w:firstLine="398" w:firstLineChars="20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投标（响应）供应商不能提供书面说明、证明材料，或者提供的书面说明、证明材料不能证明其报价合理性的，评审委员会应当将其作为无效投标（响应）处理。</w:t>
      </w:r>
    </w:p>
    <w:p w14:paraId="7518E2F5">
      <w:pPr>
        <w:pStyle w:val="2"/>
        <w:ind w:firstLine="398" w:firstLineChars="20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异常低价投标（响应）审查的启动原因、审查意见和审查结果应当在评审报告中记录，并随供应商提供的相关书面说明及证明材料，以及评审委员会有关互联网浏览、查询历史一并归档。</w:t>
      </w:r>
    </w:p>
    <w:p w14:paraId="47750EAD">
      <w:pPr>
        <w:pStyle w:val="2"/>
        <w:ind w:firstLine="398" w:firstLineChars="200"/>
        <w:rPr>
          <w:rFonts w:hint="eastAsia"/>
          <w:highlight w:val="none"/>
        </w:rPr>
      </w:pPr>
      <w:r>
        <w:rPr>
          <w:rFonts w:hint="eastAsia" w:ascii="宋体" w:hAnsi="宋体" w:eastAsia="宋体" w:cs="Times New Roman"/>
          <w:color w:val="auto"/>
          <w:kern w:val="2"/>
          <w:sz w:val="21"/>
          <w:szCs w:val="21"/>
          <w:highlight w:val="none"/>
          <w:lang w:val="en-US" w:eastAsia="zh-CN" w:bidi="ar-SA"/>
        </w:rPr>
        <w:t>为避免因未能及时提供说明而导致被评审委员会作为无效投标（响应）情形，供应商可提前准备或随投标（响应）文件一并提交相关书面说明及必要的证明材料。</w:t>
      </w:r>
    </w:p>
    <w:p w14:paraId="7EF3F274">
      <w:pPr>
        <w:snapToGrid w:val="0"/>
        <w:spacing w:line="360" w:lineRule="auto"/>
        <w:ind w:firstLine="402" w:firstLineChars="202"/>
        <w:jc w:val="center"/>
        <w:outlineLvl w:val="1"/>
        <w:rPr>
          <w:color w:val="auto"/>
          <w:highlight w:val="none"/>
        </w:rPr>
      </w:pPr>
      <w:r>
        <w:rPr>
          <w:rFonts w:hAnsi="宋体"/>
          <w:color w:val="auto"/>
          <w:highlight w:val="none"/>
        </w:rPr>
        <w:br w:type="page"/>
      </w:r>
      <w:bookmarkStart w:id="139" w:name="_Hlk71707917"/>
      <w:r>
        <w:rPr>
          <w:rFonts w:ascii="宋体" w:hAnsi="宋体" w:cs="宋体"/>
          <w:b/>
          <w:bCs/>
          <w:color w:val="auto"/>
          <w:sz w:val="32"/>
          <w:szCs w:val="32"/>
          <w:highlight w:val="none"/>
        </w:rPr>
        <w:t>三</w:t>
      </w:r>
      <w:r>
        <w:rPr>
          <w:rFonts w:hint="eastAsia" w:ascii="宋体" w:hAnsi="宋体" w:cs="宋体"/>
          <w:b/>
          <w:bCs/>
          <w:color w:val="auto"/>
          <w:sz w:val="32"/>
          <w:szCs w:val="32"/>
          <w:highlight w:val="none"/>
        </w:rPr>
        <w:t>、评标标准</w:t>
      </w:r>
    </w:p>
    <w:p w14:paraId="6FA94F30">
      <w:pPr>
        <w:pStyle w:val="5"/>
        <w:keepNext w:val="0"/>
        <w:keepLines w:val="0"/>
        <w:jc w:val="center"/>
        <w:outlineLvl w:val="2"/>
        <w:rPr>
          <w:color w:val="auto"/>
          <w:highlight w:val="none"/>
        </w:rPr>
      </w:pPr>
      <w:r>
        <w:rPr>
          <w:rFonts w:hint="eastAsia"/>
          <w:color w:val="auto"/>
          <w:highlight w:val="none"/>
        </w:rPr>
        <w:t>综合评分法</w:t>
      </w:r>
    </w:p>
    <w:bookmarkEnd w:id="139"/>
    <w:tbl>
      <w:tblPr>
        <w:tblStyle w:val="47"/>
        <w:tblW w:w="100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959"/>
        <w:gridCol w:w="7654"/>
        <w:gridCol w:w="774"/>
      </w:tblGrid>
      <w:tr w14:paraId="7F369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4D4FD8CD">
            <w:pPr>
              <w:spacing w:line="420" w:lineRule="exact"/>
              <w:jc w:val="center"/>
              <w:rPr>
                <w:rFonts w:hint="eastAsia" w:ascii="宋体" w:hAnsi="宋体"/>
                <w:b/>
                <w:color w:val="auto"/>
                <w:szCs w:val="21"/>
                <w:highlight w:val="none"/>
              </w:rPr>
            </w:pPr>
            <w:r>
              <w:rPr>
                <w:rFonts w:hint="eastAsia" w:ascii="宋体" w:hAnsi="宋体"/>
                <w:b/>
                <w:color w:val="auto"/>
                <w:szCs w:val="21"/>
                <w:highlight w:val="none"/>
              </w:rPr>
              <w:t>序号</w:t>
            </w:r>
          </w:p>
        </w:tc>
        <w:tc>
          <w:tcPr>
            <w:tcW w:w="959" w:type="dxa"/>
            <w:vAlign w:val="center"/>
          </w:tcPr>
          <w:p w14:paraId="0B3D0DC3">
            <w:pPr>
              <w:spacing w:line="420" w:lineRule="exact"/>
              <w:jc w:val="center"/>
              <w:rPr>
                <w:rFonts w:hint="eastAsia" w:ascii="宋体" w:hAnsi="宋体"/>
                <w:b/>
                <w:color w:val="auto"/>
                <w:szCs w:val="21"/>
                <w:highlight w:val="none"/>
              </w:rPr>
            </w:pPr>
            <w:r>
              <w:rPr>
                <w:rFonts w:hint="eastAsia" w:ascii="宋体" w:hAnsi="宋体"/>
                <w:b/>
                <w:color w:val="auto"/>
                <w:szCs w:val="21"/>
                <w:highlight w:val="none"/>
              </w:rPr>
              <w:t>评分</w:t>
            </w:r>
          </w:p>
          <w:p w14:paraId="4045AAC9">
            <w:pPr>
              <w:spacing w:line="420" w:lineRule="exact"/>
              <w:jc w:val="center"/>
              <w:rPr>
                <w:rFonts w:hint="eastAsia" w:ascii="宋体" w:hAnsi="宋体"/>
                <w:b/>
                <w:color w:val="auto"/>
                <w:szCs w:val="21"/>
                <w:highlight w:val="none"/>
              </w:rPr>
            </w:pPr>
            <w:r>
              <w:rPr>
                <w:rFonts w:hint="eastAsia" w:ascii="宋体" w:hAnsi="宋体"/>
                <w:b/>
                <w:color w:val="auto"/>
                <w:szCs w:val="21"/>
                <w:highlight w:val="none"/>
              </w:rPr>
              <w:t>因素</w:t>
            </w:r>
          </w:p>
        </w:tc>
        <w:tc>
          <w:tcPr>
            <w:tcW w:w="7654" w:type="dxa"/>
            <w:vAlign w:val="center"/>
          </w:tcPr>
          <w:p w14:paraId="4BB5BCA8">
            <w:pPr>
              <w:spacing w:line="420" w:lineRule="exact"/>
              <w:jc w:val="center"/>
              <w:rPr>
                <w:rFonts w:hint="eastAsia" w:ascii="宋体" w:hAnsi="宋体"/>
                <w:b/>
                <w:color w:val="auto"/>
                <w:szCs w:val="21"/>
                <w:highlight w:val="none"/>
              </w:rPr>
            </w:pPr>
            <w:r>
              <w:rPr>
                <w:rFonts w:hint="eastAsia" w:ascii="宋体" w:hAnsi="宋体"/>
                <w:b/>
                <w:color w:val="auto"/>
                <w:szCs w:val="21"/>
                <w:highlight w:val="none"/>
              </w:rPr>
              <w:t>评分内容</w:t>
            </w:r>
          </w:p>
        </w:tc>
        <w:tc>
          <w:tcPr>
            <w:tcW w:w="774" w:type="dxa"/>
            <w:vAlign w:val="center"/>
          </w:tcPr>
          <w:p w14:paraId="1613587E">
            <w:pPr>
              <w:spacing w:line="420" w:lineRule="exact"/>
              <w:jc w:val="center"/>
              <w:rPr>
                <w:rFonts w:hint="eastAsia" w:ascii="宋体" w:hAnsi="宋体"/>
                <w:b/>
                <w:color w:val="auto"/>
                <w:szCs w:val="21"/>
                <w:highlight w:val="none"/>
              </w:rPr>
            </w:pPr>
            <w:r>
              <w:rPr>
                <w:rFonts w:hint="eastAsia" w:ascii="宋体" w:hAnsi="宋体"/>
                <w:b/>
                <w:color w:val="auto"/>
                <w:szCs w:val="21"/>
                <w:highlight w:val="none"/>
              </w:rPr>
              <w:t>满分</w:t>
            </w:r>
          </w:p>
        </w:tc>
      </w:tr>
      <w:tr w14:paraId="5E6BB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0" w:hRule="atLeast"/>
          <w:jc w:val="center"/>
        </w:trPr>
        <w:tc>
          <w:tcPr>
            <w:tcW w:w="709" w:type="dxa"/>
            <w:vAlign w:val="center"/>
          </w:tcPr>
          <w:p w14:paraId="6D3146C3">
            <w:pPr>
              <w:spacing w:line="420" w:lineRule="exact"/>
              <w:jc w:val="center"/>
              <w:rPr>
                <w:rFonts w:hint="eastAsia" w:ascii="宋体" w:hAnsi="宋体"/>
                <w:b/>
                <w:color w:val="auto"/>
                <w:szCs w:val="21"/>
                <w:highlight w:val="none"/>
              </w:rPr>
            </w:pPr>
            <w:r>
              <w:rPr>
                <w:rFonts w:hint="eastAsia" w:ascii="宋体" w:hAnsi="宋体"/>
                <w:b/>
                <w:color w:val="auto"/>
                <w:szCs w:val="21"/>
                <w:highlight w:val="none"/>
              </w:rPr>
              <w:t>1</w:t>
            </w:r>
          </w:p>
        </w:tc>
        <w:tc>
          <w:tcPr>
            <w:tcW w:w="959" w:type="dxa"/>
            <w:vAlign w:val="center"/>
          </w:tcPr>
          <w:p w14:paraId="1674912A">
            <w:pPr>
              <w:widowControl/>
              <w:spacing w:line="420" w:lineRule="exact"/>
              <w:jc w:val="center"/>
              <w:rPr>
                <w:rFonts w:hint="eastAsia" w:ascii="宋体" w:hAnsi="宋体" w:cs="Tahoma"/>
                <w:b/>
                <w:color w:val="auto"/>
                <w:szCs w:val="21"/>
                <w:highlight w:val="none"/>
              </w:rPr>
            </w:pPr>
            <w:r>
              <w:rPr>
                <w:rFonts w:hint="eastAsia" w:ascii="宋体" w:hAnsi="宋体" w:cs="Tahoma"/>
                <w:b/>
                <w:color w:val="auto"/>
                <w:szCs w:val="21"/>
                <w:highlight w:val="none"/>
              </w:rPr>
              <w:t>价格分</w:t>
            </w:r>
          </w:p>
        </w:tc>
        <w:tc>
          <w:tcPr>
            <w:tcW w:w="7654" w:type="dxa"/>
            <w:vAlign w:val="center"/>
          </w:tcPr>
          <w:p w14:paraId="10F1C882">
            <w:pPr>
              <w:snapToGrid w:val="0"/>
              <w:spacing w:line="420" w:lineRule="exact"/>
              <w:ind w:firstLine="221" w:firstLineChars="111"/>
              <w:rPr>
                <w:rFonts w:hint="eastAsia" w:ascii="宋体" w:hAnsi="宋体"/>
                <w:bCs/>
                <w:color w:val="auto"/>
                <w:szCs w:val="21"/>
                <w:highlight w:val="none"/>
              </w:rPr>
            </w:pPr>
            <w:r>
              <w:rPr>
                <w:rFonts w:hint="eastAsia" w:ascii="宋体" w:hAnsi="宋体"/>
                <w:bCs/>
                <w:color w:val="auto"/>
                <w:szCs w:val="21"/>
                <w:highlight w:val="none"/>
              </w:rPr>
              <w:t>（1）评标报价为投标人的投标报价进行政策性扣除后的价格，评标报价只是作为评标时使用。最终中标人的中标金额等于投标报价。</w:t>
            </w:r>
          </w:p>
          <w:p w14:paraId="26A5EB4F">
            <w:pPr>
              <w:snapToGrid w:val="0"/>
              <w:spacing w:line="420" w:lineRule="exact"/>
              <w:ind w:firstLine="221" w:firstLineChars="111"/>
              <w:rPr>
                <w:rFonts w:hint="eastAsia" w:ascii="宋体" w:hAnsi="宋体"/>
                <w:bCs/>
                <w:color w:val="auto"/>
                <w:szCs w:val="21"/>
                <w:highlight w:val="none"/>
              </w:rPr>
            </w:pPr>
            <w:r>
              <w:rPr>
                <w:rFonts w:hint="eastAsia" w:ascii="宋体" w:hAnsi="宋体"/>
                <w:bCs/>
                <w:color w:val="auto"/>
                <w:szCs w:val="21"/>
                <w:highlight w:val="none"/>
              </w:rPr>
              <w:t>（2）政策性扣除计算方法。</w:t>
            </w:r>
          </w:p>
          <w:p w14:paraId="4641057F">
            <w:pPr>
              <w:snapToGrid w:val="0"/>
              <w:spacing w:line="420" w:lineRule="exact"/>
              <w:ind w:firstLine="420" w:firstLineChars="211"/>
              <w:rPr>
                <w:rFonts w:hint="eastAsia" w:ascii="宋体" w:hAnsi="宋体"/>
                <w:color w:val="auto"/>
                <w:szCs w:val="21"/>
                <w:highlight w:val="none"/>
              </w:rPr>
            </w:pPr>
            <w:r>
              <w:rPr>
                <w:rFonts w:hint="eastAsia" w:ascii="宋体" w:hAnsi="宋体"/>
                <w:bCs/>
                <w:color w:val="auto"/>
                <w:szCs w:val="21"/>
                <w:highlight w:val="none"/>
              </w:rPr>
              <w:t>根据《政府采购促进中小企业发展管理办法》（财库〔2020〕46号）及《广西壮族自治区财政厅关于持续优化政府采购营商环境推动高质量发展的通知》（桂财采〔2024〕55号）的规定，投标人在其投标文件中提供《中小企业声明函》，且服务全部由小微企业承接对其投标报价给予10%的扣除，扣除后的价格为评标报价，即评标报价=投标报价×（</w:t>
            </w:r>
            <w:r>
              <w:rPr>
                <w:rFonts w:hint="eastAsia" w:ascii="宋体" w:hAnsi="宋体"/>
                <w:bCs/>
                <w:color w:val="auto"/>
                <w:szCs w:val="21"/>
                <w:highlight w:val="none"/>
                <w:lang w:val="en-US" w:eastAsia="zh-CN"/>
              </w:rPr>
              <w:t>1-</w:t>
            </w:r>
            <w:r>
              <w:rPr>
                <w:rFonts w:hint="eastAsia" w:ascii="宋体" w:hAnsi="宋体"/>
                <w:bCs/>
                <w:color w:val="auto"/>
                <w:szCs w:val="21"/>
                <w:highlight w:val="none"/>
              </w:rPr>
              <w:t>10%）。除上述情况外，评标报价=投标报价。</w:t>
            </w:r>
          </w:p>
          <w:p w14:paraId="477CC422">
            <w:pPr>
              <w:snapToGrid w:val="0"/>
              <w:spacing w:line="420" w:lineRule="exact"/>
              <w:ind w:firstLine="221" w:firstLineChars="111"/>
              <w:rPr>
                <w:rFonts w:hint="eastAsia" w:ascii="宋体" w:hAnsi="宋体"/>
                <w:bCs/>
                <w:color w:val="auto"/>
                <w:szCs w:val="21"/>
                <w:highlight w:val="none"/>
              </w:rPr>
            </w:pPr>
            <w:r>
              <w:rPr>
                <w:rFonts w:hint="eastAsia" w:ascii="宋体" w:hAnsi="宋体"/>
                <w:bCs/>
                <w:color w:val="auto"/>
                <w:szCs w:val="21"/>
                <w:highlight w:val="none"/>
              </w:rPr>
              <w:t>（3）按照《财政部、司法部关于政府采购支持监狱企业发展有关问题的通知》（财库〔2014〕68号）的规定，监狱企业视同小型、微型企业，享受预留份额、评审中价格扣除等促进中小企业发展的政府采购政策。</w:t>
            </w:r>
            <w:r>
              <w:rPr>
                <w:rFonts w:hint="eastAsia" w:ascii="宋体" w:hAnsi="宋体"/>
                <w:color w:val="auto"/>
                <w:szCs w:val="21"/>
                <w:highlight w:val="none"/>
              </w:rPr>
              <w:t>监狱企业参加政府采购活动时，应当提供由省级以上监狱管理局、戒毒管理局（含新疆生产建设兵团）出具的属于监狱企业的证明文件。</w:t>
            </w:r>
            <w:r>
              <w:rPr>
                <w:rFonts w:hint="eastAsia" w:ascii="宋体" w:hAnsi="宋体"/>
                <w:bCs/>
                <w:color w:val="auto"/>
                <w:szCs w:val="21"/>
                <w:highlight w:val="none"/>
              </w:rPr>
              <w:t>监狱企业属于小型、微型企业的，不重复享受政策。</w:t>
            </w:r>
          </w:p>
          <w:p w14:paraId="187D34E1">
            <w:pPr>
              <w:snapToGrid w:val="0"/>
              <w:spacing w:line="420" w:lineRule="exact"/>
              <w:ind w:firstLine="221" w:firstLineChars="111"/>
              <w:rPr>
                <w:rFonts w:hint="eastAsia" w:ascii="宋体" w:hAnsi="宋体"/>
                <w:bCs/>
                <w:color w:val="auto"/>
                <w:szCs w:val="21"/>
                <w:highlight w:val="none"/>
              </w:rPr>
            </w:pPr>
            <w:r>
              <w:rPr>
                <w:rFonts w:hint="eastAsia" w:ascii="宋体" w:hAnsi="宋体"/>
                <w:color w:val="auto"/>
                <w:szCs w:val="21"/>
                <w:highlight w:val="none"/>
              </w:rPr>
              <w:t>（4）按照</w:t>
            </w:r>
            <w:r>
              <w:rPr>
                <w:rFonts w:hint="eastAsia" w:ascii="宋体" w:hAnsi="宋体"/>
                <w:bCs/>
                <w:color w:val="auto"/>
                <w:szCs w:val="21"/>
                <w:highlight w:val="none"/>
              </w:rPr>
              <w:t>《关于促进残疾人就业政府采购政策的通知》（财库〔2017〕141号）的规定，残疾人福利性单位视同小型、微型企业，享受预留份额、评审中价格扣除等促进中小企业发展的政府采购政策。</w:t>
            </w:r>
            <w:r>
              <w:rPr>
                <w:rFonts w:hint="eastAsia" w:ascii="宋体" w:hAnsi="宋体"/>
                <w:color w:val="auto"/>
                <w:szCs w:val="21"/>
                <w:highlight w:val="none"/>
              </w:rPr>
              <w:t>残疾人福利性单位参加政府采购活动时，应当提供该通知规定的《残疾人福利性单位声明函》，并对声明的真实性负责。</w:t>
            </w:r>
            <w:r>
              <w:rPr>
                <w:rFonts w:hint="eastAsia" w:ascii="宋体" w:hAnsi="宋体"/>
                <w:bCs/>
                <w:color w:val="auto"/>
                <w:szCs w:val="21"/>
                <w:highlight w:val="none"/>
              </w:rPr>
              <w:t>残疾人福利性单位属于小型、微型企业的，不重复享受政策。</w:t>
            </w:r>
          </w:p>
          <w:p w14:paraId="16625E21">
            <w:pPr>
              <w:snapToGrid w:val="0"/>
              <w:spacing w:line="420" w:lineRule="exact"/>
              <w:ind w:firstLine="221" w:firstLineChars="111"/>
              <w:rPr>
                <w:rFonts w:hint="eastAsia" w:ascii="宋体" w:hAnsi="宋体"/>
                <w:bCs/>
                <w:color w:val="auto"/>
                <w:szCs w:val="21"/>
                <w:highlight w:val="none"/>
              </w:rPr>
            </w:pPr>
            <w:r>
              <w:rPr>
                <w:rFonts w:hint="eastAsia" w:ascii="宋体" w:hAnsi="宋体"/>
                <w:bCs/>
                <w:color w:val="auto"/>
                <w:szCs w:val="21"/>
                <w:highlight w:val="none"/>
              </w:rPr>
              <w:t>（</w:t>
            </w:r>
            <w:r>
              <w:rPr>
                <w:rFonts w:ascii="宋体" w:hAnsi="宋体"/>
                <w:bCs/>
                <w:color w:val="auto"/>
                <w:szCs w:val="21"/>
                <w:highlight w:val="none"/>
              </w:rPr>
              <w:t>5</w:t>
            </w:r>
            <w:r>
              <w:rPr>
                <w:rFonts w:hint="eastAsia" w:ascii="宋体" w:hAnsi="宋体"/>
                <w:bCs/>
                <w:color w:val="auto"/>
                <w:szCs w:val="21"/>
                <w:highlight w:val="none"/>
              </w:rPr>
              <w:t>）满足招标文件要求且评标报价最低的评标报价为评标基准价，其价格分为满分。</w:t>
            </w:r>
          </w:p>
          <w:p w14:paraId="56C1C8EA">
            <w:pPr>
              <w:spacing w:line="420" w:lineRule="exact"/>
              <w:ind w:firstLine="221" w:firstLineChars="111"/>
              <w:rPr>
                <w:rFonts w:hint="eastAsia" w:ascii="宋体" w:hAnsi="宋体"/>
                <w:bCs/>
                <w:color w:val="auto"/>
                <w:szCs w:val="21"/>
                <w:highlight w:val="none"/>
              </w:rPr>
            </w:pPr>
            <w:r>
              <w:rPr>
                <w:rFonts w:hint="eastAsia" w:ascii="宋体" w:hAnsi="宋体"/>
                <w:bCs/>
                <w:color w:val="auto"/>
                <w:szCs w:val="21"/>
                <w:highlight w:val="none"/>
              </w:rPr>
              <w:t>（</w:t>
            </w:r>
            <w:r>
              <w:rPr>
                <w:rFonts w:ascii="宋体" w:hAnsi="宋体"/>
                <w:bCs/>
                <w:color w:val="auto"/>
                <w:szCs w:val="21"/>
                <w:highlight w:val="none"/>
              </w:rPr>
              <w:t>6</w:t>
            </w:r>
            <w:r>
              <w:rPr>
                <w:rFonts w:hint="eastAsia" w:ascii="宋体" w:hAnsi="宋体"/>
                <w:bCs/>
                <w:color w:val="auto"/>
                <w:szCs w:val="21"/>
                <w:highlight w:val="none"/>
              </w:rPr>
              <w:t>）价格分计算公式：</w:t>
            </w:r>
          </w:p>
          <w:p w14:paraId="02A31807">
            <w:pPr>
              <w:spacing w:line="420" w:lineRule="exact"/>
              <w:jc w:val="center"/>
              <w:rPr>
                <w:rFonts w:hint="eastAsia" w:hAnsi="宋体"/>
                <w:bCs/>
                <w:color w:val="auto"/>
                <w:sz w:val="21"/>
                <w:highlight w:val="none"/>
              </w:rPr>
            </w:pPr>
            <w:r>
              <w:rPr>
                <w:rFonts w:hint="eastAsia" w:ascii="宋体" w:hAnsi="宋体"/>
                <w:bCs/>
                <w:color w:val="auto"/>
                <w:szCs w:val="21"/>
                <w:highlight w:val="none"/>
              </w:rPr>
              <w:t>价格分</w:t>
            </w:r>
            <w:r>
              <w:rPr>
                <w:rFonts w:hint="eastAsia" w:ascii="宋体" w:hAnsi="宋体" w:cs="Courier New"/>
                <w:bCs/>
                <w:color w:val="auto"/>
                <w:szCs w:val="21"/>
                <w:highlight w:val="none"/>
              </w:rPr>
              <w:t>=（评标基准价／评标报价）×</w:t>
            </w:r>
            <w:r>
              <w:rPr>
                <w:rFonts w:hint="eastAsia" w:ascii="宋体" w:hAnsi="宋体"/>
                <w:bCs/>
                <w:color w:val="auto"/>
                <w:szCs w:val="21"/>
                <w:highlight w:val="none"/>
                <w:u w:val="single"/>
              </w:rPr>
              <w:t xml:space="preserve"> 10 </w:t>
            </w:r>
            <w:r>
              <w:rPr>
                <w:rFonts w:hint="eastAsia" w:ascii="宋体" w:hAnsi="宋体" w:cs="Courier New"/>
                <w:bCs/>
                <w:color w:val="auto"/>
                <w:szCs w:val="21"/>
                <w:highlight w:val="none"/>
              </w:rPr>
              <w:t>分</w:t>
            </w:r>
          </w:p>
        </w:tc>
        <w:tc>
          <w:tcPr>
            <w:tcW w:w="774" w:type="dxa"/>
            <w:vAlign w:val="center"/>
          </w:tcPr>
          <w:p w14:paraId="45DD8608">
            <w:pPr>
              <w:widowControl/>
              <w:spacing w:line="420" w:lineRule="exact"/>
              <w:jc w:val="center"/>
              <w:rPr>
                <w:rFonts w:hint="eastAsia" w:ascii="宋体" w:hAnsi="宋体" w:cs="Tahoma"/>
                <w:b/>
                <w:color w:val="auto"/>
                <w:szCs w:val="21"/>
                <w:highlight w:val="none"/>
              </w:rPr>
            </w:pPr>
            <w:r>
              <w:rPr>
                <w:rFonts w:hint="eastAsia" w:ascii="宋体" w:hAnsi="宋体"/>
                <w:b/>
                <w:color w:val="auto"/>
                <w:szCs w:val="21"/>
                <w:highlight w:val="none"/>
              </w:rPr>
              <w:t>10分</w:t>
            </w:r>
          </w:p>
        </w:tc>
      </w:tr>
      <w:tr w14:paraId="48D6A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restart"/>
            <w:vAlign w:val="center"/>
          </w:tcPr>
          <w:p w14:paraId="647DEA5B">
            <w:pPr>
              <w:spacing w:line="420" w:lineRule="exact"/>
              <w:jc w:val="center"/>
              <w:rPr>
                <w:rFonts w:hint="eastAsia" w:ascii="宋体" w:hAnsi="宋体"/>
                <w:b/>
                <w:color w:val="auto"/>
                <w:szCs w:val="21"/>
                <w:highlight w:val="none"/>
              </w:rPr>
            </w:pPr>
            <w:r>
              <w:rPr>
                <w:rFonts w:hint="eastAsia" w:ascii="宋体" w:hAnsi="宋体"/>
                <w:b/>
                <w:color w:val="auto"/>
                <w:szCs w:val="21"/>
                <w:highlight w:val="none"/>
              </w:rPr>
              <w:t>2</w:t>
            </w:r>
          </w:p>
        </w:tc>
        <w:tc>
          <w:tcPr>
            <w:tcW w:w="959" w:type="dxa"/>
            <w:vMerge w:val="restart"/>
            <w:vAlign w:val="center"/>
          </w:tcPr>
          <w:p w14:paraId="4D9489E9">
            <w:pPr>
              <w:adjustRightInd w:val="0"/>
              <w:spacing w:line="420" w:lineRule="exact"/>
              <w:jc w:val="center"/>
              <w:textAlignment w:val="baseline"/>
              <w:rPr>
                <w:rFonts w:hint="eastAsia" w:ascii="宋体" w:hAnsi="宋体"/>
                <w:b/>
                <w:color w:val="auto"/>
                <w:szCs w:val="21"/>
                <w:highlight w:val="none"/>
              </w:rPr>
            </w:pPr>
            <w:r>
              <w:rPr>
                <w:rFonts w:hint="eastAsia" w:ascii="宋体" w:hAnsi="宋体"/>
                <w:b/>
                <w:color w:val="auto"/>
                <w:szCs w:val="21"/>
                <w:highlight w:val="none"/>
              </w:rPr>
              <w:t>技术分</w:t>
            </w:r>
          </w:p>
        </w:tc>
        <w:tc>
          <w:tcPr>
            <w:tcW w:w="7654" w:type="dxa"/>
            <w:vAlign w:val="center"/>
          </w:tcPr>
          <w:p w14:paraId="567B9C37">
            <w:pPr>
              <w:pStyle w:val="24"/>
              <w:spacing w:line="420" w:lineRule="exact"/>
              <w:rPr>
                <w:rFonts w:hint="eastAsia" w:hAnsi="宋体"/>
                <w:b/>
                <w:color w:val="auto"/>
                <w:sz w:val="21"/>
                <w:highlight w:val="none"/>
              </w:rPr>
            </w:pPr>
            <w:r>
              <w:rPr>
                <w:rFonts w:hint="eastAsia" w:hAnsi="宋体"/>
                <w:b/>
                <w:color w:val="auto"/>
                <w:sz w:val="21"/>
                <w:highlight w:val="none"/>
              </w:rPr>
              <w:t>（1）工作大纲（满分10分）</w:t>
            </w:r>
          </w:p>
          <w:p w14:paraId="5F24CB63">
            <w:pPr>
              <w:pStyle w:val="24"/>
              <w:spacing w:line="420" w:lineRule="exact"/>
              <w:rPr>
                <w:rFonts w:hint="eastAsia" w:hAnsi="宋体"/>
                <w:bCs/>
                <w:color w:val="auto"/>
                <w:sz w:val="21"/>
                <w:highlight w:val="none"/>
              </w:rPr>
            </w:pPr>
            <w:r>
              <w:rPr>
                <w:rFonts w:hint="eastAsia" w:hAnsi="宋体"/>
                <w:bCs/>
                <w:color w:val="auto"/>
                <w:sz w:val="21"/>
                <w:highlight w:val="none"/>
              </w:rPr>
              <w:t>一档（3分）：工作大纲基本满足项目需求，对桥梁隧道定期检测有认识，有一定的措施但部分不具体；桥梁隧道定期检测的目标、内容和重点理解不到位。</w:t>
            </w:r>
          </w:p>
          <w:p w14:paraId="219B73E7">
            <w:pPr>
              <w:pStyle w:val="24"/>
              <w:spacing w:line="420" w:lineRule="exact"/>
              <w:rPr>
                <w:rFonts w:hint="eastAsia" w:hAnsi="宋体"/>
                <w:bCs/>
                <w:color w:val="auto"/>
                <w:sz w:val="21"/>
                <w:highlight w:val="none"/>
              </w:rPr>
            </w:pPr>
            <w:r>
              <w:rPr>
                <w:rFonts w:hint="eastAsia" w:hAnsi="宋体"/>
                <w:bCs/>
                <w:color w:val="auto"/>
                <w:sz w:val="21"/>
                <w:highlight w:val="none"/>
              </w:rPr>
              <w:t>二档（6分）：工作大纲完全满足项目需求，对桥梁隧道定期检测有一定认识，表述清晰、完整，措施具体有效；对桥梁隧道定期检测的目标、内容和重点的理解稍有欠缺；对广西壮族自治区公路桥梁隧道业务熟悉程度不高；对广西壮族自治区公路桥梁隧道管理系统不够了解。</w:t>
            </w:r>
          </w:p>
          <w:p w14:paraId="63BA1DB6">
            <w:pPr>
              <w:pStyle w:val="24"/>
              <w:spacing w:line="420" w:lineRule="exact"/>
              <w:rPr>
                <w:rFonts w:hint="eastAsia" w:hAnsi="宋体"/>
                <w:bCs/>
                <w:color w:val="auto"/>
                <w:sz w:val="21"/>
                <w:highlight w:val="none"/>
              </w:rPr>
            </w:pPr>
            <w:r>
              <w:rPr>
                <w:rFonts w:hint="eastAsia" w:hAnsi="宋体"/>
                <w:bCs/>
                <w:color w:val="auto"/>
                <w:sz w:val="21"/>
                <w:highlight w:val="none"/>
              </w:rPr>
              <w:t>三档（10分）：工作大纲完全满足项目需求，对桥梁隧道定期检测有深刻认识，表述清晰、完整、严谨、合理，措施先进、具体、有效、成熟；深刻领会桥梁隧道定期检测的目标、内容和重点；熟悉广西壮族自治区公路桥梁隧道业务；了解广西壮族自治区公路桥梁隧道管理系统。</w:t>
            </w:r>
          </w:p>
        </w:tc>
        <w:tc>
          <w:tcPr>
            <w:tcW w:w="774" w:type="dxa"/>
            <w:vMerge w:val="restart"/>
            <w:vAlign w:val="center"/>
          </w:tcPr>
          <w:p w14:paraId="7612C32E">
            <w:pPr>
              <w:spacing w:line="420" w:lineRule="exact"/>
              <w:jc w:val="center"/>
              <w:rPr>
                <w:rFonts w:hint="eastAsia" w:ascii="宋体" w:hAnsi="宋体" w:cs="Tahoma"/>
                <w:b/>
                <w:color w:val="auto"/>
                <w:szCs w:val="21"/>
                <w:highlight w:val="none"/>
              </w:rPr>
            </w:pPr>
            <w:r>
              <w:rPr>
                <w:rFonts w:hint="eastAsia" w:ascii="宋体" w:hAnsi="宋体"/>
                <w:b/>
                <w:color w:val="auto"/>
                <w:szCs w:val="21"/>
                <w:highlight w:val="none"/>
              </w:rPr>
              <w:t>50分</w:t>
            </w:r>
          </w:p>
        </w:tc>
      </w:tr>
      <w:tr w14:paraId="0EC24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continue"/>
            <w:vAlign w:val="center"/>
          </w:tcPr>
          <w:p w14:paraId="6D47DBF7">
            <w:pPr>
              <w:spacing w:line="420" w:lineRule="exact"/>
              <w:jc w:val="center"/>
              <w:rPr>
                <w:rFonts w:hint="eastAsia" w:ascii="宋体" w:hAnsi="宋体"/>
                <w:color w:val="auto"/>
                <w:szCs w:val="21"/>
                <w:highlight w:val="none"/>
              </w:rPr>
            </w:pPr>
          </w:p>
        </w:tc>
        <w:tc>
          <w:tcPr>
            <w:tcW w:w="959" w:type="dxa"/>
            <w:vMerge w:val="continue"/>
            <w:vAlign w:val="center"/>
          </w:tcPr>
          <w:p w14:paraId="78CE975A">
            <w:pPr>
              <w:spacing w:line="420" w:lineRule="exact"/>
              <w:jc w:val="center"/>
              <w:rPr>
                <w:rFonts w:hint="eastAsia" w:ascii="宋体" w:hAnsi="宋体"/>
                <w:b/>
                <w:color w:val="auto"/>
                <w:szCs w:val="21"/>
                <w:highlight w:val="none"/>
              </w:rPr>
            </w:pPr>
          </w:p>
        </w:tc>
        <w:tc>
          <w:tcPr>
            <w:tcW w:w="7654" w:type="dxa"/>
            <w:vAlign w:val="center"/>
          </w:tcPr>
          <w:p w14:paraId="28914504">
            <w:pPr>
              <w:pStyle w:val="24"/>
              <w:spacing w:line="420" w:lineRule="exact"/>
              <w:rPr>
                <w:rFonts w:hint="eastAsia" w:hAnsi="宋体"/>
                <w:b/>
                <w:color w:val="auto"/>
                <w:sz w:val="21"/>
                <w:highlight w:val="none"/>
              </w:rPr>
            </w:pPr>
            <w:r>
              <w:rPr>
                <w:rFonts w:hint="eastAsia" w:hAnsi="宋体"/>
                <w:b/>
                <w:color w:val="auto"/>
                <w:sz w:val="21"/>
                <w:highlight w:val="none"/>
              </w:rPr>
              <w:t>（2）检测质量管理及控制方案（满分20分）</w:t>
            </w:r>
          </w:p>
          <w:p w14:paraId="681184E4">
            <w:pPr>
              <w:pStyle w:val="24"/>
              <w:spacing w:line="420" w:lineRule="exact"/>
              <w:rPr>
                <w:rFonts w:hint="eastAsia" w:hAnsi="宋体"/>
                <w:bCs/>
                <w:color w:val="auto"/>
                <w:sz w:val="21"/>
                <w:highlight w:val="none"/>
              </w:rPr>
            </w:pPr>
            <w:r>
              <w:rPr>
                <w:rFonts w:hint="eastAsia" w:hAnsi="宋体"/>
                <w:bCs/>
                <w:color w:val="auto"/>
                <w:sz w:val="21"/>
                <w:highlight w:val="none"/>
              </w:rPr>
              <w:t>一档（8分）：检测质量管理及控制方案（含检测质量技术管理班子和制度、各主要实施工序应人员安排计划、各工种人员安排计划、保证措施）要点，要点描述不明确，人员配置较少，能保证工作进度。</w:t>
            </w:r>
          </w:p>
          <w:p w14:paraId="032401E3">
            <w:pPr>
              <w:pStyle w:val="24"/>
              <w:spacing w:line="420" w:lineRule="exact"/>
              <w:rPr>
                <w:rFonts w:hint="eastAsia" w:hAnsi="宋体"/>
                <w:bCs/>
                <w:color w:val="auto"/>
                <w:sz w:val="21"/>
                <w:highlight w:val="none"/>
              </w:rPr>
            </w:pPr>
            <w:r>
              <w:rPr>
                <w:rFonts w:hint="eastAsia" w:hAnsi="宋体"/>
                <w:bCs/>
                <w:color w:val="auto"/>
                <w:sz w:val="21"/>
                <w:highlight w:val="none"/>
              </w:rPr>
              <w:t>二档（14分）：检测质量管理及控制方案（含检测质量技术管理班子和制度、各主要实施工序应有详细的人员安排计划、各工种人员安排计划、保证措施）要点明确，人员配备较合理，能保证技术质量和工作进度。</w:t>
            </w:r>
          </w:p>
          <w:p w14:paraId="176919E3">
            <w:pPr>
              <w:pStyle w:val="24"/>
              <w:spacing w:line="420" w:lineRule="exact"/>
              <w:rPr>
                <w:color w:val="auto"/>
                <w:highlight w:val="none"/>
              </w:rPr>
            </w:pPr>
            <w:r>
              <w:rPr>
                <w:rFonts w:hint="eastAsia" w:hAnsi="宋体"/>
                <w:bCs/>
                <w:color w:val="auto"/>
                <w:sz w:val="21"/>
                <w:highlight w:val="none"/>
              </w:rPr>
              <w:t>三档（20分）：检测质量管理及控制方案（含独特方案、专门的检测质量技术管理班子和制度、各主要实施工序应有详细周密的人员安排计划、各工种人员安排计划、保证措施）所有要点明确，针对性强，人员投入合理，制度健全，自控体系完整，能有效保证技术质量和工作进度，达到承诺的检测质量标准，有利于项目实施。</w:t>
            </w:r>
          </w:p>
        </w:tc>
        <w:tc>
          <w:tcPr>
            <w:tcW w:w="774" w:type="dxa"/>
            <w:vMerge w:val="continue"/>
            <w:vAlign w:val="center"/>
          </w:tcPr>
          <w:p w14:paraId="3612EAB1">
            <w:pPr>
              <w:spacing w:line="420" w:lineRule="exact"/>
              <w:rPr>
                <w:rFonts w:hint="eastAsia" w:ascii="宋体" w:hAnsi="宋体"/>
                <w:color w:val="auto"/>
                <w:szCs w:val="21"/>
                <w:highlight w:val="none"/>
              </w:rPr>
            </w:pPr>
          </w:p>
        </w:tc>
      </w:tr>
      <w:tr w14:paraId="2CA37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continue"/>
            <w:vAlign w:val="center"/>
          </w:tcPr>
          <w:p w14:paraId="4F5911FC">
            <w:pPr>
              <w:spacing w:line="420" w:lineRule="exact"/>
              <w:jc w:val="center"/>
              <w:rPr>
                <w:rFonts w:hint="eastAsia" w:ascii="宋体" w:hAnsi="宋体"/>
                <w:color w:val="auto"/>
                <w:szCs w:val="21"/>
                <w:highlight w:val="none"/>
              </w:rPr>
            </w:pPr>
          </w:p>
        </w:tc>
        <w:tc>
          <w:tcPr>
            <w:tcW w:w="959" w:type="dxa"/>
            <w:vMerge w:val="continue"/>
            <w:vAlign w:val="center"/>
          </w:tcPr>
          <w:p w14:paraId="2713E13E">
            <w:pPr>
              <w:spacing w:line="420" w:lineRule="exact"/>
              <w:jc w:val="center"/>
              <w:rPr>
                <w:rFonts w:hint="eastAsia" w:ascii="宋体" w:hAnsi="宋体"/>
                <w:b/>
                <w:color w:val="auto"/>
                <w:szCs w:val="21"/>
                <w:highlight w:val="none"/>
              </w:rPr>
            </w:pPr>
          </w:p>
        </w:tc>
        <w:tc>
          <w:tcPr>
            <w:tcW w:w="7654" w:type="dxa"/>
            <w:vAlign w:val="center"/>
          </w:tcPr>
          <w:p w14:paraId="40B4C231">
            <w:pPr>
              <w:pStyle w:val="24"/>
              <w:spacing w:line="420" w:lineRule="exact"/>
              <w:rPr>
                <w:rFonts w:hint="eastAsia" w:hAnsi="宋体"/>
                <w:b/>
                <w:color w:val="auto"/>
                <w:sz w:val="21"/>
                <w:highlight w:val="none"/>
              </w:rPr>
            </w:pPr>
            <w:r>
              <w:rPr>
                <w:rFonts w:hint="eastAsia" w:hAnsi="宋体"/>
                <w:b/>
                <w:color w:val="auto"/>
                <w:sz w:val="21"/>
                <w:highlight w:val="none"/>
              </w:rPr>
              <w:t>（3）桥梁隧道定期检测实施方案（满分10分）</w:t>
            </w:r>
          </w:p>
          <w:p w14:paraId="718AB441">
            <w:pPr>
              <w:pStyle w:val="24"/>
              <w:spacing w:line="420" w:lineRule="exact"/>
              <w:rPr>
                <w:rFonts w:hint="eastAsia" w:hAnsi="宋体"/>
                <w:bCs/>
                <w:color w:val="auto"/>
                <w:sz w:val="21"/>
                <w:highlight w:val="none"/>
              </w:rPr>
            </w:pPr>
            <w:r>
              <w:rPr>
                <w:rFonts w:hint="eastAsia" w:hAnsi="宋体"/>
                <w:bCs/>
                <w:color w:val="auto"/>
                <w:sz w:val="21"/>
                <w:highlight w:val="none"/>
              </w:rPr>
              <w:t>一档（3分)：对本项目的理解，提出招标项目特点、难点、重点等进行分析，对一些可能遇到的关键问题提出的处理方案，分析不到位且解决措施缺乏针对性的。</w:t>
            </w:r>
          </w:p>
          <w:p w14:paraId="71321560">
            <w:pPr>
              <w:pStyle w:val="24"/>
              <w:spacing w:line="420" w:lineRule="exact"/>
              <w:rPr>
                <w:rFonts w:hint="eastAsia" w:hAnsi="宋体"/>
                <w:bCs/>
                <w:color w:val="auto"/>
                <w:sz w:val="21"/>
                <w:highlight w:val="none"/>
              </w:rPr>
            </w:pPr>
            <w:r>
              <w:rPr>
                <w:rFonts w:hint="eastAsia" w:hAnsi="宋体"/>
                <w:bCs/>
                <w:color w:val="auto"/>
                <w:sz w:val="21"/>
                <w:highlight w:val="none"/>
              </w:rPr>
              <w:t>二档（6分)</w:t>
            </w:r>
            <w:r>
              <w:rPr>
                <w:rFonts w:hint="eastAsia" w:hAnsi="宋体"/>
                <w:bCs/>
                <w:color w:val="auto"/>
                <w:sz w:val="21"/>
                <w:highlight w:val="none"/>
                <w:lang w:eastAsia="zh-CN"/>
              </w:rPr>
              <w:t>：</w:t>
            </w:r>
            <w:r>
              <w:rPr>
                <w:rFonts w:hint="eastAsia" w:hAnsi="宋体"/>
                <w:bCs/>
                <w:color w:val="auto"/>
                <w:sz w:val="21"/>
                <w:highlight w:val="none"/>
              </w:rPr>
              <w:t>在一档的基础上，对本项目开展调查，提出本项目的技术特点、难点、重点等进行分析，对一些可能遇到的关键问题提出的处理方案，分析基本合理且解决措施基本有针对性的。</w:t>
            </w:r>
          </w:p>
          <w:p w14:paraId="296AF624">
            <w:pPr>
              <w:pStyle w:val="24"/>
              <w:spacing w:line="420" w:lineRule="exact"/>
              <w:rPr>
                <w:rFonts w:hint="eastAsia" w:hAnsi="宋体"/>
                <w:bCs/>
                <w:color w:val="auto"/>
                <w:sz w:val="21"/>
                <w:highlight w:val="none"/>
              </w:rPr>
            </w:pPr>
            <w:r>
              <w:rPr>
                <w:rFonts w:hint="eastAsia" w:hAnsi="宋体"/>
                <w:bCs/>
                <w:color w:val="auto"/>
                <w:sz w:val="21"/>
                <w:highlight w:val="none"/>
              </w:rPr>
              <w:t>三档（10分)：在二档的基础上，提出本项目的技术特点、难点、重点等，详细分解设计任务；对一些可能遇到的关键问题、关键线路提出的处理方案详细具体，理念先进，科学合理，能够很好</w:t>
            </w:r>
            <w:r>
              <w:rPr>
                <w:rFonts w:hint="eastAsia" w:hAnsi="宋体"/>
                <w:bCs/>
                <w:color w:val="auto"/>
                <w:sz w:val="21"/>
                <w:highlight w:val="none"/>
                <w:lang w:eastAsia="zh-CN"/>
              </w:rPr>
              <w:t>地</w:t>
            </w:r>
            <w:r>
              <w:rPr>
                <w:rFonts w:hint="eastAsia" w:hAnsi="宋体"/>
                <w:bCs/>
                <w:color w:val="auto"/>
                <w:sz w:val="21"/>
                <w:highlight w:val="none"/>
              </w:rPr>
              <w:t>提出建设性的建议，针对项目实际提出先进、可行、具体的保证措施，可行性高。</w:t>
            </w:r>
          </w:p>
        </w:tc>
        <w:tc>
          <w:tcPr>
            <w:tcW w:w="774" w:type="dxa"/>
            <w:vMerge w:val="continue"/>
            <w:vAlign w:val="center"/>
          </w:tcPr>
          <w:p w14:paraId="07719D12">
            <w:pPr>
              <w:spacing w:line="420" w:lineRule="exact"/>
              <w:rPr>
                <w:rFonts w:hint="eastAsia" w:ascii="宋体" w:hAnsi="宋体"/>
                <w:color w:val="auto"/>
                <w:szCs w:val="21"/>
                <w:highlight w:val="none"/>
              </w:rPr>
            </w:pPr>
          </w:p>
        </w:tc>
      </w:tr>
      <w:tr w14:paraId="4ED9D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continue"/>
            <w:vAlign w:val="center"/>
          </w:tcPr>
          <w:p w14:paraId="15C4142B">
            <w:pPr>
              <w:spacing w:line="420" w:lineRule="exact"/>
              <w:jc w:val="center"/>
              <w:rPr>
                <w:rFonts w:hint="eastAsia" w:ascii="宋体" w:hAnsi="宋体"/>
                <w:color w:val="auto"/>
                <w:szCs w:val="21"/>
                <w:highlight w:val="none"/>
              </w:rPr>
            </w:pPr>
          </w:p>
        </w:tc>
        <w:tc>
          <w:tcPr>
            <w:tcW w:w="959" w:type="dxa"/>
            <w:vMerge w:val="continue"/>
            <w:vAlign w:val="center"/>
          </w:tcPr>
          <w:p w14:paraId="1E468499">
            <w:pPr>
              <w:spacing w:line="420" w:lineRule="exact"/>
              <w:jc w:val="center"/>
              <w:rPr>
                <w:rFonts w:hint="eastAsia" w:ascii="宋体" w:hAnsi="宋体"/>
                <w:b/>
                <w:color w:val="auto"/>
                <w:szCs w:val="21"/>
                <w:highlight w:val="none"/>
              </w:rPr>
            </w:pPr>
          </w:p>
        </w:tc>
        <w:tc>
          <w:tcPr>
            <w:tcW w:w="7654" w:type="dxa"/>
            <w:vAlign w:val="center"/>
          </w:tcPr>
          <w:p w14:paraId="1259A64B">
            <w:pPr>
              <w:pStyle w:val="24"/>
              <w:spacing w:line="420" w:lineRule="exact"/>
              <w:rPr>
                <w:rFonts w:hint="eastAsia" w:hAnsi="宋体"/>
                <w:b/>
                <w:color w:val="auto"/>
                <w:sz w:val="21"/>
                <w:highlight w:val="none"/>
              </w:rPr>
            </w:pPr>
            <w:r>
              <w:rPr>
                <w:rFonts w:hint="eastAsia" w:hAnsi="宋体"/>
                <w:b/>
                <w:color w:val="auto"/>
                <w:sz w:val="21"/>
                <w:highlight w:val="none"/>
              </w:rPr>
              <w:t>（4）服务承诺方案（满分10分）</w:t>
            </w:r>
          </w:p>
          <w:p w14:paraId="144D5461">
            <w:pPr>
              <w:pStyle w:val="24"/>
              <w:spacing w:line="420" w:lineRule="exact"/>
              <w:rPr>
                <w:rFonts w:hint="eastAsia" w:hAnsi="宋体"/>
                <w:bCs/>
                <w:color w:val="auto"/>
                <w:sz w:val="21"/>
                <w:highlight w:val="none"/>
              </w:rPr>
            </w:pPr>
            <w:r>
              <w:rPr>
                <w:rFonts w:hint="eastAsia" w:hAnsi="宋体"/>
                <w:bCs/>
                <w:color w:val="auto"/>
                <w:sz w:val="21"/>
                <w:highlight w:val="none"/>
              </w:rPr>
              <w:t>一档（3分）：服务承诺基本满足招标文件要求，针对本项目后续服务承诺。</w:t>
            </w:r>
          </w:p>
          <w:p w14:paraId="75AACB80">
            <w:pPr>
              <w:pStyle w:val="24"/>
              <w:spacing w:line="420" w:lineRule="exact"/>
              <w:rPr>
                <w:rFonts w:hint="eastAsia" w:hAnsi="宋体"/>
                <w:bCs/>
                <w:color w:val="auto"/>
                <w:sz w:val="21"/>
                <w:highlight w:val="none"/>
              </w:rPr>
            </w:pPr>
            <w:r>
              <w:rPr>
                <w:rFonts w:hint="eastAsia" w:hAnsi="宋体"/>
                <w:bCs/>
                <w:color w:val="auto"/>
                <w:sz w:val="21"/>
                <w:highlight w:val="none"/>
              </w:rPr>
              <w:t>二档（6分）：在一档的基础上，针对本项目保证技术服务的方案措施(含变更的进度控制承诺)在编写检测报告过程中的技术服务措施(必须承诺在编写检测报告过程中发生问题和事件，在接到采购人通知后8小时内做出响应，并作出详细的质量问题技术服务方案)；定期回访措施。</w:t>
            </w:r>
          </w:p>
          <w:p w14:paraId="344DEB88">
            <w:pPr>
              <w:pStyle w:val="24"/>
              <w:spacing w:line="420" w:lineRule="exact"/>
              <w:rPr>
                <w:rFonts w:hint="eastAsia" w:hAnsi="宋体"/>
                <w:bCs/>
                <w:color w:val="auto"/>
                <w:sz w:val="21"/>
                <w:highlight w:val="none"/>
              </w:rPr>
            </w:pPr>
            <w:r>
              <w:rPr>
                <w:rFonts w:hint="eastAsia" w:hAnsi="宋体"/>
                <w:bCs/>
                <w:color w:val="auto"/>
                <w:sz w:val="21"/>
                <w:highlight w:val="none"/>
              </w:rPr>
              <w:t>三档（10分）：在二档的基础上，针对本项目服务体系的建立；保证技术服务的方案措施(含变更的进度控制承诺)；保证检测质量的服务方案措施；协调好各部门(与本项目相关的各单位和管理部门)关系的技术服务措施；在编写检测报告过程中的技术服务措施(必须承诺在编写检测报告过程中发生问题和事件，在接到采购人通知后4小时内做出响应，并作出详细的质量问题技术服务方案)；定期回访措施；技术保密措施等，服务及时，态度良好，有优惠服务承诺。</w:t>
            </w:r>
          </w:p>
        </w:tc>
        <w:tc>
          <w:tcPr>
            <w:tcW w:w="774" w:type="dxa"/>
            <w:vMerge w:val="continue"/>
            <w:vAlign w:val="center"/>
          </w:tcPr>
          <w:p w14:paraId="2C5187F7">
            <w:pPr>
              <w:spacing w:line="420" w:lineRule="exact"/>
              <w:rPr>
                <w:rFonts w:hint="eastAsia" w:ascii="宋体" w:hAnsi="宋体"/>
                <w:color w:val="auto"/>
                <w:szCs w:val="21"/>
                <w:highlight w:val="none"/>
              </w:rPr>
            </w:pPr>
          </w:p>
        </w:tc>
      </w:tr>
      <w:tr w14:paraId="4EDEB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restart"/>
            <w:vAlign w:val="center"/>
          </w:tcPr>
          <w:p w14:paraId="6577055B">
            <w:pPr>
              <w:spacing w:line="420" w:lineRule="exact"/>
              <w:jc w:val="center"/>
              <w:rPr>
                <w:rFonts w:hint="eastAsia" w:ascii="宋体" w:hAnsi="宋体"/>
                <w:b/>
                <w:color w:val="auto"/>
                <w:szCs w:val="21"/>
                <w:highlight w:val="none"/>
              </w:rPr>
            </w:pPr>
            <w:r>
              <w:rPr>
                <w:rFonts w:hint="eastAsia" w:ascii="宋体" w:hAnsi="宋体"/>
                <w:b/>
                <w:color w:val="auto"/>
                <w:szCs w:val="21"/>
                <w:highlight w:val="none"/>
              </w:rPr>
              <w:t>3</w:t>
            </w:r>
          </w:p>
        </w:tc>
        <w:tc>
          <w:tcPr>
            <w:tcW w:w="959" w:type="dxa"/>
            <w:vMerge w:val="restart"/>
            <w:vAlign w:val="center"/>
          </w:tcPr>
          <w:p w14:paraId="26884029">
            <w:pPr>
              <w:widowControl/>
              <w:spacing w:line="420" w:lineRule="exact"/>
              <w:jc w:val="center"/>
              <w:rPr>
                <w:rFonts w:hint="eastAsia" w:ascii="宋体" w:hAnsi="宋体" w:cs="Tahoma"/>
                <w:b/>
                <w:color w:val="auto"/>
                <w:szCs w:val="21"/>
                <w:highlight w:val="none"/>
              </w:rPr>
            </w:pPr>
            <w:r>
              <w:rPr>
                <w:rFonts w:hint="eastAsia" w:ascii="宋体" w:hAnsi="宋体" w:cs="Tahoma"/>
                <w:b/>
                <w:color w:val="auto"/>
                <w:szCs w:val="21"/>
                <w:highlight w:val="none"/>
              </w:rPr>
              <w:t>商务分</w:t>
            </w:r>
          </w:p>
        </w:tc>
        <w:tc>
          <w:tcPr>
            <w:tcW w:w="7654" w:type="dxa"/>
            <w:vAlign w:val="center"/>
          </w:tcPr>
          <w:p w14:paraId="541222B6">
            <w:pPr>
              <w:pStyle w:val="24"/>
              <w:spacing w:line="420" w:lineRule="exact"/>
              <w:rPr>
                <w:rFonts w:hint="eastAsia" w:asciiTheme="minorEastAsia" w:hAnsiTheme="minorEastAsia" w:eastAsiaTheme="minorEastAsia" w:cstheme="minorEastAsia"/>
                <w:b/>
                <w:color w:val="auto"/>
                <w:sz w:val="21"/>
                <w:highlight w:val="none"/>
              </w:rPr>
            </w:pPr>
            <w:r>
              <w:rPr>
                <w:rFonts w:hint="eastAsia" w:asciiTheme="minorEastAsia" w:hAnsiTheme="minorEastAsia" w:eastAsiaTheme="minorEastAsia" w:cstheme="minorEastAsia"/>
                <w:b/>
                <w:color w:val="auto"/>
                <w:sz w:val="21"/>
                <w:highlight w:val="none"/>
              </w:rPr>
              <w:t>（1）项目团队人员能力（17分）</w:t>
            </w:r>
          </w:p>
          <w:p w14:paraId="1C6DEF42">
            <w:pPr>
              <w:pStyle w:val="24"/>
              <w:spacing w:line="420" w:lineRule="exact"/>
              <w:rPr>
                <w:rFonts w:hint="eastAsia" w:hAnsi="宋体"/>
                <w:bCs/>
                <w:color w:val="auto"/>
                <w:sz w:val="21"/>
                <w:highlight w:val="none"/>
              </w:rPr>
            </w:pPr>
            <w:r>
              <w:rPr>
                <w:rFonts w:hint="eastAsia" w:hAnsi="宋体"/>
                <w:bCs/>
                <w:color w:val="auto"/>
                <w:sz w:val="21"/>
                <w:highlight w:val="none"/>
              </w:rPr>
              <w:t>1.项目负责人</w:t>
            </w:r>
            <w:r>
              <w:rPr>
                <w:rFonts w:hint="eastAsia" w:hAnsi="宋体"/>
                <w:bCs/>
                <w:color w:val="auto"/>
                <w:sz w:val="21"/>
                <w:highlight w:val="none"/>
                <w:lang w:eastAsia="zh-CN"/>
              </w:rPr>
              <w:t>（</w:t>
            </w:r>
            <w:r>
              <w:rPr>
                <w:rFonts w:hint="eastAsia" w:hAnsi="宋体"/>
                <w:bCs/>
                <w:color w:val="auto"/>
                <w:sz w:val="21"/>
                <w:highlight w:val="none"/>
                <w:lang w:val="en-US" w:eastAsia="zh-CN"/>
              </w:rPr>
              <w:t>7分）</w:t>
            </w:r>
            <w:r>
              <w:rPr>
                <w:rFonts w:hint="eastAsia" w:hAnsi="宋体"/>
                <w:bCs/>
                <w:color w:val="auto"/>
                <w:sz w:val="21"/>
                <w:highlight w:val="none"/>
              </w:rPr>
              <w:t>：</w:t>
            </w:r>
          </w:p>
          <w:p w14:paraId="56CA7456">
            <w:pPr>
              <w:pStyle w:val="24"/>
              <w:spacing w:line="420" w:lineRule="exact"/>
              <w:rPr>
                <w:rFonts w:hint="eastAsia" w:hAnsi="宋体"/>
                <w:bCs/>
                <w:color w:val="auto"/>
                <w:sz w:val="21"/>
                <w:highlight w:val="none"/>
              </w:rPr>
            </w:pPr>
            <w:r>
              <w:rPr>
                <w:rFonts w:hint="eastAsia" w:hAnsi="宋体"/>
                <w:bCs/>
                <w:color w:val="auto"/>
                <w:sz w:val="21"/>
                <w:highlight w:val="none"/>
              </w:rPr>
              <w:t>①具有路桥类工程师职称得1分，路桥类高级工程师职称得3分，路桥类正高级工程师或教授级高级工程师职称的5分，满分5分。</w:t>
            </w:r>
          </w:p>
          <w:p w14:paraId="2FDDE760">
            <w:pPr>
              <w:pStyle w:val="24"/>
              <w:spacing w:line="420" w:lineRule="exact"/>
              <w:rPr>
                <w:rFonts w:hint="eastAsia" w:hAnsi="宋体"/>
                <w:bCs/>
                <w:color w:val="auto"/>
                <w:sz w:val="21"/>
                <w:highlight w:val="none"/>
              </w:rPr>
            </w:pPr>
            <w:r>
              <w:rPr>
                <w:rFonts w:hint="eastAsia" w:hAnsi="宋体"/>
                <w:bCs/>
                <w:color w:val="auto"/>
                <w:sz w:val="21"/>
                <w:highlight w:val="none"/>
              </w:rPr>
              <w:t>②负责主持编制过或作为主要起草人（排名第一）编制过桥梁、隧道相关检测标准或指南（GB、JTG、DB、CECS）并已发布的每有1个得2分，满分2分。（须提供标准规范的复印件）</w:t>
            </w:r>
          </w:p>
          <w:p w14:paraId="0FFACBE7">
            <w:pPr>
              <w:pStyle w:val="24"/>
              <w:spacing w:line="420" w:lineRule="exact"/>
              <w:rPr>
                <w:rFonts w:hint="eastAsia" w:hAnsi="宋体"/>
                <w:bCs/>
                <w:color w:val="auto"/>
                <w:sz w:val="21"/>
                <w:highlight w:val="none"/>
              </w:rPr>
            </w:pPr>
            <w:r>
              <w:rPr>
                <w:rFonts w:hint="eastAsia" w:hAnsi="宋体"/>
                <w:bCs/>
                <w:color w:val="auto"/>
                <w:sz w:val="21"/>
                <w:highlight w:val="none"/>
              </w:rPr>
              <w:t>2.技术负责人</w:t>
            </w:r>
            <w:r>
              <w:rPr>
                <w:rFonts w:hint="eastAsia" w:hAnsi="宋体"/>
                <w:bCs/>
                <w:color w:val="auto"/>
                <w:sz w:val="21"/>
                <w:highlight w:val="none"/>
                <w:lang w:eastAsia="zh-CN"/>
              </w:rPr>
              <w:t>（</w:t>
            </w:r>
            <w:r>
              <w:rPr>
                <w:rFonts w:hint="eastAsia" w:hAnsi="宋体"/>
                <w:bCs/>
                <w:color w:val="auto"/>
                <w:sz w:val="21"/>
                <w:highlight w:val="none"/>
                <w:lang w:val="en-US" w:eastAsia="zh-CN"/>
              </w:rPr>
              <w:t>5分）</w:t>
            </w:r>
            <w:r>
              <w:rPr>
                <w:rFonts w:hint="eastAsia" w:hAnsi="宋体"/>
                <w:bCs/>
                <w:color w:val="auto"/>
                <w:sz w:val="21"/>
                <w:highlight w:val="none"/>
              </w:rPr>
              <w:t>：</w:t>
            </w:r>
          </w:p>
          <w:p w14:paraId="6F02296F">
            <w:pPr>
              <w:pStyle w:val="24"/>
              <w:spacing w:line="420" w:lineRule="exact"/>
              <w:rPr>
                <w:rFonts w:hint="eastAsia" w:hAnsi="宋体"/>
                <w:bCs/>
                <w:color w:val="auto"/>
                <w:sz w:val="21"/>
                <w:highlight w:val="none"/>
              </w:rPr>
            </w:pPr>
            <w:r>
              <w:rPr>
                <w:rFonts w:hint="eastAsia" w:hAnsi="宋体"/>
                <w:bCs/>
                <w:color w:val="auto"/>
                <w:sz w:val="21"/>
                <w:highlight w:val="none"/>
              </w:rPr>
              <w:t>①具有路桥类工程师职称得1分，路桥类高级工程师或以上职称得3分，满分3分。</w:t>
            </w:r>
          </w:p>
          <w:p w14:paraId="40FC862E">
            <w:pPr>
              <w:pStyle w:val="24"/>
              <w:spacing w:line="420" w:lineRule="exact"/>
              <w:rPr>
                <w:rFonts w:hint="eastAsia" w:hAnsi="宋体"/>
                <w:bCs/>
                <w:color w:val="auto"/>
                <w:sz w:val="21"/>
                <w:highlight w:val="none"/>
              </w:rPr>
            </w:pPr>
            <w:r>
              <w:rPr>
                <w:rFonts w:hint="eastAsia" w:hAnsi="宋体"/>
                <w:bCs/>
                <w:color w:val="auto"/>
                <w:sz w:val="21"/>
                <w:highlight w:val="none"/>
              </w:rPr>
              <w:t>②技术负责人持有一级注册结构工程师证书的2分，满分2分。</w:t>
            </w:r>
          </w:p>
          <w:p w14:paraId="533AAED2">
            <w:pPr>
              <w:pStyle w:val="24"/>
              <w:spacing w:line="420" w:lineRule="exact"/>
              <w:rPr>
                <w:rFonts w:hint="eastAsia" w:hAnsi="宋体"/>
                <w:bCs/>
                <w:color w:val="auto"/>
                <w:sz w:val="21"/>
                <w:highlight w:val="none"/>
              </w:rPr>
            </w:pPr>
            <w:r>
              <w:rPr>
                <w:rFonts w:hint="eastAsia" w:hAnsi="宋体"/>
                <w:bCs/>
                <w:color w:val="auto"/>
                <w:sz w:val="21"/>
                <w:highlight w:val="none"/>
              </w:rPr>
              <w:t>3.项目</w:t>
            </w:r>
            <w:r>
              <w:rPr>
                <w:rFonts w:hint="eastAsia" w:hAnsi="宋体"/>
                <w:bCs/>
                <w:color w:val="auto"/>
                <w:sz w:val="21"/>
                <w:highlight w:val="none"/>
                <w:lang w:eastAsia="zh-CN"/>
              </w:rPr>
              <w:t>的其他</w:t>
            </w:r>
            <w:r>
              <w:rPr>
                <w:rFonts w:hint="eastAsia" w:hAnsi="宋体"/>
                <w:bCs/>
                <w:color w:val="auto"/>
                <w:sz w:val="21"/>
                <w:highlight w:val="none"/>
              </w:rPr>
              <w:t>人员</w:t>
            </w:r>
            <w:r>
              <w:rPr>
                <w:rFonts w:hint="eastAsia" w:hAnsi="宋体"/>
                <w:bCs/>
                <w:color w:val="auto"/>
                <w:sz w:val="21"/>
                <w:highlight w:val="none"/>
                <w:lang w:eastAsia="zh-CN"/>
              </w:rPr>
              <w:t>（</w:t>
            </w:r>
            <w:r>
              <w:rPr>
                <w:rFonts w:hint="eastAsia" w:hAnsi="宋体"/>
                <w:bCs/>
                <w:color w:val="auto"/>
                <w:sz w:val="21"/>
                <w:highlight w:val="none"/>
                <w:lang w:val="en-US" w:eastAsia="zh-CN"/>
              </w:rPr>
              <w:t>5分）</w:t>
            </w:r>
            <w:r>
              <w:rPr>
                <w:rFonts w:hint="eastAsia" w:hAnsi="宋体"/>
                <w:bCs/>
                <w:color w:val="auto"/>
                <w:sz w:val="21"/>
                <w:highlight w:val="none"/>
              </w:rPr>
              <w:t>：</w:t>
            </w:r>
          </w:p>
          <w:p w14:paraId="32B45A1E">
            <w:pPr>
              <w:pStyle w:val="24"/>
              <w:spacing w:line="420" w:lineRule="exact"/>
              <w:rPr>
                <w:rFonts w:hint="eastAsia" w:hAnsi="宋体"/>
                <w:bCs/>
                <w:color w:val="auto"/>
                <w:sz w:val="21"/>
                <w:highlight w:val="none"/>
              </w:rPr>
            </w:pPr>
            <w:r>
              <w:rPr>
                <w:rFonts w:hint="eastAsia" w:hAnsi="宋体"/>
                <w:bCs/>
                <w:color w:val="auto"/>
                <w:sz w:val="21"/>
                <w:highlight w:val="none"/>
              </w:rPr>
              <w:t>除项目负责人和技术负责人外，项目成员具有路桥类工程师职称每人得1分；路桥类高级工程师或以上职称的每人得2分，满分5分。</w:t>
            </w:r>
          </w:p>
          <w:p w14:paraId="4BF20EB5">
            <w:pPr>
              <w:spacing w:line="420" w:lineRule="exact"/>
              <w:jc w:val="left"/>
              <w:rPr>
                <w:rFonts w:hint="eastAsia" w:ascii="宋体" w:hAnsi="宋体" w:cs="宋体"/>
                <w:color w:val="auto"/>
                <w:sz w:val="24"/>
                <w:highlight w:val="none"/>
              </w:rPr>
            </w:pPr>
            <w:r>
              <w:rPr>
                <w:rFonts w:hint="eastAsia" w:ascii="宋体" w:hAnsi="宋体" w:cs="宋体"/>
                <w:b/>
                <w:bCs/>
                <w:color w:val="auto"/>
                <w:szCs w:val="21"/>
                <w:highlight w:val="none"/>
              </w:rPr>
              <w:t>注：1.路桥类专业指公路工程、桥梁工程、隧道工程、公路与桥梁工程、桥梁与隧道工程、城市道路工程、地质工程、岩土工程、交通土建工程、公路工程试验检测等，如职称证书没有写明专业，以毕业证为准。</w:t>
            </w:r>
          </w:p>
          <w:p w14:paraId="202B1F7B">
            <w:pPr>
              <w:spacing w:line="420" w:lineRule="exact"/>
              <w:jc w:val="left"/>
              <w:rPr>
                <w:rFonts w:hint="eastAsia" w:hAnsi="宋体"/>
                <w:bCs/>
                <w:color w:val="auto"/>
                <w:highlight w:val="none"/>
              </w:rPr>
            </w:pPr>
            <w:r>
              <w:rPr>
                <w:rFonts w:hint="eastAsia" w:ascii="宋体" w:hAnsi="宋体" w:cs="宋体"/>
                <w:b/>
                <w:bCs/>
                <w:color w:val="auto"/>
                <w:szCs w:val="21"/>
                <w:highlight w:val="none"/>
              </w:rPr>
              <w:t>2.以上拟投入的项目人员须提供相关证明材料，不提供相关材料的不予计分。</w:t>
            </w:r>
          </w:p>
        </w:tc>
        <w:tc>
          <w:tcPr>
            <w:tcW w:w="774" w:type="dxa"/>
            <w:vMerge w:val="restart"/>
            <w:vAlign w:val="center"/>
          </w:tcPr>
          <w:p w14:paraId="3163707A">
            <w:pPr>
              <w:widowControl/>
              <w:spacing w:line="420" w:lineRule="exact"/>
              <w:jc w:val="center"/>
              <w:rPr>
                <w:rFonts w:hint="eastAsia" w:ascii="宋体" w:hAnsi="宋体" w:cs="Tahoma"/>
                <w:b/>
                <w:color w:val="auto"/>
                <w:szCs w:val="21"/>
                <w:highlight w:val="none"/>
              </w:rPr>
            </w:pPr>
            <w:r>
              <w:rPr>
                <w:rFonts w:hint="eastAsia" w:ascii="宋体" w:hAnsi="宋体"/>
                <w:b/>
                <w:color w:val="auto"/>
                <w:szCs w:val="21"/>
                <w:highlight w:val="none"/>
              </w:rPr>
              <w:t>40分</w:t>
            </w:r>
          </w:p>
        </w:tc>
      </w:tr>
      <w:tr w14:paraId="7614F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continue"/>
            <w:vAlign w:val="center"/>
          </w:tcPr>
          <w:p w14:paraId="50ADB48E">
            <w:pPr>
              <w:spacing w:line="420" w:lineRule="exact"/>
              <w:jc w:val="center"/>
              <w:rPr>
                <w:rFonts w:hint="eastAsia" w:ascii="宋体" w:hAnsi="宋体"/>
                <w:color w:val="auto"/>
                <w:szCs w:val="21"/>
                <w:highlight w:val="none"/>
              </w:rPr>
            </w:pPr>
          </w:p>
        </w:tc>
        <w:tc>
          <w:tcPr>
            <w:tcW w:w="959" w:type="dxa"/>
            <w:vMerge w:val="continue"/>
            <w:vAlign w:val="center"/>
          </w:tcPr>
          <w:p w14:paraId="32F48C05">
            <w:pPr>
              <w:widowControl/>
              <w:spacing w:line="420" w:lineRule="exact"/>
              <w:jc w:val="center"/>
              <w:rPr>
                <w:rFonts w:hint="eastAsia" w:ascii="宋体" w:hAnsi="宋体" w:cs="Tahoma"/>
                <w:color w:val="auto"/>
                <w:szCs w:val="21"/>
                <w:highlight w:val="none"/>
              </w:rPr>
            </w:pPr>
          </w:p>
        </w:tc>
        <w:tc>
          <w:tcPr>
            <w:tcW w:w="7654" w:type="dxa"/>
            <w:vAlign w:val="center"/>
          </w:tcPr>
          <w:p w14:paraId="6AAC6CE3">
            <w:pPr>
              <w:pStyle w:val="24"/>
              <w:spacing w:line="420" w:lineRule="exact"/>
              <w:rPr>
                <w:rFonts w:hint="eastAsia" w:hAnsi="宋体"/>
                <w:b/>
                <w:bCs/>
                <w:color w:val="auto"/>
                <w:sz w:val="21"/>
                <w:highlight w:val="none"/>
              </w:rPr>
            </w:pPr>
            <w:r>
              <w:rPr>
                <w:rFonts w:hint="eastAsia" w:hAnsi="宋体"/>
                <w:b/>
                <w:bCs/>
                <w:color w:val="auto"/>
                <w:sz w:val="21"/>
                <w:highlight w:val="none"/>
              </w:rPr>
              <w:t>（2）资信实力分（9分）</w:t>
            </w:r>
          </w:p>
          <w:p w14:paraId="73DA2ED5">
            <w:pPr>
              <w:spacing w:line="420" w:lineRule="exact"/>
              <w:rPr>
                <w:rFonts w:hint="eastAsia" w:ascii="宋体" w:hAnsi="宋体" w:cs="宋体"/>
                <w:color w:val="auto"/>
                <w:szCs w:val="21"/>
                <w:highlight w:val="none"/>
              </w:rPr>
            </w:pPr>
            <w:r>
              <w:rPr>
                <w:rFonts w:hint="eastAsia" w:ascii="宋体" w:hAnsi="宋体" w:cs="宋体"/>
                <w:snapToGrid w:val="0"/>
                <w:color w:val="auto"/>
                <w:szCs w:val="21"/>
                <w:highlight w:val="none"/>
              </w:rPr>
              <w:t>1.</w:t>
            </w:r>
            <w:r>
              <w:rPr>
                <w:rFonts w:hint="eastAsia" w:ascii="宋体" w:hAnsi="宋体" w:cs="宋体"/>
                <w:color w:val="auto"/>
                <w:szCs w:val="21"/>
                <w:highlight w:val="none"/>
              </w:rPr>
              <w:t>投标人参与编制过桥梁、隧道相关检测标准或指南（GB、JTG、DB、CECS）并已发布的，每有1个的1分，满分3分。（须提供标准规范的复印件）</w:t>
            </w:r>
          </w:p>
          <w:p w14:paraId="14439093">
            <w:pPr>
              <w:pStyle w:val="24"/>
              <w:spacing w:line="420" w:lineRule="exact"/>
              <w:rPr>
                <w:rFonts w:hint="eastAsia" w:hAnsi="宋体" w:cs="宋体"/>
                <w:color w:val="auto"/>
                <w:sz w:val="21"/>
                <w:highlight w:val="none"/>
              </w:rPr>
            </w:pPr>
            <w:r>
              <w:rPr>
                <w:rFonts w:hint="eastAsia" w:hAnsi="宋体"/>
                <w:bCs/>
                <w:color w:val="auto"/>
                <w:sz w:val="21"/>
                <w:highlight w:val="none"/>
              </w:rPr>
              <w:t>2.投标人具有有效的质量管理体系认证证书的得 1分、环境管理体系认证证书的得 1分、职业健康安全管理体系认证证书的得 1分</w:t>
            </w:r>
            <w:r>
              <w:rPr>
                <w:rFonts w:hint="eastAsia" w:hAnsi="宋体" w:cs="宋体"/>
                <w:color w:val="auto"/>
                <w:sz w:val="21"/>
                <w:highlight w:val="none"/>
              </w:rPr>
              <w:t>，</w:t>
            </w:r>
            <w:r>
              <w:rPr>
                <w:rFonts w:hint="eastAsia" w:hAnsi="宋体"/>
                <w:bCs/>
                <w:color w:val="auto"/>
                <w:sz w:val="21"/>
                <w:highlight w:val="none"/>
              </w:rPr>
              <w:t>满分</w:t>
            </w:r>
            <w:r>
              <w:rPr>
                <w:rFonts w:hint="eastAsia" w:hAnsi="宋体"/>
                <w:bCs/>
                <w:color w:val="auto"/>
                <w:sz w:val="21"/>
                <w:highlight w:val="none"/>
                <w:lang w:val="en-US" w:eastAsia="zh-CN"/>
              </w:rPr>
              <w:t>3</w:t>
            </w:r>
            <w:r>
              <w:rPr>
                <w:rFonts w:hint="eastAsia" w:hAnsi="宋体"/>
                <w:bCs/>
                <w:color w:val="auto"/>
                <w:sz w:val="21"/>
                <w:highlight w:val="none"/>
              </w:rPr>
              <w:t>分。</w:t>
            </w:r>
          </w:p>
          <w:p w14:paraId="7F0E2027">
            <w:pPr>
              <w:spacing w:line="420" w:lineRule="exact"/>
              <w:rPr>
                <w:rFonts w:hint="eastAsia" w:ascii="宋体" w:hAnsi="宋体" w:cs="宋体"/>
                <w:color w:val="auto"/>
                <w:szCs w:val="21"/>
                <w:highlight w:val="none"/>
              </w:rPr>
            </w:pPr>
            <w:r>
              <w:rPr>
                <w:rFonts w:hint="eastAsia" w:ascii="宋体" w:hAnsi="宋体" w:cs="宋体"/>
                <w:color w:val="auto"/>
                <w:szCs w:val="21"/>
                <w:highlight w:val="none"/>
              </w:rPr>
              <w:t>3.投标人拥有自主研发的桥梁或隧道检测相关软件的（附软件著作权登记证书等证明材料），每有1个得1分，满分</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w:t>
            </w:r>
          </w:p>
          <w:p w14:paraId="5BF486AE">
            <w:pPr>
              <w:pStyle w:val="2"/>
              <w:spacing w:line="420" w:lineRule="exact"/>
              <w:rPr>
                <w:color w:val="auto"/>
                <w:highlight w:val="none"/>
              </w:rPr>
            </w:pPr>
            <w:r>
              <w:rPr>
                <w:rFonts w:hint="eastAsia" w:ascii="宋体" w:hAnsi="宋体" w:cs="宋体"/>
                <w:b/>
                <w:bCs/>
                <w:color w:val="auto"/>
                <w:sz w:val="21"/>
                <w:szCs w:val="21"/>
                <w:highlight w:val="none"/>
              </w:rPr>
              <w:t>注：以上须提供相关证明材料，不提供相关材料的不予计分。</w:t>
            </w:r>
          </w:p>
        </w:tc>
        <w:tc>
          <w:tcPr>
            <w:tcW w:w="774" w:type="dxa"/>
            <w:vMerge w:val="continue"/>
            <w:vAlign w:val="center"/>
          </w:tcPr>
          <w:p w14:paraId="4EDFADA2">
            <w:pPr>
              <w:widowControl/>
              <w:spacing w:line="420" w:lineRule="exact"/>
              <w:jc w:val="center"/>
              <w:rPr>
                <w:rFonts w:hint="eastAsia" w:ascii="宋体" w:hAnsi="宋体" w:cs="Tahoma"/>
                <w:color w:val="auto"/>
                <w:szCs w:val="21"/>
                <w:highlight w:val="none"/>
              </w:rPr>
            </w:pPr>
          </w:p>
        </w:tc>
      </w:tr>
      <w:tr w14:paraId="05AE9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1" w:hRule="atLeast"/>
          <w:jc w:val="center"/>
        </w:trPr>
        <w:tc>
          <w:tcPr>
            <w:tcW w:w="709" w:type="dxa"/>
            <w:vMerge w:val="continue"/>
            <w:vAlign w:val="center"/>
          </w:tcPr>
          <w:p w14:paraId="1CC777F8">
            <w:pPr>
              <w:spacing w:line="420" w:lineRule="exact"/>
              <w:jc w:val="center"/>
              <w:rPr>
                <w:rFonts w:hint="eastAsia" w:ascii="宋体" w:hAnsi="宋体"/>
                <w:color w:val="auto"/>
                <w:szCs w:val="21"/>
                <w:highlight w:val="none"/>
              </w:rPr>
            </w:pPr>
          </w:p>
        </w:tc>
        <w:tc>
          <w:tcPr>
            <w:tcW w:w="959" w:type="dxa"/>
            <w:vMerge w:val="continue"/>
            <w:vAlign w:val="center"/>
          </w:tcPr>
          <w:p w14:paraId="2B521D37">
            <w:pPr>
              <w:widowControl/>
              <w:spacing w:line="420" w:lineRule="exact"/>
              <w:jc w:val="center"/>
              <w:rPr>
                <w:rFonts w:hint="eastAsia" w:ascii="宋体" w:hAnsi="宋体" w:cs="Tahoma"/>
                <w:color w:val="auto"/>
                <w:szCs w:val="21"/>
                <w:highlight w:val="none"/>
              </w:rPr>
            </w:pPr>
          </w:p>
        </w:tc>
        <w:tc>
          <w:tcPr>
            <w:tcW w:w="7654" w:type="dxa"/>
            <w:vAlign w:val="center"/>
          </w:tcPr>
          <w:p w14:paraId="0837A2B2">
            <w:pPr>
              <w:pStyle w:val="24"/>
              <w:spacing w:line="420" w:lineRule="exact"/>
              <w:rPr>
                <w:rFonts w:hint="eastAsia" w:hAnsi="宋体"/>
                <w:b/>
                <w:color w:val="auto"/>
                <w:sz w:val="21"/>
                <w:highlight w:val="none"/>
              </w:rPr>
            </w:pPr>
            <w:r>
              <w:rPr>
                <w:rFonts w:hint="eastAsia" w:hAnsi="宋体"/>
                <w:b/>
                <w:color w:val="auto"/>
                <w:sz w:val="21"/>
                <w:highlight w:val="none"/>
              </w:rPr>
              <w:t>（3）投标人业绩能力分（14分）</w:t>
            </w:r>
          </w:p>
          <w:p w14:paraId="596946BA">
            <w:pPr>
              <w:pStyle w:val="24"/>
              <w:spacing w:line="420" w:lineRule="exact"/>
              <w:ind w:firstLine="398" w:firstLineChars="200"/>
              <w:rPr>
                <w:rFonts w:hint="eastAsia" w:hAnsi="宋体"/>
                <w:bCs/>
                <w:color w:val="auto"/>
                <w:sz w:val="21"/>
                <w:highlight w:val="none"/>
              </w:rPr>
            </w:pPr>
            <w:r>
              <w:rPr>
                <w:rFonts w:hint="eastAsia" w:hAnsi="宋体"/>
                <w:bCs/>
                <w:color w:val="auto"/>
                <w:sz w:val="21"/>
                <w:highlight w:val="none"/>
              </w:rPr>
              <w:t>1．投标人在202</w:t>
            </w:r>
            <w:r>
              <w:rPr>
                <w:rFonts w:hint="eastAsia" w:hAnsi="宋体"/>
                <w:bCs/>
                <w:color w:val="auto"/>
                <w:sz w:val="21"/>
                <w:highlight w:val="none"/>
                <w:lang w:val="en-US" w:eastAsia="zh-CN"/>
              </w:rPr>
              <w:t>3</w:t>
            </w:r>
            <w:r>
              <w:rPr>
                <w:rFonts w:hint="eastAsia" w:hAnsi="宋体"/>
                <w:bCs/>
                <w:color w:val="auto"/>
                <w:sz w:val="21"/>
                <w:highlight w:val="none"/>
              </w:rPr>
              <w:t>年1月1日至今每承接过一个</w:t>
            </w:r>
            <w:r>
              <w:rPr>
                <w:rFonts w:hint="eastAsia" w:hAnsi="宋体" w:cs="宋体"/>
                <w:color w:val="auto"/>
                <w:sz w:val="21"/>
                <w:highlight w:val="none"/>
              </w:rPr>
              <w:t>桥梁或隧道或桥隧定期检测</w:t>
            </w:r>
            <w:r>
              <w:rPr>
                <w:rFonts w:hint="eastAsia" w:hAnsi="宋体"/>
                <w:bCs/>
                <w:color w:val="auto"/>
                <w:sz w:val="21"/>
                <w:highlight w:val="none"/>
              </w:rPr>
              <w:t>项目的业绩得</w:t>
            </w:r>
            <w:r>
              <w:rPr>
                <w:rFonts w:hint="eastAsia" w:hAnsi="宋体"/>
                <w:bCs/>
                <w:color w:val="auto"/>
                <w:sz w:val="21"/>
                <w:highlight w:val="none"/>
                <w:lang w:val="en-US" w:eastAsia="zh-CN"/>
              </w:rPr>
              <w:t>4</w:t>
            </w:r>
            <w:r>
              <w:rPr>
                <w:rFonts w:hint="eastAsia" w:hAnsi="宋体"/>
                <w:bCs/>
                <w:color w:val="auto"/>
                <w:sz w:val="21"/>
                <w:highlight w:val="none"/>
              </w:rPr>
              <w:t>分，满分8分。</w:t>
            </w:r>
          </w:p>
          <w:p w14:paraId="36CB3306">
            <w:pPr>
              <w:pStyle w:val="24"/>
              <w:spacing w:line="420" w:lineRule="exact"/>
              <w:ind w:firstLine="398" w:firstLineChars="200"/>
              <w:rPr>
                <w:rFonts w:hint="eastAsia" w:hAnsi="宋体"/>
                <w:bCs/>
                <w:color w:val="auto"/>
                <w:sz w:val="21"/>
                <w:highlight w:val="none"/>
              </w:rPr>
            </w:pPr>
            <w:r>
              <w:rPr>
                <w:rFonts w:hint="eastAsia" w:hAnsi="宋体"/>
                <w:bCs/>
                <w:color w:val="auto"/>
                <w:sz w:val="21"/>
                <w:highlight w:val="none"/>
              </w:rPr>
              <w:t>2.投标人在202</w:t>
            </w:r>
            <w:r>
              <w:rPr>
                <w:rFonts w:hint="eastAsia" w:hAnsi="宋体"/>
                <w:bCs/>
                <w:color w:val="auto"/>
                <w:sz w:val="21"/>
                <w:highlight w:val="none"/>
                <w:lang w:val="en-US" w:eastAsia="zh-CN"/>
              </w:rPr>
              <w:t>3</w:t>
            </w:r>
            <w:r>
              <w:rPr>
                <w:rFonts w:hint="eastAsia" w:hAnsi="宋体"/>
                <w:bCs/>
                <w:color w:val="auto"/>
                <w:sz w:val="21"/>
                <w:highlight w:val="none"/>
              </w:rPr>
              <w:t>年1月1日至今承接过一个桥梁水下检测项目的业绩得3分，满分6分。</w:t>
            </w:r>
          </w:p>
          <w:p w14:paraId="2C7144C6">
            <w:pPr>
              <w:pStyle w:val="24"/>
              <w:spacing w:line="420" w:lineRule="exact"/>
              <w:rPr>
                <w:rFonts w:hint="eastAsia" w:hAnsi="宋体"/>
                <w:bCs/>
                <w:color w:val="auto"/>
                <w:sz w:val="21"/>
                <w:highlight w:val="none"/>
              </w:rPr>
            </w:pPr>
            <w:r>
              <w:rPr>
                <w:rFonts w:hint="eastAsia" w:hAnsi="宋体"/>
                <w:b/>
                <w:color w:val="auto"/>
                <w:sz w:val="21"/>
                <w:highlight w:val="none"/>
              </w:rPr>
              <w:t>注：业绩证明应附合同协议书的复印件加盖公章，日期以合同签订日期为准，不提供</w:t>
            </w:r>
            <w:r>
              <w:rPr>
                <w:rFonts w:hint="eastAsia" w:hAnsi="宋体" w:cs="宋体"/>
                <w:b/>
                <w:bCs/>
                <w:color w:val="auto"/>
                <w:sz w:val="21"/>
                <w:highlight w:val="none"/>
              </w:rPr>
              <w:t>不予计分</w:t>
            </w:r>
            <w:r>
              <w:rPr>
                <w:rFonts w:hint="eastAsia" w:hAnsi="宋体"/>
                <w:b/>
                <w:color w:val="auto"/>
                <w:sz w:val="21"/>
                <w:highlight w:val="none"/>
              </w:rPr>
              <w:t>。</w:t>
            </w:r>
          </w:p>
        </w:tc>
        <w:tc>
          <w:tcPr>
            <w:tcW w:w="774" w:type="dxa"/>
            <w:vMerge w:val="continue"/>
            <w:vAlign w:val="center"/>
          </w:tcPr>
          <w:p w14:paraId="1068205F">
            <w:pPr>
              <w:widowControl/>
              <w:spacing w:line="420" w:lineRule="exact"/>
              <w:jc w:val="center"/>
              <w:rPr>
                <w:rFonts w:hint="eastAsia" w:ascii="宋体" w:hAnsi="宋体" w:cs="Tahoma"/>
                <w:color w:val="auto"/>
                <w:szCs w:val="21"/>
                <w:highlight w:val="none"/>
              </w:rPr>
            </w:pPr>
          </w:p>
        </w:tc>
      </w:tr>
      <w:tr w14:paraId="40CC8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22" w:type="dxa"/>
            <w:gridSpan w:val="3"/>
            <w:vAlign w:val="center"/>
          </w:tcPr>
          <w:p w14:paraId="160D209E">
            <w:pPr>
              <w:spacing w:line="420" w:lineRule="exact"/>
              <w:jc w:val="center"/>
              <w:rPr>
                <w:rFonts w:hint="eastAsia" w:ascii="宋体" w:hAnsi="宋体"/>
                <w:color w:val="auto"/>
                <w:szCs w:val="21"/>
                <w:highlight w:val="none"/>
              </w:rPr>
            </w:pPr>
            <w:r>
              <w:rPr>
                <w:rFonts w:hint="eastAsia" w:ascii="宋体" w:hAnsi="宋体" w:cs="宋体"/>
                <w:b/>
                <w:bCs/>
                <w:color w:val="auto"/>
                <w:szCs w:val="21"/>
                <w:highlight w:val="none"/>
              </w:rPr>
              <w:t>总得分为以上各项评审因素得分合计。</w:t>
            </w:r>
          </w:p>
        </w:tc>
        <w:tc>
          <w:tcPr>
            <w:tcW w:w="774" w:type="dxa"/>
            <w:vAlign w:val="center"/>
          </w:tcPr>
          <w:p w14:paraId="10A90FB7">
            <w:pPr>
              <w:spacing w:line="420" w:lineRule="exact"/>
              <w:jc w:val="center"/>
              <w:rPr>
                <w:rFonts w:hint="eastAsia" w:ascii="宋体" w:hAnsi="宋体"/>
                <w:b/>
                <w:color w:val="auto"/>
                <w:szCs w:val="21"/>
                <w:highlight w:val="none"/>
              </w:rPr>
            </w:pPr>
            <w:r>
              <w:rPr>
                <w:rFonts w:hint="eastAsia" w:ascii="宋体" w:hAnsi="宋体"/>
                <w:b/>
                <w:color w:val="auto"/>
                <w:szCs w:val="21"/>
                <w:highlight w:val="none"/>
              </w:rPr>
              <w:t>100分</w:t>
            </w:r>
          </w:p>
        </w:tc>
      </w:tr>
    </w:tbl>
    <w:p w14:paraId="01C1831B">
      <w:pPr>
        <w:pStyle w:val="24"/>
        <w:spacing w:line="360" w:lineRule="auto"/>
        <w:ind w:firstLine="420"/>
        <w:rPr>
          <w:rFonts w:hint="eastAsia" w:hAnsi="宋体"/>
          <w:bCs/>
          <w:color w:val="auto"/>
          <w:sz w:val="21"/>
          <w:highlight w:val="none"/>
        </w:rPr>
      </w:pPr>
      <w:r>
        <w:rPr>
          <w:rFonts w:hint="eastAsia" w:hAnsi="宋体"/>
          <w:bCs/>
          <w:color w:val="auto"/>
          <w:sz w:val="21"/>
          <w:highlight w:val="none"/>
        </w:rPr>
        <w:t>注：计分方法按四舍五入取至百分位</w:t>
      </w:r>
    </w:p>
    <w:p w14:paraId="77CF481F">
      <w:pPr>
        <w:pStyle w:val="4"/>
        <w:keepNext w:val="0"/>
        <w:keepLines w:val="0"/>
        <w:rPr>
          <w:color w:val="auto"/>
          <w:sz w:val="30"/>
          <w:szCs w:val="30"/>
          <w:highlight w:val="none"/>
        </w:rPr>
      </w:pPr>
      <w:r>
        <w:rPr>
          <w:rFonts w:hint="eastAsia"/>
          <w:color w:val="auto"/>
          <w:sz w:val="30"/>
          <w:szCs w:val="30"/>
          <w:highlight w:val="none"/>
        </w:rPr>
        <w:t>四、中标候选人推荐原则</w:t>
      </w:r>
    </w:p>
    <w:p w14:paraId="660EB8A2">
      <w:pPr>
        <w:pStyle w:val="24"/>
        <w:spacing w:line="420" w:lineRule="exact"/>
        <w:contextualSpacing/>
        <w:rPr>
          <w:rFonts w:hint="eastAsia" w:hAnsi="宋体"/>
          <w:b/>
          <w:bCs/>
          <w:color w:val="auto"/>
          <w:sz w:val="24"/>
          <w:szCs w:val="24"/>
          <w:highlight w:val="none"/>
        </w:rPr>
      </w:pPr>
      <w:r>
        <w:rPr>
          <w:rFonts w:hint="eastAsia" w:hAnsi="宋体"/>
          <w:b/>
          <w:bCs/>
          <w:color w:val="auto"/>
          <w:sz w:val="24"/>
          <w:szCs w:val="24"/>
          <w:highlight w:val="none"/>
        </w:rPr>
        <w:t>综合评分法</w:t>
      </w:r>
    </w:p>
    <w:p w14:paraId="5DCE1ADB">
      <w:pPr>
        <w:pStyle w:val="24"/>
        <w:spacing w:line="420" w:lineRule="exact"/>
        <w:ind w:firstLine="398" w:firstLineChars="200"/>
        <w:contextualSpacing/>
        <w:rPr>
          <w:rFonts w:hint="eastAsia" w:hAnsi="宋体"/>
          <w:color w:val="auto"/>
          <w:sz w:val="21"/>
          <w:highlight w:val="none"/>
        </w:rPr>
      </w:pPr>
      <w:r>
        <w:rPr>
          <w:rFonts w:hint="eastAsia" w:hAnsi="宋体"/>
          <w:color w:val="auto"/>
          <w:sz w:val="21"/>
          <w:highlight w:val="none"/>
        </w:rPr>
        <w:t>1</w:t>
      </w:r>
      <w:r>
        <w:rPr>
          <w:rFonts w:hAnsi="宋体"/>
          <w:color w:val="auto"/>
          <w:sz w:val="21"/>
          <w:highlight w:val="none"/>
        </w:rPr>
        <w:t>.</w:t>
      </w:r>
      <w:r>
        <w:rPr>
          <w:rFonts w:hint="eastAsia" w:hAnsi="宋体"/>
          <w:color w:val="auto"/>
          <w:sz w:val="21"/>
          <w:highlight w:val="none"/>
        </w:rPr>
        <w:t>评标委员会根据原始评标记录和评标结果编写评标报告，并通过电子交易平台向采购人、采购代理机构提交。</w:t>
      </w:r>
    </w:p>
    <w:p w14:paraId="46E93500">
      <w:pPr>
        <w:pStyle w:val="24"/>
        <w:spacing w:line="420" w:lineRule="exact"/>
        <w:ind w:firstLine="398" w:firstLineChars="200"/>
        <w:contextualSpacing/>
        <w:rPr>
          <w:rFonts w:hint="eastAsia" w:hAnsi="宋体"/>
          <w:color w:val="auto"/>
          <w:sz w:val="21"/>
          <w:highlight w:val="none"/>
        </w:rPr>
      </w:pPr>
      <w:r>
        <w:rPr>
          <w:rFonts w:hint="eastAsia" w:hAnsi="宋体"/>
          <w:color w:val="auto"/>
          <w:sz w:val="21"/>
          <w:highlight w:val="none"/>
        </w:rPr>
        <w:t>2</w:t>
      </w:r>
      <w:r>
        <w:rPr>
          <w:rFonts w:hAnsi="宋体"/>
          <w:color w:val="auto"/>
          <w:sz w:val="21"/>
          <w:highlight w:val="none"/>
        </w:rPr>
        <w:t>.</w:t>
      </w:r>
      <w:r>
        <w:rPr>
          <w:rFonts w:hint="eastAsia" w:hAnsi="宋体"/>
          <w:color w:val="auto"/>
          <w:sz w:val="21"/>
          <w:highlight w:val="none"/>
        </w:rPr>
        <w:t>评标委员会将根据总得分由高到低排列次序并推荐中标候选人。得分相同的，以投标报价由低到高顺序排列。得分相同且投标报价相同的并列，投标文件满足招标文件全部实质性要求，且按照评审因素的量化指标评审得分最高的投标人为排名第一的中标候选人。</w:t>
      </w:r>
    </w:p>
    <w:p w14:paraId="7BA31AFC">
      <w:pPr>
        <w:pStyle w:val="24"/>
        <w:spacing w:line="360" w:lineRule="auto"/>
        <w:ind w:firstLine="398" w:firstLineChars="200"/>
        <w:contextualSpacing/>
        <w:rPr>
          <w:rFonts w:hint="eastAsia" w:hAnsi="宋体"/>
          <w:color w:val="auto"/>
          <w:sz w:val="21"/>
          <w:highlight w:val="none"/>
        </w:rPr>
      </w:pPr>
    </w:p>
    <w:p w14:paraId="3B4F3B85">
      <w:pPr>
        <w:spacing w:before="258" w:beforeLines="50" w:after="258" w:afterLines="50" w:line="400" w:lineRule="exact"/>
        <w:rPr>
          <w:rFonts w:hint="eastAsia" w:ascii="宋体" w:hAnsi="宋体"/>
          <w:b/>
          <w:color w:val="auto"/>
          <w:sz w:val="24"/>
          <w:highlight w:val="none"/>
        </w:rPr>
      </w:pPr>
    </w:p>
    <w:p w14:paraId="69AB2E76">
      <w:pPr>
        <w:spacing w:before="258" w:beforeLines="50" w:after="258" w:afterLines="50" w:line="400" w:lineRule="exact"/>
        <w:rPr>
          <w:rFonts w:hint="eastAsia" w:ascii="宋体" w:hAnsi="宋体"/>
          <w:b/>
          <w:color w:val="auto"/>
          <w:sz w:val="24"/>
          <w:highlight w:val="none"/>
        </w:rPr>
      </w:pPr>
    </w:p>
    <w:p w14:paraId="67225A34">
      <w:pPr>
        <w:jc w:val="center"/>
        <w:outlineLvl w:val="9"/>
        <w:rPr>
          <w:color w:val="auto"/>
          <w:highlight w:val="none"/>
        </w:rPr>
      </w:pPr>
      <w:bookmarkStart w:id="140" w:name="_Toc25250"/>
      <w:r>
        <w:rPr>
          <w:rFonts w:hint="eastAsia"/>
          <w:color w:val="auto"/>
          <w:highlight w:val="none"/>
        </w:rPr>
        <w:br w:type="page"/>
      </w:r>
    </w:p>
    <w:p w14:paraId="55EB3366">
      <w:pPr>
        <w:jc w:val="center"/>
        <w:outlineLvl w:val="9"/>
        <w:rPr>
          <w:color w:val="auto"/>
          <w:highlight w:val="none"/>
        </w:rPr>
      </w:pPr>
    </w:p>
    <w:p w14:paraId="19460FD8">
      <w:pPr>
        <w:jc w:val="center"/>
        <w:outlineLvl w:val="9"/>
        <w:rPr>
          <w:color w:val="auto"/>
          <w:highlight w:val="none"/>
        </w:rPr>
      </w:pPr>
    </w:p>
    <w:p w14:paraId="0E128EFC">
      <w:pPr>
        <w:jc w:val="center"/>
        <w:outlineLvl w:val="9"/>
        <w:rPr>
          <w:color w:val="auto"/>
          <w:highlight w:val="none"/>
        </w:rPr>
      </w:pPr>
    </w:p>
    <w:p w14:paraId="1C9D25A7">
      <w:pPr>
        <w:jc w:val="center"/>
        <w:outlineLvl w:val="9"/>
        <w:rPr>
          <w:color w:val="auto"/>
          <w:highlight w:val="none"/>
        </w:rPr>
      </w:pPr>
    </w:p>
    <w:p w14:paraId="737FA531">
      <w:pPr>
        <w:jc w:val="center"/>
        <w:outlineLvl w:val="9"/>
        <w:rPr>
          <w:color w:val="auto"/>
          <w:highlight w:val="none"/>
        </w:rPr>
      </w:pPr>
    </w:p>
    <w:p w14:paraId="5B7685E6">
      <w:pPr>
        <w:jc w:val="center"/>
        <w:outlineLvl w:val="9"/>
        <w:rPr>
          <w:color w:val="auto"/>
          <w:highlight w:val="none"/>
        </w:rPr>
      </w:pPr>
    </w:p>
    <w:p w14:paraId="24E02A65">
      <w:pPr>
        <w:jc w:val="center"/>
        <w:outlineLvl w:val="9"/>
        <w:rPr>
          <w:color w:val="auto"/>
          <w:highlight w:val="none"/>
        </w:rPr>
      </w:pPr>
    </w:p>
    <w:p w14:paraId="53B820B4">
      <w:pPr>
        <w:jc w:val="center"/>
        <w:outlineLvl w:val="9"/>
        <w:rPr>
          <w:color w:val="auto"/>
          <w:highlight w:val="none"/>
        </w:rPr>
      </w:pPr>
    </w:p>
    <w:p w14:paraId="5CBCE4BC">
      <w:pPr>
        <w:pStyle w:val="3"/>
        <w:jc w:val="center"/>
        <w:rPr>
          <w:color w:val="auto"/>
          <w:highlight w:val="none"/>
        </w:rPr>
      </w:pPr>
      <w:r>
        <w:rPr>
          <w:rFonts w:hint="eastAsia"/>
          <w:color w:val="auto"/>
          <w:highlight w:val="none"/>
        </w:rPr>
        <w:t>第五章  拟签订的合同文本</w:t>
      </w:r>
      <w:bookmarkEnd w:id="140"/>
    </w:p>
    <w:p w14:paraId="559FD5CA">
      <w:pPr>
        <w:snapToGrid w:val="0"/>
        <w:jc w:val="center"/>
        <w:rPr>
          <w:rFonts w:hint="eastAsia" w:ascii="宋体" w:hAnsi="宋体"/>
          <w:bCs/>
          <w:color w:val="auto"/>
          <w:sz w:val="32"/>
          <w:szCs w:val="32"/>
          <w:highlight w:val="none"/>
        </w:rPr>
      </w:pPr>
    </w:p>
    <w:p w14:paraId="6FD989E3">
      <w:pPr>
        <w:snapToGrid w:val="0"/>
        <w:jc w:val="center"/>
        <w:rPr>
          <w:rFonts w:hint="eastAsia" w:ascii="宋体" w:hAnsi="宋体"/>
          <w:bCs/>
          <w:color w:val="auto"/>
          <w:sz w:val="32"/>
          <w:szCs w:val="32"/>
          <w:highlight w:val="none"/>
        </w:rPr>
      </w:pPr>
    </w:p>
    <w:p w14:paraId="078BABB3">
      <w:pPr>
        <w:snapToGrid w:val="0"/>
        <w:jc w:val="center"/>
        <w:rPr>
          <w:rFonts w:hint="eastAsia" w:ascii="宋体" w:hAnsi="宋体"/>
          <w:bCs/>
          <w:color w:val="auto"/>
          <w:sz w:val="32"/>
          <w:szCs w:val="32"/>
          <w:highlight w:val="none"/>
        </w:rPr>
      </w:pPr>
    </w:p>
    <w:p w14:paraId="1446AA9A">
      <w:pPr>
        <w:snapToGrid w:val="0"/>
        <w:jc w:val="center"/>
        <w:rPr>
          <w:rFonts w:hint="eastAsia" w:ascii="宋体" w:hAnsi="宋体"/>
          <w:bCs/>
          <w:color w:val="auto"/>
          <w:sz w:val="32"/>
          <w:szCs w:val="32"/>
          <w:highlight w:val="none"/>
        </w:rPr>
      </w:pPr>
    </w:p>
    <w:p w14:paraId="760B8EBD">
      <w:pPr>
        <w:snapToGrid w:val="0"/>
        <w:jc w:val="center"/>
        <w:rPr>
          <w:rFonts w:hint="eastAsia" w:ascii="宋体" w:hAnsi="宋体"/>
          <w:bCs/>
          <w:color w:val="auto"/>
          <w:sz w:val="32"/>
          <w:szCs w:val="32"/>
          <w:highlight w:val="none"/>
        </w:rPr>
      </w:pPr>
    </w:p>
    <w:p w14:paraId="346FDCBA">
      <w:pPr>
        <w:snapToGrid w:val="0"/>
        <w:jc w:val="center"/>
        <w:rPr>
          <w:rFonts w:hint="eastAsia" w:ascii="宋体" w:hAnsi="宋体"/>
          <w:bCs/>
          <w:color w:val="auto"/>
          <w:sz w:val="32"/>
          <w:szCs w:val="32"/>
          <w:highlight w:val="none"/>
        </w:rPr>
      </w:pPr>
    </w:p>
    <w:p w14:paraId="42738CFC">
      <w:pPr>
        <w:snapToGrid w:val="0"/>
        <w:jc w:val="center"/>
        <w:rPr>
          <w:rFonts w:hint="eastAsia" w:ascii="宋体" w:hAnsi="宋体"/>
          <w:bCs/>
          <w:color w:val="auto"/>
          <w:sz w:val="32"/>
          <w:szCs w:val="32"/>
          <w:highlight w:val="none"/>
        </w:rPr>
      </w:pPr>
    </w:p>
    <w:p w14:paraId="65F468FA">
      <w:pPr>
        <w:snapToGrid w:val="0"/>
        <w:jc w:val="center"/>
        <w:rPr>
          <w:rFonts w:hint="eastAsia" w:ascii="宋体" w:hAnsi="宋体"/>
          <w:bCs/>
          <w:color w:val="auto"/>
          <w:sz w:val="32"/>
          <w:szCs w:val="32"/>
          <w:highlight w:val="none"/>
        </w:rPr>
      </w:pPr>
    </w:p>
    <w:p w14:paraId="6C6C18F5">
      <w:pPr>
        <w:snapToGrid w:val="0"/>
        <w:jc w:val="center"/>
        <w:rPr>
          <w:rFonts w:hint="eastAsia" w:ascii="宋体" w:hAnsi="宋体"/>
          <w:bCs/>
          <w:color w:val="auto"/>
          <w:sz w:val="32"/>
          <w:szCs w:val="32"/>
          <w:highlight w:val="none"/>
        </w:rPr>
      </w:pPr>
    </w:p>
    <w:p w14:paraId="0A065C8D">
      <w:pPr>
        <w:snapToGrid w:val="0"/>
        <w:jc w:val="center"/>
        <w:rPr>
          <w:rFonts w:hint="eastAsia" w:ascii="宋体" w:hAnsi="宋体"/>
          <w:bCs/>
          <w:color w:val="auto"/>
          <w:sz w:val="32"/>
          <w:szCs w:val="32"/>
          <w:highlight w:val="none"/>
        </w:rPr>
      </w:pPr>
    </w:p>
    <w:p w14:paraId="31195647">
      <w:pPr>
        <w:snapToGrid w:val="0"/>
        <w:jc w:val="center"/>
        <w:rPr>
          <w:rFonts w:hint="eastAsia" w:ascii="宋体" w:hAnsi="宋体"/>
          <w:bCs/>
          <w:color w:val="auto"/>
          <w:sz w:val="32"/>
          <w:szCs w:val="32"/>
          <w:highlight w:val="none"/>
        </w:rPr>
      </w:pPr>
    </w:p>
    <w:p w14:paraId="340FBF74">
      <w:pPr>
        <w:snapToGrid w:val="0"/>
        <w:spacing w:line="360" w:lineRule="auto"/>
        <w:rPr>
          <w:rFonts w:hint="eastAsia" w:ascii="宋体" w:hAnsi="宋体"/>
          <w:color w:val="auto"/>
          <w:szCs w:val="21"/>
          <w:highlight w:val="none"/>
        </w:rPr>
      </w:pPr>
    </w:p>
    <w:p w14:paraId="5B30A0ED">
      <w:pPr>
        <w:rPr>
          <w:rFonts w:hint="eastAsia" w:ascii="宋体" w:hAnsi="宋体" w:cs="宋体"/>
          <w:b/>
          <w:bCs/>
          <w:color w:val="auto"/>
          <w:sz w:val="30"/>
          <w:highlight w:val="none"/>
        </w:rPr>
      </w:pPr>
      <w:r>
        <w:rPr>
          <w:rFonts w:hint="eastAsia" w:ascii="宋体" w:hAnsi="宋体"/>
          <w:b/>
          <w:bCs/>
          <w:color w:val="auto"/>
          <w:sz w:val="32"/>
          <w:szCs w:val="32"/>
          <w:highlight w:val="none"/>
        </w:rPr>
        <w:br w:type="page"/>
      </w:r>
      <w:r>
        <w:rPr>
          <w:rFonts w:hint="eastAsia" w:ascii="宋体" w:hAnsi="宋体" w:cs="宋体"/>
          <w:b/>
          <w:bCs/>
          <w:color w:val="auto"/>
          <w:sz w:val="30"/>
          <w:highlight w:val="none"/>
        </w:rPr>
        <w:t>合同编号：</w:t>
      </w:r>
    </w:p>
    <w:p w14:paraId="739A917D">
      <w:pPr>
        <w:rPr>
          <w:rFonts w:hint="eastAsia" w:ascii="宋体" w:hAnsi="宋体" w:cs="宋体"/>
          <w:color w:val="auto"/>
          <w:highlight w:val="none"/>
        </w:rPr>
      </w:pPr>
    </w:p>
    <w:p w14:paraId="0BCC701C">
      <w:pPr>
        <w:rPr>
          <w:rFonts w:hint="eastAsia" w:ascii="宋体" w:hAnsi="宋体" w:cs="宋体"/>
          <w:color w:val="auto"/>
          <w:highlight w:val="none"/>
        </w:rPr>
      </w:pPr>
    </w:p>
    <w:p w14:paraId="3CF593DA">
      <w:pPr>
        <w:jc w:val="center"/>
        <w:rPr>
          <w:rFonts w:hint="eastAsia" w:ascii="宋体" w:hAnsi="宋体" w:cs="宋体"/>
          <w:b/>
          <w:bCs/>
          <w:color w:val="auto"/>
          <w:sz w:val="52"/>
          <w:highlight w:val="none"/>
        </w:rPr>
      </w:pPr>
      <w:r>
        <w:rPr>
          <w:rFonts w:hint="eastAsia" w:ascii="宋体" w:hAnsi="宋体" w:cs="宋体"/>
          <w:b/>
          <w:bCs/>
          <w:color w:val="auto"/>
          <w:sz w:val="52"/>
          <w:highlight w:val="none"/>
        </w:rPr>
        <w:t>检 测 服 务 合 同</w:t>
      </w:r>
    </w:p>
    <w:p w14:paraId="3435D615">
      <w:pPr>
        <w:rPr>
          <w:rFonts w:hint="eastAsia" w:ascii="宋体" w:hAnsi="宋体" w:cs="宋体"/>
          <w:color w:val="auto"/>
          <w:highlight w:val="none"/>
        </w:rPr>
      </w:pPr>
    </w:p>
    <w:p w14:paraId="1062ACD6">
      <w:pPr>
        <w:spacing w:line="520" w:lineRule="exact"/>
        <w:ind w:left="1552" w:hanging="1550" w:hangingChars="444"/>
        <w:jc w:val="center"/>
        <w:rPr>
          <w:rFonts w:hint="eastAsia" w:ascii="宋体" w:hAnsi="宋体" w:cs="宋体"/>
          <w:b/>
          <w:bCs/>
          <w:color w:val="auto"/>
          <w:sz w:val="36"/>
          <w:szCs w:val="36"/>
          <w:highlight w:val="none"/>
          <w:u w:val="thick"/>
        </w:rPr>
      </w:pPr>
      <w:r>
        <w:rPr>
          <w:rFonts w:hint="eastAsia" w:ascii="宋体" w:hAnsi="宋体" w:cs="宋体"/>
          <w:b/>
          <w:bCs/>
          <w:color w:val="auto"/>
          <w:sz w:val="36"/>
          <w:highlight w:val="none"/>
        </w:rPr>
        <w:t>项目名称：</w:t>
      </w:r>
      <w:r>
        <w:rPr>
          <w:rFonts w:hint="eastAsia" w:ascii="宋体" w:hAnsi="宋体" w:cs="宋体"/>
          <w:b/>
          <w:bCs/>
          <w:color w:val="auto"/>
          <w:sz w:val="36"/>
          <w:szCs w:val="22"/>
          <w:highlight w:val="none"/>
          <w:u w:val="single"/>
        </w:rPr>
        <w:t>广西壮族自治区桂东公路发展中心</w:t>
      </w:r>
      <w:r>
        <w:rPr>
          <w:rFonts w:hint="eastAsia" w:ascii="宋体" w:hAnsi="宋体" w:cs="宋体"/>
          <w:b/>
          <w:bCs/>
          <w:color w:val="auto"/>
          <w:sz w:val="36"/>
          <w:szCs w:val="22"/>
          <w:highlight w:val="none"/>
          <w:u w:val="single"/>
          <w:lang w:eastAsia="zh-CN"/>
        </w:rPr>
        <w:t>2026年</w:t>
      </w:r>
      <w:r>
        <w:rPr>
          <w:rFonts w:hint="eastAsia" w:ascii="宋体" w:hAnsi="宋体" w:cs="宋体"/>
          <w:b/>
          <w:bCs/>
          <w:color w:val="auto"/>
          <w:sz w:val="36"/>
          <w:szCs w:val="22"/>
          <w:highlight w:val="none"/>
          <w:u w:val="single"/>
        </w:rPr>
        <w:t>普通国省干道桥隧定期检测服务</w:t>
      </w:r>
    </w:p>
    <w:p w14:paraId="348D52FA">
      <w:pPr>
        <w:spacing w:line="520" w:lineRule="exact"/>
        <w:ind w:left="1552" w:hanging="1550" w:hangingChars="444"/>
        <w:rPr>
          <w:rFonts w:hint="eastAsia" w:ascii="宋体" w:hAnsi="宋体" w:cs="宋体"/>
          <w:b/>
          <w:bCs/>
          <w:color w:val="auto"/>
          <w:sz w:val="36"/>
          <w:szCs w:val="36"/>
          <w:highlight w:val="none"/>
          <w:u w:val="thick"/>
        </w:rPr>
      </w:pPr>
    </w:p>
    <w:p w14:paraId="2CB5145E">
      <w:pPr>
        <w:pStyle w:val="2"/>
        <w:rPr>
          <w:rFonts w:hint="eastAsia" w:ascii="宋体" w:hAnsi="宋体" w:cs="宋体"/>
          <w:color w:val="auto"/>
          <w:highlight w:val="none"/>
        </w:rPr>
      </w:pPr>
    </w:p>
    <w:p w14:paraId="39DB21EE">
      <w:pPr>
        <w:pStyle w:val="2"/>
        <w:rPr>
          <w:rFonts w:hint="eastAsia" w:ascii="宋体" w:hAnsi="宋体" w:cs="宋体"/>
          <w:color w:val="auto"/>
          <w:highlight w:val="none"/>
        </w:rPr>
      </w:pPr>
    </w:p>
    <w:p w14:paraId="26B181C0">
      <w:pPr>
        <w:pStyle w:val="2"/>
        <w:rPr>
          <w:rFonts w:hint="eastAsia" w:ascii="宋体" w:hAnsi="宋体" w:cs="宋体"/>
          <w:color w:val="auto"/>
          <w:highlight w:val="none"/>
        </w:rPr>
      </w:pPr>
    </w:p>
    <w:p w14:paraId="02CB77DF">
      <w:pPr>
        <w:pStyle w:val="2"/>
        <w:rPr>
          <w:rFonts w:hint="eastAsia" w:ascii="宋体" w:hAnsi="宋体" w:cs="宋体"/>
          <w:color w:val="auto"/>
          <w:highlight w:val="none"/>
        </w:rPr>
      </w:pPr>
    </w:p>
    <w:p w14:paraId="52C266AD">
      <w:pPr>
        <w:spacing w:line="800" w:lineRule="exact"/>
        <w:rPr>
          <w:rFonts w:hint="eastAsia" w:ascii="宋体" w:hAnsi="宋体" w:cs="宋体"/>
          <w:b/>
          <w:bCs/>
          <w:color w:val="auto"/>
          <w:sz w:val="36"/>
          <w:highlight w:val="none"/>
          <w:u w:val="thick"/>
        </w:rPr>
      </w:pPr>
      <w:r>
        <w:rPr>
          <w:rFonts w:hint="eastAsia" w:ascii="宋体" w:hAnsi="宋体" w:cs="宋体"/>
          <w:b/>
          <w:bCs/>
          <w:color w:val="auto"/>
          <w:sz w:val="36"/>
          <w:highlight w:val="none"/>
        </w:rPr>
        <w:t>甲    方：</w:t>
      </w:r>
      <w:r>
        <w:rPr>
          <w:rFonts w:hint="eastAsia" w:ascii="宋体" w:hAnsi="宋体" w:cs="宋体"/>
          <w:b/>
          <w:bCs/>
          <w:color w:val="auto"/>
          <w:sz w:val="36"/>
          <w:highlight w:val="none"/>
          <w:u w:val="single"/>
        </w:rPr>
        <w:t xml:space="preserve">   广西壮族自治区桂东公路发展中心  </w:t>
      </w:r>
    </w:p>
    <w:p w14:paraId="06E9CB54">
      <w:pPr>
        <w:spacing w:line="800" w:lineRule="exact"/>
        <w:rPr>
          <w:rFonts w:hint="eastAsia" w:ascii="宋体" w:hAnsi="宋体" w:cs="宋体"/>
          <w:b/>
          <w:bCs/>
          <w:color w:val="auto"/>
          <w:sz w:val="36"/>
          <w:highlight w:val="none"/>
        </w:rPr>
      </w:pPr>
      <w:r>
        <w:rPr>
          <w:rFonts w:hint="eastAsia" w:ascii="宋体" w:hAnsi="宋体" w:cs="宋体"/>
          <w:b/>
          <w:bCs/>
          <w:color w:val="auto"/>
          <w:sz w:val="36"/>
          <w:highlight w:val="none"/>
        </w:rPr>
        <w:t>乙    方：</w:t>
      </w:r>
      <w:r>
        <w:rPr>
          <w:rFonts w:hint="eastAsia" w:ascii="宋体" w:hAnsi="宋体" w:cs="宋体"/>
          <w:b/>
          <w:bCs/>
          <w:color w:val="auto"/>
          <w:sz w:val="36"/>
          <w:highlight w:val="none"/>
          <w:u w:val="single"/>
        </w:rPr>
        <w:t xml:space="preserve">                                   </w:t>
      </w:r>
    </w:p>
    <w:p w14:paraId="5229FCC7">
      <w:pPr>
        <w:spacing w:line="800" w:lineRule="exact"/>
        <w:rPr>
          <w:rFonts w:hint="eastAsia" w:ascii="宋体" w:hAnsi="宋体" w:cs="宋体"/>
          <w:b/>
          <w:bCs/>
          <w:color w:val="auto"/>
          <w:sz w:val="36"/>
          <w:highlight w:val="none"/>
          <w:u w:val="single"/>
        </w:rPr>
      </w:pPr>
      <w:r>
        <w:rPr>
          <w:rFonts w:hint="eastAsia" w:ascii="宋体" w:hAnsi="宋体" w:cs="宋体"/>
          <w:b/>
          <w:bCs/>
          <w:color w:val="auto"/>
          <w:sz w:val="36"/>
          <w:highlight w:val="none"/>
        </w:rPr>
        <w:t>签订时间：</w:t>
      </w:r>
      <w:r>
        <w:rPr>
          <w:rFonts w:hint="eastAsia" w:ascii="宋体" w:hAnsi="宋体" w:cs="宋体"/>
          <w:b/>
          <w:bCs/>
          <w:color w:val="auto"/>
          <w:sz w:val="36"/>
          <w:highlight w:val="none"/>
          <w:u w:val="single"/>
        </w:rPr>
        <w:t xml:space="preserve">                                   </w:t>
      </w:r>
    </w:p>
    <w:p w14:paraId="2FD33F07">
      <w:pPr>
        <w:spacing w:line="800" w:lineRule="exact"/>
        <w:rPr>
          <w:rFonts w:hint="eastAsia" w:ascii="宋体" w:hAnsi="宋体" w:cs="宋体"/>
          <w:b/>
          <w:bCs/>
          <w:color w:val="auto"/>
          <w:sz w:val="36"/>
          <w:highlight w:val="none"/>
          <w:u w:val="single"/>
        </w:rPr>
      </w:pPr>
      <w:r>
        <w:rPr>
          <w:rFonts w:hint="eastAsia" w:ascii="宋体" w:hAnsi="宋体" w:cs="宋体"/>
          <w:b/>
          <w:bCs/>
          <w:color w:val="auto"/>
          <w:sz w:val="36"/>
          <w:highlight w:val="none"/>
        </w:rPr>
        <w:t>签订地点：</w:t>
      </w:r>
      <w:r>
        <w:rPr>
          <w:rFonts w:hint="eastAsia" w:ascii="宋体" w:hAnsi="宋体" w:cs="宋体"/>
          <w:b/>
          <w:bCs/>
          <w:color w:val="auto"/>
          <w:sz w:val="36"/>
          <w:highlight w:val="none"/>
          <w:u w:val="single"/>
        </w:rPr>
        <w:t xml:space="preserve">                                   </w:t>
      </w:r>
    </w:p>
    <w:p w14:paraId="5625B620">
      <w:pPr>
        <w:pStyle w:val="2"/>
        <w:rPr>
          <w:rFonts w:hint="eastAsia" w:ascii="宋体" w:hAnsi="宋体" w:cs="宋体"/>
          <w:color w:val="auto"/>
          <w:highlight w:val="none"/>
        </w:rPr>
        <w:sectPr>
          <w:headerReference r:id="rId10" w:type="first"/>
          <w:headerReference r:id="rId9" w:type="default"/>
          <w:footerReference r:id="rId11" w:type="default"/>
          <w:footerReference r:id="rId12" w:type="even"/>
          <w:pgSz w:w="11907" w:h="16840"/>
          <w:pgMar w:top="1134" w:right="1247" w:bottom="1134" w:left="1304" w:header="1134" w:footer="850" w:gutter="284"/>
          <w:paperSrc w:first="7" w:other="7"/>
          <w:cols w:space="720" w:num="1"/>
          <w:titlePg/>
          <w:docGrid w:type="linesAndChars" w:linePitch="517" w:charSpace="-2432"/>
        </w:sectPr>
      </w:pPr>
    </w:p>
    <w:p w14:paraId="7FC8C782">
      <w:pPr>
        <w:spacing w:before="71" w:line="219" w:lineRule="auto"/>
        <w:jc w:val="center"/>
        <w:rPr>
          <w:rFonts w:hint="eastAsia" w:ascii="宋体" w:hAnsi="宋体" w:cs="宋体"/>
          <w:color w:val="auto"/>
          <w:sz w:val="36"/>
          <w:szCs w:val="36"/>
          <w:highlight w:val="none"/>
        </w:rPr>
      </w:pPr>
      <w:r>
        <w:rPr>
          <w:rFonts w:hint="eastAsia" w:ascii="宋体" w:hAnsi="宋体" w:cs="宋体"/>
          <w:color w:val="auto"/>
          <w:spacing w:val="-1"/>
          <w:sz w:val="36"/>
          <w:szCs w:val="36"/>
          <w:highlight w:val="none"/>
          <w14:textOutline w14:w="6527" w14:cap="flat" w14:cmpd="sng" w14:algn="ctr">
            <w14:solidFill>
              <w14:srgbClr w14:val="000000"/>
            </w14:solidFill>
            <w14:prstDash w14:val="solid"/>
            <w14:miter w14:val="0"/>
          </w14:textOutline>
        </w:rPr>
        <w:t>检</w:t>
      </w:r>
      <w:r>
        <w:rPr>
          <w:rFonts w:hint="eastAsia" w:ascii="宋体" w:hAnsi="宋体" w:cs="宋体"/>
          <w:color w:val="auto"/>
          <w:spacing w:val="-1"/>
          <w:sz w:val="36"/>
          <w:szCs w:val="36"/>
          <w:highlight w:val="none"/>
        </w:rPr>
        <w:t xml:space="preserve"> </w:t>
      </w:r>
      <w:r>
        <w:rPr>
          <w:rFonts w:hint="eastAsia" w:ascii="宋体" w:hAnsi="宋体" w:cs="宋体"/>
          <w:color w:val="auto"/>
          <w:spacing w:val="-1"/>
          <w:sz w:val="36"/>
          <w:szCs w:val="36"/>
          <w:highlight w:val="none"/>
          <w14:textOutline w14:w="6527" w14:cap="flat" w14:cmpd="sng" w14:algn="ctr">
            <w14:solidFill>
              <w14:srgbClr w14:val="000000"/>
            </w14:solidFill>
            <w14:prstDash w14:val="solid"/>
            <w14:miter w14:val="0"/>
          </w14:textOutline>
        </w:rPr>
        <w:t>测</w:t>
      </w:r>
      <w:r>
        <w:rPr>
          <w:rFonts w:hint="eastAsia" w:ascii="宋体" w:hAnsi="宋体" w:cs="宋体"/>
          <w:color w:val="auto"/>
          <w:spacing w:val="-1"/>
          <w:sz w:val="36"/>
          <w:szCs w:val="36"/>
          <w:highlight w:val="none"/>
        </w:rPr>
        <w:t xml:space="preserve"> </w:t>
      </w:r>
      <w:r>
        <w:rPr>
          <w:rFonts w:hint="eastAsia" w:ascii="宋体" w:hAnsi="宋体" w:cs="宋体"/>
          <w:color w:val="auto"/>
          <w:spacing w:val="-1"/>
          <w:sz w:val="36"/>
          <w:szCs w:val="36"/>
          <w:highlight w:val="none"/>
          <w14:textOutline w14:w="6527" w14:cap="flat" w14:cmpd="sng" w14:algn="ctr">
            <w14:solidFill>
              <w14:srgbClr w14:val="000000"/>
            </w14:solidFill>
            <w14:prstDash w14:val="solid"/>
            <w14:miter w14:val="0"/>
          </w14:textOutline>
        </w:rPr>
        <w:t>服 务 合</w:t>
      </w:r>
      <w:r>
        <w:rPr>
          <w:rFonts w:hint="eastAsia" w:ascii="宋体" w:hAnsi="宋体" w:cs="宋体"/>
          <w:color w:val="auto"/>
          <w:spacing w:val="-1"/>
          <w:sz w:val="36"/>
          <w:szCs w:val="36"/>
          <w:highlight w:val="none"/>
        </w:rPr>
        <w:t xml:space="preserve"> </w:t>
      </w:r>
      <w:r>
        <w:rPr>
          <w:rFonts w:hint="eastAsia" w:ascii="宋体" w:hAnsi="宋体" w:cs="宋体"/>
          <w:color w:val="auto"/>
          <w:spacing w:val="-1"/>
          <w:sz w:val="36"/>
          <w:szCs w:val="36"/>
          <w:highlight w:val="none"/>
          <w14:textOutline w14:w="6527" w14:cap="flat" w14:cmpd="sng" w14:algn="ctr">
            <w14:solidFill>
              <w14:srgbClr w14:val="000000"/>
            </w14:solidFill>
            <w14:prstDash w14:val="solid"/>
            <w14:miter w14:val="0"/>
          </w14:textOutline>
        </w:rPr>
        <w:t>同</w:t>
      </w:r>
      <w:r>
        <w:rPr>
          <w:rFonts w:hint="eastAsia" w:ascii="宋体" w:hAnsi="宋体" w:cs="宋体"/>
          <w:color w:val="auto"/>
          <w:spacing w:val="-1"/>
          <w:sz w:val="36"/>
          <w:szCs w:val="36"/>
          <w:highlight w:val="none"/>
        </w:rPr>
        <w:t xml:space="preserve"> </w:t>
      </w:r>
      <w:r>
        <w:rPr>
          <w:rFonts w:hint="eastAsia" w:ascii="宋体" w:hAnsi="宋体" w:cs="宋体"/>
          <w:color w:val="auto"/>
          <w:spacing w:val="-1"/>
          <w:sz w:val="36"/>
          <w:szCs w:val="36"/>
          <w:highlight w:val="none"/>
          <w14:textOutline w14:w="6527" w14:cap="flat" w14:cmpd="sng" w14:algn="ctr">
            <w14:solidFill>
              <w14:srgbClr w14:val="000000"/>
            </w14:solidFill>
            <w14:prstDash w14:val="solid"/>
            <w14:miter w14:val="0"/>
          </w14:textOutline>
        </w:rPr>
        <w:t>书</w:t>
      </w:r>
      <w:r>
        <w:rPr>
          <w:rFonts w:hint="eastAsia" w:ascii="宋体" w:hAnsi="宋体" w:cs="宋体"/>
          <w:color w:val="auto"/>
          <w:spacing w:val="-1"/>
          <w:sz w:val="36"/>
          <w:szCs w:val="36"/>
          <w:highlight w:val="none"/>
        </w:rPr>
        <w:t xml:space="preserve">  </w:t>
      </w:r>
      <w:r>
        <w:rPr>
          <w:rFonts w:hint="eastAsia" w:ascii="宋体" w:hAnsi="宋体" w:cs="宋体"/>
          <w:color w:val="auto"/>
          <w:spacing w:val="-1"/>
          <w:sz w:val="36"/>
          <w:szCs w:val="36"/>
          <w:highlight w:val="none"/>
          <w14:textOutline w14:w="6527" w14:cap="flat" w14:cmpd="sng" w14:algn="ctr">
            <w14:solidFill>
              <w14:srgbClr w14:val="000000"/>
            </w14:solidFill>
            <w14:prstDash w14:val="solid"/>
            <w14:miter w14:val="0"/>
          </w14:textOutline>
        </w:rPr>
        <w:t>(格式</w:t>
      </w:r>
      <w:r>
        <w:rPr>
          <w:rFonts w:hint="eastAsia" w:ascii="宋体" w:hAnsi="宋体" w:cs="宋体"/>
          <w:color w:val="auto"/>
          <w:sz w:val="36"/>
          <w:szCs w:val="36"/>
          <w:highlight w:val="none"/>
          <w14:textOutline w14:w="6527" w14:cap="flat" w14:cmpd="sng" w14:algn="ctr">
            <w14:solidFill>
              <w14:srgbClr w14:val="000000"/>
            </w14:solidFill>
            <w14:prstDash w14:val="solid"/>
            <w14:miter w14:val="0"/>
          </w14:textOutline>
        </w:rPr>
        <w:t>)</w:t>
      </w:r>
    </w:p>
    <w:p w14:paraId="549AB6EB">
      <w:pPr>
        <w:spacing w:line="422" w:lineRule="auto"/>
        <w:rPr>
          <w:rFonts w:hint="eastAsia" w:ascii="宋体" w:hAnsi="宋体" w:cs="宋体"/>
          <w:color w:val="auto"/>
          <w:highlight w:val="none"/>
        </w:rPr>
      </w:pPr>
    </w:p>
    <w:p w14:paraId="4E683667">
      <w:pPr>
        <w:spacing w:line="360" w:lineRule="auto"/>
        <w:ind w:firstLine="396"/>
        <w:jc w:val="left"/>
        <w:rPr>
          <w:rFonts w:hint="eastAsia" w:ascii="宋体" w:hAnsi="宋体" w:cs="宋体"/>
          <w:color w:val="auto"/>
          <w:sz w:val="24"/>
          <w:highlight w:val="none"/>
        </w:rPr>
      </w:pPr>
      <w:r>
        <w:rPr>
          <w:rFonts w:hint="eastAsia" w:ascii="宋体" w:hAnsi="宋体" w:cs="宋体"/>
          <w:color w:val="auto"/>
          <w:spacing w:val="-12"/>
          <w:sz w:val="24"/>
          <w:highlight w:val="none"/>
        </w:rPr>
        <w:t>甲方</w:t>
      </w:r>
      <w:r>
        <w:rPr>
          <w:rFonts w:hint="eastAsia" w:ascii="宋体" w:hAnsi="宋体" w:cs="宋体"/>
          <w:color w:val="auto"/>
          <w:spacing w:val="-7"/>
          <w:sz w:val="24"/>
          <w:highlight w:val="none"/>
        </w:rPr>
        <w:t>：</w:t>
      </w:r>
      <w:r>
        <w:rPr>
          <w:rFonts w:hint="eastAsia" w:ascii="宋体" w:hAnsi="宋体" w:cs="宋体"/>
          <w:color w:val="auto"/>
          <w:spacing w:val="-6"/>
          <w:sz w:val="24"/>
          <w:highlight w:val="none"/>
        </w:rPr>
        <w:t xml:space="preserve"> </w:t>
      </w:r>
      <w:r>
        <w:rPr>
          <w:rFonts w:hint="eastAsia" w:ascii="宋体" w:hAnsi="宋体" w:cs="宋体"/>
          <w:b/>
          <w:bCs/>
          <w:color w:val="auto"/>
          <w:spacing w:val="-12"/>
          <w:sz w:val="24"/>
          <w:highlight w:val="none"/>
          <w:u w:val="single"/>
        </w:rPr>
        <w:t>广西壮族自治区桂东公路发展中心</w:t>
      </w:r>
    </w:p>
    <w:p w14:paraId="0EFBEFE1">
      <w:pPr>
        <w:spacing w:line="360" w:lineRule="auto"/>
        <w:ind w:firstLine="335"/>
        <w:jc w:val="left"/>
        <w:rPr>
          <w:rFonts w:hint="eastAsia" w:ascii="宋体" w:hAnsi="宋体" w:cs="宋体"/>
          <w:color w:val="auto"/>
          <w:sz w:val="24"/>
          <w:highlight w:val="none"/>
        </w:rPr>
      </w:pPr>
      <w:r>
        <w:rPr>
          <w:rFonts w:hint="eastAsia" w:ascii="宋体" w:hAnsi="宋体" w:cs="宋体"/>
          <w:color w:val="auto"/>
          <w:spacing w:val="-12"/>
          <w:sz w:val="24"/>
          <w:highlight w:val="none"/>
        </w:rPr>
        <w:t>乙方：</w:t>
      </w:r>
      <w:r>
        <w:rPr>
          <w:rFonts w:hint="eastAsia" w:ascii="宋体" w:hAnsi="宋体" w:cs="宋体"/>
          <w:color w:val="auto"/>
          <w:sz w:val="24"/>
          <w:highlight w:val="none"/>
          <w:u w:val="single"/>
        </w:rPr>
        <w:t xml:space="preserve">                             </w:t>
      </w:r>
    </w:p>
    <w:p w14:paraId="722E31C6">
      <w:pPr>
        <w:spacing w:line="360" w:lineRule="auto"/>
        <w:ind w:firstLine="414"/>
        <w:jc w:val="left"/>
        <w:rPr>
          <w:rFonts w:hint="eastAsia" w:ascii="宋体" w:hAnsi="宋体" w:cs="宋体"/>
          <w:color w:val="auto"/>
          <w:sz w:val="24"/>
          <w:highlight w:val="none"/>
        </w:rPr>
      </w:pPr>
      <w:r>
        <w:rPr>
          <w:rFonts w:hint="eastAsia" w:ascii="宋体" w:hAnsi="宋体" w:cs="宋体"/>
          <w:color w:val="auto"/>
          <w:spacing w:val="-3"/>
          <w:sz w:val="24"/>
          <w:highlight w:val="none"/>
        </w:rPr>
        <w:t>甲方为做好本方所辖公路桥梁隧道的定期检测工作，通过公开招标方式，确定由乙方完成甲</w:t>
      </w:r>
      <w:r>
        <w:rPr>
          <w:rFonts w:hint="eastAsia" w:ascii="宋体" w:hAnsi="宋体" w:cs="宋体"/>
          <w:color w:val="auto"/>
          <w:spacing w:val="-2"/>
          <w:sz w:val="24"/>
          <w:highlight w:val="none"/>
        </w:rPr>
        <w:t>方</w:t>
      </w:r>
      <w:r>
        <w:rPr>
          <w:rFonts w:hint="eastAsia" w:ascii="宋体" w:hAnsi="宋体" w:cs="宋体"/>
          <w:color w:val="auto"/>
          <w:sz w:val="24"/>
          <w:highlight w:val="none"/>
        </w:rPr>
        <w:t>指定</w:t>
      </w:r>
      <w:r>
        <w:rPr>
          <w:rFonts w:hint="eastAsia" w:ascii="宋体" w:hAnsi="宋体" w:cs="宋体"/>
          <w:color w:val="auto"/>
          <w:spacing w:val="-8"/>
          <w:sz w:val="24"/>
          <w:highlight w:val="none"/>
        </w:rPr>
        <w:t>的桥梁、隧</w:t>
      </w:r>
      <w:r>
        <w:rPr>
          <w:rFonts w:hint="eastAsia" w:ascii="宋体" w:hAnsi="宋体" w:cs="宋体"/>
          <w:color w:val="auto"/>
          <w:spacing w:val="-4"/>
          <w:sz w:val="24"/>
          <w:highlight w:val="none"/>
        </w:rPr>
        <w:t>道进行检测工作，具体的检测工作数量详见招标文件投标人须知附件中的桥梁、隧道数量清单。为了明确甲乙双方</w:t>
      </w:r>
      <w:r>
        <w:rPr>
          <w:rFonts w:hint="eastAsia" w:ascii="宋体" w:hAnsi="宋体" w:cs="宋体"/>
          <w:color w:val="auto"/>
          <w:spacing w:val="-3"/>
          <w:sz w:val="24"/>
          <w:highlight w:val="none"/>
        </w:rPr>
        <w:t>的</w:t>
      </w:r>
      <w:r>
        <w:rPr>
          <w:rFonts w:hint="eastAsia" w:ascii="宋体" w:hAnsi="宋体" w:cs="宋体"/>
          <w:color w:val="auto"/>
          <w:spacing w:val="-2"/>
          <w:sz w:val="24"/>
          <w:highlight w:val="none"/>
        </w:rPr>
        <w:t>各项权利、义务，现就甲方桥梁、隧道检测工作签订如下合同条款：</w:t>
      </w:r>
    </w:p>
    <w:p w14:paraId="71386B1E">
      <w:pPr>
        <w:spacing w:line="360" w:lineRule="auto"/>
        <w:ind w:firstLine="414"/>
        <w:jc w:val="left"/>
        <w:rPr>
          <w:rFonts w:hint="eastAsia" w:ascii="宋体" w:hAnsi="宋体" w:cs="宋体"/>
          <w:b/>
          <w:bCs/>
          <w:color w:val="auto"/>
          <w:spacing w:val="-3"/>
          <w:sz w:val="24"/>
          <w:highlight w:val="none"/>
        </w:rPr>
      </w:pPr>
      <w:r>
        <w:rPr>
          <w:rFonts w:hint="eastAsia" w:ascii="宋体" w:hAnsi="宋体" w:cs="宋体"/>
          <w:b/>
          <w:bCs/>
          <w:color w:val="auto"/>
          <w:spacing w:val="-3"/>
          <w:sz w:val="24"/>
          <w:highlight w:val="none"/>
        </w:rPr>
        <w:t>第一条  合同文件的组成</w:t>
      </w:r>
    </w:p>
    <w:p w14:paraId="1C725736">
      <w:pPr>
        <w:spacing w:line="360" w:lineRule="auto"/>
        <w:ind w:firstLine="406"/>
        <w:jc w:val="left"/>
        <w:rPr>
          <w:rFonts w:hint="eastAsia" w:ascii="宋体" w:hAnsi="宋体" w:cs="宋体"/>
          <w:color w:val="auto"/>
          <w:sz w:val="24"/>
          <w:highlight w:val="none"/>
        </w:rPr>
      </w:pPr>
      <w:r>
        <w:rPr>
          <w:rFonts w:hint="eastAsia" w:ascii="宋体" w:hAnsi="宋体" w:cs="宋体"/>
          <w:color w:val="auto"/>
          <w:spacing w:val="-7"/>
          <w:sz w:val="24"/>
          <w:highlight w:val="none"/>
        </w:rPr>
        <w:t>下列文件均为合同的组成部分，如有不一致的，乙方应在检测前向甲方提出；除甲方明确乙方适</w:t>
      </w:r>
      <w:r>
        <w:rPr>
          <w:rFonts w:hint="eastAsia" w:ascii="宋体" w:hAnsi="宋体" w:cs="宋体"/>
          <w:color w:val="auto"/>
          <w:spacing w:val="-4"/>
          <w:sz w:val="24"/>
          <w:highlight w:val="none"/>
        </w:rPr>
        <w:t>用</w:t>
      </w:r>
      <w:r>
        <w:rPr>
          <w:rFonts w:hint="eastAsia" w:ascii="宋体" w:hAnsi="宋体" w:cs="宋体"/>
          <w:color w:val="auto"/>
          <w:spacing w:val="-12"/>
          <w:sz w:val="24"/>
          <w:highlight w:val="none"/>
        </w:rPr>
        <w:t>的规定外</w:t>
      </w:r>
      <w:r>
        <w:rPr>
          <w:rFonts w:hint="eastAsia" w:ascii="宋体" w:hAnsi="宋体" w:cs="宋体"/>
          <w:color w:val="auto"/>
          <w:spacing w:val="-11"/>
          <w:sz w:val="24"/>
          <w:highlight w:val="none"/>
        </w:rPr>
        <w:t>，</w:t>
      </w:r>
      <w:r>
        <w:rPr>
          <w:rFonts w:hint="eastAsia" w:ascii="宋体" w:hAnsi="宋体" w:cs="宋体"/>
          <w:color w:val="auto"/>
          <w:spacing w:val="-6"/>
          <w:sz w:val="24"/>
          <w:highlight w:val="none"/>
        </w:rPr>
        <w:t>对乙方的义务和责任要求以高者、严者为准；合同文件所明确的检测工作范围与合同约定的</w:t>
      </w:r>
      <w:r>
        <w:rPr>
          <w:rFonts w:hint="eastAsia" w:ascii="宋体" w:hAnsi="宋体" w:cs="宋体"/>
          <w:color w:val="auto"/>
          <w:spacing w:val="-16"/>
          <w:sz w:val="24"/>
          <w:highlight w:val="none"/>
        </w:rPr>
        <w:t>乙方检测</w:t>
      </w:r>
      <w:r>
        <w:rPr>
          <w:rFonts w:hint="eastAsia" w:ascii="宋体" w:hAnsi="宋体" w:cs="宋体"/>
          <w:color w:val="auto"/>
          <w:spacing w:val="-8"/>
          <w:sz w:val="24"/>
          <w:highlight w:val="none"/>
        </w:rPr>
        <w:t>工作范围有不一致的，以范围宽者为准；合同文件内容出现不一致的，除本合同另有明文约定</w:t>
      </w:r>
      <w:r>
        <w:rPr>
          <w:rFonts w:hint="eastAsia" w:ascii="宋体" w:hAnsi="宋体" w:cs="宋体"/>
          <w:color w:val="auto"/>
          <w:spacing w:val="-16"/>
          <w:sz w:val="24"/>
          <w:highlight w:val="none"/>
        </w:rPr>
        <w:t>外，</w:t>
      </w:r>
      <w:r>
        <w:rPr>
          <w:rFonts w:hint="eastAsia" w:ascii="宋体" w:hAnsi="宋体" w:cs="宋体"/>
          <w:color w:val="auto"/>
          <w:spacing w:val="-16"/>
          <w:sz w:val="24"/>
          <w:highlight w:val="none"/>
          <w:lang w:eastAsia="zh-CN"/>
        </w:rPr>
        <w:t>以下</w:t>
      </w:r>
      <w:r>
        <w:rPr>
          <w:rFonts w:hint="eastAsia" w:ascii="宋体" w:hAnsi="宋体" w:cs="宋体"/>
          <w:color w:val="auto"/>
          <w:spacing w:val="-8"/>
          <w:sz w:val="24"/>
          <w:highlight w:val="none"/>
        </w:rPr>
        <w:t>排列在前者为准；同一顺序文件出现不一致的，以时间在后者为准，但经甲方认定的乙方有</w:t>
      </w:r>
      <w:r>
        <w:rPr>
          <w:rFonts w:hint="eastAsia" w:ascii="宋体" w:hAnsi="宋体" w:cs="宋体"/>
          <w:color w:val="auto"/>
          <w:spacing w:val="-2"/>
          <w:sz w:val="24"/>
          <w:highlight w:val="none"/>
        </w:rPr>
        <w:t>关</w:t>
      </w:r>
      <w:r>
        <w:rPr>
          <w:rFonts w:hint="eastAsia" w:ascii="宋体" w:hAnsi="宋体" w:cs="宋体"/>
          <w:color w:val="auto"/>
          <w:spacing w:val="-1"/>
          <w:sz w:val="24"/>
          <w:highlight w:val="none"/>
        </w:rPr>
        <w:t>承诺的顺序在前的文件对甲方更有利的，以乙方就该承诺事项的特定承诺为准：</w:t>
      </w:r>
    </w:p>
    <w:p w14:paraId="69886916">
      <w:pPr>
        <w:spacing w:line="360" w:lineRule="auto"/>
        <w:ind w:firstLine="424"/>
        <w:jc w:val="left"/>
        <w:rPr>
          <w:rFonts w:hint="eastAsia" w:ascii="宋体" w:hAnsi="宋体" w:cs="宋体"/>
          <w:color w:val="auto"/>
          <w:sz w:val="24"/>
          <w:highlight w:val="none"/>
        </w:rPr>
      </w:pPr>
      <w:r>
        <w:rPr>
          <w:rFonts w:hint="eastAsia" w:ascii="宋体" w:hAnsi="宋体" w:cs="宋体"/>
          <w:color w:val="auto"/>
          <w:spacing w:val="2"/>
          <w:sz w:val="24"/>
          <w:highlight w:val="none"/>
        </w:rPr>
        <w:t>1.双方签订的合同、补充合同及其附件(含合同价清单、检测项目清单等)。</w:t>
      </w:r>
    </w:p>
    <w:p w14:paraId="31347338">
      <w:pPr>
        <w:spacing w:line="360" w:lineRule="auto"/>
        <w:ind w:firstLine="416"/>
        <w:jc w:val="left"/>
        <w:rPr>
          <w:rFonts w:hint="eastAsia" w:ascii="宋体" w:hAnsi="宋体" w:cs="宋体"/>
          <w:color w:val="auto"/>
          <w:sz w:val="24"/>
          <w:highlight w:val="none"/>
        </w:rPr>
      </w:pPr>
      <w:r>
        <w:rPr>
          <w:rFonts w:hint="eastAsia" w:ascii="宋体" w:hAnsi="宋体" w:cs="宋体"/>
          <w:color w:val="auto"/>
          <w:spacing w:val="-2"/>
          <w:sz w:val="24"/>
          <w:highlight w:val="none"/>
        </w:rPr>
        <w:t>2</w:t>
      </w:r>
      <w:r>
        <w:rPr>
          <w:rFonts w:hint="eastAsia" w:ascii="宋体" w:hAnsi="宋体" w:cs="宋体"/>
          <w:color w:val="auto"/>
          <w:spacing w:val="-1"/>
          <w:sz w:val="24"/>
          <w:highlight w:val="none"/>
        </w:rPr>
        <w:t>.与项目有关的标准、规范及有关技术文件。</w:t>
      </w:r>
    </w:p>
    <w:p w14:paraId="4434F958">
      <w:pPr>
        <w:spacing w:line="360" w:lineRule="auto"/>
        <w:ind w:firstLine="418"/>
        <w:jc w:val="left"/>
        <w:rPr>
          <w:rFonts w:hint="eastAsia" w:ascii="宋体" w:hAnsi="宋体" w:cs="宋体"/>
          <w:color w:val="auto"/>
          <w:sz w:val="24"/>
          <w:highlight w:val="none"/>
        </w:rPr>
      </w:pPr>
      <w:r>
        <w:rPr>
          <w:rFonts w:hint="eastAsia" w:ascii="宋体" w:hAnsi="宋体" w:cs="宋体"/>
          <w:color w:val="auto"/>
          <w:spacing w:val="-1"/>
          <w:sz w:val="24"/>
          <w:highlight w:val="none"/>
        </w:rPr>
        <w:t>3.组成合同的其他</w:t>
      </w:r>
      <w:r>
        <w:rPr>
          <w:rFonts w:hint="eastAsia" w:ascii="宋体" w:hAnsi="宋体" w:cs="宋体"/>
          <w:color w:val="auto"/>
          <w:sz w:val="24"/>
          <w:highlight w:val="none"/>
        </w:rPr>
        <w:t>文件。</w:t>
      </w:r>
    </w:p>
    <w:p w14:paraId="3F4E822E">
      <w:pPr>
        <w:spacing w:line="360" w:lineRule="auto"/>
        <w:ind w:firstLine="414"/>
        <w:jc w:val="left"/>
        <w:rPr>
          <w:rFonts w:hint="eastAsia" w:ascii="宋体" w:hAnsi="宋体" w:cs="宋体"/>
          <w:b/>
          <w:bCs/>
          <w:color w:val="auto"/>
          <w:spacing w:val="-3"/>
          <w:sz w:val="24"/>
          <w:highlight w:val="none"/>
        </w:rPr>
      </w:pPr>
      <w:r>
        <w:rPr>
          <w:rFonts w:hint="eastAsia" w:ascii="宋体" w:hAnsi="宋体" w:cs="宋体"/>
          <w:b/>
          <w:bCs/>
          <w:color w:val="auto"/>
          <w:spacing w:val="-3"/>
          <w:sz w:val="24"/>
          <w:highlight w:val="none"/>
        </w:rPr>
        <w:t>第二条  检测工作项目名称和检测工作范围</w:t>
      </w:r>
    </w:p>
    <w:p w14:paraId="41E4F70D">
      <w:pPr>
        <w:spacing w:line="360" w:lineRule="auto"/>
        <w:ind w:firstLine="422"/>
        <w:jc w:val="left"/>
        <w:rPr>
          <w:rFonts w:hint="eastAsia" w:ascii="宋体" w:hAnsi="宋体" w:cs="宋体"/>
          <w:color w:val="auto"/>
          <w:sz w:val="24"/>
          <w:highlight w:val="none"/>
        </w:rPr>
      </w:pPr>
      <w:r>
        <w:rPr>
          <w:rFonts w:hint="eastAsia" w:ascii="宋体" w:hAnsi="宋体" w:cs="宋体"/>
          <w:color w:val="auto"/>
          <w:spacing w:val="1"/>
          <w:sz w:val="24"/>
          <w:highlight w:val="none"/>
        </w:rPr>
        <w:t>(一)</w:t>
      </w:r>
      <w:r>
        <w:rPr>
          <w:rFonts w:hint="eastAsia" w:ascii="宋体" w:hAnsi="宋体" w:cs="宋体"/>
          <w:color w:val="auto"/>
          <w:sz w:val="24"/>
          <w:highlight w:val="none"/>
        </w:rPr>
        <w:t>项目名称：</w:t>
      </w:r>
      <w:r>
        <w:rPr>
          <w:rFonts w:hint="eastAsia" w:ascii="宋体" w:hAnsi="宋体" w:cs="宋体"/>
          <w:color w:val="auto"/>
          <w:sz w:val="24"/>
          <w:highlight w:val="none"/>
          <w:u w:val="single"/>
        </w:rPr>
        <w:t>广西壮族自治区桂东公路发展中心</w:t>
      </w:r>
      <w:r>
        <w:rPr>
          <w:rFonts w:hint="eastAsia" w:ascii="宋体" w:hAnsi="宋体" w:cs="宋体"/>
          <w:color w:val="auto"/>
          <w:sz w:val="24"/>
          <w:highlight w:val="none"/>
          <w:u w:val="single"/>
          <w:lang w:eastAsia="zh-CN"/>
        </w:rPr>
        <w:t>2026年</w:t>
      </w:r>
      <w:r>
        <w:rPr>
          <w:rFonts w:hint="eastAsia" w:ascii="宋体" w:hAnsi="宋体" w:cs="宋体"/>
          <w:color w:val="auto"/>
          <w:sz w:val="24"/>
          <w:highlight w:val="none"/>
          <w:u w:val="single"/>
        </w:rPr>
        <w:t>普通国省干道桥隧定期检测服务</w:t>
      </w:r>
    </w:p>
    <w:p w14:paraId="07E68D7C">
      <w:pPr>
        <w:spacing w:line="360" w:lineRule="auto"/>
        <w:ind w:firstLine="444"/>
        <w:jc w:val="left"/>
        <w:rPr>
          <w:rFonts w:hint="eastAsia" w:ascii="宋体" w:hAnsi="宋体" w:cs="宋体"/>
          <w:color w:val="auto"/>
          <w:sz w:val="24"/>
          <w:highlight w:val="none"/>
        </w:rPr>
      </w:pPr>
      <w:r>
        <w:rPr>
          <w:rFonts w:hint="eastAsia" w:ascii="宋体" w:hAnsi="宋体" w:cs="宋体"/>
          <w:color w:val="auto"/>
          <w:spacing w:val="12"/>
          <w:sz w:val="24"/>
          <w:highlight w:val="none"/>
        </w:rPr>
        <w:t>(</w:t>
      </w:r>
      <w:r>
        <w:rPr>
          <w:rFonts w:hint="eastAsia" w:ascii="宋体" w:hAnsi="宋体" w:cs="宋体"/>
          <w:color w:val="auto"/>
          <w:spacing w:val="10"/>
          <w:sz w:val="24"/>
          <w:highlight w:val="none"/>
        </w:rPr>
        <w:t>二</w:t>
      </w:r>
      <w:r>
        <w:rPr>
          <w:rFonts w:hint="eastAsia" w:ascii="宋体" w:hAnsi="宋体" w:cs="宋体"/>
          <w:color w:val="auto"/>
          <w:spacing w:val="6"/>
          <w:sz w:val="24"/>
          <w:highlight w:val="none"/>
        </w:rPr>
        <w:t>)项目地点：</w:t>
      </w:r>
      <w:r>
        <w:rPr>
          <w:rFonts w:hint="eastAsia" w:ascii="宋体" w:hAnsi="宋体" w:cs="宋体"/>
          <w:color w:val="auto"/>
          <w:spacing w:val="6"/>
          <w:sz w:val="24"/>
          <w:highlight w:val="none"/>
          <w:u w:val="single"/>
        </w:rPr>
        <w:t xml:space="preserve">                     </w:t>
      </w:r>
    </w:p>
    <w:p w14:paraId="32CE86C5">
      <w:pPr>
        <w:spacing w:line="360" w:lineRule="auto"/>
        <w:ind w:firstLine="428"/>
        <w:jc w:val="left"/>
        <w:rPr>
          <w:rFonts w:hint="eastAsia" w:ascii="宋体" w:hAnsi="宋体" w:cs="宋体"/>
          <w:color w:val="auto"/>
          <w:sz w:val="24"/>
          <w:highlight w:val="none"/>
        </w:rPr>
      </w:pPr>
      <w:r>
        <w:rPr>
          <w:rFonts w:hint="eastAsia" w:ascii="宋体" w:hAnsi="宋体" w:cs="宋体"/>
          <w:color w:val="auto"/>
          <w:spacing w:val="4"/>
          <w:sz w:val="24"/>
          <w:highlight w:val="none"/>
        </w:rPr>
        <w:t>(三)检测目的：了</w:t>
      </w:r>
      <w:r>
        <w:rPr>
          <w:rFonts w:hint="eastAsia" w:ascii="宋体" w:hAnsi="宋体" w:cs="宋体"/>
          <w:color w:val="auto"/>
          <w:spacing w:val="3"/>
          <w:sz w:val="24"/>
          <w:highlight w:val="none"/>
        </w:rPr>
        <w:t>解</w:t>
      </w:r>
      <w:r>
        <w:rPr>
          <w:rFonts w:hint="eastAsia" w:ascii="宋体" w:hAnsi="宋体" w:cs="宋体"/>
          <w:color w:val="auto"/>
          <w:spacing w:val="2"/>
          <w:sz w:val="24"/>
          <w:highlight w:val="none"/>
        </w:rPr>
        <w:t>桥梁、隧道在投入使用后的实际工作状态，判断桥梁、隧道的整体</w:t>
      </w:r>
      <w:r>
        <w:rPr>
          <w:rFonts w:hint="eastAsia" w:ascii="宋体" w:hAnsi="宋体" w:cs="宋体"/>
          <w:color w:val="auto"/>
          <w:spacing w:val="-4"/>
          <w:sz w:val="24"/>
          <w:highlight w:val="none"/>
        </w:rPr>
        <w:t>结构的</w:t>
      </w:r>
      <w:r>
        <w:rPr>
          <w:rFonts w:hint="eastAsia" w:ascii="宋体" w:hAnsi="宋体" w:cs="宋体"/>
          <w:color w:val="auto"/>
          <w:spacing w:val="-3"/>
          <w:sz w:val="24"/>
          <w:highlight w:val="none"/>
        </w:rPr>
        <w:t>安</w:t>
      </w:r>
      <w:r>
        <w:rPr>
          <w:rFonts w:hint="eastAsia" w:ascii="宋体" w:hAnsi="宋体" w:cs="宋体"/>
          <w:color w:val="auto"/>
          <w:spacing w:val="-2"/>
          <w:sz w:val="24"/>
          <w:highlight w:val="none"/>
        </w:rPr>
        <w:t>全稳定性。</w:t>
      </w:r>
    </w:p>
    <w:p w14:paraId="3814FA4D">
      <w:pPr>
        <w:spacing w:line="360" w:lineRule="auto"/>
        <w:ind w:firstLine="396"/>
        <w:jc w:val="left"/>
        <w:rPr>
          <w:rFonts w:hint="eastAsia" w:ascii="宋体" w:hAnsi="宋体" w:cs="宋体"/>
          <w:color w:val="auto"/>
          <w:sz w:val="24"/>
          <w:highlight w:val="none"/>
        </w:rPr>
      </w:pPr>
      <w:r>
        <w:rPr>
          <w:rFonts w:hint="eastAsia" w:ascii="宋体" w:hAnsi="宋体" w:cs="宋体"/>
          <w:color w:val="auto"/>
          <w:spacing w:val="-12"/>
          <w:sz w:val="24"/>
          <w:highlight w:val="none"/>
        </w:rPr>
        <w:t>(</w:t>
      </w:r>
      <w:r>
        <w:rPr>
          <w:rFonts w:hint="eastAsia" w:ascii="宋体" w:hAnsi="宋体" w:cs="宋体"/>
          <w:color w:val="auto"/>
          <w:spacing w:val="-7"/>
          <w:sz w:val="24"/>
          <w:highlight w:val="none"/>
        </w:rPr>
        <w:t>四</w:t>
      </w:r>
      <w:r>
        <w:rPr>
          <w:rFonts w:hint="eastAsia" w:ascii="宋体" w:hAnsi="宋体" w:cs="宋体"/>
          <w:color w:val="auto"/>
          <w:spacing w:val="-6"/>
          <w:sz w:val="24"/>
          <w:highlight w:val="none"/>
        </w:rPr>
        <w:t>)检测工作范围：</w:t>
      </w:r>
    </w:p>
    <w:p w14:paraId="17D3216F">
      <w:pPr>
        <w:spacing w:line="360" w:lineRule="auto"/>
        <w:ind w:firstLine="418"/>
        <w:jc w:val="left"/>
        <w:rPr>
          <w:rFonts w:hint="eastAsia" w:ascii="宋体" w:hAnsi="宋体" w:cs="宋体"/>
          <w:color w:val="auto"/>
          <w:sz w:val="24"/>
          <w:highlight w:val="none"/>
        </w:rPr>
      </w:pPr>
      <w:r>
        <w:rPr>
          <w:rFonts w:hint="eastAsia" w:ascii="宋体" w:hAnsi="宋体" w:cs="宋体"/>
          <w:color w:val="auto"/>
          <w:spacing w:val="-1"/>
          <w:sz w:val="24"/>
          <w:highlight w:val="none"/>
        </w:rPr>
        <w:t>乙方按照国家有关技术标准、规范、规程要求，对合同约定检测的桥梁隧道</w:t>
      </w:r>
      <w:r>
        <w:rPr>
          <w:rFonts w:hint="eastAsia" w:ascii="宋体" w:hAnsi="宋体" w:cs="宋体"/>
          <w:color w:val="auto"/>
          <w:sz w:val="24"/>
          <w:highlight w:val="none"/>
        </w:rPr>
        <w:t>进行定期检测。</w:t>
      </w:r>
    </w:p>
    <w:p w14:paraId="19B6616A">
      <w:pPr>
        <w:spacing w:line="360" w:lineRule="auto"/>
        <w:ind w:firstLine="442"/>
        <w:jc w:val="left"/>
        <w:rPr>
          <w:rFonts w:hint="eastAsia" w:ascii="宋体" w:hAnsi="宋体" w:cs="宋体"/>
          <w:color w:val="auto"/>
          <w:sz w:val="24"/>
          <w:highlight w:val="none"/>
        </w:rPr>
      </w:pPr>
      <w:r>
        <w:rPr>
          <w:rFonts w:hint="eastAsia" w:ascii="宋体" w:hAnsi="宋体" w:cs="宋体"/>
          <w:color w:val="auto"/>
          <w:spacing w:val="11"/>
          <w:sz w:val="24"/>
          <w:highlight w:val="none"/>
        </w:rPr>
        <w:t>(</w:t>
      </w:r>
      <w:r>
        <w:rPr>
          <w:rFonts w:hint="eastAsia" w:ascii="宋体" w:hAnsi="宋体" w:cs="宋体"/>
          <w:color w:val="auto"/>
          <w:spacing w:val="6"/>
          <w:sz w:val="24"/>
          <w:highlight w:val="none"/>
        </w:rPr>
        <w:t>五)检测工作内容及检测成果</w:t>
      </w:r>
    </w:p>
    <w:p w14:paraId="04C3DAEE">
      <w:pPr>
        <w:spacing w:line="360" w:lineRule="auto"/>
        <w:ind w:firstLine="416"/>
        <w:jc w:val="left"/>
        <w:rPr>
          <w:rFonts w:hint="eastAsia" w:ascii="宋体" w:hAnsi="宋体" w:cs="宋体"/>
          <w:color w:val="auto"/>
          <w:sz w:val="24"/>
          <w:highlight w:val="none"/>
        </w:rPr>
      </w:pPr>
      <w:r>
        <w:rPr>
          <w:rFonts w:hint="eastAsia" w:ascii="宋体" w:hAnsi="宋体" w:cs="宋体"/>
          <w:color w:val="auto"/>
          <w:spacing w:val="-2"/>
          <w:sz w:val="24"/>
          <w:highlight w:val="none"/>
        </w:rPr>
        <w:t>1．检测的主要内容</w:t>
      </w:r>
      <w:r>
        <w:rPr>
          <w:rFonts w:hint="eastAsia" w:ascii="宋体" w:hAnsi="宋体" w:cs="宋体"/>
          <w:color w:val="auto"/>
          <w:spacing w:val="-1"/>
          <w:sz w:val="24"/>
          <w:highlight w:val="none"/>
        </w:rPr>
        <w:t>如下：</w:t>
      </w:r>
    </w:p>
    <w:p w14:paraId="2D34AF1D">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（1）桥梁检查评定</w:t>
      </w:r>
      <w:r>
        <w:rPr>
          <w:rFonts w:hint="eastAsia" w:ascii="宋体" w:hAnsi="宋体" w:cs="宋体"/>
          <w:color w:val="auto"/>
          <w:sz w:val="24"/>
          <w:highlight w:val="none"/>
          <w:lang w:eastAsia="zh-CN"/>
        </w:rPr>
        <w:t>和编制报告</w:t>
      </w:r>
      <w:r>
        <w:rPr>
          <w:rFonts w:hint="eastAsia" w:ascii="宋体" w:hAnsi="宋体" w:cs="宋体"/>
          <w:color w:val="auto"/>
          <w:sz w:val="24"/>
          <w:highlight w:val="none"/>
        </w:rPr>
        <w:t>：桥梁检查的内容包括对外观病害、桥梁水中结构病害检查，并和上一次定期检查数据进行对比，对桥梁进行总体技术状况评定</w:t>
      </w:r>
      <w:r>
        <w:rPr>
          <w:rFonts w:hint="eastAsia" w:ascii="宋体" w:hAnsi="宋体" w:cs="宋体"/>
          <w:color w:val="auto"/>
          <w:sz w:val="24"/>
          <w:highlight w:val="none"/>
          <w:lang w:eastAsia="zh-CN"/>
        </w:rPr>
        <w:t>；</w:t>
      </w:r>
      <w:r>
        <w:rPr>
          <w:rFonts w:hint="eastAsia" w:ascii="宋体" w:hAnsi="宋体" w:cs="宋体"/>
          <w:color w:val="auto"/>
          <w:sz w:val="24"/>
          <w:highlight w:val="none"/>
        </w:rPr>
        <w:t>如为混凝土梁桥，需按《公路桥涵养护规范》（JTG 5120-2021）第3.5.5条进行混凝土碳化深度及钢筋锈蚀检测。对进行外观检查及技术状况评定的桥梁，编制定检桥梁</w:t>
      </w:r>
      <w:r>
        <w:rPr>
          <w:rFonts w:hint="eastAsia" w:ascii="宋体" w:hAnsi="宋体" w:cs="宋体"/>
          <w:color w:val="auto"/>
          <w:sz w:val="24"/>
          <w:highlight w:val="none"/>
          <w:lang w:eastAsia="zh-CN"/>
        </w:rPr>
        <w:t>总报告和</w:t>
      </w:r>
      <w:r>
        <w:rPr>
          <w:rFonts w:hint="eastAsia" w:ascii="宋体" w:hAnsi="宋体" w:cs="宋体"/>
          <w:color w:val="auto"/>
          <w:sz w:val="24"/>
          <w:highlight w:val="none"/>
        </w:rPr>
        <w:t>科学决策报告</w:t>
      </w:r>
      <w:r>
        <w:rPr>
          <w:rFonts w:hint="eastAsia" w:ascii="宋体" w:hAnsi="宋体" w:cs="宋体"/>
          <w:color w:val="auto"/>
          <w:sz w:val="24"/>
          <w:highlight w:val="none"/>
          <w:lang w:eastAsia="zh-CN"/>
        </w:rPr>
        <w:t>。</w:t>
      </w:r>
    </w:p>
    <w:p w14:paraId="19B0213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桥梁永久观测点测设：对单孔跨径≥60米的桥梁或检测中若发现结构存在异常变形的桥梁进行永久观测点复核、测量，并和上一次观测数据进行对比，为桥梁运营过程中的变形分析提供数据资料，保障桥梁安全运营。</w:t>
      </w:r>
    </w:p>
    <w:p w14:paraId="4149F8D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（3）桥梁结构荷载验算和编制报告</w:t>
      </w:r>
      <w:r>
        <w:rPr>
          <w:rFonts w:hint="eastAsia" w:ascii="宋体" w:hAnsi="宋体" w:cs="宋体"/>
          <w:color w:val="auto"/>
          <w:sz w:val="24"/>
          <w:highlight w:val="none"/>
          <w:lang w:eastAsia="zh-CN"/>
        </w:rPr>
        <w:t>：</w:t>
      </w:r>
      <w:r>
        <w:rPr>
          <w:rFonts w:hint="eastAsia" w:ascii="宋体" w:hAnsi="宋体" w:cs="宋体"/>
          <w:color w:val="auto"/>
          <w:sz w:val="24"/>
          <w:highlight w:val="none"/>
        </w:rPr>
        <w:t>对进行桥梁外观检查及技术状况评定的桥梁，依据《公路桥梁承载能力检测评定规程》（JTG/T J21-2011）等相关要求对桥梁结构的承载能力进行验算。每座桥梁依据《公路桥涵设计通用规范》中荷载等级对应的车辆荷载车型，对其轴重按比例增减，计算通行的最高载重。在通行评价报告中需要明确承载能力验算结果及最高载重，编制通行评价报告</w:t>
      </w:r>
      <w:r>
        <w:rPr>
          <w:rFonts w:hint="eastAsia" w:ascii="宋体" w:hAnsi="宋体" w:cs="宋体"/>
          <w:color w:val="auto"/>
          <w:sz w:val="24"/>
          <w:highlight w:val="none"/>
          <w:lang w:eastAsia="zh-CN"/>
        </w:rPr>
        <w:t>，</w:t>
      </w:r>
      <w:r>
        <w:rPr>
          <w:rFonts w:hint="eastAsia" w:ascii="宋体" w:hAnsi="宋体" w:cs="宋体"/>
          <w:color w:val="auto"/>
          <w:sz w:val="24"/>
          <w:highlight w:val="none"/>
        </w:rPr>
        <w:t>在报告中提供承载能力计算及最高载重计算相关资料。</w:t>
      </w:r>
    </w:p>
    <w:p w14:paraId="3C77AF7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w:t>
      </w:r>
      <w:r>
        <w:rPr>
          <w:rFonts w:hint="eastAsia" w:ascii="宋体" w:hAnsi="宋体" w:cs="宋体"/>
          <w:color w:val="auto"/>
          <w:sz w:val="24"/>
          <w:highlight w:val="none"/>
          <w:lang w:eastAsia="zh-CN"/>
        </w:rPr>
        <w:t>设置涉水桥梁防洪标识和编制报告：按照交办公路函〔2025〕531号文附件</w:t>
      </w:r>
      <w:r>
        <w:rPr>
          <w:rFonts w:hint="eastAsia" w:ascii="宋体" w:hAnsi="宋体" w:cs="宋体"/>
          <w:color w:val="auto"/>
          <w:sz w:val="24"/>
          <w:highlight w:val="none"/>
          <w:lang w:val="en-US" w:eastAsia="zh-CN"/>
        </w:rPr>
        <w:t>5-2</w:t>
      </w:r>
      <w:r>
        <w:rPr>
          <w:rFonts w:hint="eastAsia" w:ascii="宋体" w:hAnsi="宋体" w:cs="宋体"/>
          <w:color w:val="auto"/>
          <w:sz w:val="24"/>
          <w:highlight w:val="none"/>
          <w:lang w:eastAsia="zh-CN"/>
        </w:rPr>
        <w:t>要求计算涉水桥梁历史最大洪水位、安全运行基准水位和设防警戒水位，复核已设置标识的涉水桥梁的防洪标识是否符合交办公路函〔2025〕531号文附件</w:t>
      </w:r>
      <w:r>
        <w:rPr>
          <w:rFonts w:hint="eastAsia" w:ascii="宋体" w:hAnsi="宋体" w:cs="宋体"/>
          <w:color w:val="auto"/>
          <w:sz w:val="24"/>
          <w:highlight w:val="none"/>
          <w:lang w:val="en-US" w:eastAsia="zh-CN"/>
        </w:rPr>
        <w:t>5-2</w:t>
      </w:r>
      <w:r>
        <w:rPr>
          <w:rFonts w:hint="eastAsia" w:ascii="宋体" w:hAnsi="宋体" w:cs="宋体"/>
          <w:color w:val="auto"/>
          <w:sz w:val="24"/>
          <w:highlight w:val="none"/>
          <w:lang w:eastAsia="zh-CN"/>
        </w:rPr>
        <w:t>要求，对不合格的防洪标识由供应商重新设置符合要求的钢质防洪标识，并编制涉水桥梁防洪标识设置报告</w:t>
      </w:r>
      <w:r>
        <w:rPr>
          <w:rFonts w:hint="eastAsia" w:ascii="宋体" w:hAnsi="宋体" w:cs="宋体"/>
          <w:color w:val="auto"/>
          <w:sz w:val="24"/>
          <w:highlight w:val="none"/>
        </w:rPr>
        <w:t>。</w:t>
      </w:r>
    </w:p>
    <w:p w14:paraId="25F64E3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）编制西江大桥</w:t>
      </w:r>
      <w:r>
        <w:rPr>
          <w:rFonts w:hint="eastAsia" w:ascii="宋体" w:hAnsi="宋体" w:cs="宋体"/>
          <w:color w:val="auto"/>
          <w:sz w:val="24"/>
          <w:highlight w:val="none"/>
          <w:lang w:eastAsia="zh-CN"/>
        </w:rPr>
        <w:t>运营</w:t>
      </w:r>
      <w:r>
        <w:rPr>
          <w:rFonts w:hint="eastAsia" w:ascii="宋体" w:hAnsi="宋体" w:cs="宋体"/>
          <w:color w:val="auto"/>
          <w:sz w:val="24"/>
          <w:highlight w:val="none"/>
        </w:rPr>
        <w:t>后评估报告</w:t>
      </w:r>
      <w:r>
        <w:rPr>
          <w:rFonts w:hint="eastAsia" w:ascii="宋体" w:hAnsi="宋体" w:cs="宋体"/>
          <w:color w:val="auto"/>
          <w:sz w:val="24"/>
          <w:highlight w:val="none"/>
          <w:lang w:eastAsia="zh-CN"/>
        </w:rPr>
        <w:t>（特大桥）</w:t>
      </w:r>
      <w:r>
        <w:rPr>
          <w:rFonts w:hint="eastAsia" w:ascii="宋体" w:hAnsi="宋体" w:cs="宋体"/>
          <w:color w:val="auto"/>
          <w:sz w:val="24"/>
          <w:highlight w:val="none"/>
        </w:rPr>
        <w:t>。</w:t>
      </w:r>
    </w:p>
    <w:p w14:paraId="64F3D80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）隧道检查</w:t>
      </w:r>
      <w:r>
        <w:rPr>
          <w:rFonts w:hint="eastAsia" w:ascii="宋体" w:hAnsi="宋体" w:cs="宋体"/>
          <w:color w:val="auto"/>
          <w:sz w:val="24"/>
          <w:highlight w:val="none"/>
          <w:lang w:eastAsia="zh-CN"/>
        </w:rPr>
        <w:t>评定和编制报告</w:t>
      </w:r>
      <w:r>
        <w:rPr>
          <w:rFonts w:hint="eastAsia" w:ascii="宋体" w:hAnsi="宋体" w:cs="宋体"/>
          <w:color w:val="auto"/>
          <w:sz w:val="24"/>
          <w:highlight w:val="none"/>
        </w:rPr>
        <w:t>：隧道检查的内容包括对隧道土建结构、机电设施、其他工程设施进行检查，并和上一次定期检查数据进行对比，对隧道总体技术状况进行评定。对进行外观检查及技术状况评定的</w:t>
      </w:r>
      <w:r>
        <w:rPr>
          <w:rFonts w:hint="eastAsia" w:ascii="宋体" w:hAnsi="宋体" w:cs="宋体"/>
          <w:color w:val="auto"/>
          <w:sz w:val="24"/>
          <w:highlight w:val="none"/>
          <w:lang w:eastAsia="zh-CN"/>
        </w:rPr>
        <w:t>隧道</w:t>
      </w:r>
      <w:r>
        <w:rPr>
          <w:rFonts w:hint="eastAsia" w:ascii="宋体" w:hAnsi="宋体" w:cs="宋体"/>
          <w:color w:val="auto"/>
          <w:sz w:val="24"/>
          <w:highlight w:val="none"/>
        </w:rPr>
        <w:t>，编制定检</w:t>
      </w:r>
      <w:r>
        <w:rPr>
          <w:rFonts w:hint="eastAsia" w:ascii="宋体" w:hAnsi="宋体" w:cs="宋体"/>
          <w:color w:val="auto"/>
          <w:sz w:val="24"/>
          <w:highlight w:val="none"/>
          <w:lang w:eastAsia="zh-CN"/>
        </w:rPr>
        <w:t>隧道总报告和</w:t>
      </w:r>
      <w:r>
        <w:rPr>
          <w:rFonts w:hint="eastAsia" w:ascii="宋体" w:hAnsi="宋体" w:cs="宋体"/>
          <w:color w:val="auto"/>
          <w:sz w:val="24"/>
          <w:highlight w:val="none"/>
        </w:rPr>
        <w:t>科学决策报告</w:t>
      </w:r>
      <w:r>
        <w:rPr>
          <w:rFonts w:hint="eastAsia" w:ascii="宋体" w:hAnsi="宋体" w:cs="宋体"/>
          <w:color w:val="auto"/>
          <w:sz w:val="24"/>
          <w:highlight w:val="none"/>
          <w:lang w:eastAsia="zh-CN"/>
        </w:rPr>
        <w:t>。</w:t>
      </w:r>
    </w:p>
    <w:p w14:paraId="6109A99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w:t>
      </w:r>
      <w:r>
        <w:rPr>
          <w:rFonts w:hint="eastAsia" w:ascii="宋体" w:hAnsi="宋体" w:cs="宋体"/>
          <w:color w:val="auto"/>
          <w:sz w:val="24"/>
          <w:highlight w:val="none"/>
          <w:lang w:eastAsia="zh-CN"/>
        </w:rPr>
        <w:t>编制大风坳隧道运营后评估报告（长隧道）</w:t>
      </w:r>
      <w:r>
        <w:rPr>
          <w:rFonts w:hint="eastAsia" w:ascii="宋体" w:hAnsi="宋体" w:cs="宋体"/>
          <w:color w:val="auto"/>
          <w:sz w:val="24"/>
          <w:highlight w:val="none"/>
        </w:rPr>
        <w:t>。</w:t>
      </w:r>
    </w:p>
    <w:p w14:paraId="0AEB95F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）桥梁</w:t>
      </w:r>
      <w:r>
        <w:rPr>
          <w:rFonts w:hint="eastAsia" w:ascii="宋体" w:hAnsi="宋体" w:cs="宋体"/>
          <w:color w:val="auto"/>
          <w:sz w:val="24"/>
          <w:highlight w:val="none"/>
          <w:lang w:eastAsia="zh-CN"/>
        </w:rPr>
        <w:t>、</w:t>
      </w:r>
      <w:r>
        <w:rPr>
          <w:rFonts w:hint="eastAsia" w:ascii="宋体" w:hAnsi="宋体" w:cs="宋体"/>
          <w:color w:val="auto"/>
          <w:sz w:val="24"/>
          <w:highlight w:val="none"/>
        </w:rPr>
        <w:t>隧道技术状况评定要求应严格按照现行《公路桥梁技术状况评定标准》（JTG/T H21-2011）、《公路技术状况评定标准》（JTG 5210—2018）、《公路隧道养护技术规范》（JTG H12—2015）、《国家公路网重点桥梁和隧道监测评价规程》（T/CECS G:E41-04—2019）等标准规范进行评定。</w:t>
      </w:r>
    </w:p>
    <w:p w14:paraId="2617F40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9</w:t>
      </w:r>
      <w:r>
        <w:rPr>
          <w:rFonts w:hint="eastAsia" w:ascii="宋体" w:hAnsi="宋体" w:cs="宋体"/>
          <w:color w:val="auto"/>
          <w:sz w:val="24"/>
          <w:highlight w:val="none"/>
        </w:rPr>
        <w:t>）根据检查结果整理检查材料，根据检查情况提出维修方案，对存在的桥梁、隧道病害提出维修或加固的建议，方案中要注明小修、中修、大修等类别。</w:t>
      </w:r>
    </w:p>
    <w:p w14:paraId="6E1DBAB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（10）协助采购人配合国家公路网重点桥梁和隧道监测检查</w:t>
      </w:r>
      <w:r>
        <w:rPr>
          <w:rFonts w:hint="eastAsia" w:ascii="宋体" w:hAnsi="宋体" w:cs="宋体"/>
          <w:color w:val="auto"/>
          <w:sz w:val="24"/>
          <w:highlight w:val="none"/>
          <w:lang w:eastAsia="zh-CN"/>
        </w:rPr>
        <w:t>，</w:t>
      </w:r>
      <w:r>
        <w:rPr>
          <w:rFonts w:hint="eastAsia" w:ascii="宋体" w:hAnsi="宋体" w:cs="宋体"/>
          <w:color w:val="auto"/>
          <w:sz w:val="24"/>
          <w:highlight w:val="none"/>
        </w:rPr>
        <w:t>期间</w:t>
      </w:r>
      <w:r>
        <w:rPr>
          <w:rFonts w:hint="eastAsia" w:ascii="宋体" w:hAnsi="宋体" w:cs="宋体"/>
          <w:color w:val="auto"/>
          <w:sz w:val="24"/>
          <w:highlight w:val="none"/>
          <w:lang w:eastAsia="zh-CN"/>
        </w:rPr>
        <w:t>供应商须做好提供合规</w:t>
      </w:r>
      <w:r>
        <w:rPr>
          <w:rFonts w:hint="eastAsia" w:ascii="宋体" w:hAnsi="宋体" w:cs="宋体"/>
          <w:color w:val="auto"/>
          <w:sz w:val="24"/>
          <w:highlight w:val="none"/>
        </w:rPr>
        <w:t>检测报告、</w:t>
      </w:r>
      <w:r>
        <w:rPr>
          <w:rFonts w:hint="eastAsia" w:ascii="宋体" w:hAnsi="宋体" w:cs="宋体"/>
          <w:color w:val="auto"/>
          <w:sz w:val="24"/>
          <w:highlight w:val="none"/>
          <w:lang w:eastAsia="zh-CN"/>
        </w:rPr>
        <w:t>配合</w:t>
      </w:r>
      <w:r>
        <w:rPr>
          <w:rFonts w:hint="eastAsia" w:ascii="宋体" w:hAnsi="宋体" w:cs="宋体"/>
          <w:color w:val="auto"/>
          <w:sz w:val="24"/>
          <w:highlight w:val="none"/>
        </w:rPr>
        <w:t>现场检测等相关工作要求。组织安排或聘请熟悉国家公路网重点桥梁和隧道监测业务的专家指导采购人做好迎检相关工作。</w:t>
      </w:r>
    </w:p>
    <w:p w14:paraId="5716099F">
      <w:pPr>
        <w:spacing w:line="360" w:lineRule="auto"/>
        <w:ind w:firstLine="404"/>
        <w:jc w:val="left"/>
        <w:rPr>
          <w:rFonts w:hint="eastAsia" w:ascii="宋体" w:hAnsi="宋体" w:cs="宋体"/>
          <w:color w:val="auto"/>
          <w:sz w:val="24"/>
          <w:highlight w:val="none"/>
        </w:rPr>
      </w:pPr>
      <w:r>
        <w:rPr>
          <w:rFonts w:hint="eastAsia" w:ascii="宋体" w:hAnsi="宋体" w:cs="宋体"/>
          <w:color w:val="auto"/>
          <w:spacing w:val="-8"/>
          <w:sz w:val="24"/>
          <w:highlight w:val="none"/>
        </w:rPr>
        <w:t>2</w:t>
      </w:r>
      <w:r>
        <w:rPr>
          <w:rFonts w:hint="eastAsia" w:ascii="宋体" w:hAnsi="宋体" w:cs="宋体"/>
          <w:color w:val="auto"/>
          <w:spacing w:val="-5"/>
          <w:sz w:val="24"/>
          <w:highlight w:val="none"/>
        </w:rPr>
        <w:t>．</w:t>
      </w:r>
      <w:r>
        <w:rPr>
          <w:rFonts w:hint="eastAsia" w:ascii="宋体" w:hAnsi="宋体" w:cs="宋体"/>
          <w:color w:val="auto"/>
          <w:spacing w:val="-4"/>
          <w:sz w:val="24"/>
          <w:highlight w:val="none"/>
        </w:rPr>
        <w:t>检测成果：</w:t>
      </w:r>
    </w:p>
    <w:p w14:paraId="1E3B00B7">
      <w:pPr>
        <w:spacing w:line="324"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eastAsia="zh-CN"/>
        </w:rPr>
        <w:t>采购桥梁（隧道）需提供盖章</w:t>
      </w:r>
      <w:r>
        <w:rPr>
          <w:rFonts w:hint="eastAsia" w:ascii="宋体" w:hAnsi="宋体" w:cs="宋体"/>
          <w:color w:val="auto"/>
          <w:sz w:val="24"/>
          <w:highlight w:val="none"/>
        </w:rPr>
        <w:t>纸质版</w:t>
      </w:r>
      <w:r>
        <w:rPr>
          <w:rFonts w:hint="eastAsia" w:ascii="宋体" w:hAnsi="宋体" w:cs="宋体"/>
          <w:color w:val="auto"/>
          <w:sz w:val="24"/>
          <w:highlight w:val="none"/>
          <w:lang w:eastAsia="zh-CN"/>
        </w:rPr>
        <w:t>和电子版报告，</w:t>
      </w:r>
      <w:r>
        <w:rPr>
          <w:rFonts w:hint="eastAsia" w:ascii="宋体" w:hAnsi="宋体" w:cs="宋体"/>
          <w:color w:val="auto"/>
          <w:sz w:val="24"/>
          <w:highlight w:val="none"/>
        </w:rPr>
        <w:t>每座桥梁</w:t>
      </w:r>
      <w:r>
        <w:rPr>
          <w:rFonts w:hint="eastAsia" w:ascii="宋体" w:hAnsi="宋体" w:cs="宋体"/>
          <w:color w:val="auto"/>
          <w:sz w:val="24"/>
          <w:highlight w:val="none"/>
          <w:lang w:eastAsia="zh-CN"/>
        </w:rPr>
        <w:t>（</w:t>
      </w:r>
      <w:r>
        <w:rPr>
          <w:rFonts w:hint="eastAsia" w:ascii="宋体" w:hAnsi="宋体" w:cs="宋体"/>
          <w:color w:val="auto"/>
          <w:sz w:val="24"/>
          <w:highlight w:val="none"/>
        </w:rPr>
        <w:t>隧道</w:t>
      </w:r>
      <w:r>
        <w:rPr>
          <w:rFonts w:hint="eastAsia" w:ascii="宋体" w:hAnsi="宋体" w:cs="宋体"/>
          <w:color w:val="auto"/>
          <w:sz w:val="24"/>
          <w:highlight w:val="none"/>
          <w:lang w:eastAsia="zh-CN"/>
        </w:rPr>
        <w:t>）</w:t>
      </w:r>
      <w:r>
        <w:rPr>
          <w:rFonts w:hint="eastAsia" w:ascii="宋体" w:hAnsi="宋体" w:cs="宋体"/>
          <w:color w:val="auto"/>
          <w:sz w:val="24"/>
          <w:highlight w:val="none"/>
        </w:rPr>
        <w:t>提交一式四份检测报告</w:t>
      </w:r>
      <w:r>
        <w:rPr>
          <w:rFonts w:hint="eastAsia" w:ascii="宋体" w:hAnsi="宋体" w:cs="宋体"/>
          <w:color w:val="auto"/>
          <w:sz w:val="24"/>
          <w:highlight w:val="none"/>
          <w:lang w:eastAsia="zh-CN"/>
        </w:rPr>
        <w:t>、水下结构检查报告和</w:t>
      </w:r>
      <w:r>
        <w:rPr>
          <w:rFonts w:hint="eastAsia" w:ascii="宋体" w:hAnsi="宋体" w:cs="宋体"/>
          <w:color w:val="auto"/>
          <w:sz w:val="24"/>
          <w:highlight w:val="none"/>
        </w:rPr>
        <w:t>桥梁结构荷载验算</w:t>
      </w:r>
      <w:r>
        <w:rPr>
          <w:rFonts w:hint="eastAsia" w:ascii="宋体" w:hAnsi="宋体" w:cs="宋体"/>
          <w:color w:val="auto"/>
          <w:sz w:val="24"/>
          <w:highlight w:val="none"/>
          <w:lang w:eastAsia="zh-CN"/>
        </w:rPr>
        <w:t>报告</w:t>
      </w:r>
      <w:r>
        <w:rPr>
          <w:rFonts w:hint="eastAsia" w:ascii="宋体" w:hAnsi="宋体" w:cs="宋体"/>
          <w:color w:val="auto"/>
          <w:sz w:val="24"/>
          <w:highlight w:val="none"/>
        </w:rPr>
        <w:t>，各出具四份桥梁</w:t>
      </w:r>
      <w:r>
        <w:rPr>
          <w:rFonts w:hint="eastAsia" w:ascii="宋体" w:hAnsi="宋体" w:cs="宋体"/>
          <w:color w:val="auto"/>
          <w:sz w:val="24"/>
          <w:highlight w:val="none"/>
          <w:lang w:eastAsia="zh-CN"/>
        </w:rPr>
        <w:t>（</w:t>
      </w:r>
      <w:r>
        <w:rPr>
          <w:rFonts w:hint="eastAsia" w:ascii="宋体" w:hAnsi="宋体" w:cs="宋体"/>
          <w:color w:val="auto"/>
          <w:sz w:val="24"/>
          <w:highlight w:val="none"/>
        </w:rPr>
        <w:t>隧道</w:t>
      </w:r>
      <w:r>
        <w:rPr>
          <w:rFonts w:hint="eastAsia" w:ascii="宋体" w:hAnsi="宋体" w:cs="宋体"/>
          <w:color w:val="auto"/>
          <w:sz w:val="24"/>
          <w:highlight w:val="none"/>
          <w:lang w:eastAsia="zh-CN"/>
        </w:rPr>
        <w:t>）</w:t>
      </w:r>
      <w:r>
        <w:rPr>
          <w:rFonts w:hint="eastAsia" w:ascii="宋体" w:hAnsi="宋体" w:cs="宋体"/>
          <w:color w:val="auto"/>
          <w:sz w:val="24"/>
          <w:highlight w:val="none"/>
        </w:rPr>
        <w:t>定期检测总报告</w:t>
      </w:r>
      <w:r>
        <w:rPr>
          <w:rFonts w:hint="eastAsia" w:ascii="宋体" w:hAnsi="宋体" w:cs="宋体"/>
          <w:color w:val="auto"/>
          <w:sz w:val="24"/>
          <w:highlight w:val="none"/>
          <w:lang w:eastAsia="zh-CN"/>
        </w:rPr>
        <w:t>和</w:t>
      </w:r>
      <w:r>
        <w:rPr>
          <w:rFonts w:hint="eastAsia" w:ascii="宋体" w:hAnsi="宋体" w:cs="宋体"/>
          <w:color w:val="auto"/>
          <w:sz w:val="24"/>
          <w:highlight w:val="none"/>
        </w:rPr>
        <w:t>桂东公路发展中心202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年-202</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年桥梁</w:t>
      </w:r>
      <w:r>
        <w:rPr>
          <w:rFonts w:hint="eastAsia" w:ascii="宋体" w:hAnsi="宋体" w:cs="宋体"/>
          <w:color w:val="auto"/>
          <w:sz w:val="24"/>
          <w:highlight w:val="none"/>
          <w:lang w:eastAsia="zh-CN"/>
        </w:rPr>
        <w:t>（</w:t>
      </w:r>
      <w:r>
        <w:rPr>
          <w:rFonts w:hint="eastAsia" w:ascii="宋体" w:hAnsi="宋体" w:cs="宋体"/>
          <w:color w:val="auto"/>
          <w:sz w:val="24"/>
          <w:highlight w:val="none"/>
        </w:rPr>
        <w:t>隧道</w:t>
      </w:r>
      <w:r>
        <w:rPr>
          <w:rFonts w:hint="eastAsia" w:ascii="宋体" w:hAnsi="宋体" w:cs="宋体"/>
          <w:color w:val="auto"/>
          <w:sz w:val="24"/>
          <w:highlight w:val="none"/>
          <w:lang w:eastAsia="zh-CN"/>
        </w:rPr>
        <w:t>）</w:t>
      </w:r>
      <w:r>
        <w:rPr>
          <w:rFonts w:hint="eastAsia" w:ascii="宋体" w:hAnsi="宋体" w:cs="宋体"/>
          <w:color w:val="auto"/>
          <w:sz w:val="24"/>
          <w:highlight w:val="none"/>
        </w:rPr>
        <w:t>养护科学决策报告。桥梁检测报告内容包括：桥梁基本状况卡片、桥梁定期检查记录表、桥梁技术状况评定表、典型缺损和病害的照片、结构线形测量、裂缝分布图、概况三张总体照片、主要病害原因分析、病害对比分析、桥梁的技术状况评定等级、结论与建议、良好构件现状照片、构件扣分明细。隧道定期检查应包括内容：概况和总体照片、隧道定期检查记录、隧道技术状况评定、典型缺损和病害的照片、病害汇总表、隧道病害展布图、机电现场检验数据表、主要病害原因分析、病害对比分析、隧道技术状况评定等级、结论与建议、扣分明细。</w:t>
      </w:r>
    </w:p>
    <w:p w14:paraId="1DDD6EFD">
      <w:pPr>
        <w:spacing w:line="324"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kern w:val="0"/>
          <w:sz w:val="24"/>
          <w:highlight w:val="none"/>
        </w:rPr>
        <w:t>将检测发现的病害录入相关的桥梁、隧道管理系统，按相关要求录入完善桥梁、隧道基础数据库信息，同时将检测报告PDF版（红章）上传相应系统；</w:t>
      </w:r>
    </w:p>
    <w:p w14:paraId="074AE0B4">
      <w:pPr>
        <w:spacing w:line="360" w:lineRule="auto"/>
        <w:ind w:firstLine="422"/>
        <w:jc w:val="left"/>
        <w:rPr>
          <w:rFonts w:hint="eastAsia" w:ascii="宋体" w:hAnsi="宋体" w:cs="宋体"/>
          <w:color w:val="auto"/>
          <w:sz w:val="24"/>
          <w:highlight w:val="none"/>
        </w:rPr>
      </w:pPr>
      <w:r>
        <w:rPr>
          <w:rFonts w:hint="eastAsia" w:ascii="宋体" w:hAnsi="宋体" w:cs="宋体"/>
          <w:color w:val="auto"/>
          <w:sz w:val="24"/>
          <w:highlight w:val="none"/>
        </w:rPr>
        <w:t>（3）提交检测报告盖章电子版一份及相关资料。</w:t>
      </w:r>
    </w:p>
    <w:p w14:paraId="14C3C5B8">
      <w:pPr>
        <w:spacing w:line="360" w:lineRule="auto"/>
        <w:ind w:firstLine="422"/>
        <w:jc w:val="left"/>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）检测、评定文件中选用的国家标准图、部标准图及地方标准图由</w:t>
      </w:r>
      <w:r>
        <w:rPr>
          <w:rFonts w:hint="eastAsia" w:ascii="宋体" w:hAnsi="宋体" w:cs="宋体"/>
          <w:color w:val="auto"/>
          <w:sz w:val="24"/>
          <w:highlight w:val="none"/>
          <w:lang w:val="en-US" w:eastAsia="zh-CN"/>
        </w:rPr>
        <w:t>乙方</w:t>
      </w:r>
      <w:r>
        <w:rPr>
          <w:rFonts w:hint="eastAsia" w:ascii="宋体" w:hAnsi="宋体" w:cs="宋体"/>
          <w:color w:val="auto"/>
          <w:sz w:val="24"/>
          <w:highlight w:val="none"/>
        </w:rPr>
        <w:t>负责解决。。</w:t>
      </w:r>
    </w:p>
    <w:p w14:paraId="493E5FC4">
      <w:pPr>
        <w:spacing w:line="360" w:lineRule="auto"/>
        <w:ind w:firstLine="414"/>
        <w:jc w:val="left"/>
        <w:rPr>
          <w:rFonts w:hint="eastAsia" w:ascii="宋体" w:hAnsi="宋体" w:cs="宋体"/>
          <w:b/>
          <w:bCs/>
          <w:color w:val="auto"/>
          <w:spacing w:val="-3"/>
          <w:sz w:val="24"/>
          <w:highlight w:val="none"/>
        </w:rPr>
      </w:pPr>
      <w:r>
        <w:rPr>
          <w:rFonts w:hint="eastAsia" w:ascii="宋体" w:hAnsi="宋体" w:cs="宋体"/>
          <w:b/>
          <w:bCs/>
          <w:color w:val="auto"/>
          <w:spacing w:val="-3"/>
          <w:sz w:val="24"/>
          <w:highlight w:val="none"/>
        </w:rPr>
        <w:t>第三条  检测成果资料</w:t>
      </w:r>
    </w:p>
    <w:p w14:paraId="78ECC555">
      <w:pPr>
        <w:spacing w:line="360" w:lineRule="auto"/>
        <w:ind w:firstLine="412"/>
        <w:jc w:val="left"/>
        <w:rPr>
          <w:rFonts w:hint="eastAsia" w:ascii="宋体" w:hAnsi="宋体" w:cs="宋体"/>
          <w:color w:val="auto"/>
          <w:sz w:val="24"/>
          <w:highlight w:val="none"/>
        </w:rPr>
      </w:pPr>
      <w:r>
        <w:rPr>
          <w:rFonts w:hint="eastAsia" w:ascii="宋体" w:hAnsi="宋体" w:cs="宋体"/>
          <w:color w:val="auto"/>
          <w:spacing w:val="-4"/>
          <w:sz w:val="24"/>
          <w:highlight w:val="none"/>
        </w:rPr>
        <w:t>乙方应按照本合同的相关约定</w:t>
      </w:r>
      <w:r>
        <w:rPr>
          <w:rFonts w:hint="eastAsia" w:ascii="宋体" w:hAnsi="宋体" w:cs="宋体"/>
          <w:color w:val="auto"/>
          <w:spacing w:val="-2"/>
          <w:sz w:val="24"/>
          <w:highlight w:val="none"/>
        </w:rPr>
        <w:t>向甲方提交检测成果资料，并对检测成果资料的质量负责。乙方应向</w:t>
      </w:r>
      <w:r>
        <w:rPr>
          <w:rFonts w:hint="eastAsia" w:ascii="宋体" w:hAnsi="宋体" w:cs="宋体"/>
          <w:color w:val="auto"/>
          <w:spacing w:val="-4"/>
          <w:sz w:val="24"/>
          <w:highlight w:val="none"/>
        </w:rPr>
        <w:t>甲方提供正</w:t>
      </w:r>
      <w:r>
        <w:rPr>
          <w:rFonts w:hint="eastAsia" w:ascii="宋体" w:hAnsi="宋体" w:cs="宋体"/>
          <w:color w:val="auto"/>
          <w:spacing w:val="-2"/>
          <w:sz w:val="24"/>
          <w:highlight w:val="none"/>
        </w:rPr>
        <w:t>式纸质版检测报告文件肆份。</w:t>
      </w:r>
    </w:p>
    <w:p w14:paraId="2E5B33A2">
      <w:pPr>
        <w:spacing w:line="360" w:lineRule="auto"/>
        <w:ind w:firstLine="414"/>
        <w:jc w:val="left"/>
        <w:rPr>
          <w:rFonts w:hint="eastAsia" w:ascii="宋体" w:hAnsi="宋体" w:cs="宋体"/>
          <w:b/>
          <w:bCs/>
          <w:color w:val="auto"/>
          <w:spacing w:val="-3"/>
          <w:sz w:val="24"/>
          <w:highlight w:val="none"/>
        </w:rPr>
      </w:pPr>
      <w:r>
        <w:rPr>
          <w:rFonts w:hint="eastAsia" w:ascii="宋体" w:hAnsi="宋体" w:cs="宋体"/>
          <w:b/>
          <w:bCs/>
          <w:color w:val="auto"/>
          <w:spacing w:val="-3"/>
          <w:sz w:val="24"/>
          <w:highlight w:val="none"/>
        </w:rPr>
        <w:t>第四条  检测工作费用与支付方式</w:t>
      </w:r>
    </w:p>
    <w:p w14:paraId="7BD89B19">
      <w:pPr>
        <w:spacing w:line="360" w:lineRule="auto"/>
        <w:ind w:firstLine="448"/>
        <w:jc w:val="left"/>
        <w:rPr>
          <w:rFonts w:hint="eastAsia" w:ascii="宋体" w:hAnsi="宋体" w:cs="宋体"/>
          <w:color w:val="auto"/>
          <w:sz w:val="24"/>
          <w:highlight w:val="none"/>
        </w:rPr>
      </w:pPr>
      <w:r>
        <w:rPr>
          <w:rFonts w:hint="eastAsia" w:ascii="宋体" w:hAnsi="宋体" w:cs="宋体"/>
          <w:b/>
          <w:bCs/>
          <w:color w:val="auto"/>
          <w:spacing w:val="-3"/>
          <w:sz w:val="24"/>
          <w:highlight w:val="none"/>
        </w:rPr>
        <w:t>(一)本检测工作费用实行总价包干：</w:t>
      </w:r>
      <w:r>
        <w:rPr>
          <w:rFonts w:hint="eastAsia" w:ascii="宋体" w:hAnsi="宋体" w:cs="宋体"/>
          <w:color w:val="auto"/>
          <w:spacing w:val="7"/>
          <w:sz w:val="24"/>
          <w:highlight w:val="none"/>
        </w:rPr>
        <w:t>投标(合同)报价清单中所列的检测数量为完成该项目检测</w:t>
      </w:r>
      <w:r>
        <w:rPr>
          <w:rFonts w:hint="eastAsia" w:ascii="宋体" w:hAnsi="宋体" w:cs="宋体"/>
          <w:color w:val="auto"/>
          <w:spacing w:val="-4"/>
          <w:sz w:val="24"/>
          <w:highlight w:val="none"/>
        </w:rPr>
        <w:t>工</w:t>
      </w:r>
      <w:r>
        <w:rPr>
          <w:rFonts w:hint="eastAsia" w:ascii="宋体" w:hAnsi="宋体" w:cs="宋体"/>
          <w:color w:val="auto"/>
          <w:spacing w:val="-3"/>
          <w:sz w:val="24"/>
          <w:highlight w:val="none"/>
        </w:rPr>
        <w:t>作</w:t>
      </w:r>
      <w:r>
        <w:rPr>
          <w:rFonts w:hint="eastAsia" w:ascii="宋体" w:hAnsi="宋体" w:cs="宋体"/>
          <w:color w:val="auto"/>
          <w:spacing w:val="-2"/>
          <w:sz w:val="24"/>
          <w:highlight w:val="none"/>
        </w:rPr>
        <w:t>内容的最低要求；若甲方要求增加检测数量或检测项目，增加数量的费用按投标(合同)报价清单</w:t>
      </w:r>
      <w:r>
        <w:rPr>
          <w:rFonts w:hint="eastAsia" w:ascii="宋体" w:hAnsi="宋体" w:cs="宋体"/>
          <w:color w:val="auto"/>
          <w:spacing w:val="1"/>
          <w:sz w:val="24"/>
          <w:highlight w:val="none"/>
        </w:rPr>
        <w:t>中的相应项目单价</w:t>
      </w:r>
      <w:r>
        <w:rPr>
          <w:rFonts w:hint="eastAsia" w:ascii="宋体" w:hAnsi="宋体" w:cs="宋体"/>
          <w:color w:val="auto"/>
          <w:sz w:val="24"/>
          <w:highlight w:val="none"/>
        </w:rPr>
        <w:t>或参照广西壮族自治区物价局桂价费〔2008〕117号文</w:t>
      </w:r>
      <w:r>
        <w:rPr>
          <w:rFonts w:hint="eastAsia" w:ascii="宋体" w:hAnsi="宋体" w:cs="宋体"/>
          <w:color w:val="auto"/>
          <w:spacing w:val="8"/>
          <w:sz w:val="24"/>
          <w:highlight w:val="none"/>
        </w:rPr>
        <w:t>件相关</w:t>
      </w:r>
      <w:r>
        <w:rPr>
          <w:rFonts w:hint="eastAsia" w:ascii="宋体" w:hAnsi="宋体" w:cs="宋体"/>
          <w:color w:val="auto"/>
          <w:spacing w:val="7"/>
          <w:sz w:val="24"/>
          <w:highlight w:val="none"/>
        </w:rPr>
        <w:t>条</w:t>
      </w:r>
      <w:r>
        <w:rPr>
          <w:rFonts w:hint="eastAsia" w:ascii="宋体" w:hAnsi="宋体" w:cs="宋体"/>
          <w:color w:val="auto"/>
          <w:spacing w:val="4"/>
          <w:sz w:val="24"/>
          <w:highlight w:val="none"/>
        </w:rPr>
        <w:t>款(增加检测项目时)进行计价结算。</w:t>
      </w:r>
    </w:p>
    <w:p w14:paraId="3FC318B3">
      <w:pPr>
        <w:spacing w:line="360" w:lineRule="auto"/>
        <w:ind w:firstLine="408"/>
        <w:jc w:val="left"/>
        <w:rPr>
          <w:rFonts w:hint="eastAsia" w:ascii="宋体" w:hAnsi="宋体" w:cs="宋体"/>
          <w:color w:val="auto"/>
          <w:sz w:val="24"/>
          <w:highlight w:val="none"/>
        </w:rPr>
      </w:pPr>
      <w:r>
        <w:rPr>
          <w:rFonts w:hint="eastAsia" w:ascii="宋体" w:hAnsi="宋体" w:cs="宋体"/>
          <w:color w:val="auto"/>
          <w:spacing w:val="-6"/>
          <w:sz w:val="24"/>
          <w:highlight w:val="none"/>
        </w:rPr>
        <w:t>(二)该检测工</w:t>
      </w:r>
      <w:r>
        <w:rPr>
          <w:rFonts w:hint="eastAsia" w:ascii="宋体" w:hAnsi="宋体" w:cs="宋体"/>
          <w:color w:val="auto"/>
          <w:spacing w:val="-4"/>
          <w:sz w:val="24"/>
          <w:highlight w:val="none"/>
        </w:rPr>
        <w:t>作</w:t>
      </w:r>
      <w:r>
        <w:rPr>
          <w:rFonts w:hint="eastAsia" w:ascii="宋体" w:hAnsi="宋体" w:cs="宋体"/>
          <w:color w:val="auto"/>
          <w:spacing w:val="-3"/>
          <w:sz w:val="24"/>
          <w:highlight w:val="none"/>
        </w:rPr>
        <w:t>总费用为人民币大写：</w:t>
      </w:r>
      <w:r>
        <w:rPr>
          <w:rFonts w:hint="eastAsia" w:ascii="宋体" w:hAnsi="宋体" w:cs="宋体"/>
          <w:color w:val="auto"/>
          <w:spacing w:val="-3"/>
          <w:sz w:val="24"/>
          <w:highlight w:val="none"/>
          <w:u w:val="singl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元)，本合同增值税税率为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%，不含税合同金额为人民币</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元），税金为人民币</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w:t>
      </w:r>
      <w:r>
        <w:rPr>
          <w:rFonts w:hint="eastAsia" w:ascii="宋体" w:hAnsi="宋体" w:cs="宋体"/>
          <w:color w:val="auto"/>
          <w:spacing w:val="-3"/>
          <w:sz w:val="24"/>
          <w:highlight w:val="none"/>
        </w:rPr>
        <w:t>总费用包含国家</w:t>
      </w:r>
      <w:r>
        <w:rPr>
          <w:rFonts w:hint="eastAsia" w:ascii="宋体" w:hAnsi="宋体" w:cs="宋体"/>
          <w:color w:val="auto"/>
          <w:spacing w:val="-5"/>
          <w:sz w:val="24"/>
          <w:highlight w:val="none"/>
        </w:rPr>
        <w:t>和地方政府规定缴纳的增值税、</w:t>
      </w:r>
      <w:r>
        <w:rPr>
          <w:rFonts w:hint="eastAsia" w:ascii="宋体" w:hAnsi="宋体" w:cs="宋体"/>
          <w:color w:val="auto"/>
          <w:spacing w:val="-5"/>
          <w:sz w:val="24"/>
          <w:highlight w:val="none"/>
          <w:lang w:eastAsia="zh-CN"/>
        </w:rPr>
        <w:t>城市维护建设税</w:t>
      </w:r>
      <w:r>
        <w:rPr>
          <w:rFonts w:hint="eastAsia" w:ascii="宋体" w:hAnsi="宋体" w:cs="宋体"/>
          <w:color w:val="auto"/>
          <w:spacing w:val="-5"/>
          <w:sz w:val="24"/>
          <w:highlight w:val="none"/>
        </w:rPr>
        <w:t>、教育费附加、地方教育费附加、保险金、材料、人工、</w:t>
      </w:r>
      <w:r>
        <w:rPr>
          <w:rFonts w:hint="eastAsia" w:ascii="宋体" w:hAnsi="宋体" w:cs="宋体"/>
          <w:color w:val="auto"/>
          <w:spacing w:val="-1"/>
          <w:sz w:val="24"/>
          <w:highlight w:val="none"/>
        </w:rPr>
        <w:t>机</w:t>
      </w:r>
      <w:r>
        <w:rPr>
          <w:rFonts w:hint="eastAsia" w:ascii="宋体" w:hAnsi="宋体" w:cs="宋体"/>
          <w:color w:val="auto"/>
          <w:sz w:val="24"/>
          <w:highlight w:val="none"/>
        </w:rPr>
        <w:t>械、安全设施、检测车辆通行等一切与本项目有关的全部税款和费用。</w:t>
      </w:r>
    </w:p>
    <w:p w14:paraId="3A97665E">
      <w:pPr>
        <w:spacing w:line="360" w:lineRule="auto"/>
        <w:ind w:firstLine="422"/>
        <w:jc w:val="left"/>
        <w:rPr>
          <w:rFonts w:hint="eastAsia" w:ascii="宋体" w:hAnsi="宋体" w:cs="宋体"/>
          <w:color w:val="auto"/>
          <w:sz w:val="24"/>
          <w:highlight w:val="none"/>
        </w:rPr>
      </w:pPr>
      <w:r>
        <w:rPr>
          <w:rFonts w:hint="eastAsia" w:ascii="宋体" w:hAnsi="宋体" w:cs="宋体"/>
          <w:color w:val="auto"/>
          <w:spacing w:val="1"/>
          <w:sz w:val="24"/>
          <w:highlight w:val="none"/>
        </w:rPr>
        <w:t>(三)</w:t>
      </w:r>
      <w:r>
        <w:rPr>
          <w:rFonts w:hint="eastAsia" w:ascii="宋体" w:hAnsi="宋体" w:cs="宋体"/>
          <w:color w:val="auto"/>
          <w:sz w:val="24"/>
          <w:highlight w:val="none"/>
        </w:rPr>
        <w:t>支付方式为</w:t>
      </w:r>
      <w:r>
        <w:rPr>
          <w:rFonts w:hint="eastAsia" w:ascii="宋体" w:hAnsi="宋体" w:cs="宋体"/>
          <w:color w:val="auto"/>
          <w:sz w:val="24"/>
          <w:highlight w:val="none"/>
          <w:lang w:eastAsia="zh-CN"/>
        </w:rPr>
        <w:t>银行转账</w:t>
      </w:r>
      <w:r>
        <w:rPr>
          <w:rFonts w:hint="eastAsia" w:ascii="宋体" w:hAnsi="宋体" w:cs="宋体"/>
          <w:color w:val="auto"/>
          <w:sz w:val="24"/>
          <w:highlight w:val="none"/>
        </w:rPr>
        <w:t>：乙方进行外业检测工作之日起 5 日内，甲方向乙方支付检测工作总费</w:t>
      </w:r>
      <w:r>
        <w:rPr>
          <w:rFonts w:hint="eastAsia" w:ascii="宋体" w:hAnsi="宋体" w:cs="宋体"/>
          <w:color w:val="auto"/>
          <w:spacing w:val="1"/>
          <w:sz w:val="24"/>
          <w:highlight w:val="none"/>
        </w:rPr>
        <w:t>用的50%作为</w:t>
      </w:r>
      <w:r>
        <w:rPr>
          <w:rFonts w:hint="eastAsia" w:ascii="宋体" w:hAnsi="宋体" w:cs="宋体"/>
          <w:color w:val="auto"/>
          <w:sz w:val="24"/>
          <w:highlight w:val="none"/>
        </w:rPr>
        <w:t>现场检测周转经费；乙方按合同约定完成检测工作并向甲方提交合格的检测成果资料及完税发票</w:t>
      </w:r>
      <w:r>
        <w:rPr>
          <w:rFonts w:hint="eastAsia" w:ascii="宋体" w:hAnsi="宋体" w:cs="宋体"/>
          <w:color w:val="auto"/>
          <w:spacing w:val="-15"/>
          <w:sz w:val="24"/>
          <w:highlight w:val="none"/>
        </w:rPr>
        <w:t>之</w:t>
      </w:r>
      <w:r>
        <w:rPr>
          <w:rFonts w:hint="eastAsia" w:ascii="宋体" w:hAnsi="宋体" w:cs="宋体"/>
          <w:color w:val="auto"/>
          <w:spacing w:val="-8"/>
          <w:sz w:val="24"/>
          <w:highlight w:val="none"/>
        </w:rPr>
        <w:t>日起 7 日内，甲方向乙方一次性付清剩余检测费。</w:t>
      </w:r>
    </w:p>
    <w:p w14:paraId="5D3EE7BB">
      <w:pPr>
        <w:spacing w:line="360" w:lineRule="auto"/>
        <w:ind w:firstLine="414"/>
        <w:jc w:val="left"/>
        <w:rPr>
          <w:rFonts w:hint="eastAsia" w:ascii="宋体" w:hAnsi="宋体" w:cs="宋体"/>
          <w:b/>
          <w:bCs/>
          <w:color w:val="auto"/>
          <w:spacing w:val="-3"/>
          <w:sz w:val="24"/>
          <w:highlight w:val="none"/>
        </w:rPr>
      </w:pPr>
      <w:r>
        <w:rPr>
          <w:rFonts w:hint="eastAsia" w:ascii="宋体" w:hAnsi="宋体" w:cs="宋体"/>
          <w:b/>
          <w:bCs/>
          <w:color w:val="auto"/>
          <w:spacing w:val="-3"/>
          <w:sz w:val="24"/>
          <w:highlight w:val="none"/>
        </w:rPr>
        <w:t>第五条  完成检测工作时间要求</w:t>
      </w:r>
    </w:p>
    <w:p w14:paraId="514CEAFE">
      <w:pPr>
        <w:spacing w:line="360" w:lineRule="auto"/>
        <w:ind w:firstLine="428"/>
        <w:jc w:val="left"/>
        <w:rPr>
          <w:rFonts w:hint="eastAsia" w:ascii="宋体" w:hAnsi="宋体" w:cs="宋体"/>
          <w:color w:val="auto"/>
          <w:sz w:val="24"/>
          <w:highlight w:val="none"/>
        </w:rPr>
      </w:pPr>
      <w:r>
        <w:rPr>
          <w:rFonts w:hint="eastAsia" w:ascii="宋体" w:hAnsi="宋体" w:cs="宋体"/>
          <w:color w:val="auto"/>
          <w:spacing w:val="4"/>
          <w:sz w:val="24"/>
          <w:highlight w:val="none"/>
        </w:rPr>
        <w:t>(一)签订合同后，</w:t>
      </w:r>
      <w:r>
        <w:rPr>
          <w:rFonts w:hint="eastAsia" w:ascii="宋体" w:hAnsi="宋体" w:cs="宋体"/>
          <w:color w:val="auto"/>
          <w:spacing w:val="2"/>
          <w:sz w:val="24"/>
          <w:highlight w:val="none"/>
        </w:rPr>
        <w:t>乙方应立即开展检测前的准备工作，准备相关检测仪器设备，并于合同签订之</w:t>
      </w:r>
      <w:r>
        <w:rPr>
          <w:rFonts w:hint="eastAsia" w:ascii="宋体" w:hAnsi="宋体" w:cs="宋体"/>
          <w:color w:val="auto"/>
          <w:spacing w:val="-10"/>
          <w:sz w:val="24"/>
          <w:highlight w:val="none"/>
        </w:rPr>
        <w:t xml:space="preserve">日起 7 </w:t>
      </w:r>
      <w:r>
        <w:rPr>
          <w:rFonts w:hint="eastAsia" w:ascii="宋体" w:hAnsi="宋体" w:cs="宋体"/>
          <w:color w:val="auto"/>
          <w:spacing w:val="-7"/>
          <w:sz w:val="24"/>
          <w:highlight w:val="none"/>
        </w:rPr>
        <w:t>天</w:t>
      </w:r>
      <w:r>
        <w:rPr>
          <w:rFonts w:hint="eastAsia" w:ascii="宋体" w:hAnsi="宋体" w:cs="宋体"/>
          <w:color w:val="auto"/>
          <w:spacing w:val="-5"/>
          <w:sz w:val="24"/>
          <w:highlight w:val="none"/>
        </w:rPr>
        <w:t>内向甲方提交检测开工的书面申请报告、检测进度计划，待甲方审批后方可开展检测工作。</w:t>
      </w:r>
    </w:p>
    <w:p w14:paraId="0EDFE7FF">
      <w:pPr>
        <w:spacing w:line="360" w:lineRule="auto"/>
        <w:ind w:firstLine="412"/>
        <w:jc w:val="left"/>
        <w:rPr>
          <w:rFonts w:hint="eastAsia" w:ascii="宋体" w:hAnsi="宋体" w:cs="宋体"/>
          <w:color w:val="auto"/>
          <w:sz w:val="24"/>
          <w:highlight w:val="none"/>
        </w:rPr>
      </w:pPr>
      <w:r>
        <w:rPr>
          <w:rFonts w:hint="eastAsia" w:ascii="宋体" w:hAnsi="宋体" w:cs="宋体"/>
          <w:color w:val="auto"/>
          <w:spacing w:val="-4"/>
          <w:sz w:val="24"/>
          <w:highlight w:val="none"/>
        </w:rPr>
        <w:t>(二)</w:t>
      </w:r>
      <w:r>
        <w:rPr>
          <w:rFonts w:hint="eastAsia" w:ascii="宋体" w:hAnsi="宋体" w:cs="宋体"/>
          <w:color w:val="auto"/>
          <w:spacing w:val="-3"/>
          <w:sz w:val="24"/>
          <w:highlight w:val="none"/>
        </w:rPr>
        <w:t>自</w:t>
      </w:r>
      <w:r>
        <w:rPr>
          <w:rFonts w:hint="eastAsia" w:ascii="宋体" w:hAnsi="宋体" w:cs="宋体"/>
          <w:color w:val="auto"/>
          <w:spacing w:val="-2"/>
          <w:sz w:val="24"/>
          <w:highlight w:val="none"/>
        </w:rPr>
        <w:t xml:space="preserve">合同签订之日起，乙方须在 </w:t>
      </w:r>
      <w:r>
        <w:rPr>
          <w:rFonts w:hint="eastAsia" w:ascii="宋体" w:hAnsi="宋体" w:cs="宋体"/>
          <w:b/>
          <w:bCs/>
          <w:color w:val="auto"/>
          <w:spacing w:val="-3"/>
          <w:sz w:val="24"/>
          <w:highlight w:val="none"/>
          <w:u w:val="single"/>
        </w:rPr>
        <w:t xml:space="preserve">90日历天内 </w:t>
      </w:r>
      <w:r>
        <w:rPr>
          <w:rFonts w:hint="eastAsia" w:ascii="宋体" w:hAnsi="宋体" w:cs="宋体"/>
          <w:color w:val="auto"/>
          <w:spacing w:val="-2"/>
          <w:sz w:val="24"/>
          <w:highlight w:val="none"/>
        </w:rPr>
        <w:t>(不包括公路主管部门、机构通知停工、封路的时</w:t>
      </w:r>
      <w:r>
        <w:rPr>
          <w:rFonts w:hint="eastAsia" w:ascii="宋体" w:hAnsi="宋体" w:cs="宋体"/>
          <w:color w:val="auto"/>
          <w:spacing w:val="-8"/>
          <w:sz w:val="24"/>
          <w:highlight w:val="none"/>
        </w:rPr>
        <w:t>间等)</w:t>
      </w:r>
      <w:r>
        <w:rPr>
          <w:rFonts w:hint="eastAsia" w:ascii="宋体" w:hAnsi="宋体" w:cs="宋体"/>
          <w:color w:val="auto"/>
          <w:spacing w:val="-4"/>
          <w:sz w:val="24"/>
          <w:highlight w:val="none"/>
        </w:rPr>
        <w:t>完成本合同约定的各项工作任务，并向甲方提供符合要求的检测报告、针对存在的质量问题提出</w:t>
      </w:r>
      <w:r>
        <w:rPr>
          <w:rFonts w:hint="eastAsia" w:ascii="宋体" w:hAnsi="宋体" w:cs="宋体"/>
          <w:color w:val="auto"/>
          <w:spacing w:val="-1"/>
          <w:sz w:val="24"/>
          <w:highlight w:val="none"/>
        </w:rPr>
        <w:t>建议性的处治意见。提交服务成果后的1年内，应对项目范围内的桥梁、隧道的维护管理提供技术咨询服务。</w:t>
      </w:r>
    </w:p>
    <w:p w14:paraId="3ED3CD52">
      <w:pPr>
        <w:spacing w:line="360" w:lineRule="auto"/>
        <w:ind w:firstLine="414"/>
        <w:jc w:val="left"/>
        <w:rPr>
          <w:rFonts w:hint="eastAsia" w:ascii="宋体" w:hAnsi="宋体" w:cs="宋体"/>
          <w:b/>
          <w:bCs/>
          <w:color w:val="auto"/>
          <w:spacing w:val="-3"/>
          <w:sz w:val="24"/>
          <w:highlight w:val="none"/>
        </w:rPr>
      </w:pPr>
      <w:r>
        <w:rPr>
          <w:rFonts w:hint="eastAsia" w:ascii="宋体" w:hAnsi="宋体" w:cs="宋体"/>
          <w:b/>
          <w:bCs/>
          <w:color w:val="auto"/>
          <w:spacing w:val="-3"/>
          <w:sz w:val="24"/>
          <w:highlight w:val="none"/>
        </w:rPr>
        <w:t>第六条  检测质量标准</w:t>
      </w:r>
    </w:p>
    <w:p w14:paraId="5E7898A8">
      <w:pPr>
        <w:spacing w:line="360" w:lineRule="auto"/>
        <w:ind w:firstLine="428"/>
        <w:jc w:val="left"/>
        <w:rPr>
          <w:rFonts w:hint="eastAsia" w:ascii="宋体" w:hAnsi="宋体" w:cs="宋体"/>
          <w:color w:val="auto"/>
          <w:sz w:val="24"/>
          <w:highlight w:val="none"/>
        </w:rPr>
      </w:pPr>
      <w:r>
        <w:rPr>
          <w:rFonts w:hint="eastAsia" w:ascii="宋体" w:hAnsi="宋体" w:cs="宋体"/>
          <w:color w:val="auto"/>
          <w:spacing w:val="4"/>
          <w:sz w:val="24"/>
          <w:highlight w:val="none"/>
        </w:rPr>
        <w:t>(一)检测质量标</w:t>
      </w:r>
      <w:r>
        <w:rPr>
          <w:rFonts w:hint="eastAsia" w:ascii="宋体" w:hAnsi="宋体" w:cs="宋体"/>
          <w:color w:val="auto"/>
          <w:spacing w:val="2"/>
          <w:sz w:val="24"/>
          <w:highlight w:val="none"/>
        </w:rPr>
        <w:t>准：</w:t>
      </w:r>
      <w:r>
        <w:rPr>
          <w:rFonts w:hint="eastAsia" w:ascii="宋体" w:hAnsi="宋体" w:cs="宋体"/>
          <w:color w:val="auto"/>
          <w:spacing w:val="4"/>
          <w:sz w:val="24"/>
          <w:highlight w:val="none"/>
        </w:rPr>
        <w:t>符合国家规定的标准和现行技术规范、规程要求</w:t>
      </w:r>
      <w:r>
        <w:rPr>
          <w:rFonts w:hint="eastAsia" w:ascii="宋体" w:hAnsi="宋体" w:cs="宋体"/>
          <w:color w:val="auto"/>
          <w:spacing w:val="2"/>
          <w:sz w:val="24"/>
          <w:highlight w:val="none"/>
        </w:rPr>
        <w:t>。</w:t>
      </w:r>
    </w:p>
    <w:p w14:paraId="53854503">
      <w:pPr>
        <w:spacing w:line="360" w:lineRule="auto"/>
        <w:ind w:firstLine="428"/>
        <w:jc w:val="left"/>
        <w:rPr>
          <w:rFonts w:hint="eastAsia" w:ascii="宋体" w:hAnsi="宋体" w:cs="宋体"/>
          <w:color w:val="auto"/>
          <w:spacing w:val="-9"/>
          <w:sz w:val="24"/>
          <w:highlight w:val="none"/>
        </w:rPr>
      </w:pPr>
      <w:r>
        <w:rPr>
          <w:rFonts w:hint="eastAsia" w:ascii="宋体" w:hAnsi="宋体" w:cs="宋体"/>
          <w:color w:val="auto"/>
          <w:spacing w:val="4"/>
          <w:sz w:val="24"/>
          <w:highlight w:val="none"/>
        </w:rPr>
        <w:t>(二)检测质量要</w:t>
      </w:r>
      <w:r>
        <w:rPr>
          <w:rFonts w:hint="eastAsia" w:ascii="宋体" w:hAnsi="宋体" w:cs="宋体"/>
          <w:color w:val="auto"/>
          <w:spacing w:val="3"/>
          <w:sz w:val="24"/>
          <w:highlight w:val="none"/>
        </w:rPr>
        <w:t>求</w:t>
      </w:r>
      <w:r>
        <w:rPr>
          <w:rFonts w:hint="eastAsia" w:ascii="宋体" w:hAnsi="宋体" w:cs="宋体"/>
          <w:color w:val="auto"/>
          <w:spacing w:val="2"/>
          <w:sz w:val="24"/>
          <w:highlight w:val="none"/>
        </w:rPr>
        <w:t>：</w:t>
      </w:r>
      <w:bookmarkStart w:id="141" w:name="OLE_LINK5"/>
      <w:r>
        <w:rPr>
          <w:rFonts w:hint="eastAsia" w:ascii="宋体" w:hAnsi="宋体" w:cs="宋体"/>
          <w:color w:val="auto"/>
          <w:spacing w:val="2"/>
          <w:sz w:val="24"/>
          <w:highlight w:val="none"/>
        </w:rPr>
        <w:t>全面、真实反映本合同约定检测的桥梁、隧道的实际工作状态，判断桥梁、隧道的</w:t>
      </w:r>
      <w:r>
        <w:rPr>
          <w:rFonts w:hint="eastAsia" w:ascii="宋体" w:hAnsi="宋体" w:cs="宋体"/>
          <w:color w:val="auto"/>
          <w:spacing w:val="-2"/>
          <w:sz w:val="24"/>
          <w:highlight w:val="none"/>
        </w:rPr>
        <w:t>整体结构的安全稳定性</w:t>
      </w:r>
      <w:bookmarkEnd w:id="141"/>
      <w:r>
        <w:rPr>
          <w:rFonts w:hint="eastAsia" w:ascii="宋体" w:hAnsi="宋体" w:cs="宋体"/>
          <w:color w:val="auto"/>
          <w:spacing w:val="-2"/>
          <w:sz w:val="24"/>
          <w:highlight w:val="none"/>
        </w:rPr>
        <w:t>，依据检测情况作出科学评定及建议意见。乙方必须</w:t>
      </w:r>
      <w:r>
        <w:rPr>
          <w:rFonts w:hint="eastAsia" w:ascii="宋体" w:hAnsi="宋体" w:cs="宋体"/>
          <w:color w:val="auto"/>
          <w:spacing w:val="-2"/>
          <w:sz w:val="24"/>
          <w:highlight w:val="none"/>
          <w:lang w:eastAsia="zh-CN"/>
        </w:rPr>
        <w:t>按照交通运输部</w:t>
      </w:r>
      <w:r>
        <w:rPr>
          <w:rFonts w:hint="eastAsia" w:ascii="宋体" w:hAnsi="宋体" w:cs="宋体"/>
          <w:color w:val="auto"/>
          <w:spacing w:val="-2"/>
          <w:sz w:val="24"/>
          <w:highlight w:val="none"/>
        </w:rPr>
        <w:t>现行的</w:t>
      </w:r>
      <w:r>
        <w:rPr>
          <w:rFonts w:hint="eastAsia" w:ascii="宋体" w:hAnsi="宋体" w:cs="宋体"/>
          <w:color w:val="auto"/>
          <w:spacing w:val="-4"/>
          <w:sz w:val="24"/>
          <w:highlight w:val="none"/>
        </w:rPr>
        <w:t>相关技</w:t>
      </w:r>
      <w:r>
        <w:rPr>
          <w:rFonts w:hint="eastAsia" w:ascii="宋体" w:hAnsi="宋体" w:cs="宋体"/>
          <w:color w:val="auto"/>
          <w:spacing w:val="-3"/>
          <w:sz w:val="24"/>
          <w:highlight w:val="none"/>
        </w:rPr>
        <w:t>术</w:t>
      </w:r>
      <w:r>
        <w:rPr>
          <w:rFonts w:hint="eastAsia" w:ascii="宋体" w:hAnsi="宋体" w:cs="宋体"/>
          <w:color w:val="auto"/>
          <w:spacing w:val="-2"/>
          <w:sz w:val="24"/>
          <w:highlight w:val="none"/>
        </w:rPr>
        <w:t>规范、标准及试验规程等进行检测、计算和评定，并确保检测工作不对桥梁、隧道的结构安全产生损</w:t>
      </w:r>
      <w:r>
        <w:rPr>
          <w:rFonts w:hint="eastAsia" w:ascii="宋体" w:hAnsi="宋体" w:cs="宋体"/>
          <w:color w:val="auto"/>
          <w:spacing w:val="-10"/>
          <w:sz w:val="24"/>
          <w:highlight w:val="none"/>
        </w:rPr>
        <w:t>伤</w:t>
      </w:r>
      <w:r>
        <w:rPr>
          <w:rFonts w:hint="eastAsia" w:ascii="宋体" w:hAnsi="宋体" w:cs="宋体"/>
          <w:color w:val="auto"/>
          <w:spacing w:val="-9"/>
          <w:sz w:val="24"/>
          <w:highlight w:val="none"/>
        </w:rPr>
        <w:t>。</w:t>
      </w:r>
    </w:p>
    <w:p w14:paraId="3AB57814">
      <w:pPr>
        <w:spacing w:line="360" w:lineRule="auto"/>
        <w:ind w:firstLine="414"/>
        <w:jc w:val="left"/>
        <w:rPr>
          <w:rFonts w:hint="eastAsia" w:ascii="宋体" w:hAnsi="宋体" w:cs="宋体"/>
          <w:b/>
          <w:bCs/>
          <w:color w:val="auto"/>
          <w:spacing w:val="-3"/>
          <w:sz w:val="24"/>
          <w:highlight w:val="none"/>
        </w:rPr>
      </w:pPr>
      <w:r>
        <w:rPr>
          <w:rFonts w:hint="eastAsia" w:ascii="宋体" w:hAnsi="宋体" w:cs="宋体"/>
          <w:b/>
          <w:bCs/>
          <w:color w:val="auto"/>
          <w:spacing w:val="-3"/>
          <w:sz w:val="24"/>
          <w:highlight w:val="none"/>
        </w:rPr>
        <w:t>第七条  双方承诺</w:t>
      </w:r>
    </w:p>
    <w:p w14:paraId="5ECC77FF">
      <w:pPr>
        <w:spacing w:line="360" w:lineRule="auto"/>
        <w:ind w:firstLine="404"/>
        <w:jc w:val="left"/>
        <w:rPr>
          <w:rFonts w:hint="eastAsia" w:ascii="宋体" w:hAnsi="宋体" w:cs="宋体"/>
          <w:color w:val="auto"/>
          <w:sz w:val="24"/>
          <w:highlight w:val="none"/>
        </w:rPr>
      </w:pPr>
      <w:r>
        <w:rPr>
          <w:rFonts w:hint="eastAsia" w:ascii="宋体" w:hAnsi="宋体" w:cs="宋体"/>
          <w:color w:val="auto"/>
          <w:spacing w:val="-8"/>
          <w:sz w:val="24"/>
          <w:highlight w:val="none"/>
        </w:rPr>
        <w:t>乙方向甲方承诺，</w:t>
      </w:r>
      <w:r>
        <w:rPr>
          <w:rFonts w:hint="eastAsia" w:ascii="宋体" w:hAnsi="宋体" w:cs="宋体"/>
          <w:color w:val="auto"/>
          <w:spacing w:val="-6"/>
          <w:sz w:val="24"/>
          <w:highlight w:val="none"/>
        </w:rPr>
        <w:t>保</w:t>
      </w:r>
      <w:r>
        <w:rPr>
          <w:rFonts w:hint="eastAsia" w:ascii="宋体" w:hAnsi="宋体" w:cs="宋体"/>
          <w:color w:val="auto"/>
          <w:spacing w:val="-4"/>
          <w:sz w:val="24"/>
          <w:highlight w:val="none"/>
        </w:rPr>
        <w:t>证按照合同约定的检测质量要求和工期完成检测、评定工作，并按时向甲方提交合格的检测成果资料；甲方向乙方</w:t>
      </w:r>
      <w:r>
        <w:rPr>
          <w:rFonts w:hint="eastAsia" w:ascii="宋体" w:hAnsi="宋体" w:cs="宋体"/>
          <w:color w:val="auto"/>
          <w:spacing w:val="-2"/>
          <w:sz w:val="24"/>
          <w:highlight w:val="none"/>
        </w:rPr>
        <w:t>承诺按照合同约定的金额和支付方式向乙方支付检测工作费用。</w:t>
      </w:r>
    </w:p>
    <w:p w14:paraId="65245E95">
      <w:pPr>
        <w:spacing w:line="360" w:lineRule="auto"/>
        <w:ind w:firstLine="414"/>
        <w:jc w:val="left"/>
        <w:rPr>
          <w:rFonts w:hint="eastAsia" w:ascii="宋体" w:hAnsi="宋体" w:cs="宋体"/>
          <w:b/>
          <w:bCs/>
          <w:color w:val="auto"/>
          <w:spacing w:val="-3"/>
          <w:sz w:val="24"/>
          <w:highlight w:val="none"/>
        </w:rPr>
      </w:pPr>
      <w:r>
        <w:rPr>
          <w:rFonts w:hint="eastAsia" w:ascii="宋体" w:hAnsi="宋体" w:cs="宋体"/>
          <w:b/>
          <w:bCs/>
          <w:color w:val="auto"/>
          <w:spacing w:val="-3"/>
          <w:sz w:val="24"/>
          <w:highlight w:val="none"/>
        </w:rPr>
        <w:t>第八条  双方责任和义务</w:t>
      </w:r>
    </w:p>
    <w:p w14:paraId="3F4D5804">
      <w:pPr>
        <w:spacing w:line="360" w:lineRule="auto"/>
        <w:ind w:firstLine="448"/>
        <w:jc w:val="left"/>
        <w:rPr>
          <w:rFonts w:hint="eastAsia" w:ascii="宋体" w:hAnsi="宋体" w:cs="宋体"/>
          <w:color w:val="auto"/>
          <w:sz w:val="24"/>
          <w:highlight w:val="none"/>
        </w:rPr>
      </w:pPr>
      <w:r>
        <w:rPr>
          <w:rFonts w:hint="eastAsia" w:ascii="宋体" w:hAnsi="宋体" w:cs="宋体"/>
          <w:color w:val="auto"/>
          <w:spacing w:val="14"/>
          <w:sz w:val="24"/>
          <w:highlight w:val="none"/>
        </w:rPr>
        <w:t>(</w:t>
      </w:r>
      <w:r>
        <w:rPr>
          <w:rFonts w:hint="eastAsia" w:ascii="宋体" w:hAnsi="宋体" w:cs="宋体"/>
          <w:color w:val="auto"/>
          <w:spacing w:val="8"/>
          <w:sz w:val="24"/>
          <w:highlight w:val="none"/>
        </w:rPr>
        <w:t>一)甲方责任和义务</w:t>
      </w:r>
    </w:p>
    <w:p w14:paraId="15365BC9">
      <w:pPr>
        <w:spacing w:line="360" w:lineRule="auto"/>
        <w:ind w:firstLine="412"/>
        <w:jc w:val="left"/>
        <w:rPr>
          <w:rFonts w:hint="eastAsia" w:ascii="宋体" w:hAnsi="宋体" w:cs="宋体"/>
          <w:color w:val="auto"/>
          <w:sz w:val="24"/>
          <w:highlight w:val="none"/>
        </w:rPr>
      </w:pPr>
      <w:r>
        <w:rPr>
          <w:rFonts w:hint="eastAsia" w:ascii="宋体" w:hAnsi="宋体" w:cs="宋体"/>
          <w:color w:val="auto"/>
          <w:spacing w:val="-4"/>
          <w:sz w:val="24"/>
          <w:highlight w:val="none"/>
        </w:rPr>
        <w:t>1.甲方应向乙方</w:t>
      </w:r>
      <w:r>
        <w:rPr>
          <w:rFonts w:hint="eastAsia" w:ascii="宋体" w:hAnsi="宋体" w:cs="宋体"/>
          <w:color w:val="auto"/>
          <w:spacing w:val="-2"/>
          <w:sz w:val="24"/>
          <w:highlight w:val="none"/>
        </w:rPr>
        <w:t>提供现有的能为乙方所利用的资料；乙方应对检测工作现场和周围环境、状况作详</w:t>
      </w:r>
      <w:r>
        <w:rPr>
          <w:rFonts w:hint="eastAsia" w:ascii="宋体" w:hAnsi="宋体" w:cs="宋体"/>
          <w:color w:val="auto"/>
          <w:spacing w:val="-8"/>
          <w:sz w:val="24"/>
          <w:highlight w:val="none"/>
        </w:rPr>
        <w:t>细的察勘</w:t>
      </w:r>
      <w:r>
        <w:rPr>
          <w:rFonts w:hint="eastAsia" w:ascii="宋体" w:hAnsi="宋体" w:cs="宋体"/>
          <w:color w:val="auto"/>
          <w:spacing w:val="-7"/>
          <w:sz w:val="24"/>
          <w:highlight w:val="none"/>
        </w:rPr>
        <w:t>，</w:t>
      </w:r>
      <w:r>
        <w:rPr>
          <w:rFonts w:hint="eastAsia" w:ascii="宋体" w:hAnsi="宋体" w:cs="宋体"/>
          <w:color w:val="auto"/>
          <w:spacing w:val="-4"/>
          <w:sz w:val="24"/>
          <w:highlight w:val="none"/>
        </w:rPr>
        <w:t>确保按时、按质、按量完成检测各阶段的工作任务，甲方对乙方由此做出的推论、理解和结</w:t>
      </w:r>
      <w:r>
        <w:rPr>
          <w:rFonts w:hint="eastAsia" w:ascii="宋体" w:hAnsi="宋体" w:cs="宋体"/>
          <w:color w:val="auto"/>
          <w:spacing w:val="-1"/>
          <w:sz w:val="24"/>
          <w:highlight w:val="none"/>
        </w:rPr>
        <w:t>论概不负责；甲方不得要求乙方违反国家</w:t>
      </w:r>
      <w:r>
        <w:rPr>
          <w:rFonts w:hint="eastAsia" w:ascii="宋体" w:hAnsi="宋体" w:cs="宋体"/>
          <w:color w:val="auto"/>
          <w:sz w:val="24"/>
          <w:highlight w:val="none"/>
        </w:rPr>
        <w:t>有关标准进行检测、评定及编制文件。</w:t>
      </w:r>
    </w:p>
    <w:p w14:paraId="616BE8B0">
      <w:pPr>
        <w:spacing w:line="360" w:lineRule="auto"/>
        <w:ind w:firstLine="418"/>
        <w:jc w:val="left"/>
        <w:rPr>
          <w:rFonts w:hint="eastAsia" w:ascii="宋体" w:hAnsi="宋体" w:cs="宋体"/>
          <w:color w:val="auto"/>
          <w:sz w:val="24"/>
          <w:highlight w:val="none"/>
        </w:rPr>
      </w:pPr>
      <w:r>
        <w:rPr>
          <w:rFonts w:hint="eastAsia" w:ascii="宋体" w:hAnsi="宋体" w:cs="宋体"/>
          <w:color w:val="auto"/>
          <w:spacing w:val="-1"/>
          <w:sz w:val="24"/>
          <w:highlight w:val="none"/>
        </w:rPr>
        <w:t>2.甲方应</w:t>
      </w:r>
      <w:r>
        <w:rPr>
          <w:rFonts w:hint="eastAsia" w:ascii="宋体" w:hAnsi="宋体" w:cs="宋体"/>
          <w:color w:val="auto"/>
          <w:sz w:val="24"/>
          <w:highlight w:val="none"/>
        </w:rPr>
        <w:t>按本合同约定的日期和金额向乙方支付检测工作费用。</w:t>
      </w:r>
    </w:p>
    <w:p w14:paraId="03CA8A66">
      <w:pPr>
        <w:spacing w:line="360" w:lineRule="auto"/>
        <w:ind w:firstLine="418"/>
        <w:jc w:val="left"/>
        <w:rPr>
          <w:rFonts w:hint="eastAsia" w:ascii="宋体" w:hAnsi="宋体" w:cs="宋体"/>
          <w:color w:val="auto"/>
          <w:sz w:val="24"/>
          <w:highlight w:val="none"/>
        </w:rPr>
      </w:pPr>
      <w:r>
        <w:rPr>
          <w:rFonts w:hint="eastAsia" w:ascii="宋体" w:hAnsi="宋体" w:cs="宋体"/>
          <w:color w:val="auto"/>
          <w:spacing w:val="-1"/>
          <w:sz w:val="24"/>
          <w:highlight w:val="none"/>
        </w:rPr>
        <w:t>3.检测、评定文件中选用的国家标准图、部标准图及地方标准图由乙方负责解</w:t>
      </w:r>
      <w:r>
        <w:rPr>
          <w:rFonts w:hint="eastAsia" w:ascii="宋体" w:hAnsi="宋体" w:cs="宋体"/>
          <w:color w:val="auto"/>
          <w:sz w:val="24"/>
          <w:highlight w:val="none"/>
        </w:rPr>
        <w:t>决。</w:t>
      </w:r>
    </w:p>
    <w:p w14:paraId="0C2C1219">
      <w:pPr>
        <w:spacing w:line="360" w:lineRule="auto"/>
        <w:ind w:firstLine="448"/>
        <w:jc w:val="left"/>
        <w:rPr>
          <w:rFonts w:hint="eastAsia" w:ascii="宋体" w:hAnsi="宋体" w:cs="宋体"/>
          <w:color w:val="auto"/>
          <w:sz w:val="24"/>
          <w:highlight w:val="none"/>
        </w:rPr>
      </w:pPr>
      <w:r>
        <w:rPr>
          <w:rFonts w:hint="eastAsia" w:ascii="宋体" w:hAnsi="宋体" w:cs="宋体"/>
          <w:color w:val="auto"/>
          <w:spacing w:val="14"/>
          <w:sz w:val="24"/>
          <w:highlight w:val="none"/>
        </w:rPr>
        <w:t>(</w:t>
      </w:r>
      <w:r>
        <w:rPr>
          <w:rFonts w:hint="eastAsia" w:ascii="宋体" w:hAnsi="宋体" w:cs="宋体"/>
          <w:color w:val="auto"/>
          <w:spacing w:val="8"/>
          <w:sz w:val="24"/>
          <w:highlight w:val="none"/>
        </w:rPr>
        <w:t>二)乙方责任和义务</w:t>
      </w:r>
    </w:p>
    <w:p w14:paraId="11BEEE8D">
      <w:pPr>
        <w:spacing w:line="360" w:lineRule="auto"/>
        <w:ind w:firstLine="404"/>
        <w:jc w:val="left"/>
        <w:rPr>
          <w:rFonts w:hint="eastAsia" w:ascii="宋体" w:hAnsi="宋体" w:cs="宋体"/>
          <w:color w:val="auto"/>
          <w:sz w:val="24"/>
          <w:highlight w:val="none"/>
        </w:rPr>
      </w:pPr>
      <w:r>
        <w:rPr>
          <w:rFonts w:hint="eastAsia" w:ascii="宋体" w:hAnsi="宋体" w:cs="宋体"/>
          <w:color w:val="auto"/>
          <w:spacing w:val="-8"/>
          <w:sz w:val="24"/>
          <w:highlight w:val="none"/>
        </w:rPr>
        <w:t>1.乙方应按照</w:t>
      </w:r>
      <w:r>
        <w:rPr>
          <w:rFonts w:hint="eastAsia" w:ascii="宋体" w:hAnsi="宋体" w:cs="宋体"/>
          <w:color w:val="auto"/>
          <w:spacing w:val="-5"/>
          <w:sz w:val="24"/>
          <w:highlight w:val="none"/>
        </w:rPr>
        <w:t>国</w:t>
      </w:r>
      <w:r>
        <w:rPr>
          <w:rFonts w:hint="eastAsia" w:ascii="宋体" w:hAnsi="宋体" w:cs="宋体"/>
          <w:color w:val="auto"/>
          <w:spacing w:val="-4"/>
          <w:sz w:val="24"/>
          <w:highlight w:val="none"/>
        </w:rPr>
        <w:t>家和地方的规定和合同约定的技术规范、标准等来编制检测文件，按合同约</w:t>
      </w:r>
      <w:r>
        <w:rPr>
          <w:rFonts w:hint="eastAsia" w:ascii="宋体" w:hAnsi="宋体" w:cs="宋体"/>
          <w:color w:val="auto"/>
          <w:spacing w:val="-8"/>
          <w:sz w:val="24"/>
          <w:highlight w:val="none"/>
        </w:rPr>
        <w:t>定的内容、时</w:t>
      </w:r>
      <w:r>
        <w:rPr>
          <w:rFonts w:hint="eastAsia" w:ascii="宋体" w:hAnsi="宋体" w:cs="宋体"/>
          <w:color w:val="auto"/>
          <w:spacing w:val="-4"/>
          <w:sz w:val="24"/>
          <w:highlight w:val="none"/>
        </w:rPr>
        <w:t>间及份数向甲方交付检测文件，并对提交的检测文件</w:t>
      </w:r>
      <w:r>
        <w:rPr>
          <w:rFonts w:hint="eastAsia" w:ascii="宋体" w:hAnsi="宋体" w:cs="宋体"/>
          <w:color w:val="auto"/>
          <w:spacing w:val="-9"/>
          <w:sz w:val="24"/>
          <w:highlight w:val="none"/>
        </w:rPr>
        <w:t>负责。</w:t>
      </w:r>
    </w:p>
    <w:p w14:paraId="64D243CE">
      <w:pPr>
        <w:spacing w:line="360" w:lineRule="auto"/>
        <w:ind w:firstLine="412"/>
        <w:jc w:val="left"/>
        <w:rPr>
          <w:rFonts w:hint="eastAsia" w:ascii="宋体" w:hAnsi="宋体" w:cs="宋体"/>
          <w:color w:val="auto"/>
          <w:sz w:val="24"/>
          <w:highlight w:val="none"/>
        </w:rPr>
      </w:pPr>
      <w:r>
        <w:rPr>
          <w:rFonts w:hint="eastAsia" w:ascii="宋体" w:hAnsi="宋体" w:cs="宋体"/>
          <w:color w:val="auto"/>
          <w:spacing w:val="-4"/>
          <w:sz w:val="24"/>
          <w:highlight w:val="none"/>
        </w:rPr>
        <w:t>2.检测工作应达到深度要求，</w:t>
      </w:r>
      <w:r>
        <w:rPr>
          <w:rFonts w:hint="eastAsia" w:ascii="宋体" w:hAnsi="宋体" w:cs="宋体"/>
          <w:color w:val="auto"/>
          <w:spacing w:val="-2"/>
          <w:sz w:val="24"/>
          <w:highlight w:val="none"/>
        </w:rPr>
        <w:t>因检测达不到要求需要修改或重新检测的责任由乙方承担。</w:t>
      </w:r>
    </w:p>
    <w:p w14:paraId="71801298">
      <w:pPr>
        <w:spacing w:line="360" w:lineRule="auto"/>
        <w:ind w:firstLine="396"/>
        <w:jc w:val="left"/>
        <w:rPr>
          <w:rFonts w:hint="eastAsia" w:ascii="宋体" w:hAnsi="宋体" w:cs="宋体"/>
          <w:color w:val="auto"/>
          <w:sz w:val="24"/>
          <w:highlight w:val="none"/>
        </w:rPr>
      </w:pPr>
      <w:r>
        <w:rPr>
          <w:rFonts w:hint="eastAsia" w:ascii="宋体" w:hAnsi="宋体" w:cs="宋体"/>
          <w:color w:val="auto"/>
          <w:spacing w:val="-12"/>
          <w:sz w:val="24"/>
          <w:highlight w:val="none"/>
        </w:rPr>
        <w:t>3.如实</w:t>
      </w:r>
      <w:r>
        <w:rPr>
          <w:rFonts w:hint="eastAsia" w:ascii="宋体" w:hAnsi="宋体" w:cs="宋体"/>
          <w:color w:val="auto"/>
          <w:spacing w:val="-8"/>
          <w:sz w:val="24"/>
          <w:highlight w:val="none"/>
        </w:rPr>
        <w:t>施</w:t>
      </w:r>
      <w:r>
        <w:rPr>
          <w:rFonts w:hint="eastAsia" w:ascii="宋体" w:hAnsi="宋体" w:cs="宋体"/>
          <w:color w:val="auto"/>
          <w:spacing w:val="-6"/>
          <w:sz w:val="24"/>
          <w:highlight w:val="none"/>
        </w:rPr>
        <w:t>过程中发现遗漏项目需纳入总检测工作范围，经双方协商一致，可按当前市场价格增加费</w:t>
      </w:r>
      <w:r>
        <w:rPr>
          <w:rFonts w:hint="eastAsia" w:ascii="宋体" w:hAnsi="宋体" w:cs="宋体"/>
          <w:color w:val="auto"/>
          <w:spacing w:val="-10"/>
          <w:sz w:val="24"/>
          <w:highlight w:val="none"/>
        </w:rPr>
        <w:t>用</w:t>
      </w:r>
      <w:r>
        <w:rPr>
          <w:rFonts w:hint="eastAsia" w:ascii="宋体" w:hAnsi="宋体" w:cs="宋体"/>
          <w:color w:val="auto"/>
          <w:spacing w:val="-9"/>
          <w:sz w:val="24"/>
          <w:highlight w:val="none"/>
        </w:rPr>
        <w:t>。</w:t>
      </w:r>
    </w:p>
    <w:p w14:paraId="59564C79">
      <w:pPr>
        <w:spacing w:line="360" w:lineRule="auto"/>
        <w:ind w:firstLine="416"/>
        <w:jc w:val="left"/>
        <w:rPr>
          <w:rFonts w:hint="eastAsia" w:ascii="宋体" w:hAnsi="宋体" w:cs="宋体"/>
          <w:color w:val="auto"/>
          <w:sz w:val="24"/>
          <w:highlight w:val="none"/>
        </w:rPr>
      </w:pPr>
      <w:r>
        <w:rPr>
          <w:rFonts w:hint="eastAsia" w:ascii="宋体" w:hAnsi="宋体" w:cs="宋体"/>
          <w:color w:val="auto"/>
          <w:spacing w:val="-2"/>
          <w:sz w:val="24"/>
          <w:highlight w:val="none"/>
        </w:rPr>
        <w:t>4.乙方开展检测工作所需的工作及生活设施、通信及交通工具及必要的劳动保护装备、检测工具</w:t>
      </w:r>
      <w:r>
        <w:rPr>
          <w:rFonts w:hint="eastAsia" w:ascii="宋体" w:hAnsi="宋体" w:cs="宋体"/>
          <w:color w:val="auto"/>
          <w:spacing w:val="-1"/>
          <w:sz w:val="24"/>
          <w:highlight w:val="none"/>
        </w:rPr>
        <w:t>及</w:t>
      </w:r>
      <w:r>
        <w:rPr>
          <w:rFonts w:hint="eastAsia" w:ascii="宋体" w:hAnsi="宋体" w:cs="宋体"/>
          <w:color w:val="auto"/>
          <w:spacing w:val="-12"/>
          <w:sz w:val="24"/>
          <w:highlight w:val="none"/>
        </w:rPr>
        <w:t>设施等，</w:t>
      </w:r>
      <w:r>
        <w:rPr>
          <w:rFonts w:hint="eastAsia" w:ascii="宋体" w:hAnsi="宋体" w:cs="宋体"/>
          <w:color w:val="auto"/>
          <w:spacing w:val="-9"/>
          <w:sz w:val="24"/>
          <w:highlight w:val="none"/>
        </w:rPr>
        <w:t>全</w:t>
      </w:r>
      <w:r>
        <w:rPr>
          <w:rFonts w:hint="eastAsia" w:ascii="宋体" w:hAnsi="宋体" w:cs="宋体"/>
          <w:color w:val="auto"/>
          <w:spacing w:val="-6"/>
          <w:sz w:val="24"/>
          <w:highlight w:val="none"/>
        </w:rPr>
        <w:t>部由乙方自行解决，所需费用由乙方自理，但合同有明确约定的除外。乙方在检测过程中的</w:t>
      </w:r>
      <w:r>
        <w:rPr>
          <w:rFonts w:hint="eastAsia" w:ascii="宋体" w:hAnsi="宋体" w:cs="宋体"/>
          <w:color w:val="auto"/>
          <w:spacing w:val="-2"/>
          <w:sz w:val="24"/>
          <w:highlight w:val="none"/>
        </w:rPr>
        <w:t>人员和设备安全由乙</w:t>
      </w:r>
      <w:r>
        <w:rPr>
          <w:rFonts w:hint="eastAsia" w:ascii="宋体" w:hAnsi="宋体" w:cs="宋体"/>
          <w:color w:val="auto"/>
          <w:spacing w:val="-1"/>
          <w:sz w:val="24"/>
          <w:highlight w:val="none"/>
        </w:rPr>
        <w:t>方负责。</w:t>
      </w:r>
    </w:p>
    <w:p w14:paraId="5EC0B684">
      <w:pPr>
        <w:spacing w:line="360" w:lineRule="auto"/>
        <w:ind w:firstLine="418"/>
        <w:jc w:val="left"/>
        <w:rPr>
          <w:rFonts w:hint="eastAsia" w:ascii="宋体" w:hAnsi="宋体" w:cs="宋体"/>
          <w:color w:val="auto"/>
          <w:sz w:val="24"/>
          <w:highlight w:val="none"/>
        </w:rPr>
      </w:pPr>
      <w:r>
        <w:rPr>
          <w:rFonts w:hint="eastAsia" w:ascii="宋体" w:hAnsi="宋体" w:cs="宋体"/>
          <w:color w:val="auto"/>
          <w:spacing w:val="-1"/>
          <w:sz w:val="24"/>
          <w:highlight w:val="none"/>
        </w:rPr>
        <w:t>5.因乙方提</w:t>
      </w:r>
      <w:r>
        <w:rPr>
          <w:rFonts w:hint="eastAsia" w:ascii="宋体" w:hAnsi="宋体" w:cs="宋体"/>
          <w:color w:val="auto"/>
          <w:sz w:val="24"/>
          <w:highlight w:val="none"/>
        </w:rPr>
        <w:t>供的检测结果不符合要求导致甲方损失的，由乙方赔偿。</w:t>
      </w:r>
    </w:p>
    <w:p w14:paraId="2226C9C2">
      <w:pPr>
        <w:spacing w:line="360" w:lineRule="auto"/>
        <w:ind w:firstLine="428"/>
        <w:jc w:val="left"/>
        <w:rPr>
          <w:rFonts w:hint="eastAsia" w:ascii="宋体" w:hAnsi="宋体" w:cs="宋体"/>
          <w:color w:val="auto"/>
          <w:sz w:val="24"/>
          <w:highlight w:val="none"/>
        </w:rPr>
      </w:pPr>
      <w:r>
        <w:rPr>
          <w:rFonts w:hint="eastAsia" w:ascii="宋体" w:hAnsi="宋体" w:cs="宋体"/>
          <w:color w:val="auto"/>
          <w:spacing w:val="4"/>
          <w:sz w:val="24"/>
          <w:highlight w:val="none"/>
        </w:rPr>
        <w:t>6.乙方及其工作人员对甲</w:t>
      </w:r>
      <w:r>
        <w:rPr>
          <w:rFonts w:hint="eastAsia" w:ascii="宋体" w:hAnsi="宋体" w:cs="宋体"/>
          <w:color w:val="auto"/>
          <w:spacing w:val="2"/>
          <w:sz w:val="24"/>
          <w:highlight w:val="none"/>
        </w:rPr>
        <w:t>方提供的资料以及在签订和履行合同的过程中知悉的甲方信息负有保密</w:t>
      </w:r>
      <w:r>
        <w:rPr>
          <w:rFonts w:hint="eastAsia" w:ascii="宋体" w:hAnsi="宋体" w:cs="宋体"/>
          <w:color w:val="auto"/>
          <w:spacing w:val="-1"/>
          <w:sz w:val="24"/>
          <w:highlight w:val="none"/>
        </w:rPr>
        <w:t>义务。未经甲方同意，乙方不得泄露或作</w:t>
      </w:r>
      <w:r>
        <w:rPr>
          <w:rFonts w:hint="eastAsia" w:ascii="宋体" w:hAnsi="宋体" w:cs="宋体"/>
          <w:color w:val="auto"/>
          <w:sz w:val="24"/>
          <w:highlight w:val="none"/>
        </w:rPr>
        <w:t>不当使用，由此导致的甲方损失由乙方承担。</w:t>
      </w:r>
    </w:p>
    <w:p w14:paraId="4516EF38">
      <w:pPr>
        <w:spacing w:line="360" w:lineRule="auto"/>
        <w:ind w:firstLine="414"/>
        <w:jc w:val="left"/>
        <w:rPr>
          <w:rFonts w:hint="eastAsia" w:ascii="宋体" w:hAnsi="宋体" w:cs="宋体"/>
          <w:b/>
          <w:bCs/>
          <w:color w:val="auto"/>
          <w:spacing w:val="-3"/>
          <w:sz w:val="24"/>
          <w:highlight w:val="none"/>
        </w:rPr>
      </w:pPr>
      <w:r>
        <w:rPr>
          <w:rFonts w:hint="eastAsia" w:ascii="宋体" w:hAnsi="宋体" w:cs="宋体"/>
          <w:b/>
          <w:bCs/>
          <w:color w:val="auto"/>
          <w:spacing w:val="-3"/>
          <w:sz w:val="24"/>
          <w:highlight w:val="none"/>
        </w:rPr>
        <w:t>第九条  违约责任</w:t>
      </w:r>
    </w:p>
    <w:p w14:paraId="1BE405B9">
      <w:pPr>
        <w:spacing w:line="360" w:lineRule="auto"/>
        <w:ind w:firstLine="396"/>
        <w:jc w:val="left"/>
        <w:rPr>
          <w:rFonts w:hint="eastAsia" w:ascii="宋体" w:hAnsi="宋体" w:cs="宋体"/>
          <w:color w:val="auto"/>
          <w:sz w:val="24"/>
          <w:highlight w:val="none"/>
        </w:rPr>
      </w:pPr>
      <w:r>
        <w:rPr>
          <w:rFonts w:hint="eastAsia" w:ascii="宋体" w:hAnsi="宋体" w:cs="宋体"/>
          <w:color w:val="auto"/>
          <w:spacing w:val="-12"/>
          <w:sz w:val="24"/>
          <w:highlight w:val="none"/>
        </w:rPr>
        <w:t>(一</w:t>
      </w:r>
      <w:r>
        <w:rPr>
          <w:rFonts w:hint="eastAsia" w:ascii="宋体" w:hAnsi="宋体" w:cs="宋体"/>
          <w:color w:val="auto"/>
          <w:spacing w:val="-11"/>
          <w:sz w:val="24"/>
          <w:highlight w:val="none"/>
        </w:rPr>
        <w:t>)</w:t>
      </w:r>
      <w:r>
        <w:rPr>
          <w:rFonts w:hint="eastAsia" w:ascii="宋体" w:hAnsi="宋体" w:cs="宋体"/>
          <w:color w:val="auto"/>
          <w:spacing w:val="-6"/>
          <w:sz w:val="24"/>
          <w:highlight w:val="none"/>
        </w:rPr>
        <w:t xml:space="preserve"> 由于甲方自身的责任而造成乙方连续停工超过 24 小时，经甲乙双方书面确认后，甲方给予乙</w:t>
      </w:r>
      <w:r>
        <w:rPr>
          <w:rFonts w:hint="eastAsia" w:ascii="宋体" w:hAnsi="宋体" w:cs="宋体"/>
          <w:color w:val="auto"/>
          <w:spacing w:val="-2"/>
          <w:sz w:val="24"/>
          <w:highlight w:val="none"/>
        </w:rPr>
        <w:t>方停工费(按检测工作总费用÷60 天×实际停工天数计算)；同时，乙方检测完成检测工作的截止时间</w:t>
      </w:r>
      <w:r>
        <w:rPr>
          <w:rFonts w:hint="eastAsia" w:ascii="宋体" w:hAnsi="宋体" w:cs="宋体"/>
          <w:color w:val="auto"/>
          <w:spacing w:val="-4"/>
          <w:sz w:val="24"/>
          <w:highlight w:val="none"/>
        </w:rPr>
        <w:t>按</w:t>
      </w:r>
      <w:r>
        <w:rPr>
          <w:rFonts w:hint="eastAsia" w:ascii="宋体" w:hAnsi="宋体" w:cs="宋体"/>
          <w:color w:val="auto"/>
          <w:spacing w:val="-2"/>
          <w:sz w:val="24"/>
          <w:highlight w:val="none"/>
        </w:rPr>
        <w:t>实际停工天数顺延。</w:t>
      </w:r>
    </w:p>
    <w:p w14:paraId="15BC3D89">
      <w:pPr>
        <w:spacing w:line="360" w:lineRule="auto"/>
        <w:ind w:firstLine="424"/>
        <w:jc w:val="left"/>
        <w:rPr>
          <w:rFonts w:hint="eastAsia" w:ascii="宋体" w:hAnsi="宋体" w:cs="宋体"/>
          <w:color w:val="auto"/>
          <w:sz w:val="24"/>
          <w:highlight w:val="none"/>
        </w:rPr>
      </w:pPr>
      <w:r>
        <w:rPr>
          <w:rFonts w:hint="eastAsia" w:ascii="宋体" w:hAnsi="宋体" w:cs="宋体"/>
          <w:color w:val="auto"/>
          <w:spacing w:val="2"/>
          <w:sz w:val="24"/>
          <w:highlight w:val="none"/>
        </w:rPr>
        <w:t>(二)由于乙方自身责任造成检测</w:t>
      </w:r>
      <w:r>
        <w:rPr>
          <w:rFonts w:hint="eastAsia" w:ascii="宋体" w:hAnsi="宋体" w:cs="宋体"/>
          <w:color w:val="auto"/>
          <w:spacing w:val="1"/>
          <w:sz w:val="24"/>
          <w:highlight w:val="none"/>
        </w:rPr>
        <w:t>成果资料质量不合格，不能满足技术要求和合同要求时，</w:t>
      </w:r>
      <w:r>
        <w:rPr>
          <w:rFonts w:hint="eastAsia" w:ascii="宋体" w:hAnsi="宋体" w:cs="宋体"/>
          <w:color w:val="auto"/>
          <w:spacing w:val="-6"/>
          <w:sz w:val="24"/>
          <w:highlight w:val="none"/>
        </w:rPr>
        <w:t>乙方应当立</w:t>
      </w:r>
      <w:r>
        <w:rPr>
          <w:rFonts w:hint="eastAsia" w:ascii="宋体" w:hAnsi="宋体" w:cs="宋体"/>
          <w:color w:val="auto"/>
          <w:spacing w:val="-3"/>
          <w:sz w:val="24"/>
          <w:highlight w:val="none"/>
        </w:rPr>
        <w:t>即返工，并使检测成果资料满足技术和合同要求，返工费用由乙方承担。</w:t>
      </w:r>
    </w:p>
    <w:p w14:paraId="71917481">
      <w:pPr>
        <w:spacing w:line="360" w:lineRule="auto"/>
        <w:ind w:firstLine="430"/>
        <w:jc w:val="left"/>
        <w:rPr>
          <w:rFonts w:hint="eastAsia" w:ascii="宋体" w:hAnsi="宋体" w:cs="宋体"/>
          <w:color w:val="auto"/>
          <w:sz w:val="24"/>
          <w:highlight w:val="none"/>
        </w:rPr>
      </w:pPr>
      <w:r>
        <w:rPr>
          <w:rFonts w:hint="eastAsia" w:ascii="宋体" w:hAnsi="宋体" w:cs="宋体"/>
          <w:color w:val="auto"/>
          <w:spacing w:val="5"/>
          <w:sz w:val="24"/>
          <w:highlight w:val="none"/>
        </w:rPr>
        <w:t>(三)合同履行期间，由于甲方自身的责任导致终止合同或非乙方原因甲方无正当理由要求解除</w:t>
      </w:r>
      <w:r>
        <w:rPr>
          <w:rFonts w:hint="eastAsia" w:ascii="宋体" w:hAnsi="宋体" w:cs="宋体"/>
          <w:color w:val="auto"/>
          <w:spacing w:val="2"/>
          <w:sz w:val="24"/>
          <w:highlight w:val="none"/>
        </w:rPr>
        <w:t>合</w:t>
      </w:r>
      <w:r>
        <w:rPr>
          <w:rFonts w:hint="eastAsia" w:ascii="宋体" w:hAnsi="宋体" w:cs="宋体"/>
          <w:color w:val="auto"/>
          <w:spacing w:val="-8"/>
          <w:sz w:val="24"/>
          <w:highlight w:val="none"/>
        </w:rPr>
        <w:t>同时，甲</w:t>
      </w:r>
      <w:r>
        <w:rPr>
          <w:rFonts w:hint="eastAsia" w:ascii="宋体" w:hAnsi="宋体" w:cs="宋体"/>
          <w:color w:val="auto"/>
          <w:spacing w:val="-4"/>
          <w:sz w:val="24"/>
          <w:highlight w:val="none"/>
        </w:rPr>
        <w:t>方应按乙方实际发生的工作量核付检测工作费用。</w:t>
      </w:r>
    </w:p>
    <w:p w14:paraId="742F5A7E">
      <w:pPr>
        <w:spacing w:line="360" w:lineRule="auto"/>
        <w:ind w:firstLine="428"/>
        <w:jc w:val="left"/>
        <w:rPr>
          <w:rFonts w:hint="eastAsia" w:ascii="宋体" w:hAnsi="宋体" w:cs="宋体"/>
          <w:color w:val="auto"/>
          <w:sz w:val="24"/>
          <w:highlight w:val="none"/>
        </w:rPr>
      </w:pPr>
      <w:r>
        <w:rPr>
          <w:rFonts w:hint="eastAsia" w:ascii="宋体" w:hAnsi="宋体" w:cs="宋体"/>
          <w:color w:val="auto"/>
          <w:spacing w:val="4"/>
          <w:sz w:val="24"/>
          <w:highlight w:val="none"/>
        </w:rPr>
        <w:t>(四)甲方未按合</w:t>
      </w:r>
      <w:r>
        <w:rPr>
          <w:rFonts w:hint="eastAsia" w:ascii="宋体" w:hAnsi="宋体" w:cs="宋体"/>
          <w:color w:val="auto"/>
          <w:spacing w:val="3"/>
          <w:sz w:val="24"/>
          <w:highlight w:val="none"/>
        </w:rPr>
        <w:t>同</w:t>
      </w:r>
      <w:r>
        <w:rPr>
          <w:rFonts w:hint="eastAsia" w:ascii="宋体" w:hAnsi="宋体" w:cs="宋体"/>
          <w:color w:val="auto"/>
          <w:spacing w:val="2"/>
          <w:sz w:val="24"/>
          <w:highlight w:val="none"/>
        </w:rPr>
        <w:t>规定的时间(日期)、金额向乙方支付检测工作费用，每逾一日，甲方应按欠付</w:t>
      </w:r>
      <w:r>
        <w:rPr>
          <w:rFonts w:hint="eastAsia" w:ascii="宋体" w:hAnsi="宋体" w:cs="宋体"/>
          <w:color w:val="auto"/>
          <w:spacing w:val="-8"/>
          <w:sz w:val="24"/>
          <w:highlight w:val="none"/>
        </w:rPr>
        <w:t>金</w:t>
      </w:r>
      <w:r>
        <w:rPr>
          <w:rFonts w:hint="eastAsia" w:ascii="宋体" w:hAnsi="宋体" w:cs="宋体"/>
          <w:color w:val="auto"/>
          <w:spacing w:val="-5"/>
          <w:sz w:val="24"/>
          <w:highlight w:val="none"/>
        </w:rPr>
        <w:t>额</w:t>
      </w:r>
      <w:r>
        <w:rPr>
          <w:rFonts w:hint="eastAsia" w:ascii="宋体" w:hAnsi="宋体" w:cs="宋体"/>
          <w:color w:val="auto"/>
          <w:spacing w:val="-4"/>
          <w:sz w:val="24"/>
          <w:highlight w:val="none"/>
        </w:rPr>
        <w:t>的 1‰向乙方支付逾期违约金。</w:t>
      </w:r>
    </w:p>
    <w:p w14:paraId="57AF87B0">
      <w:pPr>
        <w:spacing w:line="360" w:lineRule="auto"/>
        <w:ind w:firstLine="430"/>
        <w:jc w:val="left"/>
        <w:rPr>
          <w:rFonts w:hint="eastAsia" w:ascii="宋体" w:hAnsi="宋体" w:cs="宋体"/>
          <w:color w:val="auto"/>
          <w:sz w:val="24"/>
          <w:highlight w:val="none"/>
        </w:rPr>
      </w:pPr>
      <w:r>
        <w:rPr>
          <w:rFonts w:hint="eastAsia" w:ascii="宋体" w:hAnsi="宋体" w:cs="宋体"/>
          <w:color w:val="auto"/>
          <w:spacing w:val="5"/>
          <w:sz w:val="24"/>
          <w:highlight w:val="none"/>
        </w:rPr>
        <w:t>(五)由于乙方原因导致乙方未按合同约定的时间(日期)、份数向甲方提交合格的检测、评定成</w:t>
      </w:r>
      <w:r>
        <w:rPr>
          <w:rFonts w:hint="eastAsia" w:ascii="宋体" w:hAnsi="宋体" w:cs="宋体"/>
          <w:color w:val="auto"/>
          <w:sz w:val="24"/>
          <w:highlight w:val="none"/>
        </w:rPr>
        <w:t>果</w:t>
      </w:r>
      <w:r>
        <w:rPr>
          <w:rFonts w:hint="eastAsia" w:ascii="宋体" w:hAnsi="宋体" w:cs="宋体"/>
          <w:color w:val="auto"/>
          <w:spacing w:val="-18"/>
          <w:sz w:val="24"/>
          <w:highlight w:val="none"/>
        </w:rPr>
        <w:t>资料，</w:t>
      </w:r>
      <w:r>
        <w:rPr>
          <w:rFonts w:hint="eastAsia" w:ascii="宋体" w:hAnsi="宋体" w:cs="宋体"/>
          <w:color w:val="auto"/>
          <w:spacing w:val="-10"/>
          <w:sz w:val="24"/>
          <w:highlight w:val="none"/>
        </w:rPr>
        <w:t xml:space="preserve"> </w:t>
      </w:r>
      <w:r>
        <w:rPr>
          <w:rFonts w:hint="eastAsia" w:ascii="宋体" w:hAnsi="宋体" w:cs="宋体"/>
          <w:color w:val="auto"/>
          <w:spacing w:val="-9"/>
          <w:sz w:val="24"/>
          <w:highlight w:val="none"/>
        </w:rPr>
        <w:t xml:space="preserve">每超过 </w:t>
      </w:r>
      <w:r>
        <w:rPr>
          <w:rFonts w:hint="eastAsia" w:ascii="宋体" w:hAnsi="宋体" w:cs="宋体"/>
          <w:color w:val="auto"/>
          <w:spacing w:val="-9"/>
          <w:sz w:val="24"/>
          <w:highlight w:val="none"/>
          <w:lang w:val="en-US" w:eastAsia="zh-CN"/>
        </w:rPr>
        <w:t>1</w:t>
      </w:r>
      <w:r>
        <w:rPr>
          <w:rFonts w:hint="eastAsia" w:ascii="宋体" w:hAnsi="宋体" w:cs="宋体"/>
          <w:color w:val="auto"/>
          <w:spacing w:val="-9"/>
          <w:sz w:val="24"/>
          <w:highlight w:val="none"/>
        </w:rPr>
        <w:t>天，甲方有权扣减合同总价款的1‰作为乙方逾期的违约金；超过 30 天的，甲方有权</w:t>
      </w:r>
      <w:r>
        <w:rPr>
          <w:rFonts w:hint="eastAsia" w:ascii="宋体" w:hAnsi="宋体" w:cs="宋体"/>
          <w:color w:val="auto"/>
          <w:spacing w:val="-2"/>
          <w:sz w:val="24"/>
          <w:highlight w:val="none"/>
        </w:rPr>
        <w:t>解除本合同，同时甲方有权按检测工作总费用的 10%向乙方收取</w:t>
      </w:r>
      <w:r>
        <w:rPr>
          <w:rFonts w:hint="eastAsia" w:ascii="宋体" w:hAnsi="宋体" w:cs="宋体"/>
          <w:color w:val="auto"/>
          <w:spacing w:val="-1"/>
          <w:sz w:val="24"/>
          <w:highlight w:val="none"/>
        </w:rPr>
        <w:t>违约金，并向乙方索赔。</w:t>
      </w:r>
    </w:p>
    <w:p w14:paraId="03F544C8">
      <w:pPr>
        <w:spacing w:line="360" w:lineRule="auto"/>
        <w:ind w:firstLine="418"/>
        <w:jc w:val="left"/>
        <w:rPr>
          <w:rFonts w:hint="eastAsia" w:ascii="宋体" w:hAnsi="宋体" w:cs="宋体"/>
          <w:color w:val="auto"/>
          <w:sz w:val="24"/>
          <w:highlight w:val="none"/>
        </w:rPr>
      </w:pPr>
      <w:r>
        <w:rPr>
          <w:rFonts w:hint="eastAsia" w:ascii="宋体" w:hAnsi="宋体" w:cs="宋体"/>
          <w:color w:val="auto"/>
          <w:spacing w:val="-1"/>
          <w:sz w:val="24"/>
          <w:highlight w:val="none"/>
        </w:rPr>
        <w:t>(六)因乙方进行检测工作操作不当造成桥梁、隧道结构安全</w:t>
      </w:r>
      <w:r>
        <w:rPr>
          <w:rFonts w:hint="eastAsia" w:ascii="宋体" w:hAnsi="宋体" w:cs="宋体"/>
          <w:color w:val="auto"/>
          <w:sz w:val="24"/>
          <w:highlight w:val="none"/>
        </w:rPr>
        <w:t>产生损伤的由乙方负责维修并承担相</w:t>
      </w:r>
      <w:r>
        <w:rPr>
          <w:rFonts w:hint="eastAsia" w:ascii="宋体" w:hAnsi="宋体" w:cs="宋体"/>
          <w:color w:val="auto"/>
          <w:spacing w:val="-1"/>
          <w:sz w:val="24"/>
          <w:highlight w:val="none"/>
        </w:rPr>
        <w:t>关法律责任和负</w:t>
      </w:r>
      <w:r>
        <w:rPr>
          <w:rFonts w:hint="eastAsia" w:ascii="宋体" w:hAnsi="宋体" w:cs="宋体"/>
          <w:color w:val="auto"/>
          <w:sz w:val="24"/>
          <w:highlight w:val="none"/>
        </w:rPr>
        <w:t>责赔偿甲方经济损失。</w:t>
      </w:r>
    </w:p>
    <w:p w14:paraId="735C57F6">
      <w:pPr>
        <w:spacing w:line="360" w:lineRule="auto"/>
        <w:ind w:firstLine="428"/>
        <w:jc w:val="left"/>
        <w:rPr>
          <w:rFonts w:hint="eastAsia" w:ascii="宋体" w:hAnsi="宋体" w:cs="宋体"/>
          <w:color w:val="auto"/>
          <w:sz w:val="24"/>
          <w:highlight w:val="none"/>
        </w:rPr>
      </w:pPr>
      <w:r>
        <w:rPr>
          <w:rFonts w:hint="eastAsia" w:ascii="宋体" w:hAnsi="宋体" w:cs="宋体"/>
          <w:color w:val="auto"/>
          <w:spacing w:val="4"/>
          <w:sz w:val="24"/>
          <w:highlight w:val="none"/>
        </w:rPr>
        <w:t>(</w:t>
      </w:r>
      <w:r>
        <w:rPr>
          <w:rFonts w:hint="eastAsia" w:ascii="宋体" w:hAnsi="宋体" w:cs="宋体"/>
          <w:color w:val="auto"/>
          <w:spacing w:val="3"/>
          <w:sz w:val="24"/>
          <w:highlight w:val="none"/>
        </w:rPr>
        <w:t>七</w:t>
      </w:r>
      <w:r>
        <w:rPr>
          <w:rFonts w:hint="eastAsia" w:ascii="宋体" w:hAnsi="宋体" w:cs="宋体"/>
          <w:color w:val="auto"/>
          <w:spacing w:val="2"/>
          <w:sz w:val="24"/>
          <w:highlight w:val="none"/>
        </w:rPr>
        <w:t>)因不可抗力(其中包括公路主管部门、机构通知停工、封路等甲乙双方本身不能控制的情形)</w:t>
      </w:r>
      <w:r>
        <w:rPr>
          <w:rFonts w:hint="eastAsia" w:ascii="宋体" w:hAnsi="宋体" w:cs="宋体"/>
          <w:color w:val="auto"/>
          <w:spacing w:val="-1"/>
          <w:sz w:val="24"/>
          <w:highlight w:val="none"/>
        </w:rPr>
        <w:t>致使任何一方不能履行合同，均不构成</w:t>
      </w:r>
      <w:r>
        <w:rPr>
          <w:rFonts w:hint="eastAsia" w:ascii="宋体" w:hAnsi="宋体" w:cs="宋体"/>
          <w:color w:val="auto"/>
          <w:sz w:val="24"/>
          <w:highlight w:val="none"/>
        </w:rPr>
        <w:t>违约、无需承担违约责任。</w:t>
      </w:r>
    </w:p>
    <w:p w14:paraId="38A7781F">
      <w:pPr>
        <w:spacing w:line="360" w:lineRule="auto"/>
        <w:ind w:firstLine="416"/>
        <w:jc w:val="left"/>
        <w:rPr>
          <w:rFonts w:hint="eastAsia" w:ascii="宋体" w:hAnsi="宋体" w:cs="宋体"/>
          <w:color w:val="auto"/>
          <w:sz w:val="24"/>
          <w:highlight w:val="none"/>
        </w:rPr>
      </w:pPr>
      <w:r>
        <w:rPr>
          <w:rFonts w:hint="eastAsia" w:ascii="宋体" w:hAnsi="宋体" w:cs="宋体"/>
          <w:b/>
          <w:bCs/>
          <w:color w:val="auto"/>
          <w:spacing w:val="-3"/>
          <w:sz w:val="24"/>
          <w:highlight w:val="none"/>
        </w:rPr>
        <w:t>第十条</w:t>
      </w:r>
      <w:r>
        <w:rPr>
          <w:rFonts w:hint="eastAsia" w:ascii="宋体" w:hAnsi="宋体" w:cs="宋体"/>
          <w:color w:val="auto"/>
          <w:spacing w:val="-2"/>
          <w:sz w:val="24"/>
          <w:highlight w:val="none"/>
        </w:rPr>
        <w:t xml:space="preserve">  本合同未尽事宜，经甲乙双方协商一致签订的补充合同与本合同具有同等的法律效力。本</w:t>
      </w:r>
      <w:r>
        <w:rPr>
          <w:rFonts w:hint="eastAsia" w:ascii="宋体" w:hAnsi="宋体" w:cs="宋体"/>
          <w:color w:val="auto"/>
          <w:spacing w:val="-1"/>
          <w:sz w:val="24"/>
          <w:highlight w:val="none"/>
        </w:rPr>
        <w:t>合同附件</w:t>
      </w:r>
      <w:r>
        <w:rPr>
          <w:rFonts w:hint="eastAsia" w:ascii="宋体" w:hAnsi="宋体" w:cs="宋体"/>
          <w:color w:val="auto"/>
          <w:sz w:val="24"/>
          <w:highlight w:val="none"/>
        </w:rPr>
        <w:t>与本合同具有同等法律效力。</w:t>
      </w:r>
    </w:p>
    <w:p w14:paraId="0BB80B91">
      <w:pPr>
        <w:spacing w:line="360" w:lineRule="auto"/>
        <w:ind w:firstLine="404"/>
        <w:jc w:val="left"/>
        <w:rPr>
          <w:rFonts w:hint="eastAsia" w:ascii="宋体" w:hAnsi="宋体" w:cs="宋体"/>
          <w:color w:val="auto"/>
          <w:sz w:val="24"/>
          <w:highlight w:val="none"/>
        </w:rPr>
      </w:pPr>
      <w:r>
        <w:rPr>
          <w:rFonts w:hint="eastAsia" w:ascii="宋体" w:hAnsi="宋体" w:cs="宋体"/>
          <w:b/>
          <w:bCs/>
          <w:color w:val="auto"/>
          <w:spacing w:val="-3"/>
          <w:sz w:val="24"/>
          <w:highlight w:val="none"/>
        </w:rPr>
        <w:t>第十一条</w:t>
      </w:r>
      <w:r>
        <w:rPr>
          <w:rFonts w:hint="eastAsia" w:ascii="宋体" w:hAnsi="宋体" w:cs="宋体"/>
          <w:color w:val="auto"/>
          <w:spacing w:val="-8"/>
          <w:sz w:val="24"/>
          <w:highlight w:val="none"/>
        </w:rPr>
        <w:t xml:space="preserve">  </w:t>
      </w:r>
      <w:r>
        <w:rPr>
          <w:rFonts w:hint="eastAsia" w:ascii="宋体" w:hAnsi="宋体" w:cs="宋体"/>
          <w:color w:val="auto"/>
          <w:spacing w:val="-5"/>
          <w:sz w:val="24"/>
          <w:highlight w:val="none"/>
        </w:rPr>
        <w:t>本</w:t>
      </w:r>
      <w:r>
        <w:rPr>
          <w:rFonts w:hint="eastAsia" w:ascii="宋体" w:hAnsi="宋体" w:cs="宋体"/>
          <w:color w:val="auto"/>
          <w:spacing w:val="-4"/>
          <w:sz w:val="24"/>
          <w:highlight w:val="none"/>
        </w:rPr>
        <w:t>合同实施过程中如发生争议，先由甲乙双方协商解决；协商解决不成时，甲乙双方中</w:t>
      </w:r>
      <w:r>
        <w:rPr>
          <w:rFonts w:hint="eastAsia" w:ascii="宋体" w:hAnsi="宋体" w:cs="宋体"/>
          <w:color w:val="auto"/>
          <w:spacing w:val="-2"/>
          <w:sz w:val="24"/>
          <w:highlight w:val="none"/>
        </w:rPr>
        <w:t>的任何一方均可向甲方所在地有管</w:t>
      </w:r>
      <w:r>
        <w:rPr>
          <w:rFonts w:hint="eastAsia" w:ascii="宋体" w:hAnsi="宋体" w:cs="宋体"/>
          <w:color w:val="auto"/>
          <w:spacing w:val="-1"/>
          <w:sz w:val="24"/>
          <w:highlight w:val="none"/>
        </w:rPr>
        <w:t>辖权的法院提起诉讼。</w:t>
      </w:r>
    </w:p>
    <w:p w14:paraId="2EA06609">
      <w:pPr>
        <w:spacing w:line="360" w:lineRule="auto"/>
        <w:ind w:firstLine="412"/>
        <w:jc w:val="left"/>
        <w:rPr>
          <w:rFonts w:hint="eastAsia" w:ascii="宋体" w:hAnsi="宋体" w:cs="宋体"/>
          <w:color w:val="auto"/>
          <w:sz w:val="24"/>
          <w:highlight w:val="none"/>
        </w:rPr>
      </w:pPr>
      <w:r>
        <w:rPr>
          <w:rFonts w:hint="eastAsia" w:ascii="宋体" w:hAnsi="宋体" w:cs="宋体"/>
          <w:b/>
          <w:bCs/>
          <w:color w:val="auto"/>
          <w:spacing w:val="-3"/>
          <w:sz w:val="24"/>
          <w:highlight w:val="none"/>
        </w:rPr>
        <w:t>第十二条</w:t>
      </w:r>
      <w:r>
        <w:rPr>
          <w:rFonts w:hint="eastAsia" w:ascii="宋体" w:hAnsi="宋体" w:cs="宋体"/>
          <w:color w:val="auto"/>
          <w:spacing w:val="-3"/>
          <w:sz w:val="24"/>
          <w:highlight w:val="none"/>
        </w:rPr>
        <w:t xml:space="preserve"> </w:t>
      </w:r>
      <w:r>
        <w:rPr>
          <w:rFonts w:hint="eastAsia" w:ascii="宋体" w:hAnsi="宋体" w:cs="宋体"/>
          <w:color w:val="auto"/>
          <w:spacing w:val="-2"/>
          <w:sz w:val="24"/>
          <w:highlight w:val="none"/>
        </w:rPr>
        <w:t xml:space="preserve"> 本合同自甲乙双方签字盖章之日起生效；除本合同另有约定外，甲乙双方履行完合同约</w:t>
      </w:r>
      <w:r>
        <w:rPr>
          <w:rFonts w:hint="eastAsia" w:ascii="宋体" w:hAnsi="宋体" w:cs="宋体"/>
          <w:color w:val="auto"/>
          <w:spacing w:val="-9"/>
          <w:sz w:val="24"/>
          <w:highlight w:val="none"/>
        </w:rPr>
        <w:t>定</w:t>
      </w:r>
      <w:r>
        <w:rPr>
          <w:rFonts w:hint="eastAsia" w:ascii="宋体" w:hAnsi="宋体" w:cs="宋体"/>
          <w:color w:val="auto"/>
          <w:spacing w:val="-7"/>
          <w:sz w:val="24"/>
          <w:highlight w:val="none"/>
        </w:rPr>
        <w:t>的责任和义务后，本合同终止。</w:t>
      </w:r>
    </w:p>
    <w:p w14:paraId="5A772F20">
      <w:pPr>
        <w:spacing w:line="360" w:lineRule="auto"/>
        <w:ind w:firstLine="396"/>
        <w:jc w:val="left"/>
        <w:rPr>
          <w:rFonts w:hint="eastAsia" w:ascii="宋体" w:hAnsi="宋体" w:cs="宋体"/>
          <w:color w:val="auto"/>
          <w:sz w:val="24"/>
          <w:highlight w:val="none"/>
        </w:rPr>
      </w:pPr>
      <w:r>
        <w:rPr>
          <w:rFonts w:hint="eastAsia" w:ascii="宋体" w:hAnsi="宋体" w:cs="宋体"/>
          <w:b/>
          <w:bCs/>
          <w:color w:val="auto"/>
          <w:spacing w:val="-3"/>
          <w:sz w:val="24"/>
          <w:highlight w:val="none"/>
        </w:rPr>
        <w:t>第十三条</w:t>
      </w:r>
      <w:r>
        <w:rPr>
          <w:rFonts w:hint="eastAsia" w:ascii="宋体" w:hAnsi="宋体" w:cs="宋体"/>
          <w:color w:val="auto"/>
          <w:spacing w:val="-12"/>
          <w:sz w:val="24"/>
          <w:highlight w:val="none"/>
        </w:rPr>
        <w:t xml:space="preserve"> </w:t>
      </w:r>
      <w:r>
        <w:rPr>
          <w:rFonts w:hint="eastAsia" w:ascii="宋体" w:hAnsi="宋体" w:cs="宋体"/>
          <w:color w:val="auto"/>
          <w:spacing w:val="-10"/>
          <w:sz w:val="24"/>
          <w:highlight w:val="none"/>
        </w:rPr>
        <w:t xml:space="preserve"> </w:t>
      </w:r>
      <w:r>
        <w:rPr>
          <w:rFonts w:hint="eastAsia" w:ascii="宋体" w:hAnsi="宋体" w:cs="宋体"/>
          <w:color w:val="auto"/>
          <w:spacing w:val="-6"/>
          <w:sz w:val="24"/>
          <w:highlight w:val="none"/>
        </w:rPr>
        <w:t>本合同一式陆份，甲方执叁份、乙方执叁份</w:t>
      </w:r>
      <w:r>
        <w:rPr>
          <w:rFonts w:hint="eastAsia" w:ascii="宋体" w:hAnsi="宋体" w:cs="宋体"/>
          <w:color w:val="auto"/>
          <w:spacing w:val="-1"/>
          <w:sz w:val="24"/>
          <w:highlight w:val="none"/>
        </w:rPr>
        <w:t>。</w:t>
      </w:r>
    </w:p>
    <w:p w14:paraId="2957BFE2">
      <w:pPr>
        <w:spacing w:line="312" w:lineRule="auto"/>
        <w:ind w:firstLine="396"/>
        <w:jc w:val="left"/>
        <w:rPr>
          <w:rFonts w:hint="eastAsia" w:ascii="宋体" w:hAnsi="宋体" w:cs="宋体"/>
          <w:color w:val="auto"/>
          <w:spacing w:val="-12"/>
          <w:sz w:val="24"/>
          <w:highlight w:val="none"/>
        </w:rPr>
      </w:pPr>
    </w:p>
    <w:p w14:paraId="2669121A">
      <w:pPr>
        <w:spacing w:line="312" w:lineRule="auto"/>
        <w:ind w:firstLine="396"/>
        <w:jc w:val="left"/>
        <w:rPr>
          <w:rFonts w:hint="eastAsia" w:ascii="宋体" w:hAnsi="宋体" w:cs="宋体"/>
          <w:color w:val="auto"/>
          <w:sz w:val="24"/>
          <w:highlight w:val="none"/>
        </w:rPr>
      </w:pPr>
      <w:r>
        <w:rPr>
          <w:rFonts w:hint="eastAsia" w:ascii="宋体" w:hAnsi="宋体" w:cs="宋体"/>
          <w:color w:val="auto"/>
          <w:spacing w:val="-12"/>
          <w:sz w:val="24"/>
          <w:highlight w:val="none"/>
        </w:rPr>
        <w:t>甲方</w:t>
      </w:r>
      <w:r>
        <w:rPr>
          <w:rFonts w:hint="eastAsia" w:ascii="宋体" w:hAnsi="宋体" w:cs="宋体"/>
          <w:color w:val="auto"/>
          <w:spacing w:val="-7"/>
          <w:sz w:val="24"/>
          <w:highlight w:val="none"/>
        </w:rPr>
        <w:t>：</w:t>
      </w:r>
      <w:r>
        <w:rPr>
          <w:rFonts w:hint="eastAsia" w:ascii="宋体" w:hAnsi="宋体" w:cs="宋体"/>
          <w:b/>
          <w:bCs/>
          <w:color w:val="auto"/>
          <w:spacing w:val="-3"/>
          <w:sz w:val="24"/>
          <w:highlight w:val="none"/>
          <w:u w:val="single"/>
        </w:rPr>
        <w:t xml:space="preserve"> 广西壮族自治区桂东公路发展中心</w:t>
      </w:r>
      <w:r>
        <w:rPr>
          <w:rFonts w:hint="eastAsia" w:ascii="宋体" w:hAnsi="宋体" w:cs="宋体"/>
          <w:color w:val="auto"/>
          <w:sz w:val="24"/>
          <w:highlight w:val="none"/>
        </w:rPr>
        <w:t xml:space="preserve"> </w:t>
      </w:r>
      <w:r>
        <w:rPr>
          <w:rFonts w:hint="eastAsia" w:ascii="宋体" w:hAnsi="宋体" w:cs="宋体"/>
          <w:color w:val="auto"/>
          <w:spacing w:val="19"/>
          <w:sz w:val="24"/>
          <w:highlight w:val="none"/>
        </w:rPr>
        <w:t>(</w:t>
      </w:r>
      <w:r>
        <w:rPr>
          <w:rFonts w:hint="eastAsia" w:ascii="宋体" w:hAnsi="宋体" w:cs="宋体"/>
          <w:color w:val="auto"/>
          <w:spacing w:val="15"/>
          <w:sz w:val="24"/>
          <w:highlight w:val="none"/>
        </w:rPr>
        <w:t>盖单位章)</w:t>
      </w:r>
    </w:p>
    <w:p w14:paraId="27E8307C">
      <w:pPr>
        <w:spacing w:line="312" w:lineRule="auto"/>
        <w:ind w:firstLine="416"/>
        <w:jc w:val="left"/>
        <w:rPr>
          <w:rFonts w:hint="eastAsia" w:ascii="宋体" w:hAnsi="宋体" w:cs="宋体"/>
          <w:color w:val="auto"/>
          <w:sz w:val="24"/>
          <w:highlight w:val="none"/>
        </w:rPr>
      </w:pPr>
      <w:r>
        <w:rPr>
          <w:rFonts w:hint="eastAsia" w:ascii="宋体" w:hAnsi="宋体" w:cs="宋体"/>
          <w:color w:val="auto"/>
          <w:spacing w:val="-2"/>
          <w:position w:val="14"/>
          <w:sz w:val="24"/>
          <w:highlight w:val="none"/>
        </w:rPr>
        <w:t>法</w:t>
      </w:r>
      <w:r>
        <w:rPr>
          <w:rFonts w:hint="eastAsia" w:ascii="宋体" w:hAnsi="宋体" w:cs="宋体"/>
          <w:color w:val="auto"/>
          <w:spacing w:val="-1"/>
          <w:position w:val="14"/>
          <w:sz w:val="24"/>
          <w:highlight w:val="none"/>
        </w:rPr>
        <w:t>定代表人</w:t>
      </w:r>
    </w:p>
    <w:p w14:paraId="1198D200">
      <w:pPr>
        <w:spacing w:line="312" w:lineRule="auto"/>
        <w:ind w:firstLine="404"/>
        <w:jc w:val="left"/>
        <w:rPr>
          <w:rFonts w:hint="eastAsia" w:ascii="宋体" w:hAnsi="宋体" w:cs="宋体"/>
          <w:color w:val="auto"/>
          <w:sz w:val="24"/>
          <w:highlight w:val="none"/>
        </w:rPr>
      </w:pPr>
      <w:r>
        <w:rPr>
          <w:rFonts w:hint="eastAsia" w:ascii="宋体" w:hAnsi="宋体" w:cs="宋体"/>
          <w:color w:val="auto"/>
          <w:spacing w:val="-8"/>
          <w:sz w:val="24"/>
          <w:highlight w:val="none"/>
        </w:rPr>
        <w:t>或</w:t>
      </w:r>
      <w:r>
        <w:rPr>
          <w:rFonts w:hint="eastAsia" w:ascii="宋体" w:hAnsi="宋体" w:cs="宋体"/>
          <w:color w:val="auto"/>
          <w:spacing w:val="-4"/>
          <w:sz w:val="24"/>
          <w:highlight w:val="none"/>
        </w:rPr>
        <w:t>委托代理人：</w:t>
      </w:r>
    </w:p>
    <w:p w14:paraId="2EBD1262">
      <w:pPr>
        <w:spacing w:line="312" w:lineRule="auto"/>
        <w:ind w:firstLine="406"/>
        <w:jc w:val="left"/>
        <w:rPr>
          <w:rFonts w:hint="eastAsia" w:ascii="宋体" w:hAnsi="宋体" w:cs="宋体"/>
          <w:color w:val="auto"/>
          <w:sz w:val="24"/>
          <w:highlight w:val="none"/>
        </w:rPr>
      </w:pPr>
      <w:r>
        <w:rPr>
          <w:rFonts w:hint="eastAsia" w:ascii="宋体" w:hAnsi="宋体" w:cs="宋体"/>
          <w:color w:val="auto"/>
          <w:spacing w:val="-7"/>
          <w:sz w:val="24"/>
          <w:highlight w:val="none"/>
        </w:rPr>
        <w:t>开</w:t>
      </w:r>
      <w:r>
        <w:rPr>
          <w:rFonts w:hint="eastAsia" w:ascii="宋体" w:hAnsi="宋体" w:cs="宋体"/>
          <w:color w:val="auto"/>
          <w:spacing w:val="-6"/>
          <w:sz w:val="24"/>
          <w:highlight w:val="none"/>
        </w:rPr>
        <w:t>户银行：</w:t>
      </w:r>
    </w:p>
    <w:p w14:paraId="2676FEEA">
      <w:pPr>
        <w:spacing w:line="312" w:lineRule="auto"/>
        <w:ind w:firstLine="390"/>
        <w:jc w:val="left"/>
        <w:rPr>
          <w:rFonts w:hint="eastAsia" w:ascii="宋体" w:hAnsi="宋体" w:cs="宋体"/>
          <w:color w:val="auto"/>
          <w:sz w:val="24"/>
          <w:highlight w:val="none"/>
        </w:rPr>
      </w:pPr>
      <w:r>
        <w:rPr>
          <w:rFonts w:hint="eastAsia" w:ascii="宋体" w:hAnsi="宋体" w:cs="宋体"/>
          <w:color w:val="auto"/>
          <w:spacing w:val="-15"/>
          <w:position w:val="15"/>
          <w:sz w:val="24"/>
          <w:highlight w:val="none"/>
        </w:rPr>
        <w:t>账</w:t>
      </w:r>
      <w:r>
        <w:rPr>
          <w:rFonts w:hint="eastAsia" w:ascii="宋体" w:hAnsi="宋体" w:cs="宋体"/>
          <w:color w:val="auto"/>
          <w:spacing w:val="-12"/>
          <w:position w:val="15"/>
          <w:sz w:val="24"/>
          <w:highlight w:val="none"/>
        </w:rPr>
        <w:t>号：</w:t>
      </w:r>
    </w:p>
    <w:p w14:paraId="3E1E0B29">
      <w:pPr>
        <w:spacing w:line="312" w:lineRule="auto"/>
        <w:ind w:firstLine="396"/>
        <w:jc w:val="left"/>
        <w:rPr>
          <w:rFonts w:hint="eastAsia" w:ascii="宋体" w:hAnsi="宋体" w:cs="宋体"/>
          <w:color w:val="auto"/>
          <w:sz w:val="24"/>
          <w:highlight w:val="none"/>
        </w:rPr>
      </w:pPr>
      <w:r>
        <w:rPr>
          <w:rFonts w:hint="eastAsia" w:ascii="宋体" w:hAnsi="宋体" w:cs="宋体"/>
          <w:color w:val="auto"/>
          <w:spacing w:val="-12"/>
          <w:sz w:val="24"/>
          <w:highlight w:val="none"/>
        </w:rPr>
        <w:t>地址：</w:t>
      </w:r>
    </w:p>
    <w:p w14:paraId="219EE78F">
      <w:pPr>
        <w:spacing w:line="312" w:lineRule="auto"/>
        <w:ind w:firstLine="386"/>
        <w:jc w:val="left"/>
        <w:rPr>
          <w:rFonts w:hint="eastAsia" w:ascii="宋体" w:hAnsi="宋体" w:cs="宋体"/>
          <w:color w:val="auto"/>
          <w:sz w:val="24"/>
          <w:highlight w:val="none"/>
        </w:rPr>
      </w:pPr>
      <w:r>
        <w:rPr>
          <w:rFonts w:hint="eastAsia" w:ascii="宋体" w:hAnsi="宋体" w:cs="宋体"/>
          <w:color w:val="auto"/>
          <w:spacing w:val="-17"/>
          <w:sz w:val="24"/>
          <w:highlight w:val="none"/>
        </w:rPr>
        <w:t>邮</w:t>
      </w:r>
      <w:r>
        <w:rPr>
          <w:rFonts w:hint="eastAsia" w:ascii="宋体" w:hAnsi="宋体" w:cs="宋体"/>
          <w:color w:val="auto"/>
          <w:spacing w:val="-15"/>
          <w:sz w:val="24"/>
          <w:highlight w:val="none"/>
        </w:rPr>
        <w:t>编：</w:t>
      </w:r>
    </w:p>
    <w:p w14:paraId="68260D3F">
      <w:pPr>
        <w:spacing w:line="312" w:lineRule="auto"/>
        <w:ind w:firstLine="382"/>
        <w:jc w:val="left"/>
        <w:rPr>
          <w:rFonts w:hint="eastAsia" w:ascii="宋体" w:hAnsi="宋体" w:cs="宋体"/>
          <w:color w:val="auto"/>
          <w:sz w:val="24"/>
          <w:highlight w:val="none"/>
        </w:rPr>
      </w:pPr>
      <w:r>
        <w:rPr>
          <w:rFonts w:hint="eastAsia" w:ascii="宋体" w:hAnsi="宋体" w:cs="宋体"/>
          <w:color w:val="auto"/>
          <w:spacing w:val="-19"/>
          <w:sz w:val="24"/>
          <w:highlight w:val="none"/>
        </w:rPr>
        <w:t>电</w:t>
      </w:r>
      <w:r>
        <w:rPr>
          <w:rFonts w:hint="eastAsia" w:ascii="宋体" w:hAnsi="宋体" w:cs="宋体"/>
          <w:color w:val="auto"/>
          <w:spacing w:val="-17"/>
          <w:sz w:val="24"/>
          <w:highlight w:val="none"/>
        </w:rPr>
        <w:t>话：</w:t>
      </w:r>
    </w:p>
    <w:p w14:paraId="16D721DA">
      <w:pPr>
        <w:spacing w:line="312" w:lineRule="auto"/>
        <w:ind w:firstLine="394"/>
        <w:jc w:val="left"/>
        <w:rPr>
          <w:rFonts w:hint="eastAsia" w:ascii="宋体" w:hAnsi="宋体" w:cs="宋体"/>
          <w:color w:val="auto"/>
          <w:sz w:val="24"/>
          <w:highlight w:val="none"/>
        </w:rPr>
      </w:pPr>
      <w:r>
        <w:rPr>
          <w:rFonts w:hint="eastAsia" w:ascii="宋体" w:hAnsi="宋体" w:cs="宋体"/>
          <w:color w:val="auto"/>
          <w:spacing w:val="-13"/>
          <w:sz w:val="24"/>
          <w:highlight w:val="none"/>
        </w:rPr>
        <w:t>传</w:t>
      </w:r>
      <w:r>
        <w:rPr>
          <w:rFonts w:hint="eastAsia" w:ascii="宋体" w:hAnsi="宋体" w:cs="宋体"/>
          <w:color w:val="auto"/>
          <w:spacing w:val="-11"/>
          <w:sz w:val="24"/>
          <w:highlight w:val="none"/>
        </w:rPr>
        <w:t>真：</w:t>
      </w:r>
    </w:p>
    <w:p w14:paraId="563A5441">
      <w:pPr>
        <w:tabs>
          <w:tab w:val="left" w:pos="1480"/>
        </w:tabs>
        <w:spacing w:line="312" w:lineRule="auto"/>
        <w:ind w:firstLine="460" w:firstLineChars="200"/>
        <w:jc w:val="left"/>
        <w:rPr>
          <w:rFonts w:hint="eastAsia" w:ascii="宋体" w:hAnsi="宋体" w:cs="宋体"/>
          <w:color w:val="auto"/>
          <w:sz w:val="24"/>
          <w:highlight w:val="none"/>
        </w:rPr>
      </w:pPr>
      <w:r>
        <w:rPr>
          <w:rFonts w:hint="eastAsia" w:ascii="宋体" w:hAnsi="宋体" w:cs="宋体"/>
          <w:color w:val="auto"/>
          <w:spacing w:val="-5"/>
          <w:sz w:val="24"/>
          <w:highlight w:val="none"/>
          <w:u w:val="single"/>
        </w:rPr>
        <w:t xml:space="preserve">     </w:t>
      </w:r>
      <w:r>
        <w:rPr>
          <w:rFonts w:hint="eastAsia" w:ascii="宋体" w:hAnsi="宋体" w:cs="宋体"/>
          <w:color w:val="auto"/>
          <w:spacing w:val="-9"/>
          <w:sz w:val="24"/>
          <w:highlight w:val="none"/>
        </w:rPr>
        <w:t>年</w:t>
      </w:r>
      <w:r>
        <w:rPr>
          <w:rFonts w:hint="eastAsia" w:ascii="宋体" w:hAnsi="宋体" w:cs="宋体"/>
          <w:color w:val="auto"/>
          <w:spacing w:val="-5"/>
          <w:sz w:val="24"/>
          <w:highlight w:val="none"/>
          <w:u w:val="single"/>
        </w:rPr>
        <w:t xml:space="preserve">     </w:t>
      </w:r>
      <w:r>
        <w:rPr>
          <w:rFonts w:hint="eastAsia" w:ascii="宋体" w:hAnsi="宋体" w:cs="宋体"/>
          <w:color w:val="auto"/>
          <w:spacing w:val="-5"/>
          <w:sz w:val="24"/>
          <w:highlight w:val="none"/>
        </w:rPr>
        <w:t>月</w:t>
      </w:r>
      <w:r>
        <w:rPr>
          <w:rFonts w:hint="eastAsia" w:ascii="宋体" w:hAnsi="宋体" w:cs="宋体"/>
          <w:color w:val="auto"/>
          <w:spacing w:val="-5"/>
          <w:sz w:val="24"/>
          <w:highlight w:val="none"/>
          <w:u w:val="single"/>
        </w:rPr>
        <w:t xml:space="preserve">    </w:t>
      </w:r>
      <w:r>
        <w:rPr>
          <w:rFonts w:hint="eastAsia" w:ascii="宋体" w:hAnsi="宋体" w:cs="宋体"/>
          <w:color w:val="auto"/>
          <w:spacing w:val="-5"/>
          <w:sz w:val="24"/>
          <w:highlight w:val="none"/>
        </w:rPr>
        <w:t xml:space="preserve"> 日</w:t>
      </w:r>
    </w:p>
    <w:p w14:paraId="16BF13F6">
      <w:pPr>
        <w:spacing w:line="312" w:lineRule="auto"/>
        <w:jc w:val="left"/>
        <w:rPr>
          <w:rFonts w:hint="eastAsia" w:ascii="宋体" w:hAnsi="宋体" w:cs="宋体"/>
          <w:color w:val="auto"/>
          <w:spacing w:val="-6"/>
          <w:sz w:val="24"/>
          <w:highlight w:val="none"/>
        </w:rPr>
      </w:pPr>
    </w:p>
    <w:p w14:paraId="3B6D8FBF">
      <w:pPr>
        <w:spacing w:line="312" w:lineRule="auto"/>
        <w:ind w:firstLine="408"/>
        <w:jc w:val="left"/>
        <w:rPr>
          <w:rFonts w:hint="eastAsia" w:ascii="宋体" w:hAnsi="宋体" w:cs="宋体"/>
          <w:color w:val="auto"/>
          <w:sz w:val="24"/>
          <w:highlight w:val="none"/>
        </w:rPr>
      </w:pPr>
      <w:r>
        <w:rPr>
          <w:rFonts w:hint="eastAsia" w:ascii="宋体" w:hAnsi="宋体" w:cs="宋体"/>
          <w:color w:val="auto"/>
          <w:spacing w:val="-6"/>
          <w:sz w:val="24"/>
          <w:highlight w:val="none"/>
        </w:rPr>
        <w:t>乙方：</w:t>
      </w:r>
      <w:r>
        <w:rPr>
          <w:rFonts w:hint="eastAsia" w:ascii="宋体" w:hAnsi="宋体" w:cs="宋体"/>
          <w:color w:val="auto"/>
          <w:spacing w:val="-6"/>
          <w:sz w:val="24"/>
          <w:highlight w:val="none"/>
          <w:u w:val="single"/>
        </w:rPr>
        <w:t xml:space="preserve">     </w:t>
      </w:r>
      <w:r>
        <w:rPr>
          <w:rFonts w:hint="eastAsia" w:ascii="宋体" w:hAnsi="宋体" w:cs="宋体"/>
          <w:color w:val="auto"/>
          <w:spacing w:val="-5"/>
          <w:sz w:val="24"/>
          <w:highlight w:val="none"/>
          <w:u w:val="single"/>
        </w:rPr>
        <w:t xml:space="preserve"> </w:t>
      </w:r>
      <w:r>
        <w:rPr>
          <w:rFonts w:hint="eastAsia" w:ascii="宋体" w:hAnsi="宋体" w:cs="宋体"/>
          <w:color w:val="auto"/>
          <w:spacing w:val="-3"/>
          <w:sz w:val="24"/>
          <w:highlight w:val="none"/>
          <w:u w:val="single"/>
        </w:rPr>
        <w:t xml:space="preserve">                         </w:t>
      </w:r>
      <w:r>
        <w:rPr>
          <w:rFonts w:hint="eastAsia" w:ascii="宋体" w:hAnsi="宋体" w:cs="宋体"/>
          <w:color w:val="auto"/>
          <w:sz w:val="24"/>
          <w:highlight w:val="none"/>
        </w:rPr>
        <w:t xml:space="preserve"> </w:t>
      </w:r>
      <w:r>
        <w:rPr>
          <w:rFonts w:hint="eastAsia" w:ascii="宋体" w:hAnsi="宋体" w:cs="宋体"/>
          <w:color w:val="auto"/>
          <w:spacing w:val="19"/>
          <w:sz w:val="24"/>
          <w:highlight w:val="none"/>
        </w:rPr>
        <w:t>(</w:t>
      </w:r>
      <w:r>
        <w:rPr>
          <w:rFonts w:hint="eastAsia" w:ascii="宋体" w:hAnsi="宋体" w:cs="宋体"/>
          <w:color w:val="auto"/>
          <w:spacing w:val="15"/>
          <w:sz w:val="24"/>
          <w:highlight w:val="none"/>
        </w:rPr>
        <w:t>盖单位章)</w:t>
      </w:r>
    </w:p>
    <w:p w14:paraId="753061E2">
      <w:pPr>
        <w:spacing w:line="312" w:lineRule="auto"/>
        <w:ind w:firstLine="416"/>
        <w:jc w:val="left"/>
        <w:rPr>
          <w:rFonts w:hint="eastAsia" w:ascii="宋体" w:hAnsi="宋体" w:cs="宋体"/>
          <w:color w:val="auto"/>
          <w:sz w:val="24"/>
          <w:highlight w:val="none"/>
        </w:rPr>
      </w:pPr>
      <w:r>
        <w:rPr>
          <w:rFonts w:hint="eastAsia" w:ascii="宋体" w:hAnsi="宋体" w:cs="宋体"/>
          <w:color w:val="auto"/>
          <w:spacing w:val="-2"/>
          <w:position w:val="14"/>
          <w:sz w:val="24"/>
          <w:highlight w:val="none"/>
        </w:rPr>
        <w:t>法</w:t>
      </w:r>
      <w:r>
        <w:rPr>
          <w:rFonts w:hint="eastAsia" w:ascii="宋体" w:hAnsi="宋体" w:cs="宋体"/>
          <w:color w:val="auto"/>
          <w:spacing w:val="-1"/>
          <w:position w:val="14"/>
          <w:sz w:val="24"/>
          <w:highlight w:val="none"/>
        </w:rPr>
        <w:t>定代表人</w:t>
      </w:r>
    </w:p>
    <w:p w14:paraId="5C281096">
      <w:pPr>
        <w:spacing w:line="312" w:lineRule="auto"/>
        <w:ind w:firstLine="404"/>
        <w:jc w:val="left"/>
        <w:rPr>
          <w:rFonts w:hint="eastAsia" w:ascii="宋体" w:hAnsi="宋体" w:cs="宋体"/>
          <w:color w:val="auto"/>
          <w:sz w:val="24"/>
          <w:highlight w:val="none"/>
        </w:rPr>
      </w:pPr>
      <w:r>
        <w:rPr>
          <w:rFonts w:hint="eastAsia" w:ascii="宋体" w:hAnsi="宋体" w:cs="宋体"/>
          <w:color w:val="auto"/>
          <w:spacing w:val="-8"/>
          <w:sz w:val="24"/>
          <w:highlight w:val="none"/>
        </w:rPr>
        <w:t>或</w:t>
      </w:r>
      <w:r>
        <w:rPr>
          <w:rFonts w:hint="eastAsia" w:ascii="宋体" w:hAnsi="宋体" w:cs="宋体"/>
          <w:color w:val="auto"/>
          <w:spacing w:val="-4"/>
          <w:sz w:val="24"/>
          <w:highlight w:val="none"/>
        </w:rPr>
        <w:t>委托代理人：</w:t>
      </w:r>
    </w:p>
    <w:p w14:paraId="08114381">
      <w:pPr>
        <w:spacing w:line="312" w:lineRule="auto"/>
        <w:ind w:firstLine="406"/>
        <w:jc w:val="left"/>
        <w:rPr>
          <w:rFonts w:hint="eastAsia" w:ascii="宋体" w:hAnsi="宋体" w:cs="宋体"/>
          <w:color w:val="auto"/>
          <w:sz w:val="24"/>
          <w:highlight w:val="none"/>
        </w:rPr>
      </w:pPr>
      <w:r>
        <w:rPr>
          <w:rFonts w:hint="eastAsia" w:ascii="宋体" w:hAnsi="宋体" w:cs="宋体"/>
          <w:color w:val="auto"/>
          <w:spacing w:val="-7"/>
          <w:sz w:val="24"/>
          <w:highlight w:val="none"/>
        </w:rPr>
        <w:t>开</w:t>
      </w:r>
      <w:r>
        <w:rPr>
          <w:rFonts w:hint="eastAsia" w:ascii="宋体" w:hAnsi="宋体" w:cs="宋体"/>
          <w:color w:val="auto"/>
          <w:spacing w:val="-6"/>
          <w:sz w:val="24"/>
          <w:highlight w:val="none"/>
        </w:rPr>
        <w:t>户银行：</w:t>
      </w:r>
    </w:p>
    <w:p w14:paraId="19576CC1">
      <w:pPr>
        <w:spacing w:line="312" w:lineRule="auto"/>
        <w:ind w:firstLine="390"/>
        <w:jc w:val="left"/>
        <w:rPr>
          <w:rFonts w:hint="eastAsia" w:ascii="宋体" w:hAnsi="宋体" w:cs="宋体"/>
          <w:color w:val="auto"/>
          <w:sz w:val="24"/>
          <w:highlight w:val="none"/>
        </w:rPr>
      </w:pPr>
      <w:r>
        <w:rPr>
          <w:rFonts w:hint="eastAsia" w:ascii="宋体" w:hAnsi="宋体" w:cs="宋体"/>
          <w:color w:val="auto"/>
          <w:spacing w:val="-15"/>
          <w:position w:val="15"/>
          <w:sz w:val="24"/>
          <w:highlight w:val="none"/>
        </w:rPr>
        <w:t>账</w:t>
      </w:r>
      <w:r>
        <w:rPr>
          <w:rFonts w:hint="eastAsia" w:ascii="宋体" w:hAnsi="宋体" w:cs="宋体"/>
          <w:color w:val="auto"/>
          <w:spacing w:val="-12"/>
          <w:position w:val="15"/>
          <w:sz w:val="24"/>
          <w:highlight w:val="none"/>
        </w:rPr>
        <w:t>号：</w:t>
      </w:r>
    </w:p>
    <w:p w14:paraId="49F3E721">
      <w:pPr>
        <w:spacing w:line="312" w:lineRule="auto"/>
        <w:ind w:firstLine="396"/>
        <w:jc w:val="left"/>
        <w:rPr>
          <w:rFonts w:hint="eastAsia" w:ascii="宋体" w:hAnsi="宋体" w:cs="宋体"/>
          <w:color w:val="auto"/>
          <w:sz w:val="24"/>
          <w:highlight w:val="none"/>
        </w:rPr>
      </w:pPr>
      <w:r>
        <w:rPr>
          <w:rFonts w:hint="eastAsia" w:ascii="宋体" w:hAnsi="宋体" w:cs="宋体"/>
          <w:color w:val="auto"/>
          <w:spacing w:val="-12"/>
          <w:sz w:val="24"/>
          <w:highlight w:val="none"/>
        </w:rPr>
        <w:t>地址：</w:t>
      </w:r>
    </w:p>
    <w:p w14:paraId="2CF6AD9D">
      <w:pPr>
        <w:spacing w:line="312" w:lineRule="auto"/>
        <w:ind w:firstLine="386"/>
        <w:jc w:val="left"/>
        <w:rPr>
          <w:rFonts w:hint="eastAsia" w:ascii="宋体" w:hAnsi="宋体" w:cs="宋体"/>
          <w:color w:val="auto"/>
          <w:sz w:val="24"/>
          <w:highlight w:val="none"/>
        </w:rPr>
      </w:pPr>
      <w:r>
        <w:rPr>
          <w:rFonts w:hint="eastAsia" w:ascii="宋体" w:hAnsi="宋体" w:cs="宋体"/>
          <w:color w:val="auto"/>
          <w:spacing w:val="-17"/>
          <w:sz w:val="24"/>
          <w:highlight w:val="none"/>
        </w:rPr>
        <w:t>邮</w:t>
      </w:r>
      <w:r>
        <w:rPr>
          <w:rFonts w:hint="eastAsia" w:ascii="宋体" w:hAnsi="宋体" w:cs="宋体"/>
          <w:color w:val="auto"/>
          <w:spacing w:val="-15"/>
          <w:sz w:val="24"/>
          <w:highlight w:val="none"/>
        </w:rPr>
        <w:t>编：</w:t>
      </w:r>
    </w:p>
    <w:p w14:paraId="0E6F2499">
      <w:pPr>
        <w:spacing w:line="312" w:lineRule="auto"/>
        <w:ind w:firstLine="382"/>
        <w:jc w:val="left"/>
        <w:rPr>
          <w:rFonts w:hint="eastAsia" w:ascii="宋体" w:hAnsi="宋体" w:cs="宋体"/>
          <w:color w:val="auto"/>
          <w:sz w:val="24"/>
          <w:highlight w:val="none"/>
        </w:rPr>
      </w:pPr>
      <w:r>
        <w:rPr>
          <w:rFonts w:hint="eastAsia" w:ascii="宋体" w:hAnsi="宋体" w:cs="宋体"/>
          <w:color w:val="auto"/>
          <w:spacing w:val="-19"/>
          <w:sz w:val="24"/>
          <w:highlight w:val="none"/>
        </w:rPr>
        <w:t>电</w:t>
      </w:r>
      <w:r>
        <w:rPr>
          <w:rFonts w:hint="eastAsia" w:ascii="宋体" w:hAnsi="宋体" w:cs="宋体"/>
          <w:color w:val="auto"/>
          <w:spacing w:val="-17"/>
          <w:sz w:val="24"/>
          <w:highlight w:val="none"/>
        </w:rPr>
        <w:t>话：</w:t>
      </w:r>
    </w:p>
    <w:p w14:paraId="58DBBCC6">
      <w:pPr>
        <w:spacing w:line="312" w:lineRule="auto"/>
        <w:ind w:firstLine="394"/>
        <w:jc w:val="left"/>
        <w:rPr>
          <w:rFonts w:hint="eastAsia" w:ascii="宋体" w:hAnsi="宋体" w:cs="宋体"/>
          <w:color w:val="auto"/>
          <w:sz w:val="24"/>
          <w:highlight w:val="none"/>
        </w:rPr>
      </w:pPr>
      <w:r>
        <w:rPr>
          <w:rFonts w:hint="eastAsia" w:ascii="宋体" w:hAnsi="宋体" w:cs="宋体"/>
          <w:color w:val="auto"/>
          <w:spacing w:val="-13"/>
          <w:sz w:val="24"/>
          <w:highlight w:val="none"/>
        </w:rPr>
        <w:t>传</w:t>
      </w:r>
      <w:r>
        <w:rPr>
          <w:rFonts w:hint="eastAsia" w:ascii="宋体" w:hAnsi="宋体" w:cs="宋体"/>
          <w:color w:val="auto"/>
          <w:spacing w:val="-11"/>
          <w:sz w:val="24"/>
          <w:highlight w:val="none"/>
        </w:rPr>
        <w:t>真：</w:t>
      </w:r>
    </w:p>
    <w:p w14:paraId="00E5E4CE">
      <w:pPr>
        <w:tabs>
          <w:tab w:val="left" w:pos="1480"/>
        </w:tabs>
        <w:spacing w:line="312" w:lineRule="auto"/>
        <w:ind w:firstLine="460" w:firstLineChars="200"/>
        <w:jc w:val="left"/>
        <w:rPr>
          <w:rFonts w:hint="eastAsia" w:ascii="宋体" w:hAnsi="宋体" w:cs="宋体"/>
          <w:color w:val="auto"/>
          <w:highlight w:val="none"/>
        </w:rPr>
      </w:pPr>
      <w:r>
        <w:rPr>
          <w:rFonts w:hint="eastAsia" w:ascii="宋体" w:hAnsi="宋体" w:cs="宋体"/>
          <w:color w:val="auto"/>
          <w:spacing w:val="-5"/>
          <w:sz w:val="24"/>
          <w:highlight w:val="none"/>
          <w:u w:val="single"/>
        </w:rPr>
        <w:t xml:space="preserve">     </w:t>
      </w:r>
      <w:r>
        <w:rPr>
          <w:rFonts w:hint="eastAsia" w:ascii="宋体" w:hAnsi="宋体" w:cs="宋体"/>
          <w:color w:val="auto"/>
          <w:spacing w:val="4"/>
          <w:sz w:val="24"/>
          <w:highlight w:val="none"/>
        </w:rPr>
        <w:t>年</w:t>
      </w:r>
      <w:r>
        <w:rPr>
          <w:rFonts w:hint="eastAsia" w:ascii="宋体" w:hAnsi="宋体" w:cs="宋体"/>
          <w:color w:val="auto"/>
          <w:spacing w:val="-5"/>
          <w:sz w:val="24"/>
          <w:highlight w:val="none"/>
          <w:u w:val="single"/>
        </w:rPr>
        <w:t xml:space="preserve">     </w:t>
      </w:r>
      <w:r>
        <w:rPr>
          <w:rFonts w:hint="eastAsia" w:ascii="宋体" w:hAnsi="宋体" w:cs="宋体"/>
          <w:color w:val="auto"/>
          <w:spacing w:val="2"/>
          <w:sz w:val="24"/>
          <w:highlight w:val="none"/>
        </w:rPr>
        <w:t>月</w:t>
      </w:r>
      <w:r>
        <w:rPr>
          <w:rFonts w:hint="eastAsia" w:ascii="宋体" w:hAnsi="宋体" w:cs="宋体"/>
          <w:color w:val="auto"/>
          <w:spacing w:val="2"/>
          <w:sz w:val="24"/>
          <w:highlight w:val="none"/>
          <w:u w:val="single"/>
        </w:rPr>
        <w:t xml:space="preserve">     </w:t>
      </w:r>
      <w:r>
        <w:rPr>
          <w:rFonts w:hint="eastAsia" w:ascii="宋体" w:hAnsi="宋体" w:cs="宋体"/>
          <w:color w:val="auto"/>
          <w:spacing w:val="2"/>
          <w:sz w:val="24"/>
          <w:highlight w:val="none"/>
        </w:rPr>
        <w:t>日</w:t>
      </w:r>
    </w:p>
    <w:p w14:paraId="0E876365">
      <w:pPr>
        <w:pStyle w:val="2"/>
        <w:rPr>
          <w:rFonts w:hint="eastAsia" w:ascii="宋体" w:hAnsi="宋体" w:cs="宋体"/>
          <w:color w:val="auto"/>
          <w:highlight w:val="none"/>
        </w:rPr>
      </w:pPr>
      <w:bookmarkStart w:id="142" w:name="_Toc71532868"/>
    </w:p>
    <w:p w14:paraId="7AFCC1C7">
      <w:pPr>
        <w:pStyle w:val="2"/>
        <w:rPr>
          <w:rFonts w:hint="eastAsia" w:ascii="宋体" w:hAnsi="宋体" w:cs="宋体"/>
          <w:color w:val="auto"/>
          <w:highlight w:val="none"/>
        </w:rPr>
      </w:pPr>
      <w:r>
        <w:rPr>
          <w:rFonts w:hint="eastAsia" w:ascii="宋体" w:hAnsi="宋体" w:cs="宋体"/>
          <w:color w:val="auto"/>
          <w:highlight w:val="none"/>
        </w:rPr>
        <w:t>合同附件</w:t>
      </w:r>
    </w:p>
    <w:p w14:paraId="4DA2DB74">
      <w:pPr>
        <w:pStyle w:val="2"/>
        <w:ind w:firstLine="480" w:firstLineChars="200"/>
        <w:rPr>
          <w:rFonts w:hint="default" w:ascii="宋体" w:hAnsi="宋体" w:eastAsia="宋体" w:cs="宋体"/>
          <w:color w:val="auto"/>
          <w:highlight w:val="none"/>
          <w:lang w:val="en-US" w:eastAsia="zh-CN"/>
        </w:rPr>
      </w:pPr>
      <w:r>
        <w:rPr>
          <w:rFonts w:hint="eastAsia" w:ascii="宋体" w:hAnsi="宋体" w:cs="宋体"/>
          <w:color w:val="auto"/>
          <w:highlight w:val="none"/>
        </w:rPr>
        <w:t>附件1  项目负责人委任书</w:t>
      </w:r>
      <w:r>
        <w:rPr>
          <w:rFonts w:hint="eastAsia" w:ascii="宋体" w:hAnsi="宋体" w:cs="宋体"/>
          <w:color w:val="auto"/>
          <w:highlight w:val="none"/>
          <w:lang w:eastAsia="zh-CN"/>
        </w:rPr>
        <w:t>、</w:t>
      </w:r>
      <w:r>
        <w:rPr>
          <w:rFonts w:hint="eastAsia" w:ascii="宋体" w:hAnsi="宋体" w:cs="宋体"/>
          <w:color w:val="auto"/>
          <w:highlight w:val="none"/>
          <w:lang w:val="en-US" w:eastAsia="zh-CN"/>
        </w:rPr>
        <w:t>廉政合同、安全生产合同</w:t>
      </w:r>
    </w:p>
    <w:p w14:paraId="0A90036E">
      <w:pPr>
        <w:ind w:firstLine="480" w:firstLineChars="20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附件</w:t>
      </w:r>
      <w:r>
        <w:rPr>
          <w:rFonts w:hint="eastAsia" w:ascii="宋体" w:hAnsi="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lang w:val="en-US" w:eastAsia="zh-CN" w:bidi="ar-SA"/>
        </w:rPr>
        <w:t xml:space="preserve">  </w:t>
      </w:r>
      <w:r>
        <w:rPr>
          <w:rFonts w:hint="eastAsia" w:ascii="宋体" w:hAnsi="宋体" w:cs="宋体"/>
          <w:color w:val="auto"/>
          <w:kern w:val="0"/>
          <w:sz w:val="24"/>
          <w:szCs w:val="24"/>
          <w:highlight w:val="none"/>
          <w:lang w:val="en-US" w:eastAsia="zh-CN" w:bidi="ar-SA"/>
        </w:rPr>
        <w:t>履约保证金格式</w:t>
      </w:r>
    </w:p>
    <w:p w14:paraId="7BC9BF70">
      <w:pPr>
        <w:pStyle w:val="46"/>
        <w:ind w:firstLine="480"/>
        <w:rPr>
          <w:rFonts w:hint="eastAsia" w:ascii="宋体" w:hAnsi="宋体" w:eastAsia="宋体" w:cs="宋体"/>
          <w:color w:val="auto"/>
          <w:sz w:val="24"/>
          <w:szCs w:val="24"/>
          <w:highlight w:val="none"/>
        </w:rPr>
      </w:pPr>
    </w:p>
    <w:p w14:paraId="234A057B">
      <w:pPr>
        <w:rPr>
          <w:rFonts w:hint="eastAsia"/>
          <w:color w:val="auto"/>
          <w:highlight w:val="none"/>
        </w:rPr>
      </w:pPr>
    </w:p>
    <w:p w14:paraId="69C0F508">
      <w:pPr>
        <w:rPr>
          <w:rFonts w:hint="eastAsia" w:ascii="宋体" w:hAnsi="宋体" w:cs="宋体"/>
          <w:color w:val="auto"/>
          <w:spacing w:val="13"/>
          <w:sz w:val="31"/>
          <w:szCs w:val="31"/>
          <w:highlight w:val="none"/>
          <w:u w:val="single"/>
          <w14:textOutline w14:w="5791" w14:cap="flat" w14:cmpd="sng" w14:algn="ctr">
            <w14:solidFill>
              <w14:srgbClr w14:val="000000"/>
            </w14:solidFill>
            <w14:prstDash w14:val="solid"/>
            <w14:miter w14:val="0"/>
          </w14:textOutline>
        </w:rPr>
      </w:pPr>
      <w:r>
        <w:rPr>
          <w:rFonts w:hint="eastAsia" w:ascii="宋体" w:hAnsi="宋体" w:cs="宋体"/>
          <w:color w:val="auto"/>
          <w:spacing w:val="13"/>
          <w:sz w:val="31"/>
          <w:szCs w:val="31"/>
          <w:highlight w:val="none"/>
          <w:u w:val="single"/>
          <w14:textOutline w14:w="5791" w14:cap="flat" w14:cmpd="sng" w14:algn="ctr">
            <w14:solidFill>
              <w14:srgbClr w14:val="000000"/>
            </w14:solidFill>
            <w14:prstDash w14:val="solid"/>
            <w14:miter w14:val="0"/>
          </w14:textOutline>
        </w:rPr>
        <w:br w:type="page"/>
      </w:r>
    </w:p>
    <w:p w14:paraId="4D6CFF05">
      <w:pPr>
        <w:pStyle w:val="5"/>
        <w:rPr>
          <w:rFonts w:hint="eastAsia" w:ascii="宋体" w:hAnsi="宋体" w:cs="宋体"/>
          <w:color w:val="auto"/>
          <w:highlight w:val="none"/>
          <w:lang w:val="en-US" w:eastAsia="zh-CN"/>
        </w:rPr>
      </w:pPr>
      <w:r>
        <w:rPr>
          <w:rFonts w:hint="eastAsia" w:ascii="宋体" w:hAnsi="宋体" w:cs="宋体"/>
          <w:color w:val="auto"/>
          <w:highlight w:val="none"/>
          <w:lang w:val="en-US" w:eastAsia="zh-CN"/>
        </w:rPr>
        <w:t>附件1 （一）项目负责人委任书</w:t>
      </w:r>
    </w:p>
    <w:p w14:paraId="2A851A56">
      <w:pPr>
        <w:spacing w:line="360" w:lineRule="auto"/>
        <w:jc w:val="center"/>
        <w:rPr>
          <w:rFonts w:hint="eastAsia" w:ascii="宋体" w:hAnsi="宋体" w:cs="宋体"/>
          <w:color w:val="auto"/>
          <w:sz w:val="31"/>
          <w:szCs w:val="31"/>
          <w:highlight w:val="none"/>
        </w:rPr>
      </w:pPr>
      <w:r>
        <w:rPr>
          <w:rFonts w:hint="eastAsia" w:ascii="宋体" w:hAnsi="宋体" w:cs="宋体"/>
          <w:color w:val="auto"/>
          <w:spacing w:val="13"/>
          <w:sz w:val="31"/>
          <w:szCs w:val="31"/>
          <w:highlight w:val="none"/>
          <w:u w:val="single"/>
          <w14:textOutline w14:w="5791" w14:cap="flat" w14:cmpd="sng" w14:algn="ctr">
            <w14:solidFill>
              <w14:srgbClr w14:val="000000"/>
            </w14:solidFill>
            <w14:prstDash w14:val="solid"/>
            <w14:miter w14:val="0"/>
          </w14:textOutline>
        </w:rPr>
        <w:t>项目负责人</w:t>
      </w:r>
      <w:r>
        <w:rPr>
          <w:rFonts w:hint="eastAsia" w:ascii="宋体" w:hAnsi="宋体" w:cs="宋体"/>
          <w:color w:val="auto"/>
          <w:spacing w:val="8"/>
          <w:sz w:val="31"/>
          <w:szCs w:val="31"/>
          <w:highlight w:val="none"/>
          <w:u w:val="single"/>
          <w14:textOutline w14:w="5791" w14:cap="flat" w14:cmpd="sng" w14:algn="ctr">
            <w14:solidFill>
              <w14:srgbClr w14:val="000000"/>
            </w14:solidFill>
            <w14:prstDash w14:val="solid"/>
            <w14:miter w14:val="0"/>
          </w14:textOutline>
        </w:rPr>
        <w:t>委任书</w:t>
      </w:r>
    </w:p>
    <w:p w14:paraId="4F501455">
      <w:pPr>
        <w:spacing w:line="332" w:lineRule="auto"/>
        <w:rPr>
          <w:rFonts w:hint="eastAsia" w:ascii="宋体" w:hAnsi="宋体" w:cs="宋体"/>
          <w:color w:val="auto"/>
          <w:highlight w:val="none"/>
        </w:rPr>
      </w:pPr>
    </w:p>
    <w:p w14:paraId="4E28D878">
      <w:pPr>
        <w:spacing w:line="360" w:lineRule="auto"/>
        <w:ind w:firstLine="408"/>
        <w:rPr>
          <w:rFonts w:hint="eastAsia" w:ascii="宋体" w:hAnsi="宋体" w:cs="宋体"/>
          <w:color w:val="auto"/>
          <w:sz w:val="24"/>
          <w:highlight w:val="none"/>
        </w:rPr>
      </w:pPr>
      <w:r>
        <w:rPr>
          <w:rFonts w:hint="eastAsia" w:ascii="宋体" w:hAnsi="宋体" w:cs="宋体"/>
          <w:color w:val="auto"/>
          <w:spacing w:val="-6"/>
          <w:sz w:val="24"/>
          <w:highlight w:val="none"/>
        </w:rPr>
        <w:t xml:space="preserve">致： </w:t>
      </w:r>
      <w:r>
        <w:rPr>
          <w:rFonts w:hint="eastAsia" w:ascii="宋体" w:hAnsi="宋体" w:cs="宋体"/>
          <w:color w:val="auto"/>
          <w:spacing w:val="-6"/>
          <w:sz w:val="24"/>
          <w:highlight w:val="none"/>
          <w:u w:val="single"/>
        </w:rPr>
        <w:t>广西壮族自治区桂东公路发展中心</w:t>
      </w:r>
    </w:p>
    <w:p w14:paraId="10055A66">
      <w:pPr>
        <w:tabs>
          <w:tab w:val="left" w:pos="950"/>
        </w:tabs>
        <w:spacing w:line="360" w:lineRule="auto"/>
        <w:ind w:left="1" w:firstLine="420"/>
        <w:jc w:val="left"/>
        <w:rPr>
          <w:rFonts w:hint="eastAsia" w:ascii="宋体" w:hAnsi="宋体" w:cs="宋体"/>
          <w:color w:val="auto"/>
          <w:sz w:val="24"/>
          <w:highlight w:val="none"/>
        </w:rPr>
      </w:pPr>
      <w:r>
        <w:rPr>
          <w:rFonts w:hint="eastAsia" w:ascii="宋体" w:hAnsi="宋体" w:cs="宋体"/>
          <w:color w:val="auto"/>
          <w:sz w:val="24"/>
          <w:highlight w:val="none"/>
          <w:u w:val="single"/>
        </w:rPr>
        <w:tab/>
      </w:r>
      <w:r>
        <w:rPr>
          <w:rFonts w:hint="eastAsia" w:ascii="宋体" w:hAnsi="宋体" w:cs="宋体"/>
          <w:color w:val="auto"/>
          <w:spacing w:val="-4"/>
          <w:sz w:val="24"/>
          <w:highlight w:val="none"/>
          <w:u w:val="single"/>
        </w:rPr>
        <w:t>(承包人全</w:t>
      </w:r>
      <w:r>
        <w:rPr>
          <w:rFonts w:hint="eastAsia" w:ascii="宋体" w:hAnsi="宋体" w:cs="宋体"/>
          <w:color w:val="auto"/>
          <w:spacing w:val="-3"/>
          <w:sz w:val="24"/>
          <w:highlight w:val="none"/>
          <w:u w:val="single"/>
        </w:rPr>
        <w:t>称</w:t>
      </w:r>
      <w:r>
        <w:rPr>
          <w:rFonts w:hint="eastAsia" w:ascii="宋体" w:hAnsi="宋体" w:cs="宋体"/>
          <w:color w:val="auto"/>
          <w:spacing w:val="-2"/>
          <w:sz w:val="24"/>
          <w:highlight w:val="none"/>
          <w:u w:val="single"/>
        </w:rPr>
        <w:t xml:space="preserve">) </w:t>
      </w:r>
      <w:r>
        <w:rPr>
          <w:rFonts w:hint="eastAsia" w:ascii="宋体" w:hAnsi="宋体" w:cs="宋体"/>
          <w:color w:val="auto"/>
          <w:spacing w:val="-2"/>
          <w:sz w:val="24"/>
          <w:highlight w:val="none"/>
        </w:rPr>
        <w:t>法定代表人</w:t>
      </w:r>
      <w:r>
        <w:rPr>
          <w:rFonts w:hint="eastAsia" w:ascii="宋体" w:hAnsi="宋体" w:cs="宋体"/>
          <w:color w:val="auto"/>
          <w:spacing w:val="-2"/>
          <w:sz w:val="24"/>
          <w:highlight w:val="none"/>
          <w:u w:val="single"/>
        </w:rPr>
        <w:t xml:space="preserve"> (职务、姓名) </w:t>
      </w:r>
      <w:r>
        <w:rPr>
          <w:rFonts w:hint="eastAsia" w:ascii="宋体" w:hAnsi="宋体" w:cs="宋体"/>
          <w:color w:val="auto"/>
          <w:spacing w:val="-2"/>
          <w:sz w:val="24"/>
          <w:highlight w:val="none"/>
        </w:rPr>
        <w:t>代表本单位委任</w:t>
      </w:r>
      <w:r>
        <w:rPr>
          <w:rFonts w:hint="eastAsia" w:ascii="宋体" w:hAnsi="宋体" w:cs="宋体"/>
          <w:color w:val="auto"/>
          <w:spacing w:val="-2"/>
          <w:sz w:val="24"/>
          <w:highlight w:val="none"/>
          <w:u w:val="single"/>
        </w:rPr>
        <w:t xml:space="preserve"> (职务、姓名) </w:t>
      </w:r>
      <w:r>
        <w:rPr>
          <w:rFonts w:hint="eastAsia" w:ascii="宋体" w:hAnsi="宋体" w:cs="宋体"/>
          <w:color w:val="auto"/>
          <w:spacing w:val="-2"/>
          <w:sz w:val="24"/>
          <w:highlight w:val="none"/>
        </w:rPr>
        <w:t>为</w:t>
      </w:r>
      <w:r>
        <w:rPr>
          <w:rFonts w:hint="eastAsia" w:ascii="宋体" w:hAnsi="宋体" w:cs="宋体"/>
          <w:color w:val="auto"/>
          <w:spacing w:val="-2"/>
          <w:sz w:val="24"/>
          <w:highlight w:val="none"/>
          <w:u w:val="single"/>
        </w:rPr>
        <w:t>广西壮族自治区桂东公路发展中心</w:t>
      </w:r>
      <w:r>
        <w:rPr>
          <w:rFonts w:hint="eastAsia" w:ascii="宋体" w:hAnsi="宋体" w:cs="宋体"/>
          <w:color w:val="auto"/>
          <w:spacing w:val="-2"/>
          <w:sz w:val="24"/>
          <w:highlight w:val="none"/>
          <w:u w:val="single"/>
          <w:lang w:eastAsia="zh-CN"/>
        </w:rPr>
        <w:t>2026年</w:t>
      </w:r>
      <w:r>
        <w:rPr>
          <w:rFonts w:hint="eastAsia" w:ascii="宋体" w:hAnsi="宋体" w:cs="宋体"/>
          <w:color w:val="auto"/>
          <w:spacing w:val="-2"/>
          <w:sz w:val="24"/>
          <w:highlight w:val="none"/>
          <w:u w:val="single"/>
        </w:rPr>
        <w:t>普通国省干道桥隧定期检测服务</w:t>
      </w:r>
      <w:r>
        <w:rPr>
          <w:rFonts w:hint="eastAsia" w:ascii="宋体" w:hAnsi="宋体" w:cs="宋体"/>
          <w:color w:val="auto"/>
          <w:spacing w:val="-4"/>
          <w:sz w:val="24"/>
          <w:highlight w:val="none"/>
        </w:rPr>
        <w:t>的项目负责人。凡本合同执行中的有关</w:t>
      </w:r>
      <w:r>
        <w:rPr>
          <w:rFonts w:hint="eastAsia" w:ascii="宋体" w:hAnsi="宋体" w:cs="宋体"/>
          <w:color w:val="auto"/>
          <w:spacing w:val="-1"/>
          <w:sz w:val="24"/>
          <w:highlight w:val="none"/>
        </w:rPr>
        <w:t>技术、项目进度、现场管理、质量检验、</w:t>
      </w:r>
      <w:r>
        <w:rPr>
          <w:rFonts w:hint="eastAsia" w:ascii="宋体" w:hAnsi="宋体" w:cs="宋体"/>
          <w:color w:val="auto"/>
          <w:sz w:val="24"/>
          <w:highlight w:val="none"/>
        </w:rPr>
        <w:t>结算与支付等方面工作，由</w:t>
      </w:r>
      <w:r>
        <w:rPr>
          <w:rFonts w:hint="eastAsia" w:ascii="宋体" w:hAnsi="宋体" w:cs="宋体"/>
          <w:color w:val="auto"/>
          <w:sz w:val="24"/>
          <w:highlight w:val="none"/>
          <w:u w:val="single"/>
        </w:rPr>
        <w:t xml:space="preserve"> (姓名) </w:t>
      </w:r>
      <w:r>
        <w:rPr>
          <w:rFonts w:hint="eastAsia" w:ascii="宋体" w:hAnsi="宋体" w:cs="宋体"/>
          <w:color w:val="auto"/>
          <w:sz w:val="24"/>
          <w:highlight w:val="none"/>
        </w:rPr>
        <w:t>代表本单位全面负责。</w:t>
      </w:r>
    </w:p>
    <w:p w14:paraId="3869B6A0">
      <w:pPr>
        <w:spacing w:line="360" w:lineRule="auto"/>
        <w:ind w:firstLine="404"/>
        <w:jc w:val="right"/>
        <w:rPr>
          <w:rFonts w:hint="eastAsia" w:ascii="宋体" w:hAnsi="宋体" w:cs="宋体"/>
          <w:color w:val="auto"/>
          <w:spacing w:val="-8"/>
          <w:sz w:val="24"/>
          <w:highlight w:val="none"/>
        </w:rPr>
      </w:pPr>
    </w:p>
    <w:p w14:paraId="4A8FDB1C">
      <w:pPr>
        <w:spacing w:line="360" w:lineRule="auto"/>
        <w:ind w:firstLine="5376" w:firstLineChars="2400"/>
        <w:rPr>
          <w:rFonts w:hint="eastAsia" w:ascii="宋体" w:hAnsi="宋体" w:cs="宋体"/>
          <w:color w:val="auto"/>
          <w:sz w:val="24"/>
          <w:highlight w:val="none"/>
        </w:rPr>
      </w:pPr>
      <w:r>
        <w:rPr>
          <w:rFonts w:hint="eastAsia" w:ascii="宋体" w:hAnsi="宋体" w:cs="宋体"/>
          <w:color w:val="auto"/>
          <w:spacing w:val="-8"/>
          <w:sz w:val="24"/>
          <w:highlight w:val="none"/>
        </w:rPr>
        <w:t>承</w:t>
      </w:r>
      <w:r>
        <w:rPr>
          <w:rFonts w:hint="eastAsia" w:ascii="宋体" w:hAnsi="宋体" w:cs="宋体"/>
          <w:color w:val="auto"/>
          <w:spacing w:val="-4"/>
          <w:sz w:val="24"/>
          <w:highlight w:val="none"/>
        </w:rPr>
        <w:t>包人：</w:t>
      </w:r>
      <w:r>
        <w:rPr>
          <w:rFonts w:hint="eastAsia" w:ascii="宋体" w:hAnsi="宋体" w:cs="宋体"/>
          <w:color w:val="auto"/>
          <w:spacing w:val="-4"/>
          <w:sz w:val="24"/>
          <w:highlight w:val="none"/>
          <w:u w:val="single"/>
        </w:rPr>
        <w:t xml:space="preserve">                </w:t>
      </w:r>
      <w:r>
        <w:rPr>
          <w:rFonts w:hint="eastAsia" w:ascii="宋体" w:hAnsi="宋体" w:cs="宋体"/>
          <w:color w:val="auto"/>
          <w:spacing w:val="-4"/>
          <w:sz w:val="24"/>
          <w:highlight w:val="none"/>
        </w:rPr>
        <w:t>(盖单位章)</w:t>
      </w:r>
    </w:p>
    <w:p w14:paraId="0BD5A9DA">
      <w:pPr>
        <w:spacing w:line="360" w:lineRule="auto"/>
        <w:ind w:firstLine="5328" w:firstLineChars="2400"/>
        <w:rPr>
          <w:rFonts w:hint="eastAsia" w:ascii="宋体" w:hAnsi="宋体" w:cs="宋体"/>
          <w:color w:val="auto"/>
          <w:spacing w:val="-9"/>
          <w:sz w:val="24"/>
          <w:highlight w:val="none"/>
        </w:rPr>
      </w:pPr>
      <w:r>
        <w:rPr>
          <w:rFonts w:hint="eastAsia" w:ascii="宋体" w:hAnsi="宋体" w:cs="宋体"/>
          <w:color w:val="auto"/>
          <w:spacing w:val="-9"/>
          <w:sz w:val="24"/>
          <w:highlight w:val="none"/>
        </w:rPr>
        <w:t>法定代表人：</w:t>
      </w:r>
      <w:r>
        <w:rPr>
          <w:rFonts w:hint="eastAsia" w:ascii="宋体" w:hAnsi="宋体" w:cs="宋体"/>
          <w:color w:val="auto"/>
          <w:spacing w:val="-9"/>
          <w:sz w:val="24"/>
          <w:highlight w:val="none"/>
          <w:u w:val="single"/>
        </w:rPr>
        <w:t xml:space="preserve">                  </w:t>
      </w:r>
      <w:r>
        <w:rPr>
          <w:rFonts w:hint="eastAsia" w:ascii="宋体" w:hAnsi="宋体" w:cs="宋体"/>
          <w:color w:val="auto"/>
          <w:spacing w:val="-9"/>
          <w:sz w:val="24"/>
          <w:highlight w:val="none"/>
        </w:rPr>
        <w:t>(职务)</w:t>
      </w:r>
    </w:p>
    <w:p w14:paraId="1EE1BA28">
      <w:pPr>
        <w:spacing w:line="360" w:lineRule="auto"/>
        <w:ind w:firstLine="5328" w:firstLineChars="2400"/>
        <w:rPr>
          <w:rFonts w:hint="eastAsia" w:ascii="宋体" w:hAnsi="宋体" w:cs="宋体"/>
          <w:color w:val="auto"/>
          <w:spacing w:val="-9"/>
          <w:sz w:val="24"/>
          <w:highlight w:val="none"/>
        </w:rPr>
      </w:pPr>
      <w:r>
        <w:rPr>
          <w:rFonts w:hint="eastAsia" w:ascii="宋体" w:hAnsi="宋体" w:cs="宋体"/>
          <w:color w:val="auto"/>
          <w:spacing w:val="-9"/>
          <w:sz w:val="24"/>
          <w:highlight w:val="none"/>
        </w:rPr>
        <w:t xml:space="preserve">            </w:t>
      </w:r>
      <w:r>
        <w:rPr>
          <w:rFonts w:hint="eastAsia" w:ascii="宋体" w:hAnsi="宋体" w:cs="宋体"/>
          <w:color w:val="auto"/>
          <w:spacing w:val="-9"/>
          <w:sz w:val="24"/>
          <w:highlight w:val="none"/>
          <w:u w:val="single"/>
        </w:rPr>
        <w:t xml:space="preserve">                 </w:t>
      </w:r>
      <w:r>
        <w:rPr>
          <w:rFonts w:hint="eastAsia" w:ascii="宋体" w:hAnsi="宋体" w:cs="宋体"/>
          <w:color w:val="auto"/>
          <w:spacing w:val="-9"/>
          <w:sz w:val="24"/>
          <w:highlight w:val="none"/>
        </w:rPr>
        <w:t>（职务）</w:t>
      </w:r>
    </w:p>
    <w:p w14:paraId="54AF5F94">
      <w:pPr>
        <w:spacing w:line="360" w:lineRule="auto"/>
        <w:ind w:firstLine="6660" w:firstLineChars="3000"/>
        <w:rPr>
          <w:rFonts w:hint="eastAsia" w:ascii="宋体" w:hAnsi="宋体" w:cs="宋体"/>
          <w:color w:val="auto"/>
          <w:spacing w:val="-9"/>
          <w:sz w:val="24"/>
          <w:highlight w:val="none"/>
        </w:rPr>
      </w:pPr>
      <w:r>
        <w:rPr>
          <w:rFonts w:hint="eastAsia" w:ascii="宋体" w:hAnsi="宋体" w:cs="宋体"/>
          <w:color w:val="auto"/>
          <w:spacing w:val="-9"/>
          <w:sz w:val="24"/>
          <w:highlight w:val="none"/>
          <w:u w:val="single"/>
        </w:rPr>
        <w:t xml:space="preserve">                 </w:t>
      </w:r>
      <w:r>
        <w:rPr>
          <w:rFonts w:hint="eastAsia" w:ascii="宋体" w:hAnsi="宋体" w:cs="宋体"/>
          <w:color w:val="auto"/>
          <w:spacing w:val="-9"/>
          <w:sz w:val="24"/>
          <w:highlight w:val="none"/>
        </w:rPr>
        <w:t>（签名）</w:t>
      </w:r>
    </w:p>
    <w:p w14:paraId="66F2A2CE">
      <w:pPr>
        <w:pStyle w:val="2"/>
        <w:ind w:firstLine="5328" w:firstLineChars="2400"/>
        <w:rPr>
          <w:rFonts w:hint="eastAsia" w:ascii="宋体" w:hAnsi="宋体" w:cs="宋体"/>
          <w:color w:val="auto"/>
          <w:highlight w:val="none"/>
        </w:rPr>
      </w:pPr>
      <w:r>
        <w:rPr>
          <w:rFonts w:hint="eastAsia" w:ascii="宋体" w:hAnsi="宋体" w:cs="宋体"/>
          <w:color w:val="auto"/>
          <w:spacing w:val="-9"/>
          <w:highlight w:val="none"/>
        </w:rPr>
        <w:t>日期：</w:t>
      </w:r>
      <w:r>
        <w:rPr>
          <w:rFonts w:hint="eastAsia" w:ascii="宋体" w:hAnsi="宋体" w:cs="宋体"/>
          <w:color w:val="auto"/>
          <w:spacing w:val="-9"/>
          <w:highlight w:val="none"/>
          <w:u w:val="single"/>
        </w:rPr>
        <w:t xml:space="preserve">                       </w:t>
      </w:r>
    </w:p>
    <w:p w14:paraId="055CA436">
      <w:pPr>
        <w:pStyle w:val="46"/>
        <w:ind w:firstLine="640"/>
        <w:rPr>
          <w:rFonts w:hint="eastAsia" w:ascii="宋体" w:hAnsi="宋体" w:eastAsia="宋体" w:cs="宋体"/>
          <w:color w:val="auto"/>
          <w:highlight w:val="none"/>
        </w:rPr>
        <w:sectPr>
          <w:headerReference r:id="rId13" w:type="default"/>
          <w:pgSz w:w="11906" w:h="16838"/>
          <w:pgMar w:top="1418" w:right="1191" w:bottom="936" w:left="1191" w:header="851" w:footer="992" w:gutter="0"/>
          <w:cols w:space="720" w:num="1"/>
          <w:docGrid w:type="lines" w:linePitch="312" w:charSpace="0"/>
        </w:sectPr>
      </w:pPr>
    </w:p>
    <w:p w14:paraId="4E146A42">
      <w:pPr>
        <w:pStyle w:val="5"/>
        <w:rPr>
          <w:rFonts w:hint="eastAsia" w:ascii="宋体" w:hAnsi="宋体" w:cs="宋体"/>
          <w:color w:val="auto"/>
          <w:sz w:val="28"/>
          <w:szCs w:val="28"/>
          <w:highlight w:val="none"/>
        </w:rPr>
      </w:pPr>
      <w:bookmarkStart w:id="143" w:name="_Toc11522"/>
      <w:bookmarkStart w:id="144" w:name="_Toc31142"/>
      <w:r>
        <w:rPr>
          <w:rFonts w:hint="eastAsia" w:ascii="宋体" w:hAnsi="宋体" w:cs="宋体"/>
          <w:color w:val="auto"/>
          <w:sz w:val="28"/>
          <w:szCs w:val="28"/>
          <w:highlight w:val="none"/>
        </w:rPr>
        <w:t>（二）廉政合同</w:t>
      </w:r>
      <w:bookmarkEnd w:id="142"/>
      <w:bookmarkEnd w:id="143"/>
      <w:bookmarkEnd w:id="144"/>
    </w:p>
    <w:p w14:paraId="003D3A20">
      <w:pPr>
        <w:spacing w:before="187"/>
        <w:ind w:left="156"/>
        <w:jc w:val="center"/>
        <w:rPr>
          <w:rFonts w:hint="eastAsia" w:ascii="宋体" w:hAnsi="宋体" w:cs="宋体"/>
          <w:b/>
          <w:color w:val="auto"/>
          <w:kern w:val="0"/>
          <w:sz w:val="30"/>
          <w:szCs w:val="30"/>
          <w:highlight w:val="none"/>
        </w:rPr>
      </w:pPr>
      <w:r>
        <w:rPr>
          <w:rFonts w:hint="eastAsia" w:ascii="宋体" w:hAnsi="宋体" w:cs="宋体"/>
          <w:b/>
          <w:color w:val="auto"/>
          <w:kern w:val="0"/>
          <w:sz w:val="30"/>
          <w:szCs w:val="30"/>
          <w:highlight w:val="none"/>
        </w:rPr>
        <w:t>廉政合同</w:t>
      </w:r>
    </w:p>
    <w:p w14:paraId="47EB906D">
      <w:pPr>
        <w:jc w:val="left"/>
        <w:rPr>
          <w:rFonts w:hint="eastAsia" w:ascii="宋体" w:hAnsi="宋体" w:cs="宋体"/>
          <w:color w:val="auto"/>
          <w:kern w:val="0"/>
          <w:sz w:val="20"/>
          <w:highlight w:val="none"/>
        </w:rPr>
      </w:pPr>
    </w:p>
    <w:p w14:paraId="33108549">
      <w:pPr>
        <w:tabs>
          <w:tab w:val="left" w:pos="2291"/>
          <w:tab w:val="left" w:pos="4915"/>
          <w:tab w:val="left" w:pos="8410"/>
          <w:tab w:val="left" w:pos="8470"/>
        </w:tabs>
        <w:spacing w:line="276"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根据《关于在交通基础设施建设中加强廉政建设的若干意见》以及有关工程建设、廉政建设的规定，为做好工程建设中的党风廉政建设，保证工程建设高效优质，保证建设资金的安全和有效使用以及投资效益，</w:t>
      </w:r>
      <w:r>
        <w:rPr>
          <w:rFonts w:hint="eastAsia" w:ascii="宋体" w:hAnsi="宋体" w:cs="宋体"/>
          <w:color w:val="auto"/>
          <w:kern w:val="0"/>
          <w:sz w:val="24"/>
          <w:highlight w:val="none"/>
          <w:u w:val="single"/>
        </w:rPr>
        <w:t>广西壮族自治区桂东公路发展中心</w:t>
      </w:r>
      <w:r>
        <w:rPr>
          <w:rFonts w:hint="eastAsia" w:ascii="宋体" w:hAnsi="宋体" w:cs="宋体"/>
          <w:color w:val="auto"/>
          <w:kern w:val="0"/>
          <w:sz w:val="24"/>
          <w:highlight w:val="none"/>
          <w:u w:val="single"/>
          <w:lang w:eastAsia="zh-CN"/>
        </w:rPr>
        <w:t>2026年</w:t>
      </w:r>
      <w:r>
        <w:rPr>
          <w:rFonts w:hint="eastAsia" w:ascii="宋体" w:hAnsi="宋体" w:cs="宋体"/>
          <w:color w:val="auto"/>
          <w:kern w:val="0"/>
          <w:sz w:val="24"/>
          <w:highlight w:val="none"/>
          <w:u w:val="single"/>
        </w:rPr>
        <w:t>普通国省干道桥隧定期检测服务</w:t>
      </w:r>
      <w:r>
        <w:rPr>
          <w:rFonts w:hint="eastAsia" w:ascii="宋体" w:hAnsi="宋体" w:cs="宋体"/>
          <w:color w:val="auto"/>
          <w:kern w:val="0"/>
          <w:sz w:val="24"/>
          <w:highlight w:val="none"/>
        </w:rPr>
        <w:t>的项目法人</w:t>
      </w:r>
      <w:r>
        <w:rPr>
          <w:rFonts w:hint="eastAsia" w:ascii="宋体" w:hAnsi="宋体" w:cs="宋体"/>
          <w:color w:val="auto"/>
          <w:kern w:val="0"/>
          <w:sz w:val="24"/>
          <w:highlight w:val="none"/>
          <w:u w:val="single"/>
        </w:rPr>
        <w:t>广西壮族自治区桂东公路发展中心</w:t>
      </w:r>
      <w:r>
        <w:rPr>
          <w:rFonts w:hint="eastAsia" w:ascii="宋体" w:hAnsi="宋体" w:cs="宋体"/>
          <w:color w:val="auto"/>
          <w:kern w:val="0"/>
          <w:sz w:val="24"/>
          <w:highlight w:val="none"/>
        </w:rPr>
        <w:t>（项目法人名称，以下简称“委托人”）与该项目的桥梁、隧道定期检测服务单位</w:t>
      </w:r>
      <w:r>
        <w:rPr>
          <w:rFonts w:hint="eastAsia" w:ascii="宋体" w:hAnsi="宋体" w:cs="宋体"/>
          <w:color w:val="auto"/>
          <w:kern w:val="0"/>
          <w:sz w:val="24"/>
          <w:highlight w:val="none"/>
          <w:u w:val="single" w:color="000000"/>
        </w:rPr>
        <w:tab/>
      </w:r>
      <w:r>
        <w:rPr>
          <w:rFonts w:hint="eastAsia" w:ascii="宋体" w:hAnsi="宋体" w:cs="宋体"/>
          <w:color w:val="auto"/>
          <w:kern w:val="0"/>
          <w:sz w:val="24"/>
          <w:highlight w:val="none"/>
          <w:u w:val="single" w:color="000000"/>
        </w:rPr>
        <w:t xml:space="preserve">  </w:t>
      </w:r>
      <w:r>
        <w:rPr>
          <w:rFonts w:hint="eastAsia" w:ascii="宋体" w:hAnsi="宋体" w:cs="宋体"/>
          <w:color w:val="auto"/>
          <w:kern w:val="0"/>
          <w:sz w:val="24"/>
          <w:highlight w:val="none"/>
        </w:rPr>
        <w:t>（检测单位名称，以下简称“检测人”），特订立如下合同。</w:t>
      </w:r>
    </w:p>
    <w:p w14:paraId="1BD601A9">
      <w:pPr>
        <w:spacing w:line="276"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 委托人和检测人双方的权利和义务</w:t>
      </w:r>
    </w:p>
    <w:p w14:paraId="7C0A7673">
      <w:pPr>
        <w:spacing w:line="276"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(1)严格遵守党的政策规定和国家有关法律法规及交通运输部的有关规定。</w:t>
      </w:r>
    </w:p>
    <w:p w14:paraId="386F139D">
      <w:pPr>
        <w:tabs>
          <w:tab w:val="left" w:pos="3539"/>
        </w:tabs>
        <w:spacing w:line="276"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(2) 严格执行</w:t>
      </w:r>
      <w:r>
        <w:rPr>
          <w:rFonts w:hint="eastAsia" w:ascii="宋体" w:hAnsi="宋体" w:cs="宋体"/>
          <w:color w:val="auto"/>
          <w:kern w:val="0"/>
          <w:sz w:val="24"/>
          <w:highlight w:val="none"/>
          <w:u w:val="single"/>
        </w:rPr>
        <w:t>广西壮族自治区桂东公路发展中心</w:t>
      </w:r>
      <w:r>
        <w:rPr>
          <w:rFonts w:hint="eastAsia" w:ascii="宋体" w:hAnsi="宋体" w:cs="宋体"/>
          <w:color w:val="auto"/>
          <w:kern w:val="0"/>
          <w:sz w:val="24"/>
          <w:highlight w:val="none"/>
          <w:u w:val="single"/>
          <w:lang w:eastAsia="zh-CN"/>
        </w:rPr>
        <w:t>2026年</w:t>
      </w:r>
      <w:r>
        <w:rPr>
          <w:rFonts w:hint="eastAsia" w:ascii="宋体" w:hAnsi="宋体" w:cs="宋体"/>
          <w:color w:val="auto"/>
          <w:kern w:val="0"/>
          <w:sz w:val="24"/>
          <w:highlight w:val="none"/>
          <w:u w:val="single"/>
        </w:rPr>
        <w:t>普通国省干道桥隧定期检测服务</w:t>
      </w:r>
      <w:r>
        <w:rPr>
          <w:rFonts w:hint="eastAsia" w:ascii="宋体" w:hAnsi="宋体" w:cs="宋体"/>
          <w:color w:val="auto"/>
          <w:kern w:val="0"/>
          <w:sz w:val="24"/>
          <w:highlight w:val="none"/>
        </w:rPr>
        <w:t>合同文件，自觉按合同办事。</w:t>
      </w:r>
    </w:p>
    <w:p w14:paraId="18502F00">
      <w:pPr>
        <w:spacing w:line="276"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 (3) 双方的业务活动坚持公开、公正、诚信、透明的原则（法律认定的商业秘密和合同文件另有规定除外），不得损害国家和集体利益，不得违反工程建设管理规章制度。</w:t>
      </w:r>
    </w:p>
    <w:p w14:paraId="5727D8FB">
      <w:pPr>
        <w:spacing w:line="276"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 建立健全廉政制度，开展廉政教育，设立廉政告示牌，公布举报电话，监督并认真查处违法违纪行为。</w:t>
      </w:r>
    </w:p>
    <w:p w14:paraId="2EBC080D">
      <w:pPr>
        <w:spacing w:line="276"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 发现对方在业务活动中有违反廉政规定的行为，有及时提醒对方纠正的权利和义务。</w:t>
      </w:r>
    </w:p>
    <w:p w14:paraId="7E8D9FA7">
      <w:pPr>
        <w:spacing w:line="276"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(6) 发现对方严重违反本合同义务条款的行为，有向其上级有关部门举报、建议给予处理并要求告知处理结果的权利。</w:t>
      </w:r>
    </w:p>
    <w:p w14:paraId="1A32CE12">
      <w:pPr>
        <w:spacing w:line="276"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 委托人的义务</w:t>
      </w:r>
    </w:p>
    <w:p w14:paraId="2A183A85">
      <w:pPr>
        <w:spacing w:line="276"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(1) 委托人及其工作人员不得索要或接受检测人的礼金、有价证券和贵重物品，不得让检测人报销任何应由委托人或委托人工作人员个人支付的费用等。</w:t>
      </w:r>
    </w:p>
    <w:p w14:paraId="7E89B9B5">
      <w:pPr>
        <w:spacing w:line="276"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(2) 委托人工作人员不得参加检测人安排的超标准宴请和娱乐活动；不得接受检测人提供的通信工具、交通工具和高档办公用品等。</w:t>
      </w:r>
    </w:p>
    <w:p w14:paraId="04A65A35">
      <w:pPr>
        <w:spacing w:line="276"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(3) 委托人及其工作人员不得要求或者接受检测人为其住房装修、婚丧嫁娶活动、配偶子女的工作安排以及出国出境、旅游等提供方便等。</w:t>
      </w:r>
    </w:p>
    <w:p w14:paraId="7CDF43B2">
      <w:pPr>
        <w:spacing w:line="276"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 委托人工作人员及其配偶、子女不得从事与委托人工程有关的材料设备供应、工程分包、劳务等经济活动等。</w:t>
      </w:r>
    </w:p>
    <w:p w14:paraId="1C34F675">
      <w:pPr>
        <w:spacing w:line="276"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 委托人及其工作人员不得以任何理由向试验检测人推荐分包单位或推销材料，不得要求检测人购买合同规定外的材料和设备。</w:t>
      </w:r>
    </w:p>
    <w:p w14:paraId="36DFA478">
      <w:pPr>
        <w:spacing w:line="276"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(6) 委托人工作人员要秉公办事，不准营私舞弊，不准利用职权从事各种个人有偿中介活动和安排个人施工检测队伍。</w:t>
      </w:r>
    </w:p>
    <w:p w14:paraId="3CB571C0">
      <w:pPr>
        <w:spacing w:line="276"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 检测人的义务</w:t>
      </w:r>
    </w:p>
    <w:p w14:paraId="17D9AAA5">
      <w:pPr>
        <w:spacing w:line="276"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(1) 检测人不得以任何理由向委托人及其工作人员行贿或馈赠礼金、有价证券、贵重礼品。</w:t>
      </w:r>
    </w:p>
    <w:p w14:paraId="147431E5">
      <w:pPr>
        <w:spacing w:line="276"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 检测人不得以任何名义为委托人及其工作人员报销应由委托人单位或个人支付的任何费用。</w:t>
      </w:r>
    </w:p>
    <w:p w14:paraId="48AAC946">
      <w:pPr>
        <w:spacing w:line="276"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 检测人不得以任何理由安排委托人工作人员参加超标准宴请及娱乐活动。</w:t>
      </w:r>
    </w:p>
    <w:p w14:paraId="5AF86D47">
      <w:pPr>
        <w:spacing w:line="276"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 检测人不得为委托人单位和个人购置或提供通信工具、交通工具和高档办公用品等。</w:t>
      </w:r>
    </w:p>
    <w:p w14:paraId="07851763">
      <w:pPr>
        <w:spacing w:line="276"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4. 违约责任</w:t>
      </w:r>
    </w:p>
    <w:p w14:paraId="17DED53C">
      <w:pPr>
        <w:spacing w:line="276"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(1) 委托人及其工作人员违反本合同第 1、2 条，按管理权限，依据有关规定给予党纪、政纪或组织处理；涉嫌犯罪的，移交司法机关追究刑事责任；给检测人单位造成经济损失的，应予以赔偿。</w:t>
      </w:r>
    </w:p>
    <w:p w14:paraId="5AA70EF9">
      <w:pPr>
        <w:spacing w:line="276"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(2) 检测人及其工作人员违反本合同第 1、3 条，按管理权限，依据有关规定给予党纪、政纪或组织处理；给委托人单位造成经济损失的，应予以赔偿；情节严重的，委托人建议交通运输主管部门给予检测人一至三年内不得进入其主管的公路建设市场的处罚。</w:t>
      </w:r>
    </w:p>
    <w:p w14:paraId="55F65ECA">
      <w:pPr>
        <w:spacing w:line="276"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 双方约定：本合同由双方或双方上级单位的纪检监察部门负责监督执行。由委托人或委托人上级单位的纪检监察部门约请检测人或检测人上级单位纪检监察部门对本合同执行情况进行检查，提出在本合同规定范围内的裁定意见。</w:t>
      </w:r>
    </w:p>
    <w:p w14:paraId="679F60A5">
      <w:pPr>
        <w:spacing w:line="276"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6. 本合同有效期为委托人和检测人签署之日起至该工程项目竣工验收后止。</w:t>
      </w:r>
    </w:p>
    <w:p w14:paraId="684B7E0B">
      <w:pPr>
        <w:tabs>
          <w:tab w:val="left" w:pos="3501"/>
        </w:tabs>
        <w:spacing w:line="276"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7. 本合同作为</w:t>
      </w:r>
      <w:r>
        <w:rPr>
          <w:rFonts w:hint="eastAsia" w:ascii="宋体" w:hAnsi="宋体" w:cs="宋体"/>
          <w:color w:val="auto"/>
          <w:kern w:val="0"/>
          <w:sz w:val="24"/>
          <w:highlight w:val="none"/>
          <w:u w:val="single"/>
        </w:rPr>
        <w:t>广西壮族自治区桂东公路发展中心</w:t>
      </w:r>
      <w:r>
        <w:rPr>
          <w:rFonts w:hint="eastAsia" w:ascii="宋体" w:hAnsi="宋体" w:cs="宋体"/>
          <w:color w:val="auto"/>
          <w:kern w:val="0"/>
          <w:sz w:val="24"/>
          <w:highlight w:val="none"/>
          <w:u w:val="single"/>
          <w:lang w:eastAsia="zh-CN"/>
        </w:rPr>
        <w:t>2026年</w:t>
      </w:r>
      <w:r>
        <w:rPr>
          <w:rFonts w:hint="eastAsia" w:ascii="宋体" w:hAnsi="宋体" w:cs="宋体"/>
          <w:color w:val="auto"/>
          <w:kern w:val="0"/>
          <w:sz w:val="24"/>
          <w:highlight w:val="none"/>
          <w:u w:val="single"/>
        </w:rPr>
        <w:t>普通国省干道桥隧定期检测服务</w:t>
      </w:r>
      <w:r>
        <w:rPr>
          <w:rFonts w:hint="eastAsia" w:ascii="宋体" w:hAnsi="宋体" w:cs="宋体"/>
          <w:color w:val="auto"/>
          <w:kern w:val="0"/>
          <w:sz w:val="24"/>
          <w:highlight w:val="none"/>
        </w:rPr>
        <w:t>合同的附件，与桥梁、隧道定期检测服务合同具有同等的法律效力，经合同双方签署后立即生效。</w:t>
      </w:r>
    </w:p>
    <w:p w14:paraId="332F5F9D">
      <w:pPr>
        <w:spacing w:line="276"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8. 本合同一式四份，由委托人和检测人各执一份，送交委托人和检测人的监督单位各一份。</w:t>
      </w:r>
    </w:p>
    <w:p w14:paraId="3B73C7ED">
      <w:pPr>
        <w:spacing w:line="276" w:lineRule="auto"/>
        <w:ind w:firstLine="480" w:firstLineChars="200"/>
        <w:jc w:val="left"/>
        <w:rPr>
          <w:rFonts w:hint="eastAsia" w:ascii="宋体" w:hAnsi="宋体" w:cs="宋体"/>
          <w:color w:val="auto"/>
          <w:kern w:val="0"/>
          <w:sz w:val="24"/>
          <w:highlight w:val="none"/>
        </w:rPr>
      </w:pPr>
    </w:p>
    <w:p w14:paraId="63C9AA49">
      <w:pPr>
        <w:tabs>
          <w:tab w:val="left" w:pos="2496"/>
          <w:tab w:val="left" w:pos="2885"/>
          <w:tab w:val="left" w:pos="4586"/>
          <w:tab w:val="left" w:pos="6575"/>
        </w:tabs>
        <w:spacing w:line="276" w:lineRule="auto"/>
        <w:jc w:val="left"/>
        <w:rPr>
          <w:rFonts w:hint="eastAsia" w:ascii="宋体" w:hAnsi="宋体" w:cs="宋体"/>
          <w:color w:val="auto"/>
          <w:kern w:val="0"/>
          <w:sz w:val="24"/>
          <w:highlight w:val="none"/>
        </w:rPr>
      </w:pPr>
      <w:r>
        <w:rPr>
          <w:rFonts w:hint="eastAsia" w:ascii="宋体" w:hAnsi="宋体" w:cs="宋体"/>
          <w:color w:val="auto"/>
          <w:kern w:val="0"/>
          <w:sz w:val="24"/>
          <w:highlight w:val="none"/>
        </w:rPr>
        <w:t>委托人：</w:t>
      </w:r>
      <w:r>
        <w:rPr>
          <w:rFonts w:hint="eastAsia" w:ascii="宋体" w:hAnsi="宋体" w:cs="宋体"/>
          <w:color w:val="auto"/>
          <w:kern w:val="0"/>
          <w:sz w:val="24"/>
          <w:highlight w:val="none"/>
          <w:u w:val="single" w:color="000000"/>
        </w:rPr>
        <w:tab/>
      </w:r>
      <w:r>
        <w:rPr>
          <w:rFonts w:hint="eastAsia" w:ascii="宋体" w:hAnsi="宋体" w:cs="宋体"/>
          <w:color w:val="auto"/>
          <w:kern w:val="0"/>
          <w:sz w:val="24"/>
          <w:highlight w:val="none"/>
          <w:u w:val="single"/>
        </w:rPr>
        <w:tab/>
      </w:r>
      <w:r>
        <w:rPr>
          <w:rFonts w:hint="eastAsia" w:ascii="宋体" w:hAnsi="宋体" w:cs="宋体"/>
          <w:color w:val="auto"/>
          <w:kern w:val="0"/>
          <w:sz w:val="24"/>
          <w:highlight w:val="none"/>
        </w:rPr>
        <w:t>（盖单位章）        检测人：</w:t>
      </w:r>
      <w:r>
        <w:rPr>
          <w:rFonts w:hint="eastAsia" w:ascii="宋体" w:hAnsi="宋体" w:cs="宋体"/>
          <w:color w:val="auto"/>
          <w:kern w:val="0"/>
          <w:sz w:val="24"/>
          <w:highlight w:val="none"/>
          <w:u w:val="single" w:color="000000"/>
        </w:rPr>
        <w:tab/>
      </w:r>
      <w:r>
        <w:rPr>
          <w:rFonts w:hint="eastAsia" w:ascii="宋体" w:hAnsi="宋体" w:cs="宋体"/>
          <w:color w:val="auto"/>
          <w:kern w:val="0"/>
          <w:sz w:val="24"/>
          <w:highlight w:val="none"/>
          <w:u w:val="single" w:color="000000"/>
        </w:rPr>
        <w:t xml:space="preserve">             </w:t>
      </w:r>
      <w:r>
        <w:rPr>
          <w:rFonts w:hint="eastAsia" w:ascii="宋体" w:hAnsi="宋体" w:cs="宋体"/>
          <w:color w:val="auto"/>
          <w:kern w:val="0"/>
          <w:sz w:val="24"/>
          <w:highlight w:val="none"/>
        </w:rPr>
        <w:t>（盖单位章）</w:t>
      </w:r>
    </w:p>
    <w:p w14:paraId="4A968E88">
      <w:pPr>
        <w:tabs>
          <w:tab w:val="left" w:pos="2496"/>
          <w:tab w:val="left" w:pos="3002"/>
          <w:tab w:val="left" w:pos="4586"/>
          <w:tab w:val="left" w:pos="7534"/>
        </w:tabs>
        <w:spacing w:line="276" w:lineRule="auto"/>
        <w:jc w:val="left"/>
        <w:rPr>
          <w:rFonts w:hint="eastAsia" w:ascii="宋体" w:hAnsi="宋体" w:cs="宋体"/>
          <w:color w:val="auto"/>
          <w:kern w:val="0"/>
          <w:sz w:val="24"/>
          <w:highlight w:val="none"/>
        </w:rPr>
      </w:pPr>
      <w:r>
        <w:rPr>
          <w:rFonts w:hint="eastAsia" w:ascii="宋体" w:hAnsi="宋体" w:cs="宋体"/>
          <w:color w:val="auto"/>
          <w:kern w:val="0"/>
          <w:sz w:val="24"/>
          <w:highlight w:val="none"/>
        </w:rPr>
        <w:t>法定代表人或其委托代理人：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(签字)      法定代表人或其委托代理人：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(签字）</w:t>
      </w:r>
    </w:p>
    <w:p w14:paraId="0CE6D359">
      <w:pPr>
        <w:tabs>
          <w:tab w:val="left" w:pos="2675"/>
          <w:tab w:val="left" w:pos="3664"/>
          <w:tab w:val="left" w:pos="4960"/>
          <w:tab w:val="left" w:pos="6085"/>
          <w:tab w:val="left" w:pos="7111"/>
          <w:tab w:val="left" w:pos="7599"/>
          <w:tab w:val="left" w:pos="8474"/>
        </w:tabs>
        <w:spacing w:line="276" w:lineRule="auto"/>
        <w:ind w:firstLine="2160" w:firstLineChars="9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年</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月</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日</w:t>
      </w:r>
      <w:r>
        <w:rPr>
          <w:rFonts w:hint="eastAsia" w:ascii="宋体" w:hAnsi="宋体" w:cs="宋体"/>
          <w:color w:val="auto"/>
          <w:kern w:val="0"/>
          <w:sz w:val="24"/>
          <w:highlight w:val="none"/>
        </w:rPr>
        <w:tab/>
      </w:r>
      <w:r>
        <w:rPr>
          <w:rFonts w:hint="eastAsia" w:ascii="宋体" w:hAnsi="宋体" w:cs="宋体"/>
          <w:color w:val="auto"/>
          <w:kern w:val="0"/>
          <w:sz w:val="24"/>
          <w:highlight w:val="none"/>
        </w:rPr>
        <w:tab/>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年</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月</w:t>
      </w:r>
      <w:r>
        <w:rPr>
          <w:rFonts w:hint="eastAsia" w:ascii="宋体" w:hAnsi="宋体" w:cs="宋体"/>
          <w:color w:val="auto"/>
          <w:kern w:val="0"/>
          <w:sz w:val="24"/>
          <w:highlight w:val="none"/>
          <w:u w:val="single"/>
        </w:rPr>
        <w:t xml:space="preserve">   </w:t>
      </w:r>
    </w:p>
    <w:p w14:paraId="0E46ABF1">
      <w:pPr>
        <w:tabs>
          <w:tab w:val="left" w:pos="2675"/>
          <w:tab w:val="left" w:pos="3664"/>
          <w:tab w:val="left" w:pos="4730"/>
          <w:tab w:val="left" w:pos="6385"/>
          <w:tab w:val="left" w:pos="7111"/>
          <w:tab w:val="left" w:pos="7599"/>
          <w:tab w:val="left" w:pos="8474"/>
        </w:tabs>
        <w:spacing w:line="276" w:lineRule="auto"/>
        <w:ind w:firstLine="480" w:firstLineChars="200"/>
        <w:jc w:val="left"/>
        <w:rPr>
          <w:rFonts w:hint="eastAsia" w:ascii="宋体" w:hAnsi="宋体" w:cs="宋体"/>
          <w:color w:val="auto"/>
          <w:kern w:val="0"/>
          <w:sz w:val="24"/>
          <w:highlight w:val="none"/>
        </w:rPr>
      </w:pPr>
    </w:p>
    <w:p w14:paraId="483EEF47">
      <w:pPr>
        <w:tabs>
          <w:tab w:val="left" w:pos="2675"/>
          <w:tab w:val="left" w:pos="3664"/>
          <w:tab w:val="left" w:pos="4608"/>
          <w:tab w:val="left" w:pos="6031"/>
          <w:tab w:val="left" w:pos="7111"/>
          <w:tab w:val="left" w:pos="7722"/>
          <w:tab w:val="left" w:pos="8112"/>
        </w:tabs>
        <w:spacing w:line="276" w:lineRule="auto"/>
        <w:jc w:val="left"/>
        <w:rPr>
          <w:rFonts w:hint="eastAsia" w:ascii="宋体" w:hAnsi="宋体" w:cs="宋体"/>
          <w:color w:val="auto"/>
          <w:kern w:val="0"/>
          <w:sz w:val="24"/>
          <w:highlight w:val="none"/>
          <w:u w:val="single" w:color="000000"/>
        </w:rPr>
      </w:pPr>
      <w:r>
        <w:rPr>
          <w:rFonts w:hint="eastAsia" w:ascii="宋体" w:hAnsi="宋体" w:cs="宋体"/>
          <w:color w:val="auto"/>
          <w:kern w:val="0"/>
          <w:sz w:val="24"/>
          <w:highlight w:val="none"/>
        </w:rPr>
        <w:t>委托人监督单位</w:t>
      </w:r>
      <w:r>
        <w:rPr>
          <w:rFonts w:hint="eastAsia" w:ascii="宋体" w:hAnsi="宋体" w:cs="宋体"/>
          <w:color w:val="auto"/>
          <w:kern w:val="0"/>
          <w:sz w:val="24"/>
          <w:highlight w:val="none"/>
          <w:u w:val="single" w:color="000000"/>
        </w:rPr>
        <w:t>：(全称） (盖单位章）</w:t>
      </w:r>
      <w:r>
        <w:rPr>
          <w:rFonts w:hint="eastAsia" w:ascii="宋体" w:hAnsi="宋体" w:cs="宋体"/>
          <w:color w:val="auto"/>
          <w:kern w:val="0"/>
          <w:sz w:val="24"/>
          <w:highlight w:val="none"/>
        </w:rPr>
        <w:tab/>
      </w:r>
      <w:r>
        <w:rPr>
          <w:rFonts w:hint="eastAsia" w:ascii="宋体" w:hAnsi="宋体" w:cs="宋体"/>
          <w:color w:val="auto"/>
          <w:kern w:val="0"/>
          <w:sz w:val="24"/>
          <w:highlight w:val="none"/>
        </w:rPr>
        <w:t>检测人监督单位：</w:t>
      </w:r>
      <w:r>
        <w:rPr>
          <w:rFonts w:hint="eastAsia" w:ascii="宋体" w:hAnsi="宋体" w:cs="宋体"/>
          <w:color w:val="auto"/>
          <w:kern w:val="0"/>
          <w:sz w:val="24"/>
          <w:highlight w:val="none"/>
          <w:u w:val="single" w:color="000000"/>
        </w:rPr>
        <w:t>（全称）</w:t>
      </w:r>
      <w:r>
        <w:rPr>
          <w:rFonts w:hint="eastAsia" w:ascii="宋体" w:hAnsi="宋体" w:cs="宋体"/>
          <w:color w:val="auto"/>
          <w:kern w:val="0"/>
          <w:sz w:val="24"/>
          <w:highlight w:val="none"/>
          <w:u w:val="single" w:color="000000"/>
        </w:rPr>
        <w:tab/>
      </w:r>
      <w:r>
        <w:rPr>
          <w:rFonts w:hint="eastAsia" w:ascii="宋体" w:hAnsi="宋体" w:cs="宋体"/>
          <w:color w:val="auto"/>
          <w:kern w:val="0"/>
          <w:sz w:val="24"/>
          <w:highlight w:val="none"/>
          <w:u w:val="single" w:color="000000"/>
        </w:rPr>
        <w:t>(盖单位章）</w:t>
      </w:r>
    </w:p>
    <w:p w14:paraId="316E4F82">
      <w:pPr>
        <w:pStyle w:val="5"/>
        <w:rPr>
          <w:rFonts w:hint="eastAsia" w:ascii="宋体" w:hAnsi="宋体" w:cs="宋体"/>
          <w:color w:val="auto"/>
          <w:sz w:val="28"/>
          <w:szCs w:val="28"/>
          <w:highlight w:val="none"/>
        </w:rPr>
      </w:pPr>
      <w:bookmarkStart w:id="145" w:name="_Toc71532869"/>
      <w:r>
        <w:rPr>
          <w:rFonts w:hint="eastAsia" w:ascii="宋体" w:hAnsi="宋体" w:cs="宋体"/>
          <w:color w:val="auto"/>
          <w:sz w:val="28"/>
          <w:szCs w:val="28"/>
          <w:highlight w:val="none"/>
        </w:rPr>
        <w:br w:type="page"/>
      </w:r>
      <w:bookmarkStart w:id="146" w:name="_Toc15418"/>
      <w:bookmarkStart w:id="147" w:name="_Toc13721"/>
      <w:r>
        <w:rPr>
          <w:rFonts w:hint="eastAsia" w:ascii="宋体" w:hAnsi="宋体" w:cs="宋体"/>
          <w:color w:val="auto"/>
          <w:sz w:val="28"/>
          <w:szCs w:val="28"/>
          <w:highlight w:val="none"/>
        </w:rPr>
        <w:t>（三）安全生产合同</w:t>
      </w:r>
      <w:bookmarkEnd w:id="145"/>
      <w:bookmarkEnd w:id="146"/>
      <w:bookmarkEnd w:id="147"/>
    </w:p>
    <w:p w14:paraId="6FED0A76">
      <w:pPr>
        <w:spacing w:line="360" w:lineRule="auto"/>
        <w:jc w:val="center"/>
        <w:rPr>
          <w:rFonts w:hint="eastAsia" w:ascii="宋体" w:hAnsi="宋体" w:cs="宋体"/>
          <w:b/>
          <w:color w:val="auto"/>
          <w:kern w:val="0"/>
          <w:sz w:val="30"/>
          <w:szCs w:val="30"/>
          <w:highlight w:val="none"/>
        </w:rPr>
      </w:pPr>
      <w:r>
        <w:rPr>
          <w:rFonts w:hint="eastAsia" w:ascii="宋体" w:hAnsi="宋体" w:cs="宋体"/>
          <w:color w:val="auto"/>
          <w:kern w:val="0"/>
          <w:sz w:val="30"/>
          <w:szCs w:val="30"/>
          <w:highlight w:val="none"/>
        </w:rPr>
        <w:t>安全生产合同</w:t>
      </w:r>
    </w:p>
    <w:p w14:paraId="73B741B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根据国务院《建设工程安全生产管理条例》，为在</w:t>
      </w:r>
      <w:r>
        <w:rPr>
          <w:rFonts w:hint="eastAsia" w:ascii="宋体" w:hAnsi="宋体" w:cs="宋体"/>
          <w:color w:val="auto"/>
          <w:kern w:val="0"/>
          <w:sz w:val="24"/>
          <w:highlight w:val="none"/>
          <w:u w:val="single"/>
        </w:rPr>
        <w:t>广西壮族自治区桂东公路发展中心</w:t>
      </w:r>
      <w:r>
        <w:rPr>
          <w:rFonts w:hint="eastAsia" w:ascii="宋体" w:hAnsi="宋体" w:cs="宋体"/>
          <w:color w:val="auto"/>
          <w:kern w:val="0"/>
          <w:sz w:val="24"/>
          <w:highlight w:val="none"/>
          <w:u w:val="single"/>
          <w:lang w:eastAsia="zh-CN"/>
        </w:rPr>
        <w:t>2026年</w:t>
      </w:r>
      <w:r>
        <w:rPr>
          <w:rFonts w:hint="eastAsia" w:ascii="宋体" w:hAnsi="宋体" w:cs="宋体"/>
          <w:color w:val="auto"/>
          <w:kern w:val="0"/>
          <w:sz w:val="24"/>
          <w:highlight w:val="none"/>
          <w:u w:val="single"/>
        </w:rPr>
        <w:t>普通国省干道桥隧定期检测服务</w:t>
      </w:r>
      <w:r>
        <w:rPr>
          <w:rFonts w:hint="eastAsia" w:ascii="宋体" w:hAnsi="宋体" w:cs="宋体"/>
          <w:color w:val="auto"/>
          <w:sz w:val="24"/>
          <w:highlight w:val="none"/>
        </w:rPr>
        <w:t>合同的实施过程中切实搞好本工程的安全生产管理工作，项目法人</w:t>
      </w:r>
      <w:r>
        <w:rPr>
          <w:rFonts w:hint="eastAsia" w:ascii="宋体" w:hAnsi="宋体" w:cs="宋体"/>
          <w:color w:val="auto"/>
          <w:sz w:val="24"/>
          <w:highlight w:val="none"/>
          <w:u w:val="single"/>
        </w:rPr>
        <w:t>广西壮族自治区桂东公路发展中心</w:t>
      </w:r>
      <w:r>
        <w:rPr>
          <w:rFonts w:hint="eastAsia" w:ascii="宋体" w:hAnsi="宋体" w:cs="宋体"/>
          <w:color w:val="auto"/>
          <w:sz w:val="24"/>
          <w:highlight w:val="none"/>
        </w:rPr>
        <w:t>(以下简称“甲方”)与检测单位</w:t>
      </w:r>
      <w:r>
        <w:rPr>
          <w:rFonts w:hint="eastAsia" w:ascii="宋体" w:hAnsi="宋体" w:cs="宋体"/>
          <w:color w:val="auto"/>
          <w:sz w:val="24"/>
          <w:highlight w:val="none"/>
          <w:u w:val="single"/>
        </w:rPr>
        <w:t>（全称）</w:t>
      </w:r>
      <w:r>
        <w:rPr>
          <w:rFonts w:hint="eastAsia" w:ascii="宋体" w:hAnsi="宋体" w:cs="宋体"/>
          <w:color w:val="auto"/>
          <w:sz w:val="24"/>
          <w:highlight w:val="none"/>
        </w:rPr>
        <w:t>(以下简称“乙方”)签订如下安全检测责任合同：</w:t>
      </w:r>
    </w:p>
    <w:p w14:paraId="5860ABD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一、甲方职责</w:t>
      </w:r>
    </w:p>
    <w:p w14:paraId="0FAE723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1．严格遵守国家有关安全生产的法律法规，支持乙方按条例要求对规定的桥梁、隧道定期检测安全实施检查。</w:t>
      </w:r>
    </w:p>
    <w:p w14:paraId="32615B0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2．按照“安全第一、预防为主、综合治理”和坚持“管生产必须管安全”的原则进行安全生产管理，做到生产与安全工作同时计划、布置、检查、总结和评比。</w:t>
      </w:r>
    </w:p>
    <w:p w14:paraId="5BEE500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3．重要的安全设施必须坚持与桥梁、隧道定期检测“同步”的工作原则。</w:t>
      </w:r>
    </w:p>
    <w:p w14:paraId="6081A5C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4．定期召开安全生产调度会，及时传达中央及地方有关安全生产的精神。</w:t>
      </w:r>
    </w:p>
    <w:p w14:paraId="68C2108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5．组织对桥梁、隧道定期检测现场的安全生产检查，及时处理发现的各项安全隐患。</w:t>
      </w:r>
    </w:p>
    <w:p w14:paraId="7800ABD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二、乙方职责</w:t>
      </w:r>
    </w:p>
    <w:p w14:paraId="4CCE063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1．严格遵守国家有关安全生产的法律法规、</w:t>
      </w:r>
      <w:r>
        <w:rPr>
          <w:rFonts w:hint="eastAsia" w:ascii="宋体" w:hAnsi="宋体" w:cs="宋体"/>
          <w:color w:val="auto"/>
          <w:sz w:val="24"/>
          <w:highlight w:val="none"/>
          <w:lang w:eastAsia="zh-CN"/>
        </w:rPr>
        <w:t>交通运输部</w:t>
      </w:r>
      <w:r>
        <w:rPr>
          <w:rFonts w:hint="eastAsia" w:ascii="宋体" w:hAnsi="宋体" w:cs="宋体"/>
          <w:color w:val="auto"/>
          <w:sz w:val="24"/>
          <w:highlight w:val="none"/>
        </w:rPr>
        <w:t>颁发的《公路工程施工安全技术规范》(JTG F9-2015）和《公路筑养路机械操作规程》有关安全生产的规定，认真执行工程承包合同中的有关安全要求。</w:t>
      </w:r>
    </w:p>
    <w:p w14:paraId="16D0559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坚持“安全第一、预防为主、综合治理”和“管检测必须管安全”的原则，加强安全生产宣传教育，增强全员安全生产意识，建立健全各项安全生产的管理机构和安全生产管理制度，配备专职及兼职安全检查人员，有组织有领导地开展安全生产活动。</w:t>
      </w:r>
    </w:p>
    <w:p w14:paraId="5170B99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3．建立健全安全检测制度，加强安全知识教育培训，明确各岗位检测人员的安全检查职责，增强安全意识。</w:t>
      </w:r>
    </w:p>
    <w:p w14:paraId="6C8C4B4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4．在审查技术建议书的同时，要同步审查技术建议书中的安全技术措施，审查专项检测方案是否符合工程建设试验检测强制性标准。</w:t>
      </w:r>
    </w:p>
    <w:p w14:paraId="5D313EA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5．在实施检测过程中，发现存在安全事故隐患的，应立即整改；情况严重的，应立即停止检测，并及时报告建设单位。</w:t>
      </w:r>
    </w:p>
    <w:p w14:paraId="453CA44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6．乙方及其试验检测人员应当按照法律、法规和工程建设强制性标准实施检测，并对桥梁、隧道定期检测安全生产承担责任。</w:t>
      </w:r>
    </w:p>
    <w:p w14:paraId="4277AA1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7．乙方应按照本工程特点，组织制定本项目桥梁、隧道定期检测实施中的生产安全事故应急救援预案；如果发生安全事故，应按照《国务院关于特大安全事故行政责任追究的规定》</w:t>
      </w:r>
      <w:r>
        <w:rPr>
          <w:rFonts w:hint="eastAsia" w:ascii="宋体" w:hAnsi="宋体" w:cs="宋体"/>
          <w:color w:val="auto"/>
          <w:sz w:val="24"/>
          <w:highlight w:val="none"/>
          <w:lang w:eastAsia="zh-CN"/>
        </w:rPr>
        <w:t>以及其他</w:t>
      </w:r>
      <w:r>
        <w:rPr>
          <w:rFonts w:hint="eastAsia" w:ascii="宋体" w:hAnsi="宋体" w:cs="宋体"/>
          <w:color w:val="auto"/>
          <w:sz w:val="24"/>
          <w:highlight w:val="none"/>
        </w:rPr>
        <w:t>有关规定，及时上报有关部门，并坚持“四不放过”的原则，严肃处理相关责任人。</w:t>
      </w:r>
    </w:p>
    <w:p w14:paraId="03C5DE5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三、违约责任</w:t>
      </w:r>
    </w:p>
    <w:p w14:paraId="58EFBE9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如因甲方或乙方违约造成安全事故，将依法追究责任。</w:t>
      </w:r>
    </w:p>
    <w:p w14:paraId="006EB06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本合同作为本项目</w:t>
      </w:r>
      <w:r>
        <w:rPr>
          <w:rFonts w:hint="eastAsia" w:ascii="宋体" w:hAnsi="宋体" w:cs="宋体"/>
          <w:color w:val="auto"/>
          <w:kern w:val="0"/>
          <w:sz w:val="24"/>
          <w:highlight w:val="none"/>
        </w:rPr>
        <w:t>桥梁、隧道定期检测</w:t>
      </w:r>
      <w:r>
        <w:rPr>
          <w:rFonts w:hint="eastAsia" w:ascii="宋体" w:hAnsi="宋体" w:cs="宋体"/>
          <w:color w:val="auto"/>
          <w:sz w:val="24"/>
          <w:highlight w:val="none"/>
        </w:rPr>
        <w:t>合同协议书的附件，由双方法定代表人或其授权的代理人签署并加盖公章后生效，全部工程竣工验收后失效。</w:t>
      </w:r>
    </w:p>
    <w:p w14:paraId="3171E5DD">
      <w:pPr>
        <w:spacing w:line="360" w:lineRule="auto"/>
        <w:ind w:firstLine="480" w:firstLineChars="200"/>
        <w:rPr>
          <w:rFonts w:hint="eastAsia" w:ascii="宋体" w:hAnsi="宋体" w:cs="宋体"/>
          <w:color w:val="auto"/>
          <w:sz w:val="24"/>
          <w:highlight w:val="none"/>
        </w:rPr>
      </w:pPr>
    </w:p>
    <w:p w14:paraId="798C1A96">
      <w:pPr>
        <w:spacing w:line="360" w:lineRule="auto"/>
        <w:ind w:firstLine="480" w:firstLineChars="200"/>
        <w:rPr>
          <w:rFonts w:hint="eastAsia" w:ascii="宋体" w:hAnsi="宋体" w:cs="宋体"/>
          <w:color w:val="auto"/>
          <w:sz w:val="24"/>
          <w:highlight w:val="none"/>
        </w:rPr>
      </w:pPr>
    </w:p>
    <w:p w14:paraId="0EE4E6E4">
      <w:pPr>
        <w:spacing w:line="360" w:lineRule="auto"/>
        <w:ind w:firstLine="480" w:firstLineChars="200"/>
        <w:rPr>
          <w:rFonts w:hint="eastAsia" w:ascii="宋体" w:hAnsi="宋体" w:cs="宋体"/>
          <w:color w:val="auto"/>
          <w:sz w:val="24"/>
          <w:highlight w:val="none"/>
        </w:rPr>
      </w:pPr>
    </w:p>
    <w:p w14:paraId="7E7A7465">
      <w:pPr>
        <w:spacing w:line="360" w:lineRule="auto"/>
        <w:ind w:firstLine="480" w:firstLineChars="200"/>
        <w:rPr>
          <w:rFonts w:hint="eastAsia" w:ascii="宋体" w:hAnsi="宋体" w:cs="宋体"/>
          <w:color w:val="auto"/>
          <w:sz w:val="24"/>
          <w:highlight w:val="none"/>
        </w:rPr>
      </w:pPr>
    </w:p>
    <w:p w14:paraId="3AD0300B">
      <w:pPr>
        <w:spacing w:after="120" w:afterLines="50" w:line="276"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甲方单位：</w:t>
      </w:r>
      <w:r>
        <w:rPr>
          <w:rFonts w:hint="eastAsia" w:ascii="宋体" w:hAnsi="宋体" w:cs="宋体"/>
          <w:color w:val="auto"/>
          <w:sz w:val="24"/>
          <w:highlight w:val="none"/>
          <w:u w:val="single"/>
        </w:rPr>
        <w:t xml:space="preserve">（全称）（盖章）  </w:t>
      </w:r>
      <w:r>
        <w:rPr>
          <w:rFonts w:hint="eastAsia" w:ascii="宋体" w:hAnsi="宋体" w:cs="宋体"/>
          <w:color w:val="auto"/>
          <w:sz w:val="24"/>
          <w:highlight w:val="none"/>
        </w:rPr>
        <w:t xml:space="preserve">        乙方单位:：</w:t>
      </w:r>
      <w:r>
        <w:rPr>
          <w:rFonts w:hint="eastAsia" w:ascii="宋体" w:hAnsi="宋体" w:cs="宋体"/>
          <w:color w:val="auto"/>
          <w:sz w:val="24"/>
          <w:highlight w:val="none"/>
          <w:u w:val="single"/>
        </w:rPr>
        <w:t xml:space="preserve">（全称）（盖章）  </w:t>
      </w:r>
    </w:p>
    <w:p w14:paraId="5FCFD875">
      <w:pPr>
        <w:spacing w:after="120" w:afterLines="50" w:line="27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法定代表人：</w:t>
      </w:r>
      <w:r>
        <w:rPr>
          <w:rFonts w:hint="eastAsia" w:ascii="宋体" w:hAnsi="宋体" w:cs="宋体"/>
          <w:color w:val="auto"/>
          <w:sz w:val="24"/>
          <w:highlight w:val="none"/>
          <w:u w:val="single"/>
        </w:rPr>
        <w:t xml:space="preserve">    （签字）    </w:t>
      </w:r>
      <w:r>
        <w:rPr>
          <w:rFonts w:hint="eastAsia" w:ascii="宋体" w:hAnsi="宋体" w:cs="宋体"/>
          <w:color w:val="auto"/>
          <w:sz w:val="24"/>
          <w:highlight w:val="none"/>
        </w:rPr>
        <w:t xml:space="preserve">        法定代表人：</w:t>
      </w:r>
      <w:r>
        <w:rPr>
          <w:rFonts w:hint="eastAsia" w:ascii="宋体" w:hAnsi="宋体" w:cs="宋体"/>
          <w:color w:val="auto"/>
          <w:sz w:val="24"/>
          <w:highlight w:val="none"/>
          <w:u w:val="single"/>
        </w:rPr>
        <w:t xml:space="preserve">     （签字）    </w:t>
      </w:r>
    </w:p>
    <w:p w14:paraId="43AFDEC4">
      <w:pPr>
        <w:spacing w:after="120" w:afterLines="50" w:line="276"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地址：_________________             地址：</w:t>
      </w:r>
      <w:r>
        <w:rPr>
          <w:rFonts w:hint="eastAsia" w:ascii="宋体" w:hAnsi="宋体" w:cs="宋体"/>
          <w:color w:val="auto"/>
          <w:sz w:val="24"/>
          <w:highlight w:val="none"/>
          <w:u w:val="single"/>
        </w:rPr>
        <w:t xml:space="preserve">                 </w:t>
      </w:r>
    </w:p>
    <w:p w14:paraId="4D01CC03">
      <w:pPr>
        <w:spacing w:after="120" w:afterLines="50" w:line="276"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电话：_________________             电话：</w:t>
      </w:r>
      <w:r>
        <w:rPr>
          <w:rFonts w:hint="eastAsia" w:ascii="宋体" w:hAnsi="宋体" w:cs="宋体"/>
          <w:color w:val="auto"/>
          <w:sz w:val="24"/>
          <w:highlight w:val="none"/>
          <w:u w:val="single"/>
        </w:rPr>
        <w:t xml:space="preserve">                 </w:t>
      </w:r>
    </w:p>
    <w:p w14:paraId="58FC5B84">
      <w:pPr>
        <w:spacing w:after="120" w:afterLines="50" w:line="27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日           日期: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644FBB48">
      <w:pPr>
        <w:tabs>
          <w:tab w:val="left" w:pos="2675"/>
          <w:tab w:val="left" w:pos="3664"/>
          <w:tab w:val="left" w:pos="4608"/>
          <w:tab w:val="left" w:pos="6031"/>
          <w:tab w:val="left" w:pos="7111"/>
          <w:tab w:val="left" w:pos="7722"/>
          <w:tab w:val="left" w:pos="8112"/>
        </w:tabs>
        <w:spacing w:line="440" w:lineRule="exact"/>
        <w:jc w:val="left"/>
        <w:rPr>
          <w:rFonts w:hint="eastAsia" w:ascii="宋体" w:hAnsi="宋体" w:cs="宋体"/>
          <w:color w:val="auto"/>
          <w:kern w:val="0"/>
          <w:sz w:val="24"/>
          <w:highlight w:val="none"/>
        </w:rPr>
      </w:pPr>
    </w:p>
    <w:p w14:paraId="61D09B50">
      <w:pPr>
        <w:rPr>
          <w:rFonts w:hint="eastAsia" w:ascii="宋体" w:hAnsi="宋体" w:cs="宋体"/>
          <w:color w:val="auto"/>
          <w:highlight w:val="none"/>
        </w:rPr>
      </w:pPr>
    </w:p>
    <w:p w14:paraId="1AE323F5">
      <w:pPr>
        <w:rPr>
          <w:rFonts w:hint="eastAsia" w:ascii="宋体" w:hAnsi="宋体" w:cs="宋体"/>
          <w:color w:val="auto"/>
          <w:highlight w:val="none"/>
        </w:rPr>
      </w:pPr>
    </w:p>
    <w:p w14:paraId="16E723F5">
      <w:pPr>
        <w:rPr>
          <w:rFonts w:hint="eastAsia" w:ascii="宋体" w:hAnsi="宋体" w:cs="宋体"/>
          <w:color w:val="auto"/>
          <w:highlight w:val="none"/>
        </w:rPr>
      </w:pPr>
    </w:p>
    <w:p w14:paraId="3C5B1917">
      <w:pPr>
        <w:rPr>
          <w:rFonts w:hint="eastAsia" w:ascii="宋体" w:hAnsi="宋体" w:cs="宋体"/>
          <w:color w:val="auto"/>
          <w:highlight w:val="none"/>
        </w:rPr>
      </w:pPr>
    </w:p>
    <w:p w14:paraId="0DDE4BD8">
      <w:pPr>
        <w:rPr>
          <w:rFonts w:hint="eastAsia" w:ascii="宋体" w:hAnsi="宋体" w:cs="宋体"/>
          <w:color w:val="auto"/>
          <w:highlight w:val="none"/>
        </w:rPr>
      </w:pPr>
    </w:p>
    <w:p w14:paraId="241051B2">
      <w:pPr>
        <w:rPr>
          <w:rFonts w:hint="eastAsia" w:ascii="宋体" w:hAnsi="宋体" w:cs="宋体"/>
          <w:color w:val="auto"/>
          <w:highlight w:val="none"/>
        </w:rPr>
      </w:pPr>
    </w:p>
    <w:p w14:paraId="211AE44B">
      <w:pPr>
        <w:rPr>
          <w:rFonts w:hint="eastAsia" w:ascii="宋体" w:hAnsi="宋体" w:cs="宋体"/>
          <w:color w:val="auto"/>
          <w:highlight w:val="none"/>
        </w:rPr>
      </w:pPr>
    </w:p>
    <w:p w14:paraId="1FB4E7CA">
      <w:pPr>
        <w:rPr>
          <w:rFonts w:hint="eastAsia" w:ascii="宋体" w:hAnsi="宋体" w:cs="宋体"/>
          <w:color w:val="auto"/>
          <w:highlight w:val="none"/>
        </w:rPr>
      </w:pPr>
    </w:p>
    <w:p w14:paraId="7A2D025A">
      <w:pPr>
        <w:rPr>
          <w:rFonts w:hint="eastAsia" w:ascii="宋体" w:hAnsi="宋体" w:cs="宋体"/>
          <w:color w:val="auto"/>
          <w:highlight w:val="none"/>
        </w:rPr>
      </w:pPr>
    </w:p>
    <w:p w14:paraId="2BC02BF6">
      <w:pPr>
        <w:rPr>
          <w:rFonts w:hint="eastAsia" w:ascii="宋体" w:hAnsi="宋体" w:cs="宋体"/>
          <w:color w:val="auto"/>
          <w:highlight w:val="none"/>
        </w:rPr>
      </w:pPr>
    </w:p>
    <w:p w14:paraId="06633A30">
      <w:pPr>
        <w:rPr>
          <w:rFonts w:hint="eastAsia" w:ascii="宋体" w:hAnsi="宋体" w:cs="宋体"/>
          <w:color w:val="auto"/>
          <w:highlight w:val="none"/>
        </w:rPr>
      </w:pPr>
    </w:p>
    <w:p w14:paraId="27BBF14C">
      <w:pPr>
        <w:rPr>
          <w:rFonts w:hint="eastAsia" w:ascii="宋体" w:hAnsi="宋体" w:cs="宋体"/>
          <w:color w:val="auto"/>
          <w:highlight w:val="none"/>
        </w:rPr>
      </w:pPr>
    </w:p>
    <w:p w14:paraId="7024AA60">
      <w:pPr>
        <w:pStyle w:val="5"/>
        <w:rPr>
          <w:rFonts w:hint="eastAsia" w:ascii="宋体" w:hAnsi="宋体" w:cs="宋体"/>
          <w:color w:val="auto"/>
          <w:highlight w:val="none"/>
        </w:rPr>
      </w:pPr>
      <w:bookmarkStart w:id="148" w:name="_Toc20550"/>
      <w:bookmarkStart w:id="149" w:name="_Toc29966"/>
      <w:bookmarkStart w:id="150" w:name="_Toc7930"/>
      <w:bookmarkStart w:id="151" w:name="_Toc31097"/>
      <w:bookmarkStart w:id="152" w:name="_Toc29669"/>
      <w:r>
        <w:rPr>
          <w:rFonts w:hint="eastAsia" w:ascii="宋体" w:hAnsi="宋体" w:cs="宋体"/>
          <w:color w:val="auto"/>
          <w:highlight w:val="none"/>
        </w:rPr>
        <w:t>附件</w:t>
      </w:r>
      <w:r>
        <w:rPr>
          <w:rFonts w:hint="eastAsia" w:ascii="宋体" w:hAnsi="宋体" w:cs="宋体"/>
          <w:color w:val="auto"/>
          <w:highlight w:val="none"/>
          <w:lang w:val="en-US" w:eastAsia="zh-CN"/>
        </w:rPr>
        <w:t>2</w:t>
      </w:r>
      <w:r>
        <w:rPr>
          <w:rFonts w:hint="eastAsia" w:ascii="宋体" w:hAnsi="宋体" w:cs="宋体"/>
          <w:color w:val="auto"/>
          <w:highlight w:val="none"/>
        </w:rPr>
        <w:t xml:space="preserve"> 履约保证金格式</w:t>
      </w:r>
      <w:bookmarkEnd w:id="148"/>
      <w:bookmarkEnd w:id="149"/>
      <w:bookmarkEnd w:id="150"/>
      <w:bookmarkEnd w:id="151"/>
      <w:bookmarkEnd w:id="152"/>
    </w:p>
    <w:p w14:paraId="49A926CD">
      <w:pPr>
        <w:pStyle w:val="2"/>
        <w:spacing w:before="29" w:line="321" w:lineRule="auto"/>
        <w:ind w:right="5372"/>
        <w:rPr>
          <w:rFonts w:hint="eastAsia" w:ascii="宋体" w:hAnsi="宋体" w:cs="宋体"/>
          <w:color w:val="auto"/>
          <w:highlight w:val="none"/>
        </w:rPr>
      </w:pPr>
      <w:r>
        <w:rPr>
          <w:rFonts w:hint="eastAsia" w:ascii="宋体" w:hAnsi="宋体" w:cs="宋体"/>
          <w:color w:val="auto"/>
          <w:highlight w:val="none"/>
        </w:rPr>
        <w:t>如采用银行保函，格式如下：</w:t>
      </w:r>
    </w:p>
    <w:p w14:paraId="79425F1C">
      <w:pPr>
        <w:spacing w:before="4"/>
        <w:rPr>
          <w:rFonts w:hint="eastAsia" w:ascii="宋体" w:hAnsi="宋体" w:cs="宋体"/>
          <w:color w:val="auto"/>
          <w:sz w:val="26"/>
          <w:szCs w:val="26"/>
          <w:highlight w:val="none"/>
        </w:rPr>
      </w:pPr>
    </w:p>
    <w:p w14:paraId="0247B0CF">
      <w:pPr>
        <w:spacing w:before="16"/>
        <w:ind w:right="59"/>
        <w:jc w:val="center"/>
        <w:rPr>
          <w:rFonts w:hint="eastAsia" w:ascii="宋体" w:hAnsi="宋体" w:cs="宋体"/>
          <w:b/>
          <w:color w:val="auto"/>
          <w:sz w:val="30"/>
          <w:szCs w:val="30"/>
          <w:highlight w:val="none"/>
        </w:rPr>
      </w:pPr>
      <w:r>
        <w:rPr>
          <w:rFonts w:hint="eastAsia" w:ascii="宋体" w:hAnsi="宋体" w:cs="宋体"/>
          <w:b/>
          <w:color w:val="auto"/>
          <w:sz w:val="30"/>
          <w:szCs w:val="30"/>
          <w:highlight w:val="none"/>
        </w:rPr>
        <w:t>履约保证金</w:t>
      </w:r>
    </w:p>
    <w:p w14:paraId="13569D97">
      <w:pPr>
        <w:ind w:firstLine="760" w:firstLineChars="200"/>
        <w:rPr>
          <w:rFonts w:hint="eastAsia" w:ascii="宋体" w:hAnsi="宋体" w:cs="宋体"/>
          <w:color w:val="auto"/>
          <w:sz w:val="38"/>
          <w:szCs w:val="38"/>
          <w:highlight w:val="none"/>
        </w:rPr>
      </w:pPr>
    </w:p>
    <w:p w14:paraId="7CE859A9">
      <w:pPr>
        <w:pStyle w:val="2"/>
        <w:tabs>
          <w:tab w:val="left" w:pos="2581"/>
        </w:tabs>
        <w:rPr>
          <w:rFonts w:hint="eastAsia" w:ascii="宋体" w:hAnsi="宋体" w:cs="宋体"/>
          <w:color w:val="auto"/>
          <w:highlight w:val="none"/>
        </w:rPr>
      </w:pPr>
      <w:r>
        <w:rPr>
          <w:rFonts w:hint="eastAsia" w:ascii="宋体" w:hAnsi="宋体" w:cs="宋体"/>
          <w:color w:val="auto"/>
          <w:highlight w:val="none"/>
          <w:u w:val="single" w:color="000000"/>
        </w:rPr>
        <w:tab/>
      </w:r>
      <w:r>
        <w:rPr>
          <w:rFonts w:hint="eastAsia" w:ascii="宋体" w:hAnsi="宋体" w:cs="宋体"/>
          <w:color w:val="auto"/>
          <w:highlight w:val="none"/>
        </w:rPr>
        <w:t>（委托人名称）：</w:t>
      </w:r>
    </w:p>
    <w:p w14:paraId="78C494E3">
      <w:pPr>
        <w:ind w:firstLine="480" w:firstLineChars="200"/>
        <w:rPr>
          <w:rFonts w:hint="eastAsia" w:ascii="宋体" w:hAnsi="宋体" w:cs="宋体"/>
          <w:color w:val="auto"/>
          <w:sz w:val="24"/>
          <w:highlight w:val="none"/>
        </w:rPr>
      </w:pPr>
    </w:p>
    <w:p w14:paraId="2890C945">
      <w:pPr>
        <w:pStyle w:val="2"/>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鉴于</w:t>
      </w:r>
      <w:r>
        <w:rPr>
          <w:rFonts w:hint="eastAsia" w:ascii="宋体" w:hAnsi="宋体" w:cs="宋体"/>
          <w:color w:val="auto"/>
          <w:highlight w:val="none"/>
          <w:u w:val="single"/>
        </w:rPr>
        <w:tab/>
      </w:r>
      <w:r>
        <w:rPr>
          <w:rFonts w:hint="eastAsia" w:ascii="宋体" w:hAnsi="宋体" w:cs="宋体"/>
          <w:color w:val="auto"/>
          <w:highlight w:val="none"/>
          <w:u w:val="single"/>
        </w:rPr>
        <w:t xml:space="preserve">        </w:t>
      </w:r>
      <w:r>
        <w:rPr>
          <w:rFonts w:hint="eastAsia" w:ascii="宋体" w:hAnsi="宋体" w:cs="宋体"/>
          <w:color w:val="auto"/>
          <w:highlight w:val="none"/>
        </w:rPr>
        <w:t>（委托人名称，以下简称“委托人”）接受</w:t>
      </w:r>
      <w:r>
        <w:rPr>
          <w:rFonts w:hint="eastAsia" w:ascii="宋体" w:hAnsi="宋体" w:cs="宋体"/>
          <w:color w:val="auto"/>
          <w:highlight w:val="none"/>
          <w:u w:val="single"/>
        </w:rPr>
        <w:tab/>
      </w:r>
      <w:r>
        <w:rPr>
          <w:rFonts w:hint="eastAsia" w:ascii="宋体" w:hAnsi="宋体" w:cs="宋体"/>
          <w:color w:val="auto"/>
          <w:highlight w:val="none"/>
          <w:u w:val="single"/>
        </w:rPr>
        <w:t xml:space="preserve">      </w:t>
      </w:r>
      <w:r>
        <w:rPr>
          <w:rFonts w:hint="eastAsia" w:ascii="宋体" w:hAnsi="宋体" w:cs="宋体"/>
          <w:color w:val="auto"/>
          <w:highlight w:val="none"/>
        </w:rPr>
        <w:t>（检测人名称）（以</w:t>
      </w:r>
      <w:r>
        <w:rPr>
          <w:rFonts w:hint="eastAsia" w:ascii="宋体" w:hAnsi="宋体" w:cs="宋体"/>
          <w:color w:val="auto"/>
          <w:highlight w:val="none"/>
          <w:lang w:eastAsia="zh-CN"/>
        </w:rPr>
        <w:t>下简</w:t>
      </w:r>
      <w:r>
        <w:rPr>
          <w:rFonts w:hint="eastAsia" w:ascii="宋体" w:hAnsi="宋体" w:cs="宋体"/>
          <w:color w:val="auto"/>
          <w:highlight w:val="none"/>
        </w:rPr>
        <w:t>称“检测人”）于</w:t>
      </w:r>
      <w:r>
        <w:rPr>
          <w:rFonts w:hint="eastAsia" w:ascii="宋体" w:hAnsi="宋体" w:cs="宋体"/>
          <w:color w:val="auto"/>
          <w:highlight w:val="none"/>
          <w:u w:val="single"/>
        </w:rPr>
        <w:t xml:space="preserve">    </w:t>
      </w:r>
      <w:r>
        <w:rPr>
          <w:rFonts w:hint="eastAsia" w:ascii="宋体" w:hAnsi="宋体" w:cs="宋体"/>
          <w:color w:val="auto"/>
          <w:highlight w:val="none"/>
        </w:rPr>
        <w:t>年</w:t>
      </w:r>
      <w:r>
        <w:rPr>
          <w:rFonts w:hint="eastAsia" w:ascii="宋体" w:hAnsi="宋体" w:cs="宋体"/>
          <w:color w:val="auto"/>
          <w:highlight w:val="none"/>
          <w:u w:val="single"/>
        </w:rPr>
        <w:t xml:space="preserve">   </w:t>
      </w:r>
      <w:r>
        <w:rPr>
          <w:rFonts w:hint="eastAsia" w:ascii="宋体" w:hAnsi="宋体" w:cs="宋体"/>
          <w:color w:val="auto"/>
          <w:highlight w:val="none"/>
        </w:rPr>
        <w:t>月</w:t>
      </w:r>
      <w:r>
        <w:rPr>
          <w:rFonts w:hint="eastAsia" w:ascii="宋体" w:hAnsi="宋体" w:cs="宋体"/>
          <w:color w:val="auto"/>
          <w:highlight w:val="none"/>
          <w:u w:val="single"/>
        </w:rPr>
        <w:t xml:space="preserve">   </w:t>
      </w:r>
      <w:r>
        <w:rPr>
          <w:rFonts w:hint="eastAsia" w:ascii="宋体" w:hAnsi="宋体" w:cs="宋体"/>
          <w:color w:val="auto"/>
          <w:highlight w:val="none"/>
        </w:rPr>
        <w:t>日参加</w:t>
      </w:r>
      <w:r>
        <w:rPr>
          <w:rFonts w:hint="eastAsia" w:ascii="宋体" w:hAnsi="宋体" w:cs="宋体"/>
          <w:color w:val="auto"/>
          <w:highlight w:val="none"/>
          <w:u w:val="single"/>
        </w:rPr>
        <w:tab/>
      </w:r>
      <w:r>
        <w:rPr>
          <w:rFonts w:hint="eastAsia" w:ascii="宋体" w:hAnsi="宋体" w:cs="宋体"/>
          <w:color w:val="auto"/>
          <w:highlight w:val="none"/>
          <w:u w:val="single"/>
        </w:rPr>
        <w:t xml:space="preserve">  </w:t>
      </w:r>
      <w:r>
        <w:rPr>
          <w:rFonts w:hint="eastAsia" w:ascii="宋体" w:hAnsi="宋体" w:cs="宋体"/>
          <w:color w:val="auto"/>
          <w:highlight w:val="none"/>
        </w:rPr>
        <w:t>（项目名称）的投标。我方愿意无条件地、不可撤销地就检测人履行与你方订立的合同，向你方提供担保。</w:t>
      </w:r>
    </w:p>
    <w:p w14:paraId="558618D5">
      <w:pPr>
        <w:pStyle w:val="2"/>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1.担保金额人民币（大写）</w:t>
      </w:r>
      <w:r>
        <w:rPr>
          <w:rFonts w:hint="eastAsia" w:ascii="宋体" w:hAnsi="宋体" w:cs="宋体"/>
          <w:color w:val="auto"/>
          <w:highlight w:val="none"/>
          <w:u w:val="single"/>
        </w:rPr>
        <w:tab/>
      </w:r>
      <w:r>
        <w:rPr>
          <w:rFonts w:hint="eastAsia" w:ascii="宋体" w:hAnsi="宋体" w:cs="宋体"/>
          <w:color w:val="auto"/>
          <w:highlight w:val="none"/>
          <w:u w:val="single"/>
        </w:rPr>
        <w:t xml:space="preserve">    </w:t>
      </w:r>
      <w:r>
        <w:rPr>
          <w:rFonts w:hint="eastAsia" w:ascii="宋体" w:hAnsi="宋体" w:cs="宋体"/>
          <w:color w:val="auto"/>
          <w:highlight w:val="none"/>
        </w:rPr>
        <w:t>元（</w:t>
      </w:r>
      <w:r>
        <w:rPr>
          <w:rFonts w:ascii="Arial" w:hAnsi="Arial" w:cs="Arial"/>
          <w:color w:val="auto"/>
          <w:highlight w:val="none"/>
        </w:rPr>
        <w:t>¥</w:t>
      </w:r>
      <w:r>
        <w:rPr>
          <w:rFonts w:hint="eastAsia" w:ascii="宋体" w:hAnsi="宋体" w:cs="宋体"/>
          <w:color w:val="auto"/>
          <w:highlight w:val="none"/>
          <w:u w:val="single"/>
        </w:rPr>
        <w:tab/>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14738922">
      <w:pPr>
        <w:pStyle w:val="2"/>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2.担保有效期自委托人与检测人签订的合同生效之日起至委托人签发竣工验收证书之日止。</w:t>
      </w:r>
    </w:p>
    <w:p w14:paraId="2F60AA74">
      <w:pPr>
        <w:pStyle w:val="2"/>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3.在本担保有效期内，因检测人违反合同约定的义务给你方造成经济损失时，我方在收到你方以书面形式提出的在担保金额内的赔偿要求后，在7天内无条件支付，无须你方出具证明或陈述理由。</w:t>
      </w:r>
    </w:p>
    <w:p w14:paraId="2A77FA76">
      <w:pPr>
        <w:pStyle w:val="2"/>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4.委托人和检测人按合同条款变更合同时，我方承担本担保规定的义务不变。</w:t>
      </w:r>
    </w:p>
    <w:p w14:paraId="57D03DEF">
      <w:pPr>
        <w:spacing w:line="360" w:lineRule="auto"/>
        <w:rPr>
          <w:rFonts w:hint="eastAsia" w:ascii="宋体" w:hAnsi="宋体" w:cs="宋体"/>
          <w:color w:val="auto"/>
          <w:sz w:val="24"/>
          <w:highlight w:val="none"/>
        </w:rPr>
      </w:pPr>
    </w:p>
    <w:p w14:paraId="6AE4D516">
      <w:pPr>
        <w:wordWrap w:val="0"/>
        <w:spacing w:line="360" w:lineRule="auto"/>
        <w:jc w:val="right"/>
        <w:rPr>
          <w:rFonts w:hint="eastAsia" w:ascii="宋体" w:hAnsi="宋体" w:cs="宋体"/>
          <w:color w:val="auto"/>
          <w:sz w:val="24"/>
          <w:highlight w:val="none"/>
        </w:rPr>
      </w:pPr>
      <w:r>
        <w:rPr>
          <w:rFonts w:hint="eastAsia" w:ascii="宋体" w:hAnsi="宋体" w:cs="宋体"/>
          <w:color w:val="auto"/>
          <w:sz w:val="24"/>
          <w:highlight w:val="none"/>
        </w:rPr>
        <w:t>担保人：</w:t>
      </w:r>
      <w:r>
        <w:rPr>
          <w:rFonts w:hint="eastAsia" w:ascii="宋体" w:hAnsi="宋体" w:cs="宋体"/>
          <w:color w:val="auto"/>
          <w:sz w:val="24"/>
          <w:highlight w:val="none"/>
          <w:u w:val="single"/>
        </w:rPr>
        <w:t xml:space="preserve">（盖单位章）                   </w:t>
      </w:r>
    </w:p>
    <w:p w14:paraId="67CF8FF8">
      <w:pPr>
        <w:wordWrap w:val="0"/>
        <w:spacing w:line="360" w:lineRule="auto"/>
        <w:jc w:val="right"/>
        <w:rPr>
          <w:rFonts w:hint="eastAsia" w:ascii="宋体" w:hAnsi="宋体" w:cs="宋体"/>
          <w:color w:val="auto"/>
          <w:sz w:val="24"/>
          <w:highlight w:val="none"/>
        </w:rPr>
      </w:pPr>
      <w:r>
        <w:rPr>
          <w:rFonts w:hint="eastAsia" w:ascii="宋体" w:hAnsi="宋体" w:cs="宋体"/>
          <w:color w:val="auto"/>
          <w:sz w:val="24"/>
          <w:highlight w:val="none"/>
        </w:rPr>
        <w:t>法定代表人或其委托代理人：</w:t>
      </w:r>
      <w:r>
        <w:rPr>
          <w:rFonts w:hint="eastAsia" w:ascii="宋体" w:hAnsi="宋体" w:cs="宋体"/>
          <w:color w:val="auto"/>
          <w:sz w:val="24"/>
          <w:highlight w:val="none"/>
          <w:u w:val="single"/>
        </w:rPr>
        <w:t xml:space="preserve">（签字）     </w:t>
      </w:r>
    </w:p>
    <w:p w14:paraId="20D31B5A">
      <w:pPr>
        <w:wordWrap w:val="0"/>
        <w:spacing w:line="360" w:lineRule="auto"/>
        <w:jc w:val="right"/>
        <w:rPr>
          <w:rFonts w:hint="eastAsia"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u w:val="single"/>
        </w:rPr>
        <w:t xml:space="preserve">                             </w:t>
      </w:r>
    </w:p>
    <w:p w14:paraId="5DCD01A4">
      <w:pPr>
        <w:wordWrap w:val="0"/>
        <w:spacing w:line="360" w:lineRule="auto"/>
        <w:jc w:val="right"/>
        <w:rPr>
          <w:rFonts w:hint="eastAsia" w:ascii="宋体" w:hAnsi="宋体" w:cs="宋体"/>
          <w:color w:val="auto"/>
          <w:sz w:val="24"/>
          <w:highlight w:val="none"/>
        </w:rPr>
      </w:pPr>
      <w:r>
        <w:rPr>
          <w:rFonts w:hint="eastAsia" w:ascii="宋体" w:hAnsi="宋体" w:cs="宋体"/>
          <w:color w:val="auto"/>
          <w:sz w:val="24"/>
          <w:highlight w:val="none"/>
        </w:rPr>
        <w:t xml:space="preserve">   邮政编码：</w:t>
      </w:r>
      <w:r>
        <w:rPr>
          <w:rFonts w:hint="eastAsia" w:ascii="宋体" w:hAnsi="宋体" w:cs="宋体"/>
          <w:color w:val="auto"/>
          <w:sz w:val="24"/>
          <w:highlight w:val="none"/>
          <w:u w:val="single"/>
        </w:rPr>
        <w:t xml:space="preserve">                             </w:t>
      </w:r>
    </w:p>
    <w:p w14:paraId="1CC4E864">
      <w:pPr>
        <w:wordWrap w:val="0"/>
        <w:spacing w:line="360" w:lineRule="auto"/>
        <w:jc w:val="right"/>
        <w:rPr>
          <w:rFonts w:hint="eastAsia" w:ascii="宋体" w:hAnsi="宋体" w:cs="宋体"/>
          <w:color w:val="auto"/>
          <w:sz w:val="24"/>
          <w:highlight w:val="none"/>
        </w:rPr>
      </w:pPr>
      <w:r>
        <w:rPr>
          <w:rFonts w:hint="eastAsia" w:ascii="宋体" w:hAnsi="宋体" w:cs="宋体"/>
          <w:color w:val="auto"/>
          <w:sz w:val="24"/>
          <w:highlight w:val="none"/>
        </w:rPr>
        <w:t>电    话：</w:t>
      </w:r>
      <w:r>
        <w:rPr>
          <w:rFonts w:hint="eastAsia" w:ascii="宋体" w:hAnsi="宋体" w:cs="宋体"/>
          <w:color w:val="auto"/>
          <w:sz w:val="24"/>
          <w:highlight w:val="none"/>
          <w:u w:val="single"/>
        </w:rPr>
        <w:t xml:space="preserve">                             </w:t>
      </w:r>
    </w:p>
    <w:p w14:paraId="491408D0">
      <w:pPr>
        <w:wordWrap w:val="0"/>
        <w:spacing w:line="360" w:lineRule="auto"/>
        <w:jc w:val="right"/>
        <w:rPr>
          <w:rFonts w:hint="eastAsia" w:ascii="宋体" w:hAnsi="宋体" w:cs="宋体"/>
          <w:color w:val="auto"/>
          <w:sz w:val="24"/>
          <w:highlight w:val="none"/>
        </w:rPr>
      </w:pPr>
      <w:r>
        <w:rPr>
          <w:rFonts w:hint="eastAsia" w:ascii="宋体" w:hAnsi="宋体" w:cs="宋体"/>
          <w:color w:val="auto"/>
          <w:sz w:val="24"/>
          <w:highlight w:val="none"/>
        </w:rPr>
        <w:t>传    真：</w:t>
      </w:r>
      <w:r>
        <w:rPr>
          <w:rFonts w:hint="eastAsia" w:ascii="宋体" w:hAnsi="宋体" w:cs="宋体"/>
          <w:color w:val="auto"/>
          <w:sz w:val="24"/>
          <w:highlight w:val="none"/>
          <w:u w:val="single"/>
        </w:rPr>
        <w:t xml:space="preserve">                             </w:t>
      </w:r>
    </w:p>
    <w:p w14:paraId="20A2EE27">
      <w:pPr>
        <w:spacing w:line="360" w:lineRule="auto"/>
        <w:jc w:val="right"/>
        <w:rPr>
          <w:rFonts w:hint="eastAsia" w:ascii="宋体" w:hAnsi="宋体" w:cs="宋体"/>
          <w:color w:val="auto"/>
          <w:sz w:val="24"/>
          <w:highlight w:val="none"/>
        </w:rPr>
      </w:pPr>
      <w:r>
        <w:rPr>
          <w:rFonts w:hint="eastAsia" w:ascii="宋体" w:hAnsi="宋体" w:cs="宋体"/>
          <w:color w:val="auto"/>
          <w:sz w:val="24"/>
          <w:highlight w:val="none"/>
        </w:rPr>
        <w:t>年  月  日</w:t>
      </w:r>
    </w:p>
    <w:p w14:paraId="309F20A7">
      <w:pPr>
        <w:snapToGrid w:val="0"/>
        <w:jc w:val="center"/>
        <w:rPr>
          <w:rFonts w:hint="eastAsia" w:ascii="宋体" w:hAnsi="宋体"/>
          <w:bCs/>
          <w:color w:val="auto"/>
          <w:sz w:val="32"/>
          <w:szCs w:val="32"/>
          <w:highlight w:val="none"/>
        </w:rPr>
      </w:pPr>
    </w:p>
    <w:p w14:paraId="0EE2D5E4">
      <w:pPr>
        <w:rPr>
          <w:rFonts w:hint="eastAsia" w:ascii="宋体" w:hAnsi="宋体"/>
          <w:bCs/>
          <w:color w:val="auto"/>
          <w:sz w:val="32"/>
          <w:szCs w:val="32"/>
          <w:highlight w:val="none"/>
        </w:rPr>
      </w:pPr>
      <w:bookmarkStart w:id="153" w:name="_Toc25289"/>
      <w:r>
        <w:rPr>
          <w:rFonts w:hint="eastAsia" w:ascii="宋体" w:hAnsi="宋体"/>
          <w:bCs/>
          <w:color w:val="auto"/>
          <w:sz w:val="32"/>
          <w:szCs w:val="32"/>
          <w:highlight w:val="none"/>
        </w:rPr>
        <w:br w:type="page"/>
      </w:r>
    </w:p>
    <w:p w14:paraId="11F4E059">
      <w:pPr>
        <w:pStyle w:val="2"/>
        <w:rPr>
          <w:rFonts w:hint="eastAsia"/>
          <w:color w:val="auto"/>
          <w:highlight w:val="none"/>
        </w:rPr>
      </w:pPr>
    </w:p>
    <w:p w14:paraId="715517CB">
      <w:pPr>
        <w:snapToGrid w:val="0"/>
        <w:jc w:val="center"/>
        <w:rPr>
          <w:rFonts w:hint="eastAsia" w:ascii="宋体" w:hAnsi="宋体"/>
          <w:bCs/>
          <w:color w:val="auto"/>
          <w:sz w:val="32"/>
          <w:szCs w:val="32"/>
          <w:highlight w:val="none"/>
        </w:rPr>
      </w:pPr>
    </w:p>
    <w:p w14:paraId="5140F85E">
      <w:pPr>
        <w:snapToGrid w:val="0"/>
        <w:jc w:val="center"/>
        <w:rPr>
          <w:rFonts w:hint="eastAsia" w:ascii="宋体" w:hAnsi="宋体"/>
          <w:bCs/>
          <w:color w:val="auto"/>
          <w:sz w:val="32"/>
          <w:szCs w:val="32"/>
          <w:highlight w:val="none"/>
        </w:rPr>
      </w:pPr>
    </w:p>
    <w:p w14:paraId="1368B681">
      <w:pPr>
        <w:snapToGrid w:val="0"/>
        <w:jc w:val="center"/>
        <w:rPr>
          <w:rFonts w:hint="eastAsia" w:ascii="宋体" w:hAnsi="宋体"/>
          <w:bCs/>
          <w:color w:val="auto"/>
          <w:sz w:val="32"/>
          <w:szCs w:val="32"/>
          <w:highlight w:val="none"/>
        </w:rPr>
      </w:pPr>
    </w:p>
    <w:p w14:paraId="519D40C7">
      <w:pPr>
        <w:snapToGrid w:val="0"/>
        <w:jc w:val="center"/>
        <w:rPr>
          <w:rFonts w:hint="eastAsia" w:ascii="宋体" w:hAnsi="宋体"/>
          <w:bCs/>
          <w:color w:val="auto"/>
          <w:sz w:val="32"/>
          <w:szCs w:val="32"/>
          <w:highlight w:val="none"/>
        </w:rPr>
      </w:pPr>
    </w:p>
    <w:p w14:paraId="40967D06">
      <w:pPr>
        <w:snapToGrid w:val="0"/>
        <w:jc w:val="center"/>
        <w:rPr>
          <w:rFonts w:hint="eastAsia" w:ascii="宋体" w:hAnsi="宋体"/>
          <w:bCs/>
          <w:color w:val="auto"/>
          <w:sz w:val="32"/>
          <w:szCs w:val="32"/>
          <w:highlight w:val="none"/>
        </w:rPr>
      </w:pPr>
    </w:p>
    <w:p w14:paraId="5252B00A">
      <w:pPr>
        <w:snapToGrid w:val="0"/>
        <w:jc w:val="center"/>
        <w:rPr>
          <w:rFonts w:hint="eastAsia" w:ascii="宋体" w:hAnsi="宋体"/>
          <w:bCs/>
          <w:color w:val="auto"/>
          <w:sz w:val="32"/>
          <w:szCs w:val="32"/>
          <w:highlight w:val="none"/>
        </w:rPr>
      </w:pPr>
    </w:p>
    <w:p w14:paraId="05FDA0C1">
      <w:pPr>
        <w:snapToGrid w:val="0"/>
        <w:jc w:val="center"/>
        <w:rPr>
          <w:rFonts w:hint="eastAsia" w:ascii="宋体" w:hAnsi="宋体"/>
          <w:bCs/>
          <w:color w:val="auto"/>
          <w:sz w:val="32"/>
          <w:szCs w:val="32"/>
          <w:highlight w:val="none"/>
        </w:rPr>
      </w:pPr>
    </w:p>
    <w:p w14:paraId="6F891283">
      <w:pPr>
        <w:jc w:val="center"/>
        <w:outlineLvl w:val="9"/>
        <w:rPr>
          <w:color w:val="auto"/>
          <w:highlight w:val="none"/>
        </w:rPr>
      </w:pPr>
    </w:p>
    <w:p w14:paraId="6240F454">
      <w:pPr>
        <w:jc w:val="center"/>
        <w:outlineLvl w:val="9"/>
        <w:rPr>
          <w:color w:val="auto"/>
          <w:highlight w:val="none"/>
        </w:rPr>
      </w:pPr>
    </w:p>
    <w:p w14:paraId="70EA2489">
      <w:pPr>
        <w:jc w:val="center"/>
        <w:outlineLvl w:val="9"/>
        <w:rPr>
          <w:color w:val="auto"/>
          <w:highlight w:val="none"/>
        </w:rPr>
      </w:pPr>
    </w:p>
    <w:p w14:paraId="61889CCB">
      <w:pPr>
        <w:pStyle w:val="3"/>
        <w:jc w:val="center"/>
        <w:rPr>
          <w:color w:val="auto"/>
          <w:highlight w:val="none"/>
        </w:rPr>
      </w:pPr>
      <w:r>
        <w:rPr>
          <w:rFonts w:hint="eastAsia"/>
          <w:color w:val="auto"/>
          <w:highlight w:val="none"/>
        </w:rPr>
        <w:t>第六章</w:t>
      </w:r>
      <w:r>
        <w:rPr>
          <w:rFonts w:hint="eastAsia"/>
          <w:color w:val="auto"/>
          <w:highlight w:val="none"/>
          <w:lang w:val="en-US" w:eastAsia="zh-CN"/>
        </w:rPr>
        <w:t xml:space="preserve">  </w:t>
      </w:r>
      <w:r>
        <w:rPr>
          <w:rFonts w:hint="eastAsia"/>
          <w:color w:val="auto"/>
          <w:highlight w:val="none"/>
        </w:rPr>
        <w:t>投标文件格式</w:t>
      </w:r>
      <w:bookmarkEnd w:id="153"/>
    </w:p>
    <w:p w14:paraId="50F40FDB">
      <w:pPr>
        <w:snapToGrid w:val="0"/>
        <w:spacing w:before="50" w:after="50"/>
        <w:outlineLvl w:val="9"/>
        <w:rPr>
          <w:rFonts w:hint="eastAsia" w:ascii="宋体" w:hAnsi="宋体"/>
          <w:color w:val="auto"/>
          <w:sz w:val="32"/>
          <w:szCs w:val="20"/>
          <w:highlight w:val="none"/>
        </w:rPr>
      </w:pPr>
    </w:p>
    <w:p w14:paraId="3E1124EB">
      <w:pPr>
        <w:snapToGrid w:val="0"/>
        <w:spacing w:before="50" w:after="50"/>
        <w:outlineLvl w:val="9"/>
        <w:rPr>
          <w:rFonts w:hint="eastAsia" w:ascii="宋体" w:hAnsi="宋体"/>
          <w:color w:val="auto"/>
          <w:sz w:val="32"/>
          <w:szCs w:val="20"/>
          <w:highlight w:val="none"/>
        </w:rPr>
      </w:pPr>
    </w:p>
    <w:p w14:paraId="32C2157A">
      <w:pPr>
        <w:snapToGrid w:val="0"/>
        <w:spacing w:before="50" w:after="50"/>
        <w:outlineLvl w:val="9"/>
        <w:rPr>
          <w:rFonts w:hint="eastAsia" w:ascii="宋体" w:hAnsi="宋体"/>
          <w:color w:val="auto"/>
          <w:sz w:val="32"/>
          <w:szCs w:val="20"/>
          <w:highlight w:val="none"/>
        </w:rPr>
      </w:pPr>
    </w:p>
    <w:p w14:paraId="5ABEB572">
      <w:pPr>
        <w:snapToGrid w:val="0"/>
        <w:spacing w:before="50" w:after="50"/>
        <w:outlineLvl w:val="9"/>
        <w:rPr>
          <w:rFonts w:hint="eastAsia" w:ascii="宋体" w:hAnsi="宋体"/>
          <w:color w:val="auto"/>
          <w:sz w:val="32"/>
          <w:szCs w:val="20"/>
          <w:highlight w:val="none"/>
        </w:rPr>
      </w:pPr>
    </w:p>
    <w:p w14:paraId="6143C53B">
      <w:pPr>
        <w:snapToGrid w:val="0"/>
        <w:spacing w:before="50" w:after="50"/>
        <w:outlineLvl w:val="9"/>
        <w:rPr>
          <w:rFonts w:hint="eastAsia" w:ascii="宋体" w:hAnsi="宋体"/>
          <w:color w:val="auto"/>
          <w:sz w:val="32"/>
          <w:szCs w:val="20"/>
          <w:highlight w:val="none"/>
        </w:rPr>
      </w:pPr>
    </w:p>
    <w:p w14:paraId="7FF25B12">
      <w:pPr>
        <w:snapToGrid w:val="0"/>
        <w:spacing w:before="50" w:after="50"/>
        <w:outlineLvl w:val="9"/>
        <w:rPr>
          <w:rFonts w:hint="eastAsia" w:ascii="宋体" w:hAnsi="宋体"/>
          <w:color w:val="auto"/>
          <w:sz w:val="32"/>
          <w:szCs w:val="20"/>
          <w:highlight w:val="none"/>
        </w:rPr>
      </w:pPr>
    </w:p>
    <w:p w14:paraId="0F9CBE4C">
      <w:pPr>
        <w:snapToGrid w:val="0"/>
        <w:spacing w:before="50" w:after="50"/>
        <w:outlineLvl w:val="9"/>
        <w:rPr>
          <w:rFonts w:hint="eastAsia" w:ascii="宋体" w:hAnsi="宋体"/>
          <w:color w:val="auto"/>
          <w:sz w:val="32"/>
          <w:szCs w:val="20"/>
          <w:highlight w:val="none"/>
        </w:rPr>
      </w:pPr>
    </w:p>
    <w:p w14:paraId="0B3D2DB9">
      <w:pPr>
        <w:snapToGrid w:val="0"/>
        <w:spacing w:before="50" w:after="50"/>
        <w:outlineLvl w:val="9"/>
        <w:rPr>
          <w:rFonts w:hint="eastAsia" w:ascii="宋体" w:hAnsi="宋体"/>
          <w:color w:val="auto"/>
          <w:sz w:val="32"/>
          <w:szCs w:val="20"/>
          <w:highlight w:val="none"/>
        </w:rPr>
      </w:pPr>
    </w:p>
    <w:p w14:paraId="450FC9F4">
      <w:pPr>
        <w:snapToGrid w:val="0"/>
        <w:spacing w:before="50" w:after="50"/>
        <w:outlineLvl w:val="9"/>
        <w:rPr>
          <w:rFonts w:hint="eastAsia" w:ascii="宋体" w:hAnsi="宋体"/>
          <w:color w:val="auto"/>
          <w:sz w:val="32"/>
          <w:szCs w:val="20"/>
          <w:highlight w:val="none"/>
        </w:rPr>
      </w:pPr>
    </w:p>
    <w:p w14:paraId="09C374E1">
      <w:pPr>
        <w:snapToGrid w:val="0"/>
        <w:spacing w:before="50" w:after="50"/>
        <w:outlineLvl w:val="9"/>
        <w:rPr>
          <w:rFonts w:hint="eastAsia" w:ascii="宋体" w:hAnsi="宋体"/>
          <w:color w:val="auto"/>
          <w:sz w:val="32"/>
          <w:szCs w:val="20"/>
          <w:highlight w:val="none"/>
        </w:rPr>
      </w:pPr>
    </w:p>
    <w:p w14:paraId="2A678A0C">
      <w:pPr>
        <w:snapToGrid w:val="0"/>
        <w:spacing w:before="50" w:after="50"/>
        <w:outlineLvl w:val="9"/>
        <w:rPr>
          <w:rFonts w:hint="eastAsia" w:ascii="宋体" w:hAnsi="宋体"/>
          <w:color w:val="auto"/>
          <w:sz w:val="32"/>
          <w:szCs w:val="20"/>
          <w:highlight w:val="none"/>
        </w:rPr>
      </w:pPr>
    </w:p>
    <w:p w14:paraId="6127AB93">
      <w:pPr>
        <w:outlineLvl w:val="1"/>
        <w:rPr>
          <w:b/>
          <w:color w:val="auto"/>
          <w:sz w:val="28"/>
          <w:szCs w:val="28"/>
          <w:highlight w:val="none"/>
        </w:rPr>
      </w:pPr>
      <w:r>
        <w:rPr>
          <w:color w:val="auto"/>
          <w:sz w:val="32"/>
          <w:szCs w:val="20"/>
          <w:highlight w:val="none"/>
        </w:rPr>
        <w:br w:type="page"/>
      </w:r>
      <w:bookmarkStart w:id="154" w:name="_Toc19686836"/>
      <w:bookmarkStart w:id="155" w:name="_Toc254970698"/>
      <w:bookmarkStart w:id="156" w:name="_Toc254970557"/>
      <w:r>
        <w:rPr>
          <w:rFonts w:hint="eastAsia"/>
          <w:b/>
          <w:color w:val="auto"/>
          <w:sz w:val="28"/>
          <w:szCs w:val="28"/>
          <w:highlight w:val="none"/>
        </w:rPr>
        <w:t>一、报价文件格式</w:t>
      </w:r>
      <w:bookmarkEnd w:id="154"/>
    </w:p>
    <w:p w14:paraId="49EE0F9A">
      <w:pPr>
        <w:snapToGrid w:val="0"/>
        <w:spacing w:before="120" w:beforeLines="50" w:after="50" w:line="360" w:lineRule="auto"/>
        <w:ind w:left="142"/>
        <w:jc w:val="left"/>
        <w:outlineLvl w:val="2"/>
        <w:rPr>
          <w:rFonts w:hint="eastAsia" w:ascii="宋体" w:hAnsi="宋体"/>
          <w:color w:val="auto"/>
          <w:sz w:val="24"/>
          <w:szCs w:val="20"/>
          <w:highlight w:val="none"/>
        </w:rPr>
      </w:pPr>
      <w:r>
        <w:rPr>
          <w:rFonts w:hint="eastAsia" w:ascii="宋体" w:hAnsi="宋体"/>
          <w:b/>
          <w:color w:val="auto"/>
          <w:sz w:val="24"/>
          <w:highlight w:val="none"/>
        </w:rPr>
        <w:t xml:space="preserve">1. 报价文件封面格式： </w:t>
      </w:r>
    </w:p>
    <w:p w14:paraId="4CD961AF">
      <w:pPr>
        <w:snapToGrid w:val="0"/>
        <w:spacing w:before="120" w:beforeLines="50" w:after="50" w:line="360" w:lineRule="auto"/>
        <w:ind w:left="142"/>
        <w:jc w:val="center"/>
        <w:rPr>
          <w:rFonts w:hint="eastAsia" w:ascii="宋体" w:hAnsi="宋体" w:eastAsia="方正小标宋简体"/>
          <w:bCs/>
          <w:color w:val="auto"/>
          <w:sz w:val="48"/>
          <w:szCs w:val="48"/>
          <w:highlight w:val="none"/>
        </w:rPr>
      </w:pPr>
      <w:r>
        <w:rPr>
          <w:rFonts w:hint="eastAsia" w:ascii="宋体" w:hAnsi="宋体" w:eastAsia="方正小标宋简体"/>
          <w:bCs/>
          <w:color w:val="auto"/>
          <w:sz w:val="48"/>
          <w:szCs w:val="48"/>
          <w:highlight w:val="none"/>
        </w:rPr>
        <w:t>电子投标文件</w:t>
      </w:r>
    </w:p>
    <w:p w14:paraId="4A854F24">
      <w:pPr>
        <w:snapToGrid w:val="0"/>
        <w:spacing w:before="120" w:beforeLines="50" w:after="50" w:line="400" w:lineRule="exact"/>
        <w:rPr>
          <w:rFonts w:hint="eastAsia" w:ascii="宋体" w:hAnsi="宋体"/>
          <w:bCs/>
          <w:color w:val="auto"/>
          <w:sz w:val="32"/>
          <w:szCs w:val="20"/>
          <w:highlight w:val="none"/>
        </w:rPr>
      </w:pPr>
      <w:r>
        <w:rPr>
          <w:rFonts w:hint="eastAsia" w:ascii="宋体" w:hAnsi="宋体"/>
          <w:color w:val="auto"/>
          <w:sz w:val="24"/>
          <w:highlight w:val="none"/>
        </w:rPr>
        <w:t xml:space="preserve">                 </w:t>
      </w:r>
    </w:p>
    <w:p w14:paraId="7739E660">
      <w:pPr>
        <w:snapToGrid w:val="0"/>
        <w:spacing w:before="120" w:beforeLines="50" w:after="50" w:line="400" w:lineRule="exact"/>
        <w:jc w:val="center"/>
        <w:rPr>
          <w:rFonts w:hint="eastAsia" w:ascii="宋体" w:hAnsi="宋体"/>
          <w:bCs/>
          <w:color w:val="auto"/>
          <w:sz w:val="24"/>
          <w:szCs w:val="20"/>
          <w:highlight w:val="none"/>
        </w:rPr>
      </w:pPr>
    </w:p>
    <w:p w14:paraId="0347E9F7">
      <w:pPr>
        <w:snapToGrid w:val="0"/>
        <w:spacing w:before="120" w:beforeLines="50" w:after="50" w:line="400" w:lineRule="exact"/>
        <w:jc w:val="center"/>
        <w:rPr>
          <w:rFonts w:hint="eastAsia" w:ascii="宋体" w:hAnsi="宋体"/>
          <w:b/>
          <w:bCs/>
          <w:color w:val="auto"/>
          <w:sz w:val="32"/>
          <w:szCs w:val="32"/>
          <w:highlight w:val="none"/>
        </w:rPr>
      </w:pPr>
      <w:r>
        <w:rPr>
          <w:rFonts w:hint="eastAsia" w:ascii="宋体" w:hAnsi="宋体"/>
          <w:b/>
          <w:bCs/>
          <w:color w:val="auto"/>
          <w:sz w:val="32"/>
          <w:szCs w:val="32"/>
          <w:highlight w:val="none"/>
        </w:rPr>
        <w:t>报价文件</w:t>
      </w:r>
    </w:p>
    <w:p w14:paraId="78E74A38">
      <w:pPr>
        <w:snapToGrid w:val="0"/>
        <w:spacing w:before="120" w:beforeLines="50" w:after="50" w:line="400" w:lineRule="exact"/>
        <w:rPr>
          <w:rFonts w:hint="eastAsia" w:ascii="宋体" w:hAnsi="宋体"/>
          <w:bCs/>
          <w:color w:val="auto"/>
          <w:sz w:val="24"/>
          <w:szCs w:val="20"/>
          <w:highlight w:val="none"/>
        </w:rPr>
      </w:pPr>
    </w:p>
    <w:p w14:paraId="5C174DF7">
      <w:pPr>
        <w:snapToGrid w:val="0"/>
        <w:spacing w:before="120" w:beforeLines="50" w:after="50" w:line="400" w:lineRule="exact"/>
        <w:rPr>
          <w:rFonts w:hint="eastAsia" w:ascii="宋体" w:hAnsi="宋体"/>
          <w:bCs/>
          <w:color w:val="auto"/>
          <w:sz w:val="24"/>
          <w:szCs w:val="20"/>
          <w:highlight w:val="none"/>
        </w:rPr>
      </w:pPr>
    </w:p>
    <w:p w14:paraId="0516E4CF">
      <w:pPr>
        <w:snapToGrid w:val="0"/>
        <w:spacing w:before="120" w:beforeLines="50" w:after="50" w:line="400" w:lineRule="exact"/>
        <w:rPr>
          <w:rFonts w:hint="eastAsia" w:ascii="宋体" w:hAnsi="宋体"/>
          <w:bCs/>
          <w:color w:val="auto"/>
          <w:sz w:val="24"/>
          <w:szCs w:val="20"/>
          <w:highlight w:val="none"/>
        </w:rPr>
      </w:pPr>
    </w:p>
    <w:p w14:paraId="5A549823">
      <w:pPr>
        <w:snapToGrid w:val="0"/>
        <w:spacing w:before="120" w:beforeLines="50" w:after="50" w:line="400" w:lineRule="exact"/>
        <w:rPr>
          <w:rFonts w:hint="eastAsia" w:ascii="宋体" w:hAnsi="宋体"/>
          <w:bCs/>
          <w:color w:val="auto"/>
          <w:sz w:val="24"/>
          <w:szCs w:val="20"/>
          <w:highlight w:val="none"/>
        </w:rPr>
      </w:pPr>
    </w:p>
    <w:p w14:paraId="7A5D66BB">
      <w:pPr>
        <w:snapToGrid w:val="0"/>
        <w:spacing w:before="120"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 xml:space="preserve">项目名称： </w:t>
      </w:r>
    </w:p>
    <w:p w14:paraId="6C3B02FA">
      <w:pPr>
        <w:snapToGrid w:val="0"/>
        <w:spacing w:before="120" w:beforeLines="50" w:after="50" w:line="400" w:lineRule="exact"/>
        <w:ind w:firstLine="360" w:firstLineChars="150"/>
        <w:rPr>
          <w:rFonts w:hint="eastAsia" w:ascii="宋体" w:hAnsi="宋体"/>
          <w:bCs/>
          <w:color w:val="auto"/>
          <w:sz w:val="24"/>
          <w:highlight w:val="none"/>
        </w:rPr>
      </w:pPr>
    </w:p>
    <w:p w14:paraId="2EEE1227">
      <w:pPr>
        <w:snapToGrid w:val="0"/>
        <w:spacing w:before="120"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 xml:space="preserve">项目编号： </w:t>
      </w:r>
    </w:p>
    <w:p w14:paraId="7E3B3A35">
      <w:pPr>
        <w:snapToGrid w:val="0"/>
        <w:spacing w:before="120" w:beforeLines="50" w:after="50" w:line="400" w:lineRule="exact"/>
        <w:ind w:firstLine="360" w:firstLineChars="150"/>
        <w:rPr>
          <w:rFonts w:hint="eastAsia" w:ascii="宋体" w:hAnsi="宋体"/>
          <w:bCs/>
          <w:color w:val="auto"/>
          <w:sz w:val="24"/>
          <w:highlight w:val="none"/>
        </w:rPr>
      </w:pPr>
    </w:p>
    <w:p w14:paraId="4134ED81">
      <w:pPr>
        <w:snapToGrid w:val="0"/>
        <w:spacing w:before="120"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所投分标：</w:t>
      </w:r>
    </w:p>
    <w:p w14:paraId="26883738">
      <w:pPr>
        <w:snapToGrid w:val="0"/>
        <w:spacing w:before="120" w:beforeLines="50" w:after="50" w:line="400" w:lineRule="exact"/>
        <w:ind w:firstLine="360" w:firstLineChars="150"/>
        <w:rPr>
          <w:rFonts w:hint="eastAsia" w:ascii="宋体" w:hAnsi="宋体"/>
          <w:bCs/>
          <w:color w:val="auto"/>
          <w:sz w:val="24"/>
          <w:highlight w:val="none"/>
        </w:rPr>
      </w:pPr>
    </w:p>
    <w:p w14:paraId="52BB3283">
      <w:pPr>
        <w:snapToGrid w:val="0"/>
        <w:spacing w:before="120"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投标人名称：</w:t>
      </w:r>
    </w:p>
    <w:p w14:paraId="728DBD41">
      <w:pPr>
        <w:snapToGrid w:val="0"/>
        <w:spacing w:before="120" w:beforeLines="50" w:after="50" w:line="400" w:lineRule="exact"/>
        <w:ind w:firstLine="360" w:firstLineChars="150"/>
        <w:rPr>
          <w:rFonts w:hint="eastAsia" w:ascii="宋体" w:hAnsi="宋体"/>
          <w:bCs/>
          <w:color w:val="auto"/>
          <w:sz w:val="24"/>
          <w:highlight w:val="none"/>
        </w:rPr>
      </w:pPr>
    </w:p>
    <w:p w14:paraId="42A25582">
      <w:pPr>
        <w:snapToGrid w:val="0"/>
        <w:spacing w:before="120"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投标人地址：</w:t>
      </w:r>
    </w:p>
    <w:p w14:paraId="68B72F78">
      <w:pPr>
        <w:pStyle w:val="8"/>
        <w:snapToGrid w:val="0"/>
        <w:spacing w:before="50" w:after="50" w:line="400" w:lineRule="exact"/>
        <w:ind w:firstLine="960" w:firstLineChars="400"/>
        <w:rPr>
          <w:rFonts w:hint="eastAsia" w:ascii="宋体" w:hAnsi="宋体"/>
          <w:bCs/>
          <w:color w:val="auto"/>
          <w:sz w:val="24"/>
          <w:szCs w:val="24"/>
          <w:highlight w:val="none"/>
        </w:rPr>
      </w:pPr>
    </w:p>
    <w:p w14:paraId="56A5073A">
      <w:pPr>
        <w:snapToGrid w:val="0"/>
        <w:spacing w:before="120" w:beforeLines="50" w:after="50" w:line="400" w:lineRule="exact"/>
        <w:rPr>
          <w:rFonts w:hint="eastAsia" w:ascii="宋体" w:hAnsi="宋体"/>
          <w:color w:val="auto"/>
          <w:sz w:val="30"/>
          <w:szCs w:val="20"/>
          <w:highlight w:val="none"/>
        </w:rPr>
      </w:pPr>
      <w:r>
        <w:rPr>
          <w:rFonts w:hint="eastAsia" w:ascii="宋体" w:hAnsi="宋体"/>
          <w:color w:val="auto"/>
          <w:sz w:val="24"/>
          <w:highlight w:val="none"/>
        </w:rPr>
        <w:t xml:space="preserve">                                   年  月  日</w:t>
      </w:r>
    </w:p>
    <w:p w14:paraId="141326D9">
      <w:pPr>
        <w:snapToGrid w:val="0"/>
        <w:spacing w:before="120" w:beforeLines="50" w:after="50" w:line="360" w:lineRule="auto"/>
        <w:jc w:val="left"/>
        <w:outlineLvl w:val="2"/>
        <w:rPr>
          <w:rFonts w:hint="eastAsia" w:ascii="宋体" w:hAnsi="宋体"/>
          <w:color w:val="auto"/>
          <w:sz w:val="24"/>
          <w:szCs w:val="20"/>
          <w:highlight w:val="none"/>
        </w:rPr>
      </w:pPr>
      <w:r>
        <w:rPr>
          <w:rFonts w:ascii="宋体" w:hAnsi="宋体"/>
          <w:b/>
          <w:color w:val="auto"/>
          <w:sz w:val="24"/>
          <w:highlight w:val="none"/>
        </w:rPr>
        <w:br w:type="page"/>
      </w:r>
      <w:r>
        <w:rPr>
          <w:rFonts w:hint="eastAsia" w:ascii="宋体" w:hAnsi="宋体"/>
          <w:b/>
          <w:color w:val="auto"/>
          <w:sz w:val="24"/>
          <w:highlight w:val="none"/>
        </w:rPr>
        <w:t>2.</w:t>
      </w:r>
      <w:r>
        <w:rPr>
          <w:rFonts w:hint="eastAsia" w:ascii="宋体" w:hAnsi="宋体"/>
          <w:b/>
          <w:bCs/>
          <w:color w:val="auto"/>
          <w:sz w:val="24"/>
          <w:highlight w:val="none"/>
        </w:rPr>
        <w:t>报价文件目录</w:t>
      </w:r>
    </w:p>
    <w:p w14:paraId="3DC60017">
      <w:pPr>
        <w:snapToGrid w:val="0"/>
        <w:spacing w:before="50" w:after="120" w:afterLines="50" w:line="360" w:lineRule="auto"/>
        <w:jc w:val="left"/>
        <w:rPr>
          <w:rFonts w:hint="eastAsia" w:ascii="宋体" w:hAnsi="宋体"/>
          <w:b/>
          <w:color w:val="auto"/>
          <w:sz w:val="24"/>
          <w:highlight w:val="none"/>
        </w:rPr>
      </w:pPr>
      <w:r>
        <w:rPr>
          <w:rFonts w:hint="eastAsia" w:ascii="宋体" w:hAnsi="宋体"/>
          <w:color w:val="auto"/>
          <w:szCs w:val="21"/>
          <w:highlight w:val="none"/>
        </w:rPr>
        <w:t>根据招标文件规定及投标人提供的材料自行编写目录。</w:t>
      </w:r>
    </w:p>
    <w:p w14:paraId="6FFE411A">
      <w:pPr>
        <w:snapToGrid w:val="0"/>
        <w:spacing w:before="120" w:beforeLines="50" w:after="50"/>
        <w:rPr>
          <w:rFonts w:hint="eastAsia" w:ascii="宋体" w:hAnsi="宋体"/>
          <w:b/>
          <w:color w:val="auto"/>
          <w:sz w:val="24"/>
          <w:highlight w:val="none"/>
        </w:rPr>
      </w:pPr>
    </w:p>
    <w:p w14:paraId="08147EFB">
      <w:pPr>
        <w:snapToGrid w:val="0"/>
        <w:spacing w:before="120" w:beforeLines="50" w:after="50"/>
        <w:rPr>
          <w:rFonts w:hint="eastAsia" w:ascii="宋体" w:hAnsi="宋体"/>
          <w:b/>
          <w:color w:val="auto"/>
          <w:sz w:val="24"/>
          <w:highlight w:val="none"/>
        </w:rPr>
      </w:pPr>
    </w:p>
    <w:p w14:paraId="15581277">
      <w:pPr>
        <w:snapToGrid w:val="0"/>
        <w:spacing w:before="120" w:beforeLines="50" w:after="50"/>
        <w:rPr>
          <w:rFonts w:hint="eastAsia" w:ascii="宋体" w:hAnsi="宋体"/>
          <w:b/>
          <w:color w:val="auto"/>
          <w:sz w:val="24"/>
          <w:highlight w:val="none"/>
        </w:rPr>
      </w:pPr>
    </w:p>
    <w:p w14:paraId="6EC92A4E">
      <w:pPr>
        <w:snapToGrid w:val="0"/>
        <w:spacing w:before="120" w:beforeLines="50" w:after="50"/>
        <w:ind w:left="142"/>
        <w:jc w:val="left"/>
        <w:outlineLvl w:val="2"/>
        <w:rPr>
          <w:rFonts w:hint="eastAsia"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3. 投标函格式：</w:t>
      </w:r>
    </w:p>
    <w:p w14:paraId="3668F2B0">
      <w:pPr>
        <w:snapToGrid w:val="0"/>
        <w:spacing w:before="120" w:beforeLines="50" w:after="50" w:line="32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投 标 函</w:t>
      </w:r>
    </w:p>
    <w:p w14:paraId="7333299E">
      <w:pPr>
        <w:snapToGrid w:val="0"/>
        <w:spacing w:before="120" w:beforeLines="50" w:after="50" w:line="320" w:lineRule="exact"/>
        <w:jc w:val="center"/>
        <w:rPr>
          <w:rFonts w:hint="eastAsia" w:ascii="宋体" w:hAnsi="宋体"/>
          <w:b/>
          <w:color w:val="auto"/>
          <w:sz w:val="24"/>
          <w:szCs w:val="20"/>
          <w:highlight w:val="none"/>
        </w:rPr>
      </w:pPr>
    </w:p>
    <w:p w14:paraId="0CD090E1">
      <w:pPr>
        <w:snapToGrid w:val="0"/>
        <w:spacing w:before="120" w:beforeLines="50" w:after="50" w:line="320" w:lineRule="exact"/>
        <w:jc w:val="center"/>
        <w:rPr>
          <w:rFonts w:hint="eastAsia" w:ascii="宋体" w:hAnsi="宋体"/>
          <w:b/>
          <w:color w:val="auto"/>
          <w:sz w:val="24"/>
          <w:szCs w:val="20"/>
          <w:highlight w:val="none"/>
        </w:rPr>
      </w:pPr>
    </w:p>
    <w:p w14:paraId="3852D298">
      <w:pPr>
        <w:snapToGrid w:val="0"/>
        <w:spacing w:before="120" w:beforeLines="50" w:after="50" w:line="320" w:lineRule="exact"/>
        <w:jc w:val="center"/>
        <w:rPr>
          <w:rFonts w:hint="eastAsia" w:ascii="宋体" w:hAnsi="宋体"/>
          <w:b/>
          <w:color w:val="auto"/>
          <w:sz w:val="24"/>
          <w:szCs w:val="20"/>
          <w:highlight w:val="none"/>
        </w:rPr>
      </w:pPr>
    </w:p>
    <w:p w14:paraId="5C65D64D">
      <w:pPr>
        <w:snapToGrid w:val="0"/>
        <w:spacing w:line="360" w:lineRule="auto"/>
        <w:rPr>
          <w:rFonts w:hint="eastAsia" w:ascii="宋体" w:hAnsi="宋体"/>
          <w:color w:val="auto"/>
          <w:sz w:val="24"/>
          <w:highlight w:val="none"/>
        </w:rPr>
      </w:pPr>
      <w:r>
        <w:rPr>
          <w:rFonts w:hint="eastAsia" w:ascii="宋体" w:hAnsi="宋体"/>
          <w:color w:val="auto"/>
          <w:sz w:val="24"/>
          <w:highlight w:val="none"/>
        </w:rPr>
        <w:t>致：</w:t>
      </w:r>
      <w:r>
        <w:rPr>
          <w:rFonts w:hint="eastAsia" w:ascii="宋体" w:hAnsi="宋体"/>
          <w:color w:val="auto"/>
          <w:sz w:val="24"/>
          <w:highlight w:val="none"/>
          <w:u w:val="single"/>
        </w:rPr>
        <w:t>采购人名称</w:t>
      </w:r>
      <w:r>
        <w:rPr>
          <w:rFonts w:hint="eastAsia" w:ascii="宋体" w:hAnsi="宋体"/>
          <w:color w:val="auto"/>
          <w:sz w:val="24"/>
          <w:highlight w:val="none"/>
        </w:rPr>
        <w:t>：</w:t>
      </w:r>
    </w:p>
    <w:p w14:paraId="49DB33F2">
      <w:pPr>
        <w:snapToGrid w:val="0"/>
        <w:spacing w:line="360" w:lineRule="auto"/>
        <w:ind w:firstLine="480"/>
        <w:rPr>
          <w:rFonts w:hint="eastAsia" w:ascii="宋体" w:hAnsi="宋体"/>
          <w:color w:val="auto"/>
          <w:sz w:val="24"/>
          <w:highlight w:val="none"/>
        </w:rPr>
      </w:pPr>
      <w:r>
        <w:rPr>
          <w:rFonts w:hint="eastAsia" w:ascii="宋体" w:hAnsi="宋体"/>
          <w:color w:val="auto"/>
          <w:sz w:val="24"/>
          <w:highlight w:val="none"/>
        </w:rPr>
        <w:t>根据贵方</w:t>
      </w:r>
      <w:r>
        <w:rPr>
          <w:rFonts w:hint="eastAsia" w:ascii="宋体" w:hAnsi="宋体"/>
          <w:color w:val="auto"/>
          <w:sz w:val="24"/>
          <w:highlight w:val="none"/>
          <w:u w:val="single"/>
        </w:rPr>
        <w:t xml:space="preserve"> 项目名称</w:t>
      </w:r>
      <w:r>
        <w:rPr>
          <w:rFonts w:hint="eastAsia" w:ascii="宋体" w:hAnsi="宋体"/>
          <w:color w:val="auto"/>
          <w:sz w:val="24"/>
          <w:highlight w:val="none"/>
        </w:rPr>
        <w:t>（项目编号：</w:t>
      </w:r>
      <w:r>
        <w:rPr>
          <w:rFonts w:hint="eastAsia" w:ascii="宋体" w:hAnsi="宋体"/>
          <w:color w:val="auto"/>
          <w:sz w:val="24"/>
          <w:highlight w:val="none"/>
          <w:u w:val="single"/>
        </w:rPr>
        <w:t xml:space="preserve">             </w:t>
      </w:r>
      <w:r>
        <w:rPr>
          <w:rFonts w:hint="eastAsia" w:ascii="宋体" w:hAnsi="宋体"/>
          <w:color w:val="auto"/>
          <w:sz w:val="24"/>
          <w:highlight w:val="none"/>
        </w:rPr>
        <w:t>）的招标文件，签字代表______</w:t>
      </w:r>
      <w:r>
        <w:rPr>
          <w:rFonts w:hint="eastAsia" w:ascii="宋体" w:hAnsi="宋体"/>
          <w:color w:val="auto"/>
          <w:sz w:val="24"/>
          <w:highlight w:val="none"/>
          <w:u w:val="single"/>
        </w:rPr>
        <w:t xml:space="preserve">     </w:t>
      </w:r>
      <w:r>
        <w:rPr>
          <w:rFonts w:hint="eastAsia" w:ascii="宋体" w:hAnsi="宋体"/>
          <w:color w:val="auto"/>
          <w:sz w:val="24"/>
          <w:highlight w:val="none"/>
        </w:rPr>
        <w:t>（姓名）经正式授权并代表投标人</w:t>
      </w:r>
      <w:r>
        <w:rPr>
          <w:rFonts w:hint="eastAsia" w:ascii="宋体" w:hAnsi="宋体"/>
          <w:color w:val="auto"/>
          <w:sz w:val="24"/>
          <w:highlight w:val="none"/>
          <w:u w:val="single"/>
        </w:rPr>
        <w:t xml:space="preserve">              </w:t>
      </w:r>
      <w:r>
        <w:rPr>
          <w:rFonts w:hint="eastAsia" w:ascii="宋体" w:hAnsi="宋体"/>
          <w:color w:val="auto"/>
          <w:sz w:val="24"/>
          <w:highlight w:val="none"/>
        </w:rPr>
        <w:t>（投标人名称）提交投标文件。</w:t>
      </w:r>
    </w:p>
    <w:p w14:paraId="79649AEF">
      <w:pPr>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据此函，我方宣布同意如下：</w:t>
      </w:r>
    </w:p>
    <w:p w14:paraId="2398C2BB">
      <w:pPr>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1.我方已详细审查全部“招标文件”，包括修改文件（如有的话）以及全部参考资料和有关附件，已经了解我方对于招标文件、采购过程、采购结果有依法进行询问、质疑、投诉的权利及相关渠道和要求。</w:t>
      </w:r>
    </w:p>
    <w:p w14:paraId="367335CF">
      <w:pPr>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2.我方在投标之前已经完全理解并接受招标文件的各项规定和要求，对招标文件的合理性、合法性不再有异议。</w:t>
      </w:r>
    </w:p>
    <w:p w14:paraId="7CE410AD">
      <w:pPr>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3.本投标有效期自投标截止之日起</w:t>
      </w:r>
      <w:r>
        <w:rPr>
          <w:rFonts w:hint="eastAsia" w:ascii="宋体" w:hAnsi="宋体"/>
          <w:color w:val="auto"/>
          <w:sz w:val="24"/>
          <w:highlight w:val="none"/>
          <w:u w:val="single"/>
          <w:lang w:val="en-US" w:eastAsia="zh-CN"/>
        </w:rPr>
        <w:t>90</w:t>
      </w:r>
      <w:r>
        <w:rPr>
          <w:rFonts w:hint="eastAsia" w:ascii="宋体" w:hAnsi="宋体"/>
          <w:color w:val="auto"/>
          <w:sz w:val="24"/>
          <w:highlight w:val="none"/>
        </w:rPr>
        <w:t>日。</w:t>
      </w:r>
    </w:p>
    <w:p w14:paraId="5460ABD1">
      <w:pPr>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4.如中标，本投标文件至本项目合同履行完毕止均保持有效，我方将按“招标文件”及政府采购法律、法规的规定履行合同责任和义务。</w:t>
      </w:r>
    </w:p>
    <w:p w14:paraId="1BAC4B38">
      <w:pPr>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5.我方同意按照贵方要求提供与投标有关的一切数据或者资料。</w:t>
      </w:r>
    </w:p>
    <w:p w14:paraId="3BCE5219">
      <w:pPr>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6.我方向贵方提交的所有投标文件、资料都是准确的和真实的。</w:t>
      </w:r>
    </w:p>
    <w:p w14:paraId="7530701B">
      <w:pPr>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7.以上事项如有虚假或者隐瞒，我方愿意承担一切后果，并不再寻求任何旨在减轻或者免除法律责任的辩解。</w:t>
      </w:r>
    </w:p>
    <w:p w14:paraId="5E49B2A5">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8.根据</w:t>
      </w:r>
      <w:r>
        <w:rPr>
          <w:rFonts w:ascii="宋体" w:hAnsi="宋体"/>
          <w:color w:val="auto"/>
          <w:sz w:val="24"/>
          <w:highlight w:val="none"/>
        </w:rPr>
        <w:t>《中华人民共和国政府采购法实施条例》第五十条要求对政府采购合同进行公告</w:t>
      </w:r>
      <w:r>
        <w:rPr>
          <w:rFonts w:hint="eastAsia" w:ascii="宋体" w:hAnsi="宋体"/>
          <w:color w:val="auto"/>
          <w:sz w:val="24"/>
          <w:highlight w:val="none"/>
        </w:rPr>
        <w:t>，</w:t>
      </w:r>
      <w:r>
        <w:rPr>
          <w:rFonts w:ascii="宋体" w:hAnsi="宋体"/>
          <w:color w:val="auto"/>
          <w:sz w:val="24"/>
          <w:highlight w:val="none"/>
        </w:rPr>
        <w:t>但政府采购合同中涉及国家秘密、商业秘密的内容除外。</w:t>
      </w:r>
      <w:r>
        <w:rPr>
          <w:rFonts w:hint="eastAsia" w:ascii="宋体" w:hAnsi="宋体"/>
          <w:color w:val="auto"/>
          <w:sz w:val="24"/>
          <w:highlight w:val="none"/>
        </w:rPr>
        <w:t>我方就对本次投标文件进行注明如下：（两项内容中必须选择一项）</w:t>
      </w:r>
    </w:p>
    <w:p w14:paraId="4C574114">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□我方本次投标文件</w:t>
      </w:r>
      <w:r>
        <w:rPr>
          <w:rFonts w:ascii="宋体" w:hAnsi="宋体" w:cs="宋体"/>
          <w:color w:val="auto"/>
          <w:kern w:val="0"/>
          <w:sz w:val="24"/>
          <w:highlight w:val="none"/>
        </w:rPr>
        <w:t>内容中</w:t>
      </w:r>
      <w:r>
        <w:rPr>
          <w:rFonts w:hint="eastAsia" w:ascii="宋体" w:hAnsi="宋体"/>
          <w:color w:val="auto"/>
          <w:sz w:val="24"/>
          <w:highlight w:val="none"/>
        </w:rPr>
        <w:t>未</w:t>
      </w:r>
      <w:r>
        <w:rPr>
          <w:rFonts w:ascii="宋体" w:hAnsi="宋体" w:cs="宋体"/>
          <w:color w:val="auto"/>
          <w:kern w:val="0"/>
          <w:sz w:val="24"/>
          <w:highlight w:val="none"/>
        </w:rPr>
        <w:t>涉及商业秘密</w:t>
      </w:r>
      <w:r>
        <w:rPr>
          <w:rFonts w:hint="eastAsia" w:ascii="宋体" w:hAnsi="宋体" w:cs="宋体"/>
          <w:color w:val="auto"/>
          <w:kern w:val="0"/>
          <w:sz w:val="24"/>
          <w:highlight w:val="none"/>
        </w:rPr>
        <w:t>；</w:t>
      </w:r>
    </w:p>
    <w:p w14:paraId="4A686DA3">
      <w:pPr>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□我方本次投标文件</w:t>
      </w:r>
      <w:r>
        <w:rPr>
          <w:rFonts w:ascii="宋体" w:hAnsi="宋体" w:cs="宋体"/>
          <w:color w:val="auto"/>
          <w:kern w:val="0"/>
          <w:sz w:val="24"/>
          <w:highlight w:val="none"/>
        </w:rPr>
        <w:t>涉及商业秘密</w:t>
      </w:r>
      <w:r>
        <w:rPr>
          <w:rFonts w:hint="eastAsia" w:ascii="宋体" w:hAnsi="宋体" w:cs="宋体"/>
          <w:color w:val="auto"/>
          <w:kern w:val="0"/>
          <w:sz w:val="24"/>
          <w:highlight w:val="none"/>
        </w:rPr>
        <w:t>的</w:t>
      </w:r>
      <w:r>
        <w:rPr>
          <w:rFonts w:ascii="宋体" w:hAnsi="宋体" w:cs="宋体"/>
          <w:color w:val="auto"/>
          <w:kern w:val="0"/>
          <w:sz w:val="24"/>
          <w:highlight w:val="none"/>
        </w:rPr>
        <w:t>内容</w:t>
      </w:r>
      <w:r>
        <w:rPr>
          <w:rFonts w:hint="eastAsia" w:ascii="宋体" w:hAnsi="宋体" w:cs="宋体"/>
          <w:color w:val="auto"/>
          <w:kern w:val="0"/>
          <w:sz w:val="24"/>
          <w:highlight w:val="none"/>
        </w:rPr>
        <w:t>有：</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2342EA19">
      <w:pPr>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9.与本项目有关的一切正式往来信函请寄：</w:t>
      </w:r>
    </w:p>
    <w:p w14:paraId="591B796D">
      <w:pPr>
        <w:snapToGrid w:val="0"/>
        <w:spacing w:line="360" w:lineRule="auto"/>
        <w:ind w:firstLine="480" w:firstLineChars="200"/>
        <w:rPr>
          <w:rFonts w:hint="eastAsia" w:ascii="宋体" w:hAnsi="宋体"/>
          <w:color w:val="auto"/>
          <w:sz w:val="24"/>
          <w:highlight w:val="none"/>
          <w:u w:val="single"/>
        </w:rPr>
      </w:pPr>
      <w:r>
        <w:rPr>
          <w:rFonts w:hint="eastAsia" w:ascii="宋体" w:hAnsi="宋体"/>
          <w:color w:val="auto"/>
          <w:sz w:val="24"/>
          <w:highlight w:val="none"/>
        </w:rPr>
        <w:t>地址：</w:t>
      </w:r>
      <w:r>
        <w:rPr>
          <w:rFonts w:hint="eastAsia" w:ascii="宋体" w:hAnsi="宋体"/>
          <w:color w:val="auto"/>
          <w:sz w:val="24"/>
          <w:highlight w:val="none"/>
          <w:u w:val="single"/>
        </w:rPr>
        <w:t xml:space="preserve">          </w:t>
      </w:r>
      <w:r>
        <w:rPr>
          <w:rFonts w:hint="eastAsia" w:ascii="宋体" w:hAnsi="宋体"/>
          <w:color w:val="auto"/>
          <w:sz w:val="24"/>
          <w:highlight w:val="none"/>
        </w:rPr>
        <w:t>邮编：</w:t>
      </w:r>
      <w:r>
        <w:rPr>
          <w:rFonts w:hint="eastAsia" w:ascii="宋体" w:hAnsi="宋体"/>
          <w:color w:val="auto"/>
          <w:sz w:val="24"/>
          <w:highlight w:val="none"/>
          <w:u w:val="single"/>
        </w:rPr>
        <w:t xml:space="preserve">            </w:t>
      </w:r>
    </w:p>
    <w:p w14:paraId="0E0E3B38">
      <w:pPr>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联系人：</w:t>
      </w:r>
      <w:r>
        <w:rPr>
          <w:rFonts w:hint="eastAsia" w:ascii="宋体" w:hAnsi="宋体"/>
          <w:color w:val="auto"/>
          <w:sz w:val="24"/>
          <w:highlight w:val="none"/>
          <w:u w:val="single"/>
        </w:rPr>
        <w:t xml:space="preserve">        </w:t>
      </w:r>
      <w:r>
        <w:rPr>
          <w:rFonts w:hint="eastAsia" w:ascii="宋体" w:hAnsi="宋体"/>
          <w:color w:val="auto"/>
          <w:sz w:val="24"/>
          <w:highlight w:val="none"/>
        </w:rPr>
        <w:t>电话：</w:t>
      </w:r>
      <w:r>
        <w:rPr>
          <w:rFonts w:hint="eastAsia" w:ascii="宋体" w:hAnsi="宋体"/>
          <w:color w:val="auto"/>
          <w:sz w:val="24"/>
          <w:highlight w:val="none"/>
          <w:u w:val="single"/>
        </w:rPr>
        <w:t xml:space="preserve">        </w:t>
      </w:r>
      <w:r>
        <w:rPr>
          <w:rFonts w:hint="eastAsia" w:ascii="宋体" w:hAnsi="宋体"/>
          <w:color w:val="auto"/>
          <w:sz w:val="24"/>
          <w:highlight w:val="none"/>
        </w:rPr>
        <w:t>传真：</w:t>
      </w:r>
      <w:r>
        <w:rPr>
          <w:rFonts w:hint="eastAsia" w:ascii="宋体" w:hAnsi="宋体"/>
          <w:color w:val="auto"/>
          <w:sz w:val="24"/>
          <w:highlight w:val="none"/>
          <w:u w:val="single"/>
        </w:rPr>
        <w:t xml:space="preserve">          </w:t>
      </w:r>
      <w:r>
        <w:rPr>
          <w:rFonts w:hint="eastAsia" w:ascii="宋体" w:hAnsi="宋体"/>
          <w:color w:val="auto"/>
          <w:sz w:val="24"/>
          <w:highlight w:val="none"/>
        </w:rPr>
        <w:t>电子邮箱：</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p>
    <w:p w14:paraId="5302870B">
      <w:pPr>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投标人名称：</w:t>
      </w:r>
      <w:r>
        <w:rPr>
          <w:rFonts w:hint="eastAsia" w:ascii="宋体" w:hAnsi="宋体"/>
          <w:color w:val="auto"/>
          <w:sz w:val="24"/>
          <w:highlight w:val="none"/>
          <w:u w:val="single"/>
        </w:rPr>
        <w:t xml:space="preserve">                </w:t>
      </w:r>
    </w:p>
    <w:p w14:paraId="23039793">
      <w:pPr>
        <w:snapToGri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开户银行：</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银行账号：</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14:paraId="5BDAAF6D">
      <w:pPr>
        <w:snapToGrid w:val="0"/>
        <w:spacing w:line="360" w:lineRule="auto"/>
        <w:ind w:firstLine="480" w:firstLineChars="200"/>
        <w:jc w:val="left"/>
        <w:rPr>
          <w:rFonts w:hint="eastAsia" w:ascii="宋体" w:hAnsi="宋体"/>
          <w:color w:val="auto"/>
          <w:sz w:val="24"/>
          <w:highlight w:val="none"/>
        </w:rPr>
      </w:pPr>
    </w:p>
    <w:p w14:paraId="6F88DE4F">
      <w:pPr>
        <w:snapToGri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 xml:space="preserve">               法定代表人或者委托代理人（签字或者电子签名）：_______ </w:t>
      </w:r>
    </w:p>
    <w:p w14:paraId="70C5643F">
      <w:pPr>
        <w:pStyle w:val="24"/>
        <w:snapToGrid w:val="0"/>
        <w:spacing w:before="295" w:after="295" w:line="360" w:lineRule="auto"/>
        <w:jc w:val="center"/>
        <w:rPr>
          <w:rFonts w:hint="eastAsia" w:hAnsi="宋体"/>
          <w:color w:val="auto"/>
          <w:sz w:val="24"/>
          <w:szCs w:val="24"/>
          <w:highlight w:val="none"/>
          <w:u w:val="single"/>
        </w:rPr>
      </w:pPr>
      <w:r>
        <w:rPr>
          <w:rFonts w:hint="eastAsia" w:hAnsi="宋体"/>
          <w:color w:val="auto"/>
          <w:sz w:val="24"/>
          <w:highlight w:val="none"/>
        </w:rPr>
        <w:t xml:space="preserve"> </w:t>
      </w:r>
      <w:r>
        <w:rPr>
          <w:rFonts w:hAnsi="宋体"/>
          <w:color w:val="auto"/>
          <w:sz w:val="24"/>
          <w:highlight w:val="none"/>
        </w:rPr>
        <w:t xml:space="preserve">                                    </w:t>
      </w:r>
      <w:r>
        <w:rPr>
          <w:rFonts w:hint="eastAsia" w:hAnsi="宋体"/>
          <w:color w:val="auto"/>
          <w:sz w:val="24"/>
          <w:highlight w:val="none"/>
        </w:rPr>
        <w:t>投标人名称（电子签章）：</w:t>
      </w:r>
      <w:r>
        <w:rPr>
          <w:rFonts w:hint="eastAsia" w:hAnsi="宋体"/>
          <w:color w:val="auto"/>
          <w:sz w:val="24"/>
          <w:highlight w:val="none"/>
          <w:u w:val="single"/>
        </w:rPr>
        <w:t xml:space="preserve">          </w:t>
      </w:r>
    </w:p>
    <w:p w14:paraId="5FA3C649">
      <w:pPr>
        <w:pStyle w:val="24"/>
        <w:snapToGrid w:val="0"/>
        <w:spacing w:before="295" w:after="295" w:line="360" w:lineRule="auto"/>
        <w:rPr>
          <w:rFonts w:hint="eastAsia" w:hAnsi="宋体"/>
          <w:color w:val="auto"/>
          <w:sz w:val="24"/>
          <w:highlight w:val="none"/>
        </w:rPr>
      </w:pPr>
      <w:r>
        <w:rPr>
          <w:rFonts w:hint="eastAsia" w:hAnsi="宋体"/>
          <w:color w:val="auto"/>
          <w:sz w:val="24"/>
          <w:szCs w:val="24"/>
          <w:highlight w:val="none"/>
        </w:rPr>
        <w:t xml:space="preserve">                                                </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w:t>
      </w:r>
    </w:p>
    <w:p w14:paraId="28FAD309">
      <w:pPr>
        <w:snapToGrid w:val="0"/>
        <w:spacing w:before="120" w:beforeLines="50" w:after="50"/>
        <w:jc w:val="left"/>
        <w:outlineLvl w:val="2"/>
        <w:rPr>
          <w:rFonts w:hint="eastAsia" w:ascii="宋体" w:hAnsi="宋体"/>
          <w:b/>
          <w:color w:val="auto"/>
          <w:sz w:val="24"/>
          <w:szCs w:val="20"/>
          <w:highlight w:val="none"/>
        </w:rPr>
      </w:pPr>
      <w:r>
        <w:rPr>
          <w:rFonts w:hAnsi="宋体"/>
          <w:color w:val="auto"/>
          <w:highlight w:val="none"/>
          <w:u w:val="single"/>
        </w:rPr>
        <w:br w:type="page"/>
      </w:r>
      <w:r>
        <w:rPr>
          <w:rFonts w:hint="eastAsia" w:ascii="宋体" w:hAnsi="宋体"/>
          <w:b/>
          <w:color w:val="auto"/>
          <w:sz w:val="24"/>
          <w:highlight w:val="none"/>
        </w:rPr>
        <w:t>4. 开标一览表</w:t>
      </w:r>
    </w:p>
    <w:p w14:paraId="397EC50E">
      <w:pPr>
        <w:snapToGrid w:val="0"/>
        <w:spacing w:before="50" w:after="50"/>
        <w:jc w:val="center"/>
        <w:rPr>
          <w:rFonts w:hint="eastAsia" w:ascii="宋体" w:hAnsi="宋体"/>
          <w:b/>
          <w:color w:val="auto"/>
          <w:sz w:val="30"/>
          <w:highlight w:val="none"/>
        </w:rPr>
      </w:pPr>
      <w:r>
        <w:rPr>
          <w:rFonts w:hint="eastAsia" w:ascii="宋体" w:hAnsi="宋体"/>
          <w:b/>
          <w:color w:val="auto"/>
          <w:sz w:val="30"/>
          <w:highlight w:val="none"/>
        </w:rPr>
        <w:t>开标一览表</w:t>
      </w:r>
    </w:p>
    <w:p w14:paraId="4F5A7A2F">
      <w:pPr>
        <w:snapToGrid w:val="0"/>
        <w:spacing w:before="50" w:after="50"/>
        <w:jc w:val="center"/>
        <w:rPr>
          <w:rFonts w:hint="eastAsia" w:ascii="宋体" w:hAnsi="宋体"/>
          <w:b/>
          <w:color w:val="auto"/>
          <w:sz w:val="30"/>
          <w:szCs w:val="20"/>
          <w:highlight w:val="none"/>
        </w:rPr>
      </w:pPr>
    </w:p>
    <w:p w14:paraId="5D0E3D95">
      <w:pPr>
        <w:snapToGrid w:val="0"/>
        <w:spacing w:before="50" w:after="50" w:line="360" w:lineRule="auto"/>
        <w:rPr>
          <w:rFonts w:hint="eastAsia" w:ascii="宋体" w:hAnsi="宋体"/>
          <w:color w:val="auto"/>
          <w:sz w:val="24"/>
          <w:highlight w:val="none"/>
          <w:u w:val="single"/>
        </w:rPr>
      </w:pPr>
      <w:r>
        <w:rPr>
          <w:rFonts w:hint="eastAsia" w:ascii="宋体" w:hAnsi="宋体"/>
          <w:color w:val="auto"/>
          <w:sz w:val="24"/>
          <w:highlight w:val="none"/>
        </w:rPr>
        <w:t>项目名称：</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 xml:space="preserve">         </w:t>
      </w:r>
      <w:r>
        <w:rPr>
          <w:rFonts w:hint="eastAsia" w:ascii="宋体" w:hAnsi="宋体"/>
          <w:color w:val="auto"/>
          <w:sz w:val="24"/>
          <w:highlight w:val="none"/>
        </w:rPr>
        <w:t>项目编号：</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分标：</w:t>
      </w:r>
      <w:r>
        <w:rPr>
          <w:rFonts w:hint="eastAsia" w:ascii="宋体" w:hAnsi="宋体"/>
          <w:color w:val="auto"/>
          <w:sz w:val="24"/>
          <w:highlight w:val="none"/>
          <w:u w:val="single"/>
        </w:rPr>
        <w:t xml:space="preserve">           </w:t>
      </w:r>
    </w:p>
    <w:p w14:paraId="065D552C">
      <w:pPr>
        <w:snapToGrid w:val="0"/>
        <w:spacing w:before="50" w:after="50" w:line="360" w:lineRule="auto"/>
        <w:rPr>
          <w:rFonts w:hint="eastAsia" w:ascii="宋体" w:hAnsi="宋体"/>
          <w:color w:val="auto"/>
          <w:sz w:val="24"/>
          <w:highlight w:val="none"/>
        </w:rPr>
      </w:pPr>
      <w:r>
        <w:rPr>
          <w:rFonts w:hint="eastAsia" w:ascii="宋体" w:hAnsi="宋体"/>
          <w:color w:val="auto"/>
          <w:sz w:val="24"/>
          <w:highlight w:val="none"/>
        </w:rPr>
        <w:t>投标人名称：</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单位：元</w:t>
      </w:r>
    </w:p>
    <w:p w14:paraId="45993CDF">
      <w:pPr>
        <w:snapToGrid w:val="0"/>
        <w:spacing w:before="50" w:after="50" w:line="360" w:lineRule="auto"/>
        <w:rPr>
          <w:rFonts w:hint="eastAsia" w:ascii="宋体" w:hAnsi="宋体"/>
          <w:color w:val="auto"/>
          <w:sz w:val="24"/>
          <w:highlight w:val="none"/>
        </w:rPr>
      </w:pPr>
    </w:p>
    <w:tbl>
      <w:tblPr>
        <w:tblStyle w:val="47"/>
        <w:tblpPr w:leftFromText="180" w:rightFromText="180" w:vertAnchor="text" w:horzAnchor="page" w:tblpX="1515" w:tblpY="536"/>
        <w:tblOverlap w:val="never"/>
        <w:tblW w:w="89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3142"/>
        <w:gridCol w:w="950"/>
        <w:gridCol w:w="1547"/>
        <w:gridCol w:w="2619"/>
      </w:tblGrid>
      <w:tr w14:paraId="57F6A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4" w:hRule="atLeast"/>
        </w:trPr>
        <w:tc>
          <w:tcPr>
            <w:tcW w:w="739" w:type="dxa"/>
            <w:tcBorders>
              <w:top w:val="single" w:color="auto" w:sz="4" w:space="0"/>
              <w:left w:val="single" w:color="auto" w:sz="4" w:space="0"/>
              <w:bottom w:val="single" w:color="auto" w:sz="4" w:space="0"/>
              <w:right w:val="single" w:color="auto" w:sz="4" w:space="0"/>
            </w:tcBorders>
            <w:vAlign w:val="center"/>
          </w:tcPr>
          <w:p w14:paraId="22C10038">
            <w:pPr>
              <w:spacing w:line="360" w:lineRule="auto"/>
              <w:jc w:val="center"/>
              <w:rPr>
                <w:rFonts w:hint="eastAsia" w:ascii="宋体" w:hAnsi="宋体" w:cs="仿宋_GB2312"/>
                <w:color w:val="auto"/>
                <w:sz w:val="24"/>
                <w:highlight w:val="none"/>
              </w:rPr>
            </w:pPr>
            <w:r>
              <w:rPr>
                <w:rFonts w:ascii="宋体" w:hAnsi="宋体" w:cs="仿宋_GB2312"/>
                <w:color w:val="auto"/>
                <w:sz w:val="24"/>
                <w:highlight w:val="none"/>
              </w:rPr>
              <w:t>序号</w:t>
            </w:r>
          </w:p>
        </w:tc>
        <w:tc>
          <w:tcPr>
            <w:tcW w:w="3142" w:type="dxa"/>
            <w:tcBorders>
              <w:top w:val="single" w:color="auto" w:sz="4" w:space="0"/>
              <w:left w:val="single" w:color="auto" w:sz="4" w:space="0"/>
              <w:bottom w:val="single" w:color="auto" w:sz="4" w:space="0"/>
              <w:right w:val="single" w:color="auto" w:sz="4" w:space="0"/>
            </w:tcBorders>
            <w:vAlign w:val="center"/>
          </w:tcPr>
          <w:p w14:paraId="61322993">
            <w:pPr>
              <w:spacing w:line="360" w:lineRule="auto"/>
              <w:jc w:val="center"/>
              <w:rPr>
                <w:rFonts w:hint="eastAsia" w:ascii="宋体" w:hAnsi="宋体" w:cs="仿宋_GB2312"/>
                <w:color w:val="auto"/>
                <w:sz w:val="24"/>
                <w:highlight w:val="none"/>
              </w:rPr>
            </w:pPr>
            <w:r>
              <w:rPr>
                <w:rFonts w:hint="eastAsia" w:ascii="宋体" w:hAnsi="宋体"/>
                <w:b/>
                <w:color w:val="auto"/>
                <w:sz w:val="24"/>
                <w:highlight w:val="none"/>
              </w:rPr>
              <w:t>标的的名称</w:t>
            </w:r>
          </w:p>
        </w:tc>
        <w:tc>
          <w:tcPr>
            <w:tcW w:w="950" w:type="dxa"/>
            <w:tcBorders>
              <w:top w:val="single" w:color="auto" w:sz="4" w:space="0"/>
              <w:left w:val="single" w:color="auto" w:sz="4" w:space="0"/>
              <w:bottom w:val="single" w:color="auto" w:sz="4" w:space="0"/>
              <w:right w:val="single" w:color="auto" w:sz="4" w:space="0"/>
            </w:tcBorders>
            <w:vAlign w:val="center"/>
          </w:tcPr>
          <w:p w14:paraId="5C71E64F">
            <w:pPr>
              <w:spacing w:line="360" w:lineRule="auto"/>
              <w:jc w:val="center"/>
              <w:rPr>
                <w:rFonts w:hint="eastAsia" w:ascii="宋体" w:hAnsi="宋体" w:cs="仿宋_GB2312"/>
                <w:color w:val="auto"/>
                <w:sz w:val="24"/>
                <w:highlight w:val="none"/>
              </w:rPr>
            </w:pPr>
            <w:r>
              <w:rPr>
                <w:rFonts w:hint="eastAsia" w:ascii="宋体" w:hAnsi="宋体" w:cs="仿宋_GB2312"/>
                <w:color w:val="auto"/>
                <w:sz w:val="24"/>
                <w:highlight w:val="none"/>
              </w:rPr>
              <w:t>数量及单位</w:t>
            </w:r>
          </w:p>
        </w:tc>
        <w:tc>
          <w:tcPr>
            <w:tcW w:w="1547" w:type="dxa"/>
            <w:tcBorders>
              <w:top w:val="single" w:color="auto" w:sz="4" w:space="0"/>
              <w:left w:val="single" w:color="auto" w:sz="4" w:space="0"/>
              <w:bottom w:val="single" w:color="auto" w:sz="4" w:space="0"/>
              <w:right w:val="single" w:color="auto" w:sz="4" w:space="0"/>
            </w:tcBorders>
            <w:vAlign w:val="center"/>
          </w:tcPr>
          <w:p w14:paraId="189D52D9">
            <w:pPr>
              <w:spacing w:line="360" w:lineRule="auto"/>
              <w:jc w:val="center"/>
              <w:rPr>
                <w:rFonts w:hint="eastAsia" w:ascii="宋体" w:hAnsi="宋体" w:cs="仿宋_GB2312"/>
                <w:color w:val="auto"/>
                <w:sz w:val="24"/>
                <w:highlight w:val="none"/>
              </w:rPr>
            </w:pPr>
            <w:r>
              <w:rPr>
                <w:rFonts w:hint="eastAsia" w:ascii="宋体" w:hAnsi="宋体" w:cs="仿宋_GB2312"/>
                <w:color w:val="auto"/>
                <w:sz w:val="24"/>
                <w:highlight w:val="none"/>
              </w:rPr>
              <w:t>单价（元）</w:t>
            </w:r>
          </w:p>
        </w:tc>
        <w:tc>
          <w:tcPr>
            <w:tcW w:w="2619" w:type="dxa"/>
            <w:tcBorders>
              <w:top w:val="single" w:color="auto" w:sz="4" w:space="0"/>
              <w:left w:val="single" w:color="auto" w:sz="4" w:space="0"/>
              <w:bottom w:val="single" w:color="auto" w:sz="4" w:space="0"/>
              <w:right w:val="single" w:color="auto" w:sz="4" w:space="0"/>
            </w:tcBorders>
            <w:vAlign w:val="center"/>
          </w:tcPr>
          <w:p w14:paraId="668002C1">
            <w:pPr>
              <w:spacing w:line="360" w:lineRule="auto"/>
              <w:jc w:val="center"/>
              <w:rPr>
                <w:rFonts w:hint="eastAsia" w:ascii="宋体" w:hAnsi="宋体" w:cs="仿宋_GB2312"/>
                <w:color w:val="auto"/>
                <w:sz w:val="24"/>
                <w:highlight w:val="none"/>
              </w:rPr>
            </w:pPr>
            <w:r>
              <w:rPr>
                <w:rFonts w:hint="eastAsia" w:ascii="宋体" w:hAnsi="宋体" w:cs="仿宋_GB2312"/>
                <w:color w:val="auto"/>
                <w:sz w:val="24"/>
                <w:highlight w:val="none"/>
              </w:rPr>
              <w:t>总价（元）</w:t>
            </w:r>
          </w:p>
        </w:tc>
      </w:tr>
      <w:tr w14:paraId="5404C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2" w:hRule="atLeast"/>
        </w:trPr>
        <w:tc>
          <w:tcPr>
            <w:tcW w:w="739" w:type="dxa"/>
            <w:tcBorders>
              <w:top w:val="single" w:color="auto" w:sz="4" w:space="0"/>
              <w:left w:val="single" w:color="auto" w:sz="4" w:space="0"/>
              <w:bottom w:val="single" w:color="auto" w:sz="4" w:space="0"/>
              <w:right w:val="single" w:color="auto" w:sz="4" w:space="0"/>
            </w:tcBorders>
            <w:vAlign w:val="center"/>
          </w:tcPr>
          <w:p w14:paraId="2BA22B3F">
            <w:pPr>
              <w:spacing w:line="360" w:lineRule="auto"/>
              <w:jc w:val="center"/>
              <w:rPr>
                <w:rFonts w:hint="eastAsia" w:ascii="宋体" w:hAnsi="宋体" w:cs="仿宋_GB2312"/>
                <w:color w:val="auto"/>
                <w:sz w:val="24"/>
                <w:highlight w:val="none"/>
              </w:rPr>
            </w:pPr>
            <w:r>
              <w:rPr>
                <w:rFonts w:ascii="宋体" w:hAnsi="宋体" w:cs="仿宋_GB2312"/>
                <w:color w:val="auto"/>
                <w:sz w:val="24"/>
                <w:highlight w:val="none"/>
              </w:rPr>
              <w:t>1</w:t>
            </w:r>
          </w:p>
        </w:tc>
        <w:tc>
          <w:tcPr>
            <w:tcW w:w="3142" w:type="dxa"/>
            <w:tcBorders>
              <w:top w:val="single" w:color="auto" w:sz="4" w:space="0"/>
              <w:left w:val="single" w:color="auto" w:sz="4" w:space="0"/>
              <w:bottom w:val="single" w:color="auto" w:sz="4" w:space="0"/>
              <w:right w:val="single" w:color="auto" w:sz="4" w:space="0"/>
            </w:tcBorders>
            <w:vAlign w:val="center"/>
          </w:tcPr>
          <w:p w14:paraId="0761E05D">
            <w:pPr>
              <w:spacing w:line="360" w:lineRule="auto"/>
              <w:jc w:val="center"/>
              <w:rPr>
                <w:rFonts w:hint="eastAsia" w:ascii="宋体" w:hAnsi="宋体" w:cs="仿宋_GB2312"/>
                <w:color w:val="auto"/>
                <w:sz w:val="24"/>
                <w:highlight w:val="none"/>
              </w:rPr>
            </w:pPr>
            <w:r>
              <w:rPr>
                <w:rFonts w:hint="eastAsia" w:ascii="宋体" w:hAnsi="宋体" w:cs="仿宋_GB2312"/>
                <w:color w:val="auto"/>
                <w:sz w:val="24"/>
                <w:highlight w:val="none"/>
              </w:rPr>
              <w:t>广西壮族自治区桂东公路发展中心</w:t>
            </w:r>
            <w:r>
              <w:rPr>
                <w:rFonts w:hint="eastAsia" w:ascii="宋体" w:hAnsi="宋体" w:cs="仿宋_GB2312"/>
                <w:color w:val="auto"/>
                <w:sz w:val="24"/>
                <w:highlight w:val="none"/>
                <w:lang w:eastAsia="zh-CN"/>
              </w:rPr>
              <w:t>2026年</w:t>
            </w:r>
            <w:r>
              <w:rPr>
                <w:rFonts w:hint="eastAsia" w:ascii="宋体" w:hAnsi="宋体" w:cs="仿宋_GB2312"/>
                <w:color w:val="auto"/>
                <w:sz w:val="24"/>
                <w:highlight w:val="none"/>
              </w:rPr>
              <w:t>普通国省干道桥隧定期检测服务</w:t>
            </w:r>
          </w:p>
        </w:tc>
        <w:tc>
          <w:tcPr>
            <w:tcW w:w="950" w:type="dxa"/>
            <w:tcBorders>
              <w:top w:val="single" w:color="auto" w:sz="4" w:space="0"/>
              <w:left w:val="single" w:color="auto" w:sz="4" w:space="0"/>
              <w:bottom w:val="single" w:color="auto" w:sz="4" w:space="0"/>
              <w:right w:val="single" w:color="auto" w:sz="4" w:space="0"/>
            </w:tcBorders>
            <w:vAlign w:val="center"/>
          </w:tcPr>
          <w:p w14:paraId="50E90668">
            <w:pPr>
              <w:spacing w:line="360" w:lineRule="auto"/>
              <w:jc w:val="center"/>
              <w:rPr>
                <w:rFonts w:hint="eastAsia" w:ascii="宋体" w:hAnsi="宋体" w:cs="仿宋_GB2312"/>
                <w:color w:val="auto"/>
                <w:sz w:val="24"/>
                <w:highlight w:val="none"/>
              </w:rPr>
            </w:pPr>
            <w:r>
              <w:rPr>
                <w:rFonts w:hint="eastAsia" w:ascii="宋体" w:hAnsi="宋体" w:cs="仿宋_GB2312"/>
                <w:color w:val="auto"/>
                <w:sz w:val="24"/>
                <w:highlight w:val="none"/>
              </w:rPr>
              <w:t>1项</w:t>
            </w:r>
          </w:p>
        </w:tc>
        <w:tc>
          <w:tcPr>
            <w:tcW w:w="1547" w:type="dxa"/>
            <w:tcBorders>
              <w:top w:val="single" w:color="auto" w:sz="4" w:space="0"/>
              <w:left w:val="single" w:color="auto" w:sz="4" w:space="0"/>
              <w:bottom w:val="single" w:color="auto" w:sz="4" w:space="0"/>
              <w:right w:val="single" w:color="auto" w:sz="4" w:space="0"/>
            </w:tcBorders>
          </w:tcPr>
          <w:p w14:paraId="16A7AD95">
            <w:pPr>
              <w:spacing w:line="360" w:lineRule="auto"/>
              <w:rPr>
                <w:rFonts w:hint="eastAsia" w:ascii="宋体" w:hAnsi="宋体" w:cs="仿宋_GB2312"/>
                <w:color w:val="auto"/>
                <w:sz w:val="24"/>
                <w:highlight w:val="none"/>
              </w:rPr>
            </w:pPr>
          </w:p>
        </w:tc>
        <w:tc>
          <w:tcPr>
            <w:tcW w:w="2619" w:type="dxa"/>
            <w:tcBorders>
              <w:top w:val="single" w:color="auto" w:sz="4" w:space="0"/>
              <w:left w:val="single" w:color="auto" w:sz="4" w:space="0"/>
              <w:bottom w:val="single" w:color="auto" w:sz="4" w:space="0"/>
              <w:right w:val="single" w:color="auto" w:sz="4" w:space="0"/>
            </w:tcBorders>
          </w:tcPr>
          <w:p w14:paraId="39BAF2E3">
            <w:pPr>
              <w:spacing w:line="360" w:lineRule="auto"/>
              <w:rPr>
                <w:rFonts w:hint="eastAsia" w:ascii="宋体" w:hAnsi="宋体" w:cs="仿宋_GB2312"/>
                <w:color w:val="auto"/>
                <w:sz w:val="24"/>
                <w:highlight w:val="none"/>
              </w:rPr>
            </w:pPr>
          </w:p>
        </w:tc>
      </w:tr>
      <w:tr w14:paraId="7ECA2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trPr>
        <w:tc>
          <w:tcPr>
            <w:tcW w:w="8997" w:type="dxa"/>
            <w:gridSpan w:val="5"/>
            <w:tcBorders>
              <w:top w:val="single" w:color="auto" w:sz="4" w:space="0"/>
              <w:left w:val="single" w:color="auto" w:sz="4" w:space="0"/>
              <w:bottom w:val="single" w:color="auto" w:sz="4" w:space="0"/>
              <w:right w:val="single" w:color="auto" w:sz="4" w:space="0"/>
            </w:tcBorders>
            <w:vAlign w:val="center"/>
          </w:tcPr>
          <w:p w14:paraId="572342E5">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合计金额大写：人民币</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w:t>
            </w:r>
          </w:p>
        </w:tc>
      </w:tr>
    </w:tbl>
    <w:p w14:paraId="2C715047">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 xml:space="preserve">注: </w:t>
      </w:r>
    </w:p>
    <w:p w14:paraId="12217DC0">
      <w:pPr>
        <w:snapToGri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1.投标人的开标一览表必须加盖投标人电子签章并由</w:t>
      </w:r>
      <w:r>
        <w:rPr>
          <w:rFonts w:ascii="宋体" w:hAnsi="宋体"/>
          <w:color w:val="auto"/>
          <w:sz w:val="24"/>
          <w:highlight w:val="none"/>
        </w:rPr>
        <w:t>法定代表人或者委托代理人</w:t>
      </w:r>
      <w:r>
        <w:rPr>
          <w:rFonts w:hint="eastAsia" w:ascii="宋体" w:hAnsi="宋体"/>
          <w:color w:val="auto"/>
          <w:sz w:val="24"/>
          <w:highlight w:val="none"/>
        </w:rPr>
        <w:t>签字或者电子签名，</w:t>
      </w:r>
      <w:r>
        <w:rPr>
          <w:rFonts w:hint="eastAsia" w:ascii="宋体" w:hAnsi="宋体"/>
          <w:b/>
          <w:color w:val="auto"/>
          <w:sz w:val="24"/>
          <w:highlight w:val="none"/>
        </w:rPr>
        <w:t>否则其投标作无效标处理</w:t>
      </w:r>
      <w:r>
        <w:rPr>
          <w:rFonts w:hint="eastAsia" w:ascii="宋体" w:hAnsi="宋体"/>
          <w:color w:val="auto"/>
          <w:sz w:val="24"/>
          <w:highlight w:val="none"/>
        </w:rPr>
        <w:t>。</w:t>
      </w:r>
    </w:p>
    <w:p w14:paraId="29E1ECF1">
      <w:pPr>
        <w:snapToGrid w:val="0"/>
        <w:spacing w:line="360" w:lineRule="auto"/>
        <w:ind w:firstLine="480" w:firstLineChars="200"/>
        <w:jc w:val="left"/>
        <w:rPr>
          <w:rFonts w:hint="eastAsia" w:ascii="宋体" w:hAnsi="宋体"/>
          <w:b/>
          <w:color w:val="auto"/>
          <w:sz w:val="24"/>
          <w:highlight w:val="none"/>
        </w:rPr>
      </w:pPr>
      <w:r>
        <w:rPr>
          <w:rFonts w:hint="eastAsia" w:ascii="宋体" w:hAnsi="宋体"/>
          <w:bCs/>
          <w:color w:val="auto"/>
          <w:sz w:val="24"/>
          <w:highlight w:val="none"/>
        </w:rPr>
        <w:t>2.</w:t>
      </w:r>
      <w:r>
        <w:rPr>
          <w:rFonts w:hint="eastAsia" w:ascii="宋体" w:hAnsi="宋体"/>
          <w:color w:val="auto"/>
          <w:sz w:val="24"/>
          <w:highlight w:val="none"/>
        </w:rPr>
        <w:t>报价一经涂改，应在涂改处加盖投标人公章</w:t>
      </w:r>
      <w:r>
        <w:rPr>
          <w:rFonts w:hint="eastAsia" w:ascii="宋体" w:hAnsi="宋体" w:cs="仿宋_GB2312"/>
          <w:color w:val="auto"/>
          <w:sz w:val="24"/>
          <w:highlight w:val="none"/>
        </w:rPr>
        <w:t>或者加盖电子签章</w:t>
      </w:r>
      <w:r>
        <w:rPr>
          <w:rFonts w:hint="eastAsia" w:ascii="宋体" w:hAnsi="宋体"/>
          <w:color w:val="auto"/>
          <w:sz w:val="24"/>
          <w:highlight w:val="none"/>
        </w:rPr>
        <w:t>或者由法定代表人或者委托代理人签字（或者电子签名）</w:t>
      </w:r>
      <w:r>
        <w:rPr>
          <w:rFonts w:hint="eastAsia" w:ascii="宋体" w:hAnsi="宋体"/>
          <w:b/>
          <w:color w:val="auto"/>
          <w:sz w:val="24"/>
          <w:highlight w:val="none"/>
        </w:rPr>
        <w:t>，否则其投标作无效标处理。</w:t>
      </w:r>
    </w:p>
    <w:p w14:paraId="5B4BAA3F">
      <w:pPr>
        <w:spacing w:line="360" w:lineRule="auto"/>
        <w:rPr>
          <w:color w:val="auto"/>
          <w:kern w:val="0"/>
          <w:sz w:val="24"/>
          <w:highlight w:val="none"/>
        </w:rPr>
      </w:pPr>
    </w:p>
    <w:p w14:paraId="00CF24C8">
      <w:pPr>
        <w:pStyle w:val="30"/>
        <w:rPr>
          <w:rFonts w:hint="eastAsia" w:ascii="宋体" w:hAnsi="宋体" w:cs="宋体"/>
          <w:color w:val="auto"/>
          <w:highlight w:val="none"/>
        </w:rPr>
      </w:pPr>
      <w:r>
        <w:rPr>
          <w:rFonts w:hint="eastAsia" w:ascii="宋体" w:hAnsi="宋体"/>
          <w:color w:val="auto"/>
          <w:sz w:val="24"/>
          <w:highlight w:val="none"/>
        </w:rPr>
        <w:t xml:space="preserve">                         </w:t>
      </w:r>
    </w:p>
    <w:p w14:paraId="25C2C3BB">
      <w:pPr>
        <w:snapToGrid w:val="0"/>
        <w:spacing w:line="360" w:lineRule="auto"/>
        <w:ind w:left="-2" w:leftChars="-1" w:right="-817" w:rightChars="-389"/>
        <w:rPr>
          <w:rFonts w:hint="eastAsia" w:ascii="宋体" w:hAnsi="宋体"/>
          <w:color w:val="auto"/>
          <w:sz w:val="24"/>
          <w:highlight w:val="none"/>
          <w:u w:val="single"/>
        </w:rPr>
      </w:pPr>
      <w:r>
        <w:rPr>
          <w:rFonts w:hint="eastAsia" w:ascii="宋体" w:hAnsi="宋体"/>
          <w:color w:val="auto"/>
          <w:sz w:val="24"/>
          <w:highlight w:val="none"/>
        </w:rPr>
        <w:t xml:space="preserve">         法定代表人或者委托代理人（签字或者电子签名）： </w:t>
      </w:r>
      <w:r>
        <w:rPr>
          <w:rFonts w:hint="eastAsia" w:ascii="宋体" w:hAnsi="宋体"/>
          <w:color w:val="auto"/>
          <w:sz w:val="24"/>
          <w:highlight w:val="none"/>
          <w:u w:val="single"/>
        </w:rPr>
        <w:t xml:space="preserve">              </w:t>
      </w:r>
    </w:p>
    <w:p w14:paraId="3BDBA3D1">
      <w:pPr>
        <w:snapToGrid w:val="0"/>
        <w:spacing w:line="360" w:lineRule="auto"/>
        <w:ind w:left="-3" w:leftChars="-15" w:right="-817" w:rightChars="-389" w:hanging="28" w:hangingChars="12"/>
        <w:rPr>
          <w:rFonts w:hint="eastAsia" w:ascii="宋体" w:hAnsi="宋体"/>
          <w:color w:val="auto"/>
          <w:sz w:val="24"/>
          <w:highlight w:val="none"/>
          <w:u w:val="single"/>
        </w:rPr>
      </w:pPr>
      <w:r>
        <w:rPr>
          <w:rFonts w:hint="eastAsia" w:ascii="宋体" w:hAnsi="宋体"/>
          <w:color w:val="auto"/>
          <w:sz w:val="24"/>
          <w:highlight w:val="none"/>
        </w:rPr>
        <w:t xml:space="preserve">                           投标人名称（电子签章）：</w:t>
      </w:r>
      <w:r>
        <w:rPr>
          <w:rFonts w:hint="eastAsia" w:ascii="宋体" w:hAnsi="宋体"/>
          <w:color w:val="auto"/>
          <w:sz w:val="24"/>
          <w:highlight w:val="none"/>
          <w:u w:val="single"/>
        </w:rPr>
        <w:t xml:space="preserve">                 </w:t>
      </w:r>
    </w:p>
    <w:p w14:paraId="742867D2">
      <w:pPr>
        <w:snapToGrid w:val="0"/>
        <w:spacing w:line="360" w:lineRule="auto"/>
        <w:ind w:left="-3" w:leftChars="-15" w:right="-817" w:rightChars="-389" w:hanging="28" w:hangingChars="12"/>
        <w:rPr>
          <w:rFonts w:hint="eastAsia" w:ascii="宋体" w:hAnsi="宋体"/>
          <w:color w:val="auto"/>
          <w:szCs w:val="21"/>
          <w:highlight w:val="none"/>
        </w:rPr>
      </w:pPr>
      <w:r>
        <w:rPr>
          <w:rFonts w:hint="eastAsia" w:ascii="宋体" w:hAnsi="宋体"/>
          <w:color w:val="auto"/>
          <w:sz w:val="24"/>
          <w:highlight w:val="none"/>
        </w:rPr>
        <w:t xml:space="preserve">                           日期：    年   月   日</w:t>
      </w:r>
    </w:p>
    <w:p w14:paraId="4D23D22F">
      <w:pPr>
        <w:snapToGrid w:val="0"/>
        <w:spacing w:line="360" w:lineRule="auto"/>
        <w:ind w:left="-6" w:leftChars="-15" w:right="-817" w:rightChars="-389" w:hanging="25" w:hangingChars="12"/>
        <w:rPr>
          <w:rFonts w:hint="eastAsia" w:ascii="宋体" w:hAnsi="宋体"/>
          <w:color w:val="auto"/>
          <w:szCs w:val="21"/>
          <w:highlight w:val="none"/>
        </w:rPr>
      </w:pPr>
    </w:p>
    <w:p w14:paraId="72432851">
      <w:pPr>
        <w:rPr>
          <w:rFonts w:hint="eastAsia" w:ascii="宋体" w:hAnsi="宋体"/>
          <w:color w:val="auto"/>
          <w:sz w:val="24"/>
          <w:highlight w:val="none"/>
        </w:rPr>
      </w:pPr>
      <w:r>
        <w:rPr>
          <w:rFonts w:ascii="宋体" w:hAnsi="宋体"/>
          <w:color w:val="auto"/>
          <w:sz w:val="24"/>
          <w:highlight w:val="none"/>
        </w:rPr>
        <w:br w:type="page"/>
      </w:r>
    </w:p>
    <w:p w14:paraId="156EA410">
      <w:pPr>
        <w:numPr>
          <w:ilvl w:val="0"/>
          <w:numId w:val="6"/>
        </w:numPr>
        <w:snapToGrid w:val="0"/>
        <w:spacing w:before="50" w:after="50"/>
        <w:ind w:left="421" w:leftChars="0" w:firstLine="0" w:firstLineChars="0"/>
        <w:jc w:val="left"/>
        <w:outlineLvl w:val="2"/>
        <w:rPr>
          <w:rFonts w:hint="eastAsia" w:ascii="宋体" w:hAnsi="宋体"/>
          <w:b/>
          <w:color w:val="auto"/>
          <w:sz w:val="24"/>
          <w:highlight w:val="none"/>
        </w:rPr>
      </w:pPr>
      <w:r>
        <w:rPr>
          <w:rFonts w:hint="eastAsia" w:ascii="宋体" w:hAnsi="宋体"/>
          <w:b/>
          <w:color w:val="auto"/>
          <w:sz w:val="24"/>
          <w:highlight w:val="none"/>
        </w:rPr>
        <w:t>报价明细表</w:t>
      </w:r>
    </w:p>
    <w:p w14:paraId="5098BE5F">
      <w:pPr>
        <w:snapToGrid w:val="0"/>
        <w:spacing w:before="50" w:after="50"/>
        <w:ind w:left="421"/>
        <w:jc w:val="center"/>
        <w:rPr>
          <w:rFonts w:hint="eastAsia" w:ascii="宋体" w:hAnsi="宋体"/>
          <w:b/>
          <w:color w:val="auto"/>
          <w:sz w:val="30"/>
          <w:highlight w:val="none"/>
        </w:rPr>
      </w:pPr>
      <w:r>
        <w:rPr>
          <w:rFonts w:hint="eastAsia" w:ascii="宋体" w:hAnsi="宋体"/>
          <w:b/>
          <w:color w:val="auto"/>
          <w:sz w:val="30"/>
          <w:highlight w:val="none"/>
        </w:rPr>
        <w:t>报价明细表</w:t>
      </w:r>
    </w:p>
    <w:p w14:paraId="0ECC2412">
      <w:pPr>
        <w:snapToGrid w:val="0"/>
        <w:spacing w:before="50" w:after="50" w:line="360" w:lineRule="auto"/>
        <w:rPr>
          <w:rFonts w:hint="eastAsia" w:ascii="宋体" w:hAnsi="宋体"/>
          <w:color w:val="auto"/>
          <w:sz w:val="24"/>
          <w:highlight w:val="none"/>
        </w:rPr>
      </w:pPr>
    </w:p>
    <w:p w14:paraId="48908D0C">
      <w:pPr>
        <w:snapToGrid w:val="0"/>
        <w:spacing w:before="50" w:after="50" w:line="360" w:lineRule="auto"/>
        <w:rPr>
          <w:rFonts w:hint="eastAsia" w:ascii="宋体" w:hAnsi="宋体"/>
          <w:color w:val="auto"/>
          <w:sz w:val="24"/>
          <w:highlight w:val="none"/>
          <w:u w:val="single"/>
        </w:rPr>
      </w:pPr>
      <w:r>
        <w:rPr>
          <w:rFonts w:hint="eastAsia" w:ascii="宋体" w:hAnsi="宋体"/>
          <w:color w:val="auto"/>
          <w:sz w:val="24"/>
          <w:highlight w:val="none"/>
        </w:rPr>
        <w:t>项目名称：</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 xml:space="preserve">         </w:t>
      </w:r>
      <w:r>
        <w:rPr>
          <w:rFonts w:hint="eastAsia" w:ascii="宋体" w:hAnsi="宋体"/>
          <w:color w:val="auto"/>
          <w:sz w:val="24"/>
          <w:highlight w:val="none"/>
        </w:rPr>
        <w:t>项目编号：</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分标：</w:t>
      </w:r>
      <w:r>
        <w:rPr>
          <w:rFonts w:hint="eastAsia" w:ascii="宋体" w:hAnsi="宋体"/>
          <w:color w:val="auto"/>
          <w:sz w:val="24"/>
          <w:highlight w:val="none"/>
          <w:u w:val="single"/>
        </w:rPr>
        <w:t xml:space="preserve">           </w:t>
      </w:r>
    </w:p>
    <w:p w14:paraId="6C7FDC46">
      <w:pPr>
        <w:snapToGrid w:val="0"/>
        <w:spacing w:before="50" w:after="50" w:line="360" w:lineRule="auto"/>
        <w:rPr>
          <w:rFonts w:hint="eastAsia" w:ascii="宋体" w:hAnsi="宋体"/>
          <w:color w:val="auto"/>
          <w:sz w:val="24"/>
          <w:highlight w:val="none"/>
        </w:rPr>
      </w:pPr>
      <w:r>
        <w:rPr>
          <w:rFonts w:hint="eastAsia" w:ascii="宋体" w:hAnsi="宋体"/>
          <w:color w:val="auto"/>
          <w:sz w:val="24"/>
          <w:highlight w:val="none"/>
        </w:rPr>
        <w:t>投标人名称：</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单位：元</w:t>
      </w:r>
    </w:p>
    <w:tbl>
      <w:tblPr>
        <w:tblStyle w:val="47"/>
        <w:tblW w:w="8216" w:type="dxa"/>
        <w:tblInd w:w="91" w:type="dxa"/>
        <w:tblLayout w:type="autofit"/>
        <w:tblCellMar>
          <w:top w:w="0" w:type="dxa"/>
          <w:left w:w="108" w:type="dxa"/>
          <w:bottom w:w="0" w:type="dxa"/>
          <w:right w:w="108" w:type="dxa"/>
        </w:tblCellMar>
      </w:tblPr>
      <w:tblGrid>
        <w:gridCol w:w="636"/>
        <w:gridCol w:w="1929"/>
        <w:gridCol w:w="1691"/>
        <w:gridCol w:w="1056"/>
        <w:gridCol w:w="958"/>
        <w:gridCol w:w="987"/>
        <w:gridCol w:w="959"/>
      </w:tblGrid>
      <w:tr w14:paraId="12137063">
        <w:tblPrEx>
          <w:tblCellMar>
            <w:top w:w="0" w:type="dxa"/>
            <w:left w:w="108" w:type="dxa"/>
            <w:bottom w:w="0" w:type="dxa"/>
            <w:right w:w="108" w:type="dxa"/>
          </w:tblCellMar>
        </w:tblPrEx>
        <w:trPr>
          <w:trHeight w:val="46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25E3F">
            <w:pPr>
              <w:textAlignment w:val="center"/>
              <w:rPr>
                <w:rFonts w:hint="eastAsia" w:ascii="宋体" w:hAnsi="宋体" w:cs="宋体"/>
                <w:color w:val="auto"/>
                <w:highlight w:val="none"/>
                <w:lang w:bidi="ar"/>
              </w:rPr>
            </w:pPr>
            <w:r>
              <w:rPr>
                <w:rFonts w:hint="eastAsia" w:ascii="宋体" w:hAnsi="宋体" w:cs="宋体"/>
                <w:color w:val="auto"/>
                <w:highlight w:val="none"/>
                <w:lang w:bidi="ar"/>
              </w:rPr>
              <w:t>序号</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65142">
            <w:pPr>
              <w:jc w:val="center"/>
              <w:textAlignment w:val="center"/>
              <w:rPr>
                <w:rFonts w:hint="eastAsia" w:ascii="宋体" w:hAnsi="宋体" w:cs="宋体"/>
                <w:color w:val="auto"/>
                <w:highlight w:val="none"/>
                <w:lang w:bidi="ar"/>
              </w:rPr>
            </w:pPr>
            <w:r>
              <w:rPr>
                <w:rFonts w:hint="eastAsia" w:ascii="宋体" w:hAnsi="宋体" w:cs="宋体"/>
                <w:color w:val="auto"/>
                <w:highlight w:val="none"/>
                <w:lang w:bidi="ar"/>
              </w:rPr>
              <w:t>检测项目</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81790">
            <w:pPr>
              <w:jc w:val="center"/>
              <w:textAlignment w:val="center"/>
              <w:rPr>
                <w:rFonts w:hint="eastAsia" w:ascii="宋体" w:hAnsi="宋体" w:cs="宋体"/>
                <w:color w:val="auto"/>
                <w:highlight w:val="none"/>
                <w:lang w:bidi="ar"/>
              </w:rPr>
            </w:pPr>
            <w:r>
              <w:rPr>
                <w:rFonts w:hint="eastAsia" w:ascii="宋体" w:hAnsi="宋体" w:cs="宋体"/>
                <w:color w:val="auto"/>
                <w:highlight w:val="none"/>
                <w:lang w:bidi="ar"/>
              </w:rPr>
              <w:t>检测内容</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CB538">
            <w:pPr>
              <w:jc w:val="center"/>
              <w:textAlignment w:val="center"/>
              <w:rPr>
                <w:rFonts w:hint="eastAsia" w:ascii="宋体" w:hAnsi="宋体" w:eastAsia="宋体" w:cs="宋体"/>
                <w:color w:val="auto"/>
                <w:highlight w:val="none"/>
                <w:lang w:eastAsia="zh-CN" w:bidi="ar"/>
              </w:rPr>
            </w:pPr>
            <w:r>
              <w:rPr>
                <w:rFonts w:hint="eastAsia" w:ascii="宋体" w:hAnsi="宋体" w:cs="宋体"/>
                <w:color w:val="auto"/>
                <w:highlight w:val="none"/>
                <w:lang w:val="en-US" w:eastAsia="zh-CN" w:bidi="ar"/>
              </w:rPr>
              <w:t>数量</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1113D">
            <w:pPr>
              <w:jc w:val="center"/>
              <w:textAlignment w:val="center"/>
              <w:rPr>
                <w:rFonts w:hint="eastAsia" w:ascii="宋体" w:hAnsi="宋体" w:cs="宋体"/>
                <w:color w:val="auto"/>
                <w:highlight w:val="none"/>
                <w:lang w:bidi="ar"/>
              </w:rPr>
            </w:pPr>
            <w:r>
              <w:rPr>
                <w:rFonts w:hint="eastAsia" w:ascii="宋体" w:hAnsi="宋体" w:cs="宋体"/>
                <w:color w:val="auto"/>
                <w:highlight w:val="none"/>
                <w:lang w:val="en-US" w:eastAsia="zh-CN" w:bidi="ar"/>
              </w:rPr>
              <w:t>单位</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F4094">
            <w:pPr>
              <w:jc w:val="center"/>
              <w:textAlignment w:val="center"/>
              <w:rPr>
                <w:rFonts w:hint="eastAsia" w:ascii="宋体" w:hAnsi="宋体" w:cs="宋体"/>
                <w:color w:val="auto"/>
                <w:highlight w:val="none"/>
                <w:lang w:bidi="ar"/>
              </w:rPr>
            </w:pPr>
            <w:r>
              <w:rPr>
                <w:rFonts w:hint="eastAsia" w:ascii="宋体" w:hAnsi="宋体" w:cs="宋体"/>
                <w:color w:val="auto"/>
                <w:highlight w:val="none"/>
                <w:lang w:bidi="ar"/>
              </w:rPr>
              <w:t>单价</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D4B6D">
            <w:pPr>
              <w:jc w:val="center"/>
              <w:textAlignment w:val="center"/>
              <w:rPr>
                <w:rFonts w:hint="eastAsia" w:ascii="宋体" w:hAnsi="宋体" w:cs="宋体"/>
                <w:color w:val="auto"/>
                <w:highlight w:val="none"/>
                <w:lang w:bidi="ar"/>
              </w:rPr>
            </w:pPr>
            <w:r>
              <w:rPr>
                <w:rFonts w:hint="eastAsia" w:ascii="宋体" w:hAnsi="宋体" w:cs="宋体"/>
                <w:color w:val="auto"/>
                <w:highlight w:val="none"/>
                <w:lang w:bidi="ar"/>
              </w:rPr>
              <w:t>金额</w:t>
            </w:r>
          </w:p>
        </w:tc>
      </w:tr>
      <w:tr w14:paraId="7AE6090E">
        <w:tblPrEx>
          <w:tblCellMar>
            <w:top w:w="0" w:type="dxa"/>
            <w:left w:w="108" w:type="dxa"/>
            <w:bottom w:w="0" w:type="dxa"/>
            <w:right w:w="108" w:type="dxa"/>
          </w:tblCellMar>
        </w:tblPrEx>
        <w:trPr>
          <w:trHeight w:val="46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B4D00">
            <w:pPr>
              <w:jc w:val="center"/>
              <w:textAlignment w:val="center"/>
              <w:rPr>
                <w:rFonts w:hint="eastAsia" w:ascii="宋体" w:hAnsi="宋体" w:cs="宋体"/>
                <w:b/>
                <w:bCs/>
                <w:color w:val="auto"/>
                <w:highlight w:val="none"/>
                <w:lang w:bidi="ar"/>
              </w:rPr>
            </w:pPr>
            <w:r>
              <w:rPr>
                <w:rFonts w:hint="eastAsia" w:ascii="宋体" w:hAnsi="宋体" w:cs="宋体"/>
                <w:b/>
                <w:bCs/>
                <w:color w:val="auto"/>
                <w:highlight w:val="none"/>
                <w:lang w:bidi="ar"/>
              </w:rPr>
              <w:t>⑴</w:t>
            </w:r>
          </w:p>
        </w:tc>
        <w:tc>
          <w:tcPr>
            <w:tcW w:w="757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855B3F8">
            <w:pPr>
              <w:jc w:val="left"/>
              <w:textAlignment w:val="center"/>
              <w:rPr>
                <w:rFonts w:hint="eastAsia" w:ascii="宋体" w:hAnsi="宋体" w:cs="宋体"/>
                <w:b/>
                <w:bCs/>
                <w:color w:val="auto"/>
                <w:highlight w:val="none"/>
                <w:lang w:bidi="ar"/>
              </w:rPr>
            </w:pPr>
            <w:r>
              <w:rPr>
                <w:rFonts w:hint="eastAsia" w:ascii="宋体" w:hAnsi="宋体" w:cs="宋体"/>
                <w:b/>
                <w:bCs/>
                <w:color w:val="auto"/>
                <w:highlight w:val="none"/>
                <w:lang w:bidi="ar"/>
              </w:rPr>
              <w:t>桥梁检测</w:t>
            </w:r>
          </w:p>
        </w:tc>
      </w:tr>
      <w:tr w14:paraId="2A0A9BF1">
        <w:tblPrEx>
          <w:tblCellMar>
            <w:top w:w="0" w:type="dxa"/>
            <w:left w:w="108" w:type="dxa"/>
            <w:bottom w:w="0" w:type="dxa"/>
            <w:right w:w="108" w:type="dxa"/>
          </w:tblCellMar>
        </w:tblPrEx>
        <w:trPr>
          <w:trHeight w:val="460" w:hRule="atLeast"/>
        </w:trPr>
        <w:tc>
          <w:tcPr>
            <w:tcW w:w="639" w:type="dxa"/>
            <w:vMerge w:val="restart"/>
            <w:tcBorders>
              <w:top w:val="single" w:color="000000" w:sz="4" w:space="0"/>
              <w:left w:val="single" w:color="000000" w:sz="4" w:space="0"/>
              <w:right w:val="single" w:color="000000" w:sz="4" w:space="0"/>
            </w:tcBorders>
            <w:shd w:val="clear" w:color="auto" w:fill="auto"/>
            <w:vAlign w:val="center"/>
          </w:tcPr>
          <w:p w14:paraId="65F667BA">
            <w:pPr>
              <w:widowControl/>
              <w:jc w:val="center"/>
              <w:textAlignment w:val="center"/>
              <w:rPr>
                <w:rFonts w:hint="eastAsia" w:ascii="宋体" w:hAnsi="宋体" w:cs="宋体"/>
                <w:color w:val="auto"/>
                <w:highlight w:val="none"/>
                <w:lang w:bidi="ar"/>
              </w:rPr>
            </w:pPr>
            <w:r>
              <w:rPr>
                <w:rFonts w:hint="eastAsia" w:ascii="宋体" w:hAnsi="宋体" w:cs="宋体"/>
                <w:color w:val="auto"/>
                <w:kern w:val="0"/>
                <w:szCs w:val="21"/>
                <w:highlight w:val="none"/>
                <w:lang w:bidi="ar"/>
              </w:rPr>
              <w:t>A1</w:t>
            </w:r>
          </w:p>
        </w:tc>
        <w:tc>
          <w:tcPr>
            <w:tcW w:w="1948" w:type="dxa"/>
            <w:vMerge w:val="restart"/>
            <w:tcBorders>
              <w:top w:val="single" w:color="000000" w:sz="4" w:space="0"/>
              <w:left w:val="single" w:color="000000" w:sz="4" w:space="0"/>
              <w:right w:val="single" w:color="000000" w:sz="4" w:space="0"/>
            </w:tcBorders>
            <w:shd w:val="clear" w:color="auto" w:fill="auto"/>
            <w:vAlign w:val="center"/>
          </w:tcPr>
          <w:p w14:paraId="38F63E56">
            <w:pPr>
              <w:widowControl/>
              <w:jc w:val="center"/>
              <w:textAlignment w:val="center"/>
              <w:rPr>
                <w:rFonts w:hint="eastAsia" w:ascii="宋体" w:hAnsi="宋体" w:cs="宋体"/>
                <w:color w:val="auto"/>
                <w:highlight w:val="none"/>
                <w:lang w:bidi="ar"/>
              </w:rPr>
            </w:pPr>
            <w:r>
              <w:rPr>
                <w:rFonts w:hint="eastAsia" w:ascii="宋体" w:hAnsi="宋体" w:cs="宋体"/>
                <w:color w:val="auto"/>
                <w:kern w:val="0"/>
                <w:szCs w:val="21"/>
                <w:highlight w:val="none"/>
                <w:lang w:bidi="ar"/>
              </w:rPr>
              <w:t>桥梁外观</w:t>
            </w:r>
            <w:r>
              <w:rPr>
                <w:rFonts w:hint="eastAsia" w:ascii="宋体" w:hAnsi="宋体" w:cs="宋体"/>
                <w:color w:val="auto"/>
                <w:kern w:val="0"/>
                <w:szCs w:val="21"/>
                <w:highlight w:val="none"/>
                <w:lang w:eastAsia="zh-CN" w:bidi="ar"/>
              </w:rPr>
              <w:t>检测</w:t>
            </w:r>
            <w:r>
              <w:rPr>
                <w:rFonts w:hint="eastAsia" w:ascii="宋体" w:hAnsi="宋体" w:cs="宋体"/>
                <w:color w:val="auto"/>
                <w:kern w:val="0"/>
                <w:szCs w:val="21"/>
                <w:highlight w:val="none"/>
                <w:lang w:bidi="ar"/>
              </w:rPr>
              <w:t>及技术状况评定</w:t>
            </w:r>
            <w:r>
              <w:rPr>
                <w:rFonts w:hint="eastAsia" w:ascii="宋体" w:hAnsi="宋体" w:cs="宋体"/>
                <w:color w:val="auto"/>
                <w:kern w:val="0"/>
                <w:szCs w:val="21"/>
                <w:highlight w:val="none"/>
                <w:lang w:eastAsia="zh-CN" w:bidi="ar"/>
              </w:rPr>
              <w:t>、编制</w:t>
            </w:r>
            <w:r>
              <w:rPr>
                <w:rFonts w:hint="eastAsia" w:ascii="宋体" w:hAnsi="宋体" w:cs="宋体"/>
                <w:color w:val="auto"/>
                <w:sz w:val="21"/>
                <w:szCs w:val="21"/>
                <w:highlight w:val="none"/>
              </w:rPr>
              <w:t>桥梁结构荷载</w:t>
            </w:r>
            <w:r>
              <w:rPr>
                <w:rFonts w:hint="eastAsia" w:ascii="宋体" w:hAnsi="宋体" w:cs="宋体"/>
                <w:color w:val="auto"/>
                <w:sz w:val="21"/>
                <w:szCs w:val="21"/>
                <w:highlight w:val="none"/>
                <w:lang w:eastAsia="zh-CN"/>
              </w:rPr>
              <w:t>验</w:t>
            </w:r>
            <w:r>
              <w:rPr>
                <w:rFonts w:hint="eastAsia" w:ascii="宋体" w:hAnsi="宋体" w:cs="宋体"/>
                <w:color w:val="auto"/>
                <w:sz w:val="21"/>
                <w:szCs w:val="21"/>
                <w:highlight w:val="none"/>
              </w:rPr>
              <w:t>算和通行评价</w:t>
            </w:r>
            <w:r>
              <w:rPr>
                <w:rFonts w:hint="eastAsia" w:ascii="宋体" w:hAnsi="宋体" w:cs="宋体"/>
                <w:color w:val="auto"/>
                <w:sz w:val="21"/>
                <w:szCs w:val="21"/>
                <w:highlight w:val="none"/>
                <w:lang w:eastAsia="zh-CN"/>
              </w:rPr>
              <w:t>、</w:t>
            </w:r>
            <w:r>
              <w:rPr>
                <w:rFonts w:hint="eastAsia" w:ascii="宋体" w:hAnsi="宋体" w:cs="宋体"/>
                <w:color w:val="auto"/>
                <w:kern w:val="0"/>
                <w:szCs w:val="21"/>
                <w:highlight w:val="none"/>
                <w:lang w:eastAsia="zh-CN" w:bidi="ar"/>
              </w:rPr>
              <w:t>定检桥梁总报告和科学决策报告</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23512">
            <w:pPr>
              <w:widowControl/>
              <w:jc w:val="center"/>
              <w:textAlignment w:val="center"/>
              <w:rPr>
                <w:rFonts w:hint="eastAsia" w:ascii="宋体" w:hAnsi="宋体" w:cs="宋体"/>
                <w:color w:val="auto"/>
                <w:highlight w:val="none"/>
                <w:lang w:bidi="ar"/>
              </w:rPr>
            </w:pPr>
            <w:r>
              <w:rPr>
                <w:rFonts w:hint="eastAsia" w:ascii="宋体" w:hAnsi="宋体" w:cs="宋体"/>
                <w:color w:val="auto"/>
                <w:kern w:val="0"/>
                <w:szCs w:val="21"/>
                <w:highlight w:val="none"/>
                <w:lang w:bidi="ar"/>
              </w:rPr>
              <w:t>梁桥</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AC67D">
            <w:pPr>
              <w:widowControl/>
              <w:jc w:val="center"/>
              <w:textAlignment w:val="center"/>
              <w:rPr>
                <w:rFonts w:hint="eastAsia" w:ascii="宋体" w:hAnsi="宋体" w:cs="宋体"/>
                <w:color w:val="auto"/>
                <w:highlight w:val="none"/>
                <w:lang w:bidi="ar"/>
              </w:rPr>
            </w:pPr>
            <w:r>
              <w:rPr>
                <w:rFonts w:hint="eastAsia" w:ascii="宋体" w:hAnsi="宋体" w:cs="宋体"/>
                <w:color w:val="auto"/>
                <w:szCs w:val="21"/>
                <w:highlight w:val="none"/>
                <w:lang w:val="en-US" w:eastAsia="zh-CN"/>
              </w:rPr>
              <w:t>18097.74</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D5FCF">
            <w:pPr>
              <w:widowControl/>
              <w:jc w:val="center"/>
              <w:textAlignment w:val="center"/>
              <w:rPr>
                <w:rFonts w:hint="eastAsia" w:ascii="宋体" w:hAnsi="宋体" w:cs="宋体"/>
                <w:color w:val="auto"/>
                <w:highlight w:val="none"/>
                <w:lang w:bidi="ar"/>
              </w:rPr>
            </w:pPr>
            <w:r>
              <w:rPr>
                <w:rFonts w:hint="eastAsia" w:ascii="宋体" w:hAnsi="宋体" w:cs="宋体"/>
                <w:color w:val="auto"/>
                <w:kern w:val="0"/>
                <w:szCs w:val="21"/>
                <w:highlight w:val="none"/>
                <w:lang w:bidi="ar"/>
              </w:rPr>
              <w:t>米</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15D18">
            <w:pPr>
              <w:jc w:val="center"/>
              <w:textAlignment w:val="center"/>
              <w:rPr>
                <w:rFonts w:hint="eastAsia" w:ascii="宋体" w:hAnsi="宋体" w:cs="宋体"/>
                <w:color w:val="auto"/>
                <w:highlight w:val="none"/>
                <w:lang w:bidi="ar"/>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D33D8">
            <w:pPr>
              <w:jc w:val="center"/>
              <w:textAlignment w:val="center"/>
              <w:rPr>
                <w:rFonts w:hint="eastAsia" w:ascii="宋体" w:hAnsi="宋体" w:cs="宋体"/>
                <w:color w:val="auto"/>
                <w:highlight w:val="none"/>
                <w:lang w:bidi="ar"/>
              </w:rPr>
            </w:pPr>
          </w:p>
        </w:tc>
      </w:tr>
      <w:tr w14:paraId="60CD4F83">
        <w:tblPrEx>
          <w:tblCellMar>
            <w:top w:w="0" w:type="dxa"/>
            <w:left w:w="108" w:type="dxa"/>
            <w:bottom w:w="0" w:type="dxa"/>
            <w:right w:w="108" w:type="dxa"/>
          </w:tblCellMar>
        </w:tblPrEx>
        <w:trPr>
          <w:trHeight w:val="849" w:hRule="atLeast"/>
        </w:trPr>
        <w:tc>
          <w:tcPr>
            <w:tcW w:w="639" w:type="dxa"/>
            <w:vMerge w:val="continue"/>
            <w:tcBorders>
              <w:left w:val="single" w:color="000000" w:sz="4" w:space="0"/>
              <w:bottom w:val="single" w:color="000000" w:sz="4" w:space="0"/>
              <w:right w:val="single" w:color="000000" w:sz="4" w:space="0"/>
            </w:tcBorders>
            <w:shd w:val="clear" w:color="auto" w:fill="auto"/>
            <w:vAlign w:val="center"/>
          </w:tcPr>
          <w:p w14:paraId="740D4869">
            <w:pPr>
              <w:jc w:val="center"/>
              <w:textAlignment w:val="center"/>
              <w:rPr>
                <w:rFonts w:hint="eastAsia" w:ascii="宋体" w:hAnsi="宋体" w:cs="宋体"/>
                <w:color w:val="auto"/>
                <w:highlight w:val="none"/>
                <w:lang w:bidi="ar"/>
              </w:rPr>
            </w:pPr>
          </w:p>
        </w:tc>
        <w:tc>
          <w:tcPr>
            <w:tcW w:w="1948" w:type="dxa"/>
            <w:vMerge w:val="continue"/>
            <w:tcBorders>
              <w:left w:val="single" w:color="000000" w:sz="4" w:space="0"/>
              <w:bottom w:val="single" w:color="000000" w:sz="4" w:space="0"/>
              <w:right w:val="single" w:color="000000" w:sz="4" w:space="0"/>
            </w:tcBorders>
            <w:shd w:val="clear" w:color="auto" w:fill="auto"/>
            <w:vAlign w:val="center"/>
          </w:tcPr>
          <w:p w14:paraId="3C9FD882">
            <w:pPr>
              <w:jc w:val="center"/>
              <w:rPr>
                <w:rFonts w:hint="eastAsia" w:ascii="宋体" w:hAnsi="宋体" w:cs="宋体"/>
                <w:color w:val="auto"/>
                <w:highlight w:val="none"/>
                <w:lang w:bidi="ar"/>
              </w:rPr>
            </w:pP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1D083">
            <w:pPr>
              <w:widowControl/>
              <w:jc w:val="center"/>
              <w:textAlignment w:val="center"/>
              <w:rPr>
                <w:rFonts w:hint="eastAsia" w:ascii="宋体" w:hAnsi="宋体" w:cs="宋体"/>
                <w:color w:val="auto"/>
                <w:highlight w:val="none"/>
                <w:lang w:bidi="ar"/>
              </w:rPr>
            </w:pPr>
            <w:r>
              <w:rPr>
                <w:rFonts w:hint="eastAsia" w:ascii="宋体" w:hAnsi="宋体" w:cs="宋体"/>
                <w:color w:val="auto"/>
                <w:kern w:val="0"/>
                <w:szCs w:val="21"/>
                <w:highlight w:val="none"/>
                <w:lang w:bidi="ar"/>
              </w:rPr>
              <w:t>拱桥</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910E7">
            <w:pPr>
              <w:widowControl/>
              <w:jc w:val="center"/>
              <w:textAlignment w:val="center"/>
              <w:rPr>
                <w:rFonts w:hint="eastAsia" w:ascii="宋体" w:hAnsi="宋体" w:cs="宋体"/>
                <w:color w:val="auto"/>
                <w:highlight w:val="none"/>
                <w:lang w:bidi="ar"/>
              </w:rPr>
            </w:pPr>
            <w:r>
              <w:rPr>
                <w:rFonts w:hint="eastAsia" w:ascii="宋体" w:hAnsi="宋体" w:cs="宋体"/>
                <w:color w:val="auto"/>
                <w:szCs w:val="21"/>
                <w:highlight w:val="none"/>
                <w:lang w:val="en-US" w:eastAsia="zh-CN"/>
              </w:rPr>
              <w:t>3223.06</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A2331">
            <w:pPr>
              <w:widowControl/>
              <w:jc w:val="center"/>
              <w:textAlignment w:val="center"/>
              <w:rPr>
                <w:rFonts w:hint="eastAsia" w:ascii="宋体" w:hAnsi="宋体" w:cs="宋体"/>
                <w:color w:val="auto"/>
                <w:highlight w:val="none"/>
                <w:lang w:bidi="ar"/>
              </w:rPr>
            </w:pPr>
            <w:r>
              <w:rPr>
                <w:rFonts w:hint="eastAsia" w:ascii="宋体" w:hAnsi="宋体" w:cs="宋体"/>
                <w:color w:val="auto"/>
                <w:kern w:val="0"/>
                <w:szCs w:val="21"/>
                <w:highlight w:val="none"/>
                <w:lang w:bidi="ar"/>
              </w:rPr>
              <w:t>米</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4EE42">
            <w:pPr>
              <w:jc w:val="center"/>
              <w:textAlignment w:val="center"/>
              <w:rPr>
                <w:rFonts w:hint="eastAsia" w:ascii="宋体" w:hAnsi="宋体" w:cs="宋体"/>
                <w:color w:val="auto"/>
                <w:highlight w:val="none"/>
                <w:lang w:bidi="ar"/>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5438E">
            <w:pPr>
              <w:jc w:val="center"/>
              <w:textAlignment w:val="center"/>
              <w:rPr>
                <w:rFonts w:hint="eastAsia" w:ascii="宋体" w:hAnsi="宋体" w:cs="宋体"/>
                <w:color w:val="auto"/>
                <w:highlight w:val="none"/>
                <w:lang w:bidi="ar"/>
              </w:rPr>
            </w:pPr>
          </w:p>
        </w:tc>
      </w:tr>
      <w:tr w14:paraId="47A53B4E">
        <w:tblPrEx>
          <w:tblCellMar>
            <w:top w:w="0" w:type="dxa"/>
            <w:left w:w="108" w:type="dxa"/>
            <w:bottom w:w="0" w:type="dxa"/>
            <w:right w:w="108" w:type="dxa"/>
          </w:tblCellMar>
        </w:tblPrEx>
        <w:trPr>
          <w:trHeight w:val="46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045E2">
            <w:pPr>
              <w:widowControl/>
              <w:jc w:val="center"/>
              <w:textAlignment w:val="center"/>
              <w:rPr>
                <w:rFonts w:hint="eastAsia" w:ascii="宋体" w:hAnsi="宋体" w:cs="宋体"/>
                <w:color w:val="auto"/>
                <w:highlight w:val="none"/>
                <w:lang w:bidi="ar"/>
              </w:rPr>
            </w:pPr>
            <w:r>
              <w:rPr>
                <w:rFonts w:hint="eastAsia" w:ascii="宋体" w:hAnsi="宋体" w:cs="宋体"/>
                <w:color w:val="auto"/>
                <w:kern w:val="0"/>
                <w:szCs w:val="21"/>
                <w:highlight w:val="none"/>
                <w:lang w:bidi="ar"/>
              </w:rPr>
              <w:t>A2</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5BB27">
            <w:pPr>
              <w:widowControl/>
              <w:jc w:val="center"/>
              <w:textAlignment w:val="center"/>
              <w:rPr>
                <w:rFonts w:hint="eastAsia" w:ascii="宋体" w:hAnsi="宋体" w:cs="宋体"/>
                <w:color w:val="auto"/>
                <w:highlight w:val="none"/>
                <w:lang w:bidi="ar"/>
              </w:rPr>
            </w:pPr>
            <w:r>
              <w:rPr>
                <w:rFonts w:hint="eastAsia" w:ascii="宋体" w:hAnsi="宋体" w:cs="宋体"/>
                <w:color w:val="auto"/>
                <w:kern w:val="0"/>
                <w:szCs w:val="21"/>
                <w:highlight w:val="none"/>
                <w:lang w:bidi="ar"/>
              </w:rPr>
              <w:t>永久观测点测设</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9AF06">
            <w:pPr>
              <w:widowControl/>
              <w:jc w:val="center"/>
              <w:textAlignment w:val="center"/>
              <w:rPr>
                <w:rFonts w:hint="eastAsia" w:ascii="宋体" w:hAnsi="宋体" w:cs="宋体"/>
                <w:color w:val="auto"/>
                <w:highlight w:val="none"/>
                <w:lang w:bidi="ar"/>
              </w:rPr>
            </w:pPr>
            <w:r>
              <w:rPr>
                <w:rFonts w:hint="eastAsia" w:ascii="宋体" w:hAnsi="宋体" w:cs="宋体"/>
                <w:color w:val="auto"/>
                <w:kern w:val="0"/>
                <w:szCs w:val="21"/>
                <w:highlight w:val="none"/>
                <w:lang w:bidi="ar"/>
              </w:rPr>
              <w:t>单孔跨径不小于60m桥梁</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C2337">
            <w:pPr>
              <w:widowControl/>
              <w:jc w:val="center"/>
              <w:textAlignment w:val="center"/>
              <w:rPr>
                <w:rFonts w:hint="eastAsia" w:ascii="宋体" w:hAnsi="宋体" w:cs="宋体"/>
                <w:color w:val="auto"/>
                <w:highlight w:val="none"/>
                <w:lang w:bidi="ar"/>
              </w:rPr>
            </w:pPr>
            <w:r>
              <w:rPr>
                <w:rFonts w:hint="eastAsia" w:ascii="宋体" w:hAnsi="宋体" w:cs="宋体"/>
                <w:color w:val="auto"/>
                <w:szCs w:val="21"/>
                <w:highlight w:val="none"/>
                <w:lang w:val="en-US" w:eastAsia="zh-CN"/>
              </w:rPr>
              <w:t>1363</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FCAFF">
            <w:pPr>
              <w:widowControl/>
              <w:jc w:val="center"/>
              <w:textAlignment w:val="center"/>
              <w:rPr>
                <w:rFonts w:hint="eastAsia" w:ascii="宋体" w:hAnsi="宋体" w:cs="宋体"/>
                <w:color w:val="auto"/>
                <w:highlight w:val="none"/>
                <w:lang w:bidi="ar"/>
              </w:rPr>
            </w:pPr>
            <w:r>
              <w:rPr>
                <w:rFonts w:hint="eastAsia" w:ascii="宋体" w:hAnsi="宋体" w:cs="宋体"/>
                <w:color w:val="auto"/>
                <w:kern w:val="0"/>
                <w:szCs w:val="21"/>
                <w:highlight w:val="none"/>
                <w:lang w:bidi="ar"/>
              </w:rPr>
              <w:t>点</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B868E">
            <w:pPr>
              <w:jc w:val="center"/>
              <w:textAlignment w:val="center"/>
              <w:rPr>
                <w:rFonts w:hint="eastAsia" w:ascii="宋体" w:hAnsi="宋体" w:cs="宋体"/>
                <w:color w:val="auto"/>
                <w:highlight w:val="none"/>
                <w:lang w:bidi="ar"/>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5E168">
            <w:pPr>
              <w:jc w:val="center"/>
              <w:textAlignment w:val="center"/>
              <w:rPr>
                <w:rFonts w:hint="eastAsia" w:ascii="宋体" w:hAnsi="宋体" w:cs="宋体"/>
                <w:color w:val="auto"/>
                <w:highlight w:val="none"/>
                <w:lang w:bidi="ar"/>
              </w:rPr>
            </w:pPr>
          </w:p>
        </w:tc>
      </w:tr>
      <w:tr w14:paraId="2285C0BA">
        <w:tblPrEx>
          <w:tblCellMar>
            <w:top w:w="0" w:type="dxa"/>
            <w:left w:w="108" w:type="dxa"/>
            <w:bottom w:w="0" w:type="dxa"/>
            <w:right w:w="108" w:type="dxa"/>
          </w:tblCellMar>
        </w:tblPrEx>
        <w:trPr>
          <w:trHeight w:val="46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10816">
            <w:pPr>
              <w:widowControl/>
              <w:jc w:val="center"/>
              <w:textAlignment w:val="center"/>
              <w:rPr>
                <w:rFonts w:hint="eastAsia" w:ascii="宋体" w:hAnsi="宋体" w:cs="宋体"/>
                <w:color w:val="auto"/>
                <w:highlight w:val="none"/>
                <w:lang w:bidi="ar"/>
              </w:rPr>
            </w:pPr>
            <w:r>
              <w:rPr>
                <w:rFonts w:hint="eastAsia" w:ascii="宋体" w:hAnsi="宋体" w:cs="宋体"/>
                <w:color w:val="auto"/>
                <w:kern w:val="0"/>
                <w:szCs w:val="21"/>
                <w:highlight w:val="none"/>
                <w:lang w:bidi="ar"/>
              </w:rPr>
              <w:t>A3</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00B48">
            <w:pPr>
              <w:widowControl/>
              <w:jc w:val="center"/>
              <w:textAlignment w:val="center"/>
              <w:rPr>
                <w:rFonts w:hint="eastAsia" w:ascii="宋体" w:hAnsi="宋体" w:cs="宋体"/>
                <w:color w:val="auto"/>
                <w:highlight w:val="none"/>
                <w:lang w:bidi="ar"/>
              </w:rPr>
            </w:pPr>
            <w:r>
              <w:rPr>
                <w:rFonts w:hint="eastAsia" w:ascii="宋体" w:hAnsi="宋体" w:cs="宋体"/>
                <w:color w:val="auto"/>
                <w:kern w:val="0"/>
                <w:szCs w:val="21"/>
                <w:highlight w:val="none"/>
                <w:lang w:bidi="ar"/>
              </w:rPr>
              <w:t>水中结构</w:t>
            </w:r>
            <w:r>
              <w:rPr>
                <w:rFonts w:hint="eastAsia" w:ascii="宋体" w:hAnsi="宋体" w:cs="宋体"/>
                <w:color w:val="auto"/>
                <w:kern w:val="0"/>
                <w:szCs w:val="21"/>
                <w:highlight w:val="none"/>
                <w:lang w:eastAsia="zh-CN" w:bidi="ar"/>
              </w:rPr>
              <w:t>检查</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DBA74">
            <w:pPr>
              <w:widowControl/>
              <w:jc w:val="center"/>
              <w:textAlignment w:val="center"/>
              <w:rPr>
                <w:rFonts w:hint="eastAsia" w:ascii="宋体" w:hAnsi="宋体" w:cs="宋体"/>
                <w:color w:val="auto"/>
                <w:highlight w:val="none"/>
                <w:lang w:bidi="ar"/>
              </w:rPr>
            </w:pPr>
            <w:r>
              <w:rPr>
                <w:rFonts w:hint="eastAsia" w:ascii="宋体" w:hAnsi="宋体" w:cs="宋体"/>
                <w:color w:val="auto"/>
                <w:kern w:val="0"/>
                <w:szCs w:val="21"/>
                <w:highlight w:val="none"/>
                <w:lang w:bidi="ar"/>
              </w:rPr>
              <w:t>水中墩、台</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699D4">
            <w:pPr>
              <w:widowControl/>
              <w:jc w:val="center"/>
              <w:textAlignment w:val="center"/>
              <w:rPr>
                <w:rFonts w:hint="eastAsia" w:ascii="宋体" w:hAnsi="宋体" w:cs="宋体"/>
                <w:color w:val="auto"/>
                <w:highlight w:val="none"/>
                <w:lang w:bidi="ar"/>
              </w:rPr>
            </w:pPr>
            <w:r>
              <w:rPr>
                <w:rFonts w:hint="eastAsia" w:ascii="宋体" w:hAnsi="宋体" w:cs="宋体"/>
                <w:color w:val="auto"/>
                <w:szCs w:val="21"/>
                <w:highlight w:val="none"/>
                <w:lang w:val="en-US" w:eastAsia="zh-CN"/>
              </w:rPr>
              <w:t>61</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841DE">
            <w:pPr>
              <w:widowControl/>
              <w:jc w:val="center"/>
              <w:textAlignment w:val="center"/>
              <w:rPr>
                <w:rFonts w:hint="eastAsia" w:ascii="宋体" w:hAnsi="宋体" w:cs="宋体"/>
                <w:color w:val="auto"/>
                <w:highlight w:val="none"/>
                <w:lang w:bidi="ar"/>
              </w:rPr>
            </w:pPr>
            <w:r>
              <w:rPr>
                <w:rFonts w:hint="eastAsia" w:ascii="宋体" w:hAnsi="宋体" w:cs="宋体"/>
                <w:color w:val="auto"/>
                <w:kern w:val="0"/>
                <w:szCs w:val="21"/>
                <w:highlight w:val="none"/>
                <w:lang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3B231">
            <w:pPr>
              <w:jc w:val="center"/>
              <w:textAlignment w:val="center"/>
              <w:rPr>
                <w:rFonts w:hint="eastAsia" w:ascii="宋体" w:hAnsi="宋体" w:cs="宋体"/>
                <w:color w:val="auto"/>
                <w:highlight w:val="none"/>
                <w:lang w:bidi="ar"/>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80C1E">
            <w:pPr>
              <w:jc w:val="center"/>
              <w:textAlignment w:val="center"/>
              <w:rPr>
                <w:rFonts w:hint="eastAsia" w:ascii="宋体" w:hAnsi="宋体" w:cs="宋体"/>
                <w:color w:val="auto"/>
                <w:highlight w:val="none"/>
                <w:lang w:bidi="ar"/>
              </w:rPr>
            </w:pPr>
          </w:p>
        </w:tc>
      </w:tr>
      <w:tr w14:paraId="195D249B">
        <w:tblPrEx>
          <w:tblCellMar>
            <w:top w:w="0" w:type="dxa"/>
            <w:left w:w="108" w:type="dxa"/>
            <w:bottom w:w="0" w:type="dxa"/>
            <w:right w:w="108" w:type="dxa"/>
          </w:tblCellMar>
        </w:tblPrEx>
        <w:trPr>
          <w:trHeight w:val="658"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F73B8">
            <w:pPr>
              <w:widowControl/>
              <w:jc w:val="center"/>
              <w:textAlignment w:val="center"/>
              <w:rPr>
                <w:rFonts w:hint="eastAsia" w:ascii="宋体" w:hAnsi="宋体" w:cs="宋体"/>
                <w:color w:val="auto"/>
                <w:highlight w:val="none"/>
                <w:lang w:bidi="ar"/>
              </w:rPr>
            </w:pPr>
            <w:r>
              <w:rPr>
                <w:rFonts w:hint="eastAsia" w:ascii="宋体" w:hAnsi="宋体" w:cs="宋体"/>
                <w:color w:val="auto"/>
                <w:kern w:val="0"/>
                <w:szCs w:val="21"/>
                <w:highlight w:val="none"/>
                <w:lang w:bidi="ar"/>
              </w:rPr>
              <w:t>A4</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70CA6">
            <w:pPr>
              <w:keepNext w:val="0"/>
              <w:keepLines w:val="0"/>
              <w:widowControl/>
              <w:suppressLineNumbers w:val="0"/>
              <w:jc w:val="center"/>
              <w:textAlignment w:val="center"/>
              <w:rPr>
                <w:rFonts w:hint="eastAsia" w:ascii="宋体" w:hAnsi="宋体" w:cs="宋体"/>
                <w:color w:val="auto"/>
                <w:highlight w:val="none"/>
                <w:lang w:bidi="ar"/>
              </w:rPr>
            </w:pPr>
            <w:r>
              <w:rPr>
                <w:rFonts w:hint="eastAsia" w:ascii="Times New Roman" w:hAnsi="Times New Roman" w:eastAsia="宋体" w:cs="Times New Roman"/>
                <w:i w:val="0"/>
                <w:iCs w:val="0"/>
                <w:color w:val="auto"/>
                <w:sz w:val="21"/>
                <w:szCs w:val="21"/>
                <w:highlight w:val="none"/>
                <w:u w:val="none"/>
                <w:lang w:eastAsia="zh-CN"/>
              </w:rPr>
              <w:t>设置涉水桥梁防洪标识，编制涉水桥梁防洪标识设置报告</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CF5A0">
            <w:pPr>
              <w:keepNext w:val="0"/>
              <w:keepLines w:val="0"/>
              <w:widowControl/>
              <w:suppressLineNumbers w:val="0"/>
              <w:jc w:val="center"/>
              <w:textAlignment w:val="center"/>
              <w:rPr>
                <w:rFonts w:hint="eastAsia" w:ascii="宋体" w:hAnsi="宋体" w:cs="宋体"/>
                <w:color w:val="auto"/>
                <w:highlight w:val="none"/>
                <w:lang w:bidi="ar"/>
              </w:rPr>
            </w:pPr>
            <w:r>
              <w:rPr>
                <w:rFonts w:hint="eastAsia" w:ascii="Times New Roman" w:hAnsi="Times New Roman" w:eastAsia="宋体" w:cs="Times New Roman"/>
                <w:i w:val="0"/>
                <w:iCs w:val="0"/>
                <w:color w:val="auto"/>
                <w:kern w:val="0"/>
                <w:sz w:val="21"/>
                <w:szCs w:val="21"/>
                <w:highlight w:val="none"/>
                <w:u w:val="none"/>
                <w:lang w:val="en-US" w:eastAsia="zh-CN" w:bidi="ar"/>
              </w:rPr>
              <w:t>涉水</w:t>
            </w:r>
            <w:r>
              <w:rPr>
                <w:rFonts w:hint="default" w:ascii="Times New Roman" w:hAnsi="Times New Roman" w:eastAsia="宋体" w:cs="Times New Roman"/>
                <w:i w:val="0"/>
                <w:iCs w:val="0"/>
                <w:color w:val="auto"/>
                <w:kern w:val="0"/>
                <w:sz w:val="21"/>
                <w:szCs w:val="21"/>
                <w:highlight w:val="none"/>
                <w:u w:val="none"/>
                <w:lang w:val="en-US" w:eastAsia="zh-CN" w:bidi="ar"/>
              </w:rPr>
              <w:t>桥</w:t>
            </w:r>
            <w:r>
              <w:rPr>
                <w:rFonts w:hint="eastAsia" w:ascii="Times New Roman" w:hAnsi="Times New Roman" w:eastAsia="宋体" w:cs="Times New Roman"/>
                <w:i w:val="0"/>
                <w:iCs w:val="0"/>
                <w:color w:val="auto"/>
                <w:kern w:val="0"/>
                <w:sz w:val="21"/>
                <w:szCs w:val="21"/>
                <w:highlight w:val="none"/>
                <w:u w:val="none"/>
                <w:lang w:val="en-US" w:eastAsia="zh-CN" w:bidi="ar"/>
              </w:rPr>
              <w:t>梁</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7E1A0">
            <w:pPr>
              <w:keepNext w:val="0"/>
              <w:keepLines w:val="0"/>
              <w:widowControl/>
              <w:suppressLineNumbers w:val="0"/>
              <w:jc w:val="center"/>
              <w:textAlignment w:val="center"/>
              <w:rPr>
                <w:rFonts w:hint="eastAsia" w:ascii="宋体" w:hAnsi="宋体" w:cs="宋体"/>
                <w:color w:val="auto"/>
                <w:highlight w:val="none"/>
                <w:lang w:bidi="ar"/>
              </w:rPr>
            </w:pPr>
            <w:r>
              <w:rPr>
                <w:rFonts w:hint="eastAsia" w:ascii="Times New Roman" w:hAnsi="Times New Roman" w:eastAsia="宋体" w:cs="Times New Roman"/>
                <w:i w:val="0"/>
                <w:iCs w:val="0"/>
                <w:color w:val="auto"/>
                <w:kern w:val="2"/>
                <w:sz w:val="21"/>
                <w:szCs w:val="21"/>
                <w:highlight w:val="none"/>
                <w:u w:val="none"/>
                <w:lang w:val="en-US" w:eastAsia="zh-CN" w:bidi="ar-SA"/>
              </w:rPr>
              <w:t>371</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7A38C">
            <w:pPr>
              <w:keepNext w:val="0"/>
              <w:keepLines w:val="0"/>
              <w:widowControl/>
              <w:suppressLineNumbers w:val="0"/>
              <w:jc w:val="center"/>
              <w:textAlignment w:val="center"/>
              <w:rPr>
                <w:rFonts w:hint="eastAsia" w:ascii="宋体" w:hAnsi="宋体" w:cs="宋体"/>
                <w:color w:val="auto"/>
                <w:highlight w:val="none"/>
                <w:lang w:bidi="ar"/>
              </w:rPr>
            </w:pPr>
            <w:r>
              <w:rPr>
                <w:rFonts w:hint="default" w:ascii="Times New Roman" w:hAnsi="Times New Roman" w:eastAsia="宋体" w:cs="Times New Roman"/>
                <w:i w:val="0"/>
                <w:iCs w:val="0"/>
                <w:color w:val="auto"/>
                <w:kern w:val="0"/>
                <w:sz w:val="21"/>
                <w:szCs w:val="21"/>
                <w:highlight w:val="none"/>
                <w:u w:val="none"/>
                <w:lang w:val="en-US" w:eastAsia="zh-CN" w:bidi="ar"/>
              </w:rPr>
              <w:t>座</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A0568">
            <w:pPr>
              <w:jc w:val="center"/>
              <w:textAlignment w:val="center"/>
              <w:rPr>
                <w:rFonts w:hint="eastAsia" w:ascii="宋体" w:hAnsi="宋体" w:cs="宋体"/>
                <w:color w:val="auto"/>
                <w:highlight w:val="none"/>
                <w:lang w:bidi="ar"/>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E2E8F">
            <w:pPr>
              <w:jc w:val="center"/>
              <w:textAlignment w:val="center"/>
              <w:rPr>
                <w:rFonts w:hint="eastAsia" w:ascii="宋体" w:hAnsi="宋体" w:cs="宋体"/>
                <w:color w:val="auto"/>
                <w:highlight w:val="none"/>
                <w:lang w:bidi="ar"/>
              </w:rPr>
            </w:pPr>
          </w:p>
        </w:tc>
      </w:tr>
      <w:tr w14:paraId="1FEB78AA">
        <w:tblPrEx>
          <w:tblCellMar>
            <w:top w:w="0" w:type="dxa"/>
            <w:left w:w="108" w:type="dxa"/>
            <w:bottom w:w="0" w:type="dxa"/>
            <w:right w:w="108" w:type="dxa"/>
          </w:tblCellMar>
        </w:tblPrEx>
        <w:trPr>
          <w:trHeight w:val="46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1FD24">
            <w:pPr>
              <w:widowControl/>
              <w:jc w:val="center"/>
              <w:textAlignment w:val="center"/>
              <w:rPr>
                <w:rFonts w:hint="eastAsia" w:ascii="宋体" w:hAnsi="宋体" w:cs="宋体"/>
                <w:color w:val="auto"/>
                <w:highlight w:val="none"/>
                <w:lang w:bidi="ar"/>
              </w:rPr>
            </w:pPr>
            <w:r>
              <w:rPr>
                <w:rFonts w:hint="eastAsia" w:ascii="宋体" w:hAnsi="宋体" w:cs="宋体"/>
                <w:color w:val="auto"/>
                <w:kern w:val="0"/>
                <w:szCs w:val="21"/>
                <w:highlight w:val="none"/>
                <w:lang w:bidi="ar"/>
              </w:rPr>
              <w:t>A5</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915B5">
            <w:pPr>
              <w:widowControl/>
              <w:jc w:val="center"/>
              <w:textAlignment w:val="center"/>
              <w:rPr>
                <w:rFonts w:hint="eastAsia" w:ascii="宋体" w:hAnsi="宋体" w:cs="宋体"/>
                <w:color w:val="auto"/>
                <w:highlight w:val="none"/>
                <w:lang w:bidi="ar"/>
              </w:rPr>
            </w:pPr>
            <w:r>
              <w:rPr>
                <w:rFonts w:hint="eastAsia" w:ascii="宋体" w:hAnsi="宋体" w:cs="宋体"/>
                <w:color w:val="auto"/>
                <w:kern w:val="0"/>
                <w:szCs w:val="21"/>
                <w:highlight w:val="none"/>
                <w:lang w:bidi="ar"/>
              </w:rPr>
              <w:t>编制</w:t>
            </w:r>
            <w:r>
              <w:rPr>
                <w:rFonts w:hint="eastAsia" w:ascii="宋体" w:hAnsi="宋体" w:cs="宋体"/>
                <w:color w:val="auto"/>
                <w:kern w:val="0"/>
                <w:szCs w:val="21"/>
                <w:highlight w:val="none"/>
                <w:lang w:eastAsia="zh-CN" w:bidi="ar"/>
              </w:rPr>
              <w:t>西江大桥运营后评估报告</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2B378">
            <w:pPr>
              <w:widowControl/>
              <w:jc w:val="center"/>
              <w:textAlignment w:val="center"/>
              <w:rPr>
                <w:rFonts w:hint="eastAsia" w:ascii="宋体" w:hAnsi="宋体" w:cs="宋体"/>
                <w:color w:val="auto"/>
                <w:highlight w:val="none"/>
                <w:lang w:bidi="ar"/>
              </w:rPr>
            </w:pPr>
            <w:r>
              <w:rPr>
                <w:rFonts w:hint="eastAsia" w:ascii="宋体" w:hAnsi="宋体" w:cs="宋体"/>
                <w:color w:val="auto"/>
                <w:kern w:val="0"/>
                <w:szCs w:val="21"/>
                <w:highlight w:val="none"/>
                <w:lang w:eastAsia="zh-CN" w:bidi="ar"/>
              </w:rPr>
              <w:t>西江大桥</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BDFF4">
            <w:pPr>
              <w:widowControl/>
              <w:jc w:val="center"/>
              <w:textAlignment w:val="center"/>
              <w:rPr>
                <w:rFonts w:hint="eastAsia" w:ascii="宋体" w:hAnsi="宋体" w:cs="宋体"/>
                <w:color w:val="auto"/>
                <w:highlight w:val="none"/>
                <w:lang w:bidi="ar"/>
              </w:rPr>
            </w:pPr>
            <w:r>
              <w:rPr>
                <w:rFonts w:hint="eastAsia" w:ascii="宋体" w:hAnsi="宋体" w:cs="宋体"/>
                <w:color w:val="auto"/>
                <w:szCs w:val="21"/>
                <w:highlight w:val="none"/>
                <w:lang w:val="en-US" w:eastAsia="zh-CN"/>
              </w:rPr>
              <w:t>1</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B79EA">
            <w:pPr>
              <w:widowControl/>
              <w:jc w:val="center"/>
              <w:textAlignment w:val="center"/>
              <w:rPr>
                <w:rFonts w:hint="eastAsia" w:ascii="宋体" w:hAnsi="宋体" w:cs="宋体"/>
                <w:color w:val="auto"/>
                <w:highlight w:val="none"/>
                <w:lang w:bidi="ar"/>
              </w:rPr>
            </w:pPr>
            <w:r>
              <w:rPr>
                <w:rFonts w:hint="eastAsia" w:ascii="宋体" w:hAnsi="宋体" w:cs="宋体"/>
                <w:color w:val="auto"/>
                <w:kern w:val="0"/>
                <w:szCs w:val="21"/>
                <w:highlight w:val="none"/>
                <w:lang w:bidi="ar"/>
              </w:rPr>
              <w:t>座</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103E3">
            <w:pPr>
              <w:jc w:val="center"/>
              <w:textAlignment w:val="center"/>
              <w:rPr>
                <w:rFonts w:hint="eastAsia" w:ascii="宋体" w:hAnsi="宋体" w:cs="宋体"/>
                <w:color w:val="auto"/>
                <w:highlight w:val="none"/>
                <w:lang w:bidi="ar"/>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EFB4C">
            <w:pPr>
              <w:jc w:val="center"/>
              <w:textAlignment w:val="center"/>
              <w:rPr>
                <w:rFonts w:hint="eastAsia" w:ascii="宋体" w:hAnsi="宋体" w:cs="宋体"/>
                <w:color w:val="auto"/>
                <w:highlight w:val="none"/>
                <w:lang w:bidi="ar"/>
              </w:rPr>
            </w:pPr>
          </w:p>
        </w:tc>
      </w:tr>
      <w:tr w14:paraId="42E042E6">
        <w:tblPrEx>
          <w:tblCellMar>
            <w:top w:w="0" w:type="dxa"/>
            <w:left w:w="108" w:type="dxa"/>
            <w:bottom w:w="0" w:type="dxa"/>
            <w:right w:w="108" w:type="dxa"/>
          </w:tblCellMar>
        </w:tblPrEx>
        <w:trPr>
          <w:trHeight w:val="460" w:hRule="atLeast"/>
        </w:trPr>
        <w:tc>
          <w:tcPr>
            <w:tcW w:w="724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780D45F">
            <w:pPr>
              <w:jc w:val="center"/>
              <w:textAlignment w:val="center"/>
              <w:rPr>
                <w:rFonts w:hint="eastAsia" w:ascii="宋体" w:hAnsi="宋体" w:cs="宋体"/>
                <w:color w:val="auto"/>
                <w:highlight w:val="none"/>
                <w:lang w:bidi="ar"/>
              </w:rPr>
            </w:pPr>
            <w:r>
              <w:rPr>
                <w:rFonts w:hint="eastAsia" w:ascii="宋体" w:hAnsi="宋体" w:cs="宋体"/>
                <w:color w:val="auto"/>
                <w:highlight w:val="none"/>
                <w:lang w:bidi="ar"/>
              </w:rPr>
              <w:t>桥梁定期检测小计</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00659">
            <w:pPr>
              <w:jc w:val="center"/>
              <w:textAlignment w:val="center"/>
              <w:rPr>
                <w:rFonts w:hint="eastAsia" w:ascii="宋体" w:hAnsi="宋体" w:cs="宋体"/>
                <w:color w:val="auto"/>
                <w:highlight w:val="none"/>
                <w:lang w:bidi="ar"/>
              </w:rPr>
            </w:pPr>
          </w:p>
        </w:tc>
      </w:tr>
      <w:tr w14:paraId="6BE368A6">
        <w:tblPrEx>
          <w:tblCellMar>
            <w:top w:w="0" w:type="dxa"/>
            <w:left w:w="108" w:type="dxa"/>
            <w:bottom w:w="0" w:type="dxa"/>
            <w:right w:w="108" w:type="dxa"/>
          </w:tblCellMar>
        </w:tblPrEx>
        <w:trPr>
          <w:trHeight w:val="46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33EBB">
            <w:pPr>
              <w:widowControl/>
              <w:jc w:val="center"/>
              <w:textAlignment w:val="center"/>
              <w:rPr>
                <w:rFonts w:hint="eastAsia" w:ascii="宋体" w:hAnsi="宋体" w:cs="宋体"/>
                <w:b/>
                <w:bCs/>
                <w:color w:val="auto"/>
                <w:kern w:val="0"/>
                <w:szCs w:val="21"/>
                <w:highlight w:val="none"/>
                <w:lang w:bidi="ar"/>
              </w:rPr>
            </w:pPr>
            <w:r>
              <w:rPr>
                <w:rFonts w:hint="eastAsia" w:ascii="宋体" w:hAnsi="宋体" w:cs="宋体"/>
                <w:b/>
                <w:bCs/>
                <w:color w:val="auto"/>
                <w:kern w:val="0"/>
                <w:szCs w:val="21"/>
                <w:highlight w:val="none"/>
                <w:lang w:bidi="ar"/>
              </w:rPr>
              <w:t>⑵</w:t>
            </w:r>
          </w:p>
        </w:tc>
        <w:tc>
          <w:tcPr>
            <w:tcW w:w="757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03A6938">
            <w:pPr>
              <w:jc w:val="left"/>
              <w:textAlignment w:val="center"/>
              <w:rPr>
                <w:rFonts w:hint="eastAsia" w:ascii="宋体" w:hAnsi="宋体" w:cs="宋体"/>
                <w:b/>
                <w:bCs/>
                <w:color w:val="auto"/>
                <w:highlight w:val="none"/>
                <w:lang w:bidi="ar"/>
              </w:rPr>
            </w:pPr>
            <w:r>
              <w:rPr>
                <w:rFonts w:hint="eastAsia" w:ascii="宋体" w:hAnsi="宋体" w:cs="宋体"/>
                <w:b/>
                <w:bCs/>
                <w:color w:val="auto"/>
                <w:highlight w:val="none"/>
                <w:lang w:bidi="ar"/>
              </w:rPr>
              <w:t>隧道检测</w:t>
            </w:r>
          </w:p>
        </w:tc>
      </w:tr>
      <w:tr w14:paraId="40F16495">
        <w:tblPrEx>
          <w:tblCellMar>
            <w:top w:w="0" w:type="dxa"/>
            <w:left w:w="108" w:type="dxa"/>
            <w:bottom w:w="0" w:type="dxa"/>
            <w:right w:w="108" w:type="dxa"/>
          </w:tblCellMar>
        </w:tblPrEx>
        <w:trPr>
          <w:trHeight w:val="1091"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2AA4F">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B1</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C51DF">
            <w:pPr>
              <w:widowControl/>
              <w:jc w:val="center"/>
              <w:textAlignment w:val="center"/>
              <w:rPr>
                <w:rFonts w:hint="eastAsia" w:ascii="宋体" w:hAnsi="宋体" w:cs="宋体"/>
                <w:color w:val="auto"/>
                <w:highlight w:val="none"/>
                <w:lang w:bidi="ar"/>
              </w:rPr>
            </w:pPr>
            <w:r>
              <w:rPr>
                <w:rFonts w:hint="eastAsia" w:ascii="宋体" w:hAnsi="宋体" w:cs="宋体"/>
                <w:color w:val="auto"/>
                <w:kern w:val="0"/>
                <w:szCs w:val="21"/>
                <w:highlight w:val="none"/>
                <w:lang w:bidi="ar"/>
              </w:rPr>
              <w:t>土建结构、机电设施、其他工程设施</w:t>
            </w:r>
            <w:r>
              <w:rPr>
                <w:rFonts w:hint="eastAsia" w:ascii="宋体" w:hAnsi="宋体" w:cs="宋体"/>
                <w:color w:val="auto"/>
                <w:kern w:val="0"/>
                <w:szCs w:val="21"/>
                <w:highlight w:val="none"/>
                <w:lang w:eastAsia="zh-CN" w:bidi="ar"/>
              </w:rPr>
              <w:t>检测</w:t>
            </w:r>
            <w:r>
              <w:rPr>
                <w:rFonts w:hint="eastAsia" w:ascii="宋体" w:hAnsi="宋体" w:cs="宋体"/>
                <w:color w:val="auto"/>
                <w:kern w:val="0"/>
                <w:szCs w:val="21"/>
                <w:highlight w:val="none"/>
                <w:lang w:bidi="ar"/>
              </w:rPr>
              <w:t>及技术状况评定</w:t>
            </w:r>
            <w:r>
              <w:rPr>
                <w:rFonts w:hint="eastAsia" w:ascii="宋体" w:hAnsi="宋体" w:cs="宋体"/>
                <w:color w:val="auto"/>
                <w:kern w:val="0"/>
                <w:szCs w:val="21"/>
                <w:highlight w:val="none"/>
                <w:lang w:eastAsia="zh-CN" w:bidi="ar"/>
              </w:rPr>
              <w:t>、编制定检隧道科学决策报告</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DA230">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定检隧道</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404E5">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szCs w:val="21"/>
                <w:highlight w:val="none"/>
                <w:lang w:val="en-US" w:eastAsia="zh-CN"/>
              </w:rPr>
              <w:t>87555.70</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CAFF7">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平方</w:t>
            </w:r>
            <w:r>
              <w:rPr>
                <w:rFonts w:hint="eastAsia" w:ascii="宋体" w:hAnsi="宋体" w:cs="宋体"/>
                <w:color w:val="auto"/>
                <w:kern w:val="0"/>
                <w:szCs w:val="21"/>
                <w:highlight w:val="none"/>
                <w:lang w:bidi="ar"/>
              </w:rPr>
              <w:t>米</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76A5B">
            <w:pPr>
              <w:jc w:val="center"/>
              <w:textAlignment w:val="center"/>
              <w:rPr>
                <w:rFonts w:hint="eastAsia" w:ascii="宋体" w:hAnsi="宋体" w:cs="宋体"/>
                <w:color w:val="auto"/>
                <w:highlight w:val="none"/>
                <w:lang w:bidi="ar"/>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7CD73">
            <w:pPr>
              <w:jc w:val="center"/>
              <w:textAlignment w:val="center"/>
              <w:rPr>
                <w:rFonts w:hint="eastAsia" w:ascii="宋体" w:hAnsi="宋体" w:cs="宋体"/>
                <w:color w:val="auto"/>
                <w:highlight w:val="none"/>
                <w:lang w:bidi="ar"/>
              </w:rPr>
            </w:pPr>
          </w:p>
        </w:tc>
      </w:tr>
      <w:tr w14:paraId="70460893">
        <w:tblPrEx>
          <w:tblCellMar>
            <w:top w:w="0" w:type="dxa"/>
            <w:left w:w="108" w:type="dxa"/>
            <w:bottom w:w="0" w:type="dxa"/>
            <w:right w:w="108" w:type="dxa"/>
          </w:tblCellMar>
        </w:tblPrEx>
        <w:trPr>
          <w:trHeight w:val="46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C7DA0">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B2</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C2043">
            <w:pPr>
              <w:widowControl/>
              <w:jc w:val="center"/>
              <w:textAlignment w:val="center"/>
              <w:rPr>
                <w:rFonts w:hint="eastAsia" w:ascii="宋体" w:hAnsi="宋体" w:cs="宋体"/>
                <w:color w:val="auto"/>
                <w:highlight w:val="none"/>
                <w:lang w:bidi="ar"/>
              </w:rPr>
            </w:pPr>
            <w:r>
              <w:rPr>
                <w:rFonts w:hint="eastAsia" w:ascii="宋体" w:hAnsi="宋体" w:cs="宋体"/>
                <w:color w:val="auto"/>
                <w:kern w:val="0"/>
                <w:szCs w:val="21"/>
                <w:highlight w:val="none"/>
                <w:lang w:bidi="ar"/>
              </w:rPr>
              <w:t>编制</w:t>
            </w:r>
            <w:r>
              <w:rPr>
                <w:rFonts w:hint="eastAsia" w:ascii="宋体" w:hAnsi="宋体" w:cs="宋体"/>
                <w:color w:val="auto"/>
                <w:kern w:val="0"/>
                <w:szCs w:val="21"/>
                <w:highlight w:val="none"/>
                <w:lang w:eastAsia="zh-CN" w:bidi="ar"/>
              </w:rPr>
              <w:t>大风坳</w:t>
            </w:r>
            <w:r>
              <w:rPr>
                <w:rFonts w:hint="eastAsia" w:ascii="宋体" w:hAnsi="宋体" w:cs="宋体"/>
                <w:color w:val="auto"/>
                <w:kern w:val="0"/>
                <w:szCs w:val="21"/>
                <w:highlight w:val="none"/>
                <w:lang w:bidi="ar"/>
              </w:rPr>
              <w:t>隧道</w:t>
            </w:r>
            <w:r>
              <w:rPr>
                <w:rFonts w:hint="eastAsia" w:ascii="宋体" w:hAnsi="宋体" w:cs="宋体"/>
                <w:color w:val="auto"/>
                <w:kern w:val="0"/>
                <w:szCs w:val="21"/>
                <w:highlight w:val="none"/>
                <w:lang w:eastAsia="zh-CN" w:bidi="ar"/>
              </w:rPr>
              <w:t>运营后评估报告</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EB2F0">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大风坳</w:t>
            </w:r>
            <w:r>
              <w:rPr>
                <w:rFonts w:hint="eastAsia" w:ascii="宋体" w:hAnsi="宋体" w:cs="宋体"/>
                <w:color w:val="auto"/>
                <w:kern w:val="0"/>
                <w:szCs w:val="21"/>
                <w:highlight w:val="none"/>
                <w:lang w:bidi="ar"/>
              </w:rPr>
              <w:t>隧道</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359C2">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szCs w:val="21"/>
                <w:highlight w:val="none"/>
                <w:lang w:val="en-US" w:eastAsia="zh-CN"/>
              </w:rPr>
              <w:t>1</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746A3">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座</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DA8E9">
            <w:pPr>
              <w:jc w:val="center"/>
              <w:textAlignment w:val="center"/>
              <w:rPr>
                <w:rFonts w:hint="eastAsia" w:ascii="宋体" w:hAnsi="宋体" w:cs="宋体"/>
                <w:color w:val="auto"/>
                <w:highlight w:val="none"/>
                <w:lang w:bidi="ar"/>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600B5">
            <w:pPr>
              <w:jc w:val="center"/>
              <w:textAlignment w:val="center"/>
              <w:rPr>
                <w:rFonts w:hint="eastAsia" w:ascii="宋体" w:hAnsi="宋体" w:cs="宋体"/>
                <w:color w:val="auto"/>
                <w:highlight w:val="none"/>
                <w:lang w:bidi="ar"/>
              </w:rPr>
            </w:pPr>
          </w:p>
        </w:tc>
      </w:tr>
      <w:tr w14:paraId="1E7643DE">
        <w:tblPrEx>
          <w:tblCellMar>
            <w:top w:w="0" w:type="dxa"/>
            <w:left w:w="108" w:type="dxa"/>
            <w:bottom w:w="0" w:type="dxa"/>
            <w:right w:w="108" w:type="dxa"/>
          </w:tblCellMar>
        </w:tblPrEx>
        <w:trPr>
          <w:trHeight w:val="460" w:hRule="atLeast"/>
        </w:trPr>
        <w:tc>
          <w:tcPr>
            <w:tcW w:w="724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9C3F406">
            <w:pPr>
              <w:jc w:val="center"/>
              <w:textAlignment w:val="center"/>
              <w:rPr>
                <w:rFonts w:hint="eastAsia" w:ascii="宋体" w:hAnsi="宋体" w:cs="宋体"/>
                <w:color w:val="auto"/>
                <w:highlight w:val="none"/>
                <w:lang w:bidi="ar"/>
              </w:rPr>
            </w:pPr>
            <w:r>
              <w:rPr>
                <w:rFonts w:hint="eastAsia" w:ascii="宋体" w:hAnsi="宋体" w:cs="宋体"/>
                <w:color w:val="auto"/>
                <w:highlight w:val="none"/>
                <w:lang w:bidi="ar"/>
              </w:rPr>
              <w:t>隧道定期检测小计</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5777F">
            <w:pPr>
              <w:jc w:val="center"/>
              <w:textAlignment w:val="center"/>
              <w:rPr>
                <w:rFonts w:hint="eastAsia" w:ascii="宋体" w:hAnsi="宋体" w:cs="宋体"/>
                <w:color w:val="auto"/>
                <w:highlight w:val="none"/>
                <w:lang w:bidi="ar"/>
              </w:rPr>
            </w:pPr>
          </w:p>
        </w:tc>
      </w:tr>
      <w:tr w14:paraId="0757CDB8">
        <w:tblPrEx>
          <w:tblCellMar>
            <w:top w:w="0" w:type="dxa"/>
            <w:left w:w="108" w:type="dxa"/>
            <w:bottom w:w="0" w:type="dxa"/>
            <w:right w:w="108" w:type="dxa"/>
          </w:tblCellMar>
        </w:tblPrEx>
        <w:trPr>
          <w:trHeight w:val="46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65186">
            <w:pPr>
              <w:jc w:val="center"/>
              <w:textAlignment w:val="center"/>
              <w:rPr>
                <w:rFonts w:hint="eastAsia" w:ascii="宋体" w:hAnsi="宋体" w:cs="宋体"/>
                <w:color w:val="auto"/>
                <w:highlight w:val="none"/>
              </w:rPr>
            </w:pPr>
            <w:r>
              <w:rPr>
                <w:rFonts w:hint="eastAsia" w:ascii="宋体" w:hAnsi="宋体" w:cs="宋体"/>
                <w:color w:val="auto"/>
                <w:highlight w:val="none"/>
                <w:lang w:bidi="ar"/>
              </w:rPr>
              <w:t>⑶</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24C2A">
            <w:pPr>
              <w:textAlignment w:val="center"/>
              <w:rPr>
                <w:rFonts w:hint="eastAsia" w:ascii="宋体" w:hAnsi="宋体" w:cs="宋体"/>
                <w:color w:val="auto"/>
                <w:highlight w:val="none"/>
              </w:rPr>
            </w:pPr>
            <w:r>
              <w:rPr>
                <w:rFonts w:hint="eastAsia" w:ascii="宋体" w:hAnsi="宋体" w:cs="宋体"/>
                <w:b/>
                <w:color w:val="auto"/>
                <w:sz w:val="24"/>
                <w:highlight w:val="none"/>
              </w:rPr>
              <w:t>总报价（合计）</w:t>
            </w:r>
          </w:p>
        </w:tc>
        <w:tc>
          <w:tcPr>
            <w:tcW w:w="562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B708980">
            <w:pPr>
              <w:textAlignment w:val="center"/>
              <w:rPr>
                <w:rFonts w:hint="eastAsia" w:ascii="宋体" w:hAnsi="宋体" w:cs="宋体"/>
                <w:color w:val="auto"/>
                <w:highlight w:val="none"/>
              </w:rPr>
            </w:pPr>
            <w:r>
              <w:rPr>
                <w:rFonts w:hint="eastAsia" w:ascii="宋体" w:hAnsi="宋体" w:cs="宋体"/>
                <w:color w:val="auto"/>
                <w:spacing w:val="-15"/>
                <w:sz w:val="24"/>
                <w:highlight w:val="none"/>
              </w:rPr>
              <w:t>人民</w:t>
            </w:r>
            <w:r>
              <w:rPr>
                <w:rFonts w:hint="eastAsia" w:ascii="宋体" w:hAnsi="宋体" w:cs="宋体"/>
                <w:color w:val="auto"/>
                <w:spacing w:val="-13"/>
                <w:sz w:val="24"/>
                <w:highlight w:val="none"/>
              </w:rPr>
              <w:t>币</w:t>
            </w:r>
            <w:r>
              <w:rPr>
                <w:rFonts w:hint="eastAsia" w:ascii="宋体" w:hAnsi="宋体" w:cs="宋体"/>
                <w:color w:val="auto"/>
                <w:spacing w:val="-15"/>
                <w:sz w:val="24"/>
                <w:highlight w:val="none"/>
              </w:rPr>
              <w:t>大</w:t>
            </w:r>
            <w:r>
              <w:rPr>
                <w:rFonts w:hint="eastAsia" w:ascii="宋体" w:hAnsi="宋体" w:cs="宋体"/>
                <w:color w:val="auto"/>
                <w:spacing w:val="-13"/>
                <w:sz w:val="24"/>
                <w:highlight w:val="none"/>
              </w:rPr>
              <w:t>写</w:t>
            </w:r>
            <w:r>
              <w:rPr>
                <w:rFonts w:hint="eastAsia" w:ascii="宋体" w:hAnsi="宋体" w:cs="宋体"/>
                <w:color w:val="auto"/>
                <w:spacing w:val="-12"/>
                <w:sz w:val="24"/>
                <w:highlight w:val="none"/>
              </w:rPr>
              <w:t>：</w:t>
            </w:r>
            <w:r>
              <w:rPr>
                <w:rFonts w:hint="eastAsia" w:ascii="宋体" w:hAnsi="宋体" w:cs="宋体"/>
                <w:color w:val="auto"/>
                <w:spacing w:val="-12"/>
                <w:sz w:val="24"/>
                <w:highlight w:val="none"/>
                <w:u w:val="single"/>
              </w:rPr>
              <w:t xml:space="preserve"> </w:t>
            </w:r>
            <w:r>
              <w:rPr>
                <w:rFonts w:hint="eastAsia" w:ascii="宋体" w:hAnsi="宋体" w:cs="宋体"/>
                <w:color w:val="auto"/>
                <w:spacing w:val="-12"/>
                <w:sz w:val="24"/>
                <w:highlight w:val="none"/>
                <w:u w:val="single"/>
              </w:rPr>
              <w:tab/>
            </w:r>
            <w:r>
              <w:rPr>
                <w:rFonts w:hint="eastAsia" w:ascii="宋体" w:hAnsi="宋体" w:cs="宋体"/>
                <w:color w:val="auto"/>
                <w:spacing w:val="-12"/>
                <w:sz w:val="24"/>
                <w:highlight w:val="none"/>
                <w:u w:val="single"/>
              </w:rPr>
              <w:t xml:space="preserve">    </w:t>
            </w:r>
            <w:r>
              <w:rPr>
                <w:rFonts w:hint="eastAsia" w:ascii="宋体" w:hAnsi="宋体" w:cs="宋体"/>
                <w:color w:val="auto"/>
                <w:spacing w:val="-7"/>
                <w:sz w:val="24"/>
                <w:highlight w:val="none"/>
              </w:rPr>
              <w:t>（¥</w:t>
            </w:r>
            <w:r>
              <w:rPr>
                <w:rFonts w:hint="eastAsia" w:ascii="宋体" w:hAnsi="宋体" w:cs="宋体"/>
                <w:color w:val="auto"/>
                <w:spacing w:val="-7"/>
                <w:sz w:val="24"/>
                <w:highlight w:val="none"/>
                <w:u w:val="single"/>
              </w:rPr>
              <w:t xml:space="preserve"> </w:t>
            </w:r>
            <w:r>
              <w:rPr>
                <w:rFonts w:hint="eastAsia" w:ascii="宋体" w:hAnsi="宋体" w:cs="宋体"/>
                <w:color w:val="auto"/>
                <w:spacing w:val="-7"/>
                <w:sz w:val="24"/>
                <w:highlight w:val="none"/>
                <w:u w:val="single"/>
              </w:rPr>
              <w:tab/>
            </w:r>
            <w:r>
              <w:rPr>
                <w:rFonts w:hint="eastAsia" w:ascii="宋体" w:hAnsi="宋体" w:cs="宋体"/>
                <w:color w:val="auto"/>
                <w:spacing w:val="-7"/>
                <w:sz w:val="24"/>
                <w:highlight w:val="none"/>
                <w:u w:val="single"/>
              </w:rPr>
              <w:t xml:space="preserve">     </w:t>
            </w:r>
            <w:r>
              <w:rPr>
                <w:rFonts w:hint="eastAsia" w:ascii="宋体" w:hAnsi="宋体" w:cs="宋体"/>
                <w:color w:val="auto"/>
                <w:sz w:val="24"/>
                <w:highlight w:val="none"/>
              </w:rPr>
              <w:t>)</w:t>
            </w:r>
          </w:p>
        </w:tc>
      </w:tr>
      <w:tr w14:paraId="7AA712A2">
        <w:tblPrEx>
          <w:tblCellMar>
            <w:top w:w="0" w:type="dxa"/>
            <w:left w:w="108" w:type="dxa"/>
            <w:bottom w:w="0" w:type="dxa"/>
            <w:right w:w="108" w:type="dxa"/>
          </w:tblCellMar>
        </w:tblPrEx>
        <w:trPr>
          <w:trHeight w:val="523" w:hRule="atLeast"/>
        </w:trPr>
        <w:tc>
          <w:tcPr>
            <w:tcW w:w="821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E7BB3A1">
            <w:pPr>
              <w:textAlignment w:val="center"/>
              <w:rPr>
                <w:rFonts w:hint="eastAsia" w:ascii="宋体" w:hAnsi="宋体" w:cs="宋体"/>
                <w:color w:val="auto"/>
                <w:highlight w:val="none"/>
              </w:rPr>
            </w:pPr>
            <w:r>
              <w:rPr>
                <w:rFonts w:hint="eastAsia" w:ascii="宋体" w:hAnsi="宋体" w:cs="宋体"/>
                <w:color w:val="auto"/>
                <w:szCs w:val="21"/>
                <w:highlight w:val="none"/>
              </w:rPr>
              <w:t>服务期限</w:t>
            </w:r>
            <w:r>
              <w:rPr>
                <w:rFonts w:hint="eastAsia" w:ascii="宋体" w:hAnsi="宋体" w:cs="宋体"/>
                <w:color w:val="auto"/>
                <w:spacing w:val="-4"/>
                <w:highlight w:val="none"/>
              </w:rPr>
              <w:t>：</w:t>
            </w:r>
          </w:p>
        </w:tc>
      </w:tr>
      <w:tr w14:paraId="122528A6">
        <w:tblPrEx>
          <w:tblCellMar>
            <w:top w:w="0" w:type="dxa"/>
            <w:left w:w="108" w:type="dxa"/>
            <w:bottom w:w="0" w:type="dxa"/>
            <w:right w:w="108" w:type="dxa"/>
          </w:tblCellMar>
        </w:tblPrEx>
        <w:trPr>
          <w:trHeight w:val="460" w:hRule="atLeast"/>
        </w:trPr>
        <w:tc>
          <w:tcPr>
            <w:tcW w:w="821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682C74F">
            <w:pPr>
              <w:textAlignment w:val="center"/>
              <w:rPr>
                <w:rFonts w:hint="eastAsia" w:ascii="宋体" w:hAnsi="宋体" w:cs="宋体"/>
                <w:color w:val="auto"/>
                <w:highlight w:val="none"/>
              </w:rPr>
            </w:pPr>
            <w:r>
              <w:rPr>
                <w:rFonts w:hint="eastAsia" w:ascii="宋体" w:hAnsi="宋体" w:cs="宋体"/>
                <w:color w:val="auto"/>
                <w:szCs w:val="21"/>
                <w:highlight w:val="none"/>
              </w:rPr>
              <w:t>服务的地点</w:t>
            </w:r>
            <w:r>
              <w:rPr>
                <w:rFonts w:hint="eastAsia" w:ascii="宋体" w:hAnsi="宋体" w:cs="宋体"/>
                <w:color w:val="auto"/>
                <w:highlight w:val="none"/>
              </w:rPr>
              <w:t>：</w:t>
            </w:r>
          </w:p>
        </w:tc>
      </w:tr>
      <w:tr w14:paraId="1220D047">
        <w:tblPrEx>
          <w:tblCellMar>
            <w:top w:w="0" w:type="dxa"/>
            <w:left w:w="108" w:type="dxa"/>
            <w:bottom w:w="0" w:type="dxa"/>
            <w:right w:w="108" w:type="dxa"/>
          </w:tblCellMar>
        </w:tblPrEx>
        <w:trPr>
          <w:trHeight w:val="467" w:hRule="atLeast"/>
        </w:trPr>
        <w:tc>
          <w:tcPr>
            <w:tcW w:w="821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6952107">
            <w:pPr>
              <w:pStyle w:val="2"/>
              <w:ind w:firstLine="630" w:firstLineChars="300"/>
              <w:jc w:val="left"/>
              <w:rPr>
                <w:rFonts w:hint="eastAsia" w:ascii="宋体" w:hAnsi="宋体" w:cs="宋体"/>
                <w:color w:val="auto"/>
                <w:highlight w:val="none"/>
              </w:rPr>
            </w:pPr>
            <w:r>
              <w:rPr>
                <w:rFonts w:hint="eastAsia" w:ascii="宋体" w:hAnsi="宋体" w:cs="宋体"/>
                <w:color w:val="auto"/>
                <w:sz w:val="21"/>
                <w:szCs w:val="21"/>
                <w:highlight w:val="none"/>
              </w:rPr>
              <w:t>注：以上检测项目、单位及检测数量不可修改，且仅用于投标报价，不作为最终结算依据。具体结算方式由检测服务合同另行约定。</w:t>
            </w:r>
          </w:p>
        </w:tc>
      </w:tr>
    </w:tbl>
    <w:p w14:paraId="3368A9F3">
      <w:pPr>
        <w:pStyle w:val="30"/>
        <w:rPr>
          <w:rFonts w:hint="eastAsia" w:ascii="宋体" w:hAnsi="宋体" w:cs="宋体"/>
          <w:color w:val="auto"/>
          <w:highlight w:val="none"/>
        </w:rPr>
      </w:pPr>
    </w:p>
    <w:p w14:paraId="1180F4B4">
      <w:pPr>
        <w:snapToGrid w:val="0"/>
        <w:spacing w:line="360" w:lineRule="auto"/>
        <w:ind w:left="-2" w:leftChars="-1" w:right="-817" w:rightChars="-389"/>
        <w:rPr>
          <w:rFonts w:hint="eastAsia" w:ascii="宋体" w:hAnsi="宋体"/>
          <w:color w:val="auto"/>
          <w:sz w:val="24"/>
          <w:highlight w:val="none"/>
          <w:u w:val="single"/>
        </w:rPr>
      </w:pPr>
      <w:r>
        <w:rPr>
          <w:rFonts w:hint="eastAsia" w:ascii="宋体" w:hAnsi="宋体"/>
          <w:color w:val="auto"/>
          <w:sz w:val="24"/>
          <w:highlight w:val="none"/>
        </w:rPr>
        <w:t xml:space="preserve">        法定代表人或者委托代理人（签字或者电子签名）： </w:t>
      </w:r>
      <w:r>
        <w:rPr>
          <w:rFonts w:hint="eastAsia" w:ascii="宋体" w:hAnsi="宋体"/>
          <w:color w:val="auto"/>
          <w:sz w:val="24"/>
          <w:highlight w:val="none"/>
          <w:u w:val="single"/>
        </w:rPr>
        <w:t xml:space="preserve">              </w:t>
      </w:r>
    </w:p>
    <w:p w14:paraId="1B3858D0">
      <w:pPr>
        <w:snapToGrid w:val="0"/>
        <w:spacing w:line="360" w:lineRule="auto"/>
        <w:ind w:left="-3" w:leftChars="-15" w:right="-817" w:rightChars="-389" w:hanging="28" w:hangingChars="12"/>
        <w:rPr>
          <w:rFonts w:hint="eastAsia" w:ascii="宋体" w:hAnsi="宋体"/>
          <w:color w:val="auto"/>
          <w:sz w:val="24"/>
          <w:highlight w:val="none"/>
          <w:u w:val="single"/>
        </w:rPr>
      </w:pPr>
      <w:r>
        <w:rPr>
          <w:rFonts w:hint="eastAsia" w:ascii="宋体" w:hAnsi="宋体"/>
          <w:color w:val="auto"/>
          <w:sz w:val="24"/>
          <w:highlight w:val="none"/>
        </w:rPr>
        <w:t xml:space="preserve">                           投标人名称（电子签章）：</w:t>
      </w:r>
      <w:r>
        <w:rPr>
          <w:rFonts w:hint="eastAsia" w:ascii="宋体" w:hAnsi="宋体"/>
          <w:color w:val="auto"/>
          <w:sz w:val="24"/>
          <w:highlight w:val="none"/>
          <w:u w:val="single"/>
        </w:rPr>
        <w:t xml:space="preserve">                 </w:t>
      </w:r>
    </w:p>
    <w:p w14:paraId="5BB3D89C">
      <w:pPr>
        <w:snapToGrid w:val="0"/>
        <w:spacing w:line="360" w:lineRule="auto"/>
        <w:ind w:left="-3" w:leftChars="-15" w:right="-817" w:rightChars="-389" w:hanging="28" w:hangingChars="12"/>
        <w:rPr>
          <w:rFonts w:hint="eastAsia" w:ascii="宋体" w:hAnsi="宋体"/>
          <w:color w:val="auto"/>
          <w:szCs w:val="21"/>
          <w:highlight w:val="none"/>
        </w:rPr>
      </w:pPr>
      <w:r>
        <w:rPr>
          <w:rFonts w:hint="eastAsia" w:ascii="宋体" w:hAnsi="宋体"/>
          <w:color w:val="auto"/>
          <w:sz w:val="24"/>
          <w:highlight w:val="none"/>
        </w:rPr>
        <w:t xml:space="preserve">                           日期：    年   月   日</w:t>
      </w:r>
    </w:p>
    <w:p w14:paraId="1D89C997">
      <w:pPr>
        <w:outlineLvl w:val="1"/>
        <w:rPr>
          <w:b/>
          <w:color w:val="auto"/>
          <w:sz w:val="28"/>
          <w:szCs w:val="28"/>
          <w:highlight w:val="none"/>
        </w:rPr>
      </w:pPr>
      <w:r>
        <w:rPr>
          <w:rFonts w:hint="eastAsia" w:ascii="宋体" w:hAnsi="宋体"/>
          <w:color w:val="auto"/>
          <w:sz w:val="24"/>
          <w:highlight w:val="none"/>
        </w:rPr>
        <w:br w:type="page"/>
      </w:r>
      <w:bookmarkStart w:id="157" w:name="_Toc19686837"/>
      <w:r>
        <w:rPr>
          <w:rFonts w:hint="eastAsia"/>
          <w:b/>
          <w:color w:val="auto"/>
          <w:sz w:val="28"/>
          <w:szCs w:val="28"/>
          <w:highlight w:val="none"/>
        </w:rPr>
        <w:t>二、资格证明文件格式</w:t>
      </w:r>
      <w:bookmarkEnd w:id="155"/>
      <w:bookmarkEnd w:id="156"/>
      <w:bookmarkEnd w:id="157"/>
    </w:p>
    <w:p w14:paraId="4A07756E">
      <w:pPr>
        <w:snapToGrid w:val="0"/>
        <w:spacing w:before="120" w:beforeLines="50" w:after="50" w:line="360" w:lineRule="auto"/>
        <w:jc w:val="left"/>
        <w:outlineLvl w:val="2"/>
        <w:rPr>
          <w:rFonts w:hint="eastAsia" w:ascii="宋体" w:hAnsi="宋体"/>
          <w:b/>
          <w:color w:val="auto"/>
          <w:sz w:val="24"/>
          <w:highlight w:val="none"/>
        </w:rPr>
      </w:pPr>
      <w:r>
        <w:rPr>
          <w:rFonts w:hint="eastAsia" w:ascii="宋体" w:hAnsi="宋体"/>
          <w:b/>
          <w:color w:val="auto"/>
          <w:sz w:val="24"/>
          <w:highlight w:val="none"/>
        </w:rPr>
        <w:t xml:space="preserve">1.资格证明文件封面格式： </w:t>
      </w:r>
    </w:p>
    <w:p w14:paraId="1B30D30E">
      <w:pPr>
        <w:snapToGrid w:val="0"/>
        <w:spacing w:before="120" w:beforeLines="50" w:after="50"/>
        <w:jc w:val="center"/>
        <w:rPr>
          <w:rFonts w:hint="eastAsia" w:ascii="宋体" w:hAnsi="宋体" w:eastAsia="方正小标宋简体"/>
          <w:bCs/>
          <w:color w:val="auto"/>
          <w:sz w:val="48"/>
          <w:szCs w:val="48"/>
          <w:highlight w:val="none"/>
        </w:rPr>
      </w:pPr>
      <w:r>
        <w:rPr>
          <w:rFonts w:hint="eastAsia" w:ascii="宋体" w:hAnsi="宋体" w:eastAsia="方正小标宋简体"/>
          <w:bCs/>
          <w:color w:val="auto"/>
          <w:sz w:val="48"/>
          <w:szCs w:val="48"/>
          <w:highlight w:val="none"/>
        </w:rPr>
        <w:t>电子投标文件</w:t>
      </w:r>
    </w:p>
    <w:p w14:paraId="3B1D8E9D">
      <w:pPr>
        <w:snapToGrid w:val="0"/>
        <w:spacing w:before="120" w:beforeLines="50" w:after="50"/>
        <w:rPr>
          <w:rFonts w:hint="eastAsia" w:ascii="宋体" w:hAnsi="宋体"/>
          <w:color w:val="auto"/>
          <w:sz w:val="24"/>
          <w:szCs w:val="20"/>
          <w:highlight w:val="none"/>
        </w:rPr>
      </w:pPr>
      <w:r>
        <w:rPr>
          <w:rFonts w:hint="eastAsia" w:ascii="宋体" w:hAnsi="宋体"/>
          <w:color w:val="auto"/>
          <w:sz w:val="24"/>
          <w:highlight w:val="none"/>
        </w:rPr>
        <w:t xml:space="preserve">                 </w:t>
      </w:r>
    </w:p>
    <w:p w14:paraId="77F4DE4B">
      <w:pPr>
        <w:snapToGrid w:val="0"/>
        <w:spacing w:before="120" w:beforeLines="50" w:after="50"/>
        <w:jc w:val="center"/>
        <w:rPr>
          <w:rFonts w:hint="eastAsia" w:ascii="宋体" w:hAnsi="宋体"/>
          <w:b/>
          <w:color w:val="auto"/>
          <w:sz w:val="24"/>
          <w:szCs w:val="20"/>
          <w:highlight w:val="none"/>
        </w:rPr>
      </w:pPr>
      <w:r>
        <w:rPr>
          <w:rFonts w:hint="eastAsia" w:ascii="宋体" w:hAnsi="宋体"/>
          <w:b/>
          <w:color w:val="auto"/>
          <w:sz w:val="32"/>
          <w:szCs w:val="32"/>
          <w:highlight w:val="none"/>
        </w:rPr>
        <w:t>资格证明文件</w:t>
      </w:r>
    </w:p>
    <w:p w14:paraId="0800EB78">
      <w:pPr>
        <w:snapToGrid w:val="0"/>
        <w:spacing w:before="120" w:beforeLines="50" w:after="50"/>
        <w:rPr>
          <w:rFonts w:hint="eastAsia" w:ascii="宋体" w:hAnsi="宋体"/>
          <w:bCs/>
          <w:color w:val="auto"/>
          <w:sz w:val="24"/>
          <w:szCs w:val="20"/>
          <w:highlight w:val="none"/>
        </w:rPr>
      </w:pPr>
    </w:p>
    <w:p w14:paraId="265616C3">
      <w:pPr>
        <w:snapToGrid w:val="0"/>
        <w:spacing w:before="120" w:beforeLines="50" w:after="50"/>
        <w:rPr>
          <w:rFonts w:hint="eastAsia" w:ascii="宋体" w:hAnsi="宋体"/>
          <w:bCs/>
          <w:color w:val="auto"/>
          <w:sz w:val="24"/>
          <w:szCs w:val="20"/>
          <w:highlight w:val="none"/>
        </w:rPr>
      </w:pPr>
    </w:p>
    <w:p w14:paraId="4FB40B35">
      <w:pPr>
        <w:snapToGrid w:val="0"/>
        <w:spacing w:before="120" w:beforeLines="50" w:after="50"/>
        <w:rPr>
          <w:rFonts w:hint="eastAsia" w:ascii="宋体" w:hAnsi="宋体"/>
          <w:bCs/>
          <w:color w:val="auto"/>
          <w:sz w:val="24"/>
          <w:szCs w:val="20"/>
          <w:highlight w:val="none"/>
        </w:rPr>
      </w:pPr>
    </w:p>
    <w:p w14:paraId="491EDE53">
      <w:pPr>
        <w:snapToGrid w:val="0"/>
        <w:spacing w:before="120" w:beforeLines="50" w:after="50"/>
        <w:rPr>
          <w:rFonts w:hint="eastAsia" w:ascii="宋体" w:hAnsi="宋体"/>
          <w:bCs/>
          <w:color w:val="auto"/>
          <w:sz w:val="24"/>
          <w:szCs w:val="20"/>
          <w:highlight w:val="none"/>
        </w:rPr>
      </w:pPr>
    </w:p>
    <w:p w14:paraId="4043E979">
      <w:pPr>
        <w:snapToGrid w:val="0"/>
        <w:spacing w:before="120" w:beforeLines="50" w:after="50"/>
        <w:rPr>
          <w:rFonts w:hint="eastAsia" w:ascii="宋体" w:hAnsi="宋体"/>
          <w:bCs/>
          <w:color w:val="auto"/>
          <w:sz w:val="24"/>
          <w:szCs w:val="20"/>
          <w:highlight w:val="none"/>
        </w:rPr>
      </w:pPr>
    </w:p>
    <w:p w14:paraId="0860A033">
      <w:pPr>
        <w:snapToGrid w:val="0"/>
        <w:spacing w:before="120" w:beforeLines="50" w:after="50"/>
        <w:rPr>
          <w:rFonts w:hint="eastAsia" w:ascii="宋体" w:hAnsi="宋体"/>
          <w:bCs/>
          <w:color w:val="auto"/>
          <w:sz w:val="24"/>
          <w:szCs w:val="20"/>
          <w:highlight w:val="none"/>
        </w:rPr>
      </w:pPr>
    </w:p>
    <w:p w14:paraId="7DEE84D0">
      <w:pPr>
        <w:snapToGrid w:val="0"/>
        <w:spacing w:before="120" w:beforeLines="50" w:after="50"/>
        <w:rPr>
          <w:rFonts w:hint="eastAsia" w:ascii="宋体" w:hAnsi="宋体"/>
          <w:bCs/>
          <w:color w:val="auto"/>
          <w:sz w:val="24"/>
          <w:szCs w:val="20"/>
          <w:highlight w:val="none"/>
        </w:rPr>
      </w:pPr>
    </w:p>
    <w:p w14:paraId="426A19EC">
      <w:pPr>
        <w:snapToGrid w:val="0"/>
        <w:spacing w:before="120" w:beforeLines="50" w:after="50"/>
        <w:ind w:firstLine="540" w:firstLineChars="225"/>
        <w:rPr>
          <w:rFonts w:hint="eastAsia" w:ascii="宋体" w:hAnsi="宋体"/>
          <w:bCs/>
          <w:color w:val="auto"/>
          <w:sz w:val="24"/>
          <w:highlight w:val="none"/>
        </w:rPr>
      </w:pPr>
      <w:r>
        <w:rPr>
          <w:rFonts w:hint="eastAsia" w:ascii="宋体" w:hAnsi="宋体"/>
          <w:bCs/>
          <w:color w:val="auto"/>
          <w:sz w:val="24"/>
          <w:highlight w:val="none"/>
        </w:rPr>
        <w:t>项目名称：</w:t>
      </w:r>
    </w:p>
    <w:p w14:paraId="7B713E09">
      <w:pPr>
        <w:snapToGrid w:val="0"/>
        <w:spacing w:before="120" w:beforeLines="50" w:after="50"/>
        <w:ind w:firstLine="540" w:firstLineChars="225"/>
        <w:rPr>
          <w:rFonts w:hint="eastAsia" w:ascii="宋体" w:hAnsi="宋体"/>
          <w:bCs/>
          <w:color w:val="auto"/>
          <w:sz w:val="24"/>
          <w:szCs w:val="20"/>
          <w:highlight w:val="none"/>
        </w:rPr>
      </w:pPr>
    </w:p>
    <w:p w14:paraId="4265CE2A">
      <w:pPr>
        <w:snapToGrid w:val="0"/>
        <w:spacing w:before="120" w:beforeLines="50" w:after="50"/>
        <w:ind w:firstLine="540" w:firstLineChars="225"/>
        <w:rPr>
          <w:rFonts w:hint="eastAsia" w:ascii="宋体" w:hAnsi="宋体"/>
          <w:bCs/>
          <w:color w:val="auto"/>
          <w:sz w:val="24"/>
          <w:highlight w:val="none"/>
        </w:rPr>
      </w:pPr>
      <w:r>
        <w:rPr>
          <w:rFonts w:hint="eastAsia" w:ascii="宋体" w:hAnsi="宋体"/>
          <w:bCs/>
          <w:color w:val="auto"/>
          <w:sz w:val="24"/>
          <w:highlight w:val="none"/>
        </w:rPr>
        <w:t>项目编号：</w:t>
      </w:r>
    </w:p>
    <w:p w14:paraId="56A2F481">
      <w:pPr>
        <w:snapToGrid w:val="0"/>
        <w:spacing w:before="120" w:beforeLines="50" w:after="50"/>
        <w:ind w:firstLine="540" w:firstLineChars="225"/>
        <w:rPr>
          <w:rFonts w:hint="eastAsia" w:ascii="宋体" w:hAnsi="宋体"/>
          <w:bCs/>
          <w:color w:val="auto"/>
          <w:sz w:val="24"/>
          <w:szCs w:val="20"/>
          <w:highlight w:val="none"/>
        </w:rPr>
      </w:pPr>
      <w:r>
        <w:rPr>
          <w:rFonts w:hint="eastAsia" w:ascii="宋体" w:hAnsi="宋体"/>
          <w:bCs/>
          <w:color w:val="auto"/>
          <w:sz w:val="24"/>
          <w:highlight w:val="none"/>
        </w:rPr>
        <w:t xml:space="preserve"> </w:t>
      </w:r>
    </w:p>
    <w:p w14:paraId="448ACB22">
      <w:pPr>
        <w:snapToGrid w:val="0"/>
        <w:spacing w:before="120" w:beforeLines="50" w:after="50"/>
        <w:ind w:firstLine="540" w:firstLineChars="225"/>
        <w:rPr>
          <w:rFonts w:hint="eastAsia" w:ascii="宋体" w:hAnsi="宋体"/>
          <w:bCs/>
          <w:color w:val="auto"/>
          <w:sz w:val="24"/>
          <w:highlight w:val="none"/>
        </w:rPr>
      </w:pPr>
      <w:r>
        <w:rPr>
          <w:rFonts w:hint="eastAsia" w:ascii="宋体" w:hAnsi="宋体"/>
          <w:bCs/>
          <w:color w:val="auto"/>
          <w:sz w:val="24"/>
          <w:highlight w:val="none"/>
        </w:rPr>
        <w:t>所投分标：</w:t>
      </w:r>
    </w:p>
    <w:p w14:paraId="1B9FC220">
      <w:pPr>
        <w:pStyle w:val="8"/>
        <w:snapToGrid w:val="0"/>
        <w:spacing w:before="50" w:after="50"/>
        <w:ind w:firstLine="540" w:firstLineChars="225"/>
        <w:rPr>
          <w:rFonts w:hint="eastAsia" w:ascii="宋体" w:hAnsi="宋体"/>
          <w:bCs/>
          <w:color w:val="auto"/>
          <w:sz w:val="24"/>
          <w:szCs w:val="24"/>
          <w:highlight w:val="none"/>
        </w:rPr>
      </w:pPr>
    </w:p>
    <w:p w14:paraId="5AE7193E">
      <w:pPr>
        <w:pStyle w:val="8"/>
        <w:snapToGrid w:val="0"/>
        <w:spacing w:before="50" w:after="50"/>
        <w:ind w:firstLine="540" w:firstLineChars="225"/>
        <w:rPr>
          <w:rFonts w:hint="eastAsia" w:ascii="宋体" w:hAnsi="宋体"/>
          <w:bCs/>
          <w:color w:val="auto"/>
          <w:sz w:val="24"/>
          <w:szCs w:val="24"/>
          <w:highlight w:val="none"/>
        </w:rPr>
      </w:pPr>
      <w:r>
        <w:rPr>
          <w:rFonts w:hint="eastAsia" w:ascii="宋体" w:hAnsi="宋体"/>
          <w:bCs/>
          <w:color w:val="auto"/>
          <w:sz w:val="24"/>
          <w:szCs w:val="24"/>
          <w:highlight w:val="none"/>
        </w:rPr>
        <w:t>投标人名称：</w:t>
      </w:r>
    </w:p>
    <w:p w14:paraId="6EC054A2">
      <w:pPr>
        <w:pStyle w:val="8"/>
        <w:snapToGrid w:val="0"/>
        <w:spacing w:before="50" w:after="50"/>
        <w:ind w:firstLine="540" w:firstLineChars="225"/>
        <w:rPr>
          <w:rFonts w:hint="eastAsia" w:ascii="宋体" w:hAnsi="宋体"/>
          <w:bCs/>
          <w:color w:val="auto"/>
          <w:sz w:val="24"/>
          <w:szCs w:val="24"/>
          <w:highlight w:val="none"/>
        </w:rPr>
      </w:pPr>
    </w:p>
    <w:p w14:paraId="637BC761">
      <w:pPr>
        <w:pStyle w:val="8"/>
        <w:snapToGrid w:val="0"/>
        <w:spacing w:before="50" w:after="50"/>
        <w:ind w:firstLine="960" w:firstLineChars="400"/>
        <w:rPr>
          <w:rFonts w:hint="eastAsia" w:ascii="宋体" w:hAnsi="宋体"/>
          <w:bCs/>
          <w:color w:val="auto"/>
          <w:sz w:val="24"/>
          <w:szCs w:val="24"/>
          <w:highlight w:val="none"/>
        </w:rPr>
      </w:pPr>
    </w:p>
    <w:p w14:paraId="1E9CD03F">
      <w:pPr>
        <w:snapToGrid w:val="0"/>
        <w:spacing w:before="120" w:beforeLines="50" w:after="50"/>
        <w:ind w:firstLine="645"/>
        <w:jc w:val="center"/>
        <w:rPr>
          <w:rFonts w:hint="eastAsia" w:ascii="宋体" w:hAnsi="宋体"/>
          <w:color w:val="auto"/>
          <w:sz w:val="24"/>
          <w:highlight w:val="none"/>
        </w:rPr>
      </w:pPr>
      <w:r>
        <w:rPr>
          <w:rFonts w:hint="eastAsia" w:ascii="宋体" w:hAnsi="宋体"/>
          <w:color w:val="auto"/>
          <w:sz w:val="24"/>
          <w:highlight w:val="none"/>
        </w:rPr>
        <w:t>年  月  日</w:t>
      </w:r>
    </w:p>
    <w:p w14:paraId="00EDCBF8">
      <w:pPr>
        <w:snapToGrid w:val="0"/>
        <w:spacing w:before="120" w:beforeLines="50" w:after="50"/>
        <w:rPr>
          <w:rFonts w:hint="eastAsia" w:ascii="宋体" w:hAnsi="宋体"/>
          <w:color w:val="auto"/>
          <w:sz w:val="24"/>
          <w:szCs w:val="20"/>
          <w:highlight w:val="none"/>
        </w:rPr>
      </w:pPr>
      <w:r>
        <w:rPr>
          <w:rFonts w:ascii="宋体" w:hAnsi="宋体"/>
          <w:color w:val="auto"/>
          <w:sz w:val="24"/>
          <w:szCs w:val="20"/>
          <w:highlight w:val="none"/>
        </w:rPr>
        <w:t xml:space="preserve"> </w:t>
      </w:r>
    </w:p>
    <w:p w14:paraId="3DB69CB8">
      <w:pPr>
        <w:snapToGrid w:val="0"/>
        <w:spacing w:before="120" w:beforeLines="50" w:after="50"/>
        <w:rPr>
          <w:rFonts w:hint="eastAsia" w:ascii="宋体" w:hAnsi="宋体"/>
          <w:color w:val="auto"/>
          <w:sz w:val="24"/>
          <w:szCs w:val="20"/>
          <w:highlight w:val="none"/>
        </w:rPr>
      </w:pPr>
    </w:p>
    <w:p w14:paraId="21A71E75">
      <w:pPr>
        <w:snapToGrid w:val="0"/>
        <w:spacing w:before="120" w:beforeLines="50" w:after="50" w:line="360" w:lineRule="auto"/>
        <w:jc w:val="left"/>
        <w:outlineLvl w:val="2"/>
        <w:rPr>
          <w:rFonts w:hint="eastAsia" w:ascii="宋体" w:hAnsi="宋体"/>
          <w:color w:val="auto"/>
          <w:sz w:val="24"/>
          <w:szCs w:val="20"/>
          <w:highlight w:val="none"/>
        </w:rPr>
      </w:pPr>
      <w:r>
        <w:rPr>
          <w:rFonts w:ascii="宋体" w:hAnsi="宋体"/>
          <w:b/>
          <w:bCs/>
          <w:color w:val="auto"/>
          <w:sz w:val="24"/>
          <w:highlight w:val="none"/>
        </w:rPr>
        <w:br w:type="page"/>
      </w:r>
      <w:r>
        <w:rPr>
          <w:rFonts w:hint="eastAsia" w:ascii="宋体" w:hAnsi="宋体"/>
          <w:b/>
          <w:bCs/>
          <w:color w:val="auto"/>
          <w:sz w:val="24"/>
          <w:highlight w:val="none"/>
        </w:rPr>
        <w:t>2.资格证明文件目录</w:t>
      </w:r>
    </w:p>
    <w:p w14:paraId="234824C1">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根据招标文件规定及投标人提供的材料自行编写目录。</w:t>
      </w:r>
    </w:p>
    <w:p w14:paraId="21B6C713">
      <w:pPr>
        <w:snapToGrid w:val="0"/>
        <w:spacing w:before="50" w:after="120" w:afterLines="50"/>
        <w:jc w:val="left"/>
        <w:rPr>
          <w:rFonts w:hint="eastAsia" w:ascii="宋体" w:hAnsi="宋体"/>
          <w:color w:val="auto"/>
          <w:sz w:val="24"/>
          <w:highlight w:val="none"/>
        </w:rPr>
      </w:pPr>
    </w:p>
    <w:p w14:paraId="7BFFD7E6">
      <w:pPr>
        <w:snapToGrid w:val="0"/>
        <w:spacing w:before="50" w:after="120" w:afterLines="50"/>
        <w:jc w:val="left"/>
        <w:rPr>
          <w:rFonts w:hint="eastAsia" w:ascii="宋体" w:hAnsi="宋体"/>
          <w:color w:val="auto"/>
          <w:sz w:val="24"/>
          <w:highlight w:val="none"/>
        </w:rPr>
      </w:pPr>
    </w:p>
    <w:p w14:paraId="210A9502">
      <w:pPr>
        <w:snapToGrid w:val="0"/>
        <w:spacing w:before="120" w:beforeLines="50" w:after="50"/>
        <w:jc w:val="left"/>
        <w:outlineLvl w:val="2"/>
        <w:rPr>
          <w:rFonts w:hint="eastAsia"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3.</w:t>
      </w:r>
      <w:r>
        <w:rPr>
          <w:rFonts w:hint="eastAsia" w:ascii="宋体" w:hAnsi="宋体"/>
          <w:b/>
          <w:color w:val="auto"/>
          <w:sz w:val="28"/>
          <w:szCs w:val="28"/>
          <w:highlight w:val="none"/>
        </w:rPr>
        <w:t>投标人直接控股股东信息表</w:t>
      </w:r>
    </w:p>
    <w:p w14:paraId="2E032A58">
      <w:pPr>
        <w:snapToGrid w:val="0"/>
        <w:spacing w:before="50" w:after="120" w:afterLines="50"/>
        <w:jc w:val="center"/>
        <w:rPr>
          <w:rFonts w:hint="eastAsia" w:ascii="宋体" w:hAnsi="宋体"/>
          <w:b/>
          <w:color w:val="auto"/>
          <w:sz w:val="28"/>
          <w:szCs w:val="28"/>
          <w:highlight w:val="none"/>
        </w:rPr>
      </w:pPr>
    </w:p>
    <w:p w14:paraId="4A7C49C9">
      <w:pPr>
        <w:snapToGrid w:val="0"/>
        <w:spacing w:before="50" w:after="120" w:afterLines="50" w:line="360" w:lineRule="auto"/>
        <w:jc w:val="center"/>
        <w:rPr>
          <w:rFonts w:hint="eastAsia" w:ascii="宋体" w:hAnsi="宋体"/>
          <w:b/>
          <w:color w:val="auto"/>
          <w:sz w:val="32"/>
          <w:szCs w:val="32"/>
          <w:highlight w:val="none"/>
        </w:rPr>
      </w:pPr>
      <w:r>
        <w:rPr>
          <w:rFonts w:hint="eastAsia" w:ascii="宋体" w:hAnsi="宋体"/>
          <w:b/>
          <w:color w:val="auto"/>
          <w:sz w:val="32"/>
          <w:szCs w:val="32"/>
          <w:highlight w:val="none"/>
        </w:rPr>
        <w:t>投标人直接控股股东信息表</w:t>
      </w:r>
    </w:p>
    <w:tbl>
      <w:tblPr>
        <w:tblStyle w:val="47"/>
        <w:tblW w:w="0" w:type="auto"/>
        <w:tblInd w:w="0" w:type="dxa"/>
        <w:shd w:val="clear" w:color="auto" w:fill="FBFBFB"/>
        <w:tblLayout w:type="fixed"/>
        <w:tblCellMar>
          <w:top w:w="0" w:type="dxa"/>
          <w:left w:w="0" w:type="dxa"/>
          <w:bottom w:w="0" w:type="dxa"/>
          <w:right w:w="0" w:type="dxa"/>
        </w:tblCellMar>
      </w:tblPr>
      <w:tblGrid>
        <w:gridCol w:w="726"/>
        <w:gridCol w:w="1992"/>
        <w:gridCol w:w="1087"/>
        <w:gridCol w:w="3267"/>
        <w:gridCol w:w="1245"/>
      </w:tblGrid>
      <w:tr w14:paraId="4AE95B4A">
        <w:tblPrEx>
          <w:shd w:val="clear" w:color="auto" w:fill="FBFBFB"/>
          <w:tblCellMar>
            <w:top w:w="0" w:type="dxa"/>
            <w:left w:w="0" w:type="dxa"/>
            <w:bottom w:w="0" w:type="dxa"/>
            <w:right w:w="0" w:type="dxa"/>
          </w:tblCellMar>
        </w:tblPrEx>
        <w:trPr>
          <w:trHeight w:val="1170" w:hRule="atLeast"/>
          <w:tblHeader/>
        </w:trPr>
        <w:tc>
          <w:tcPr>
            <w:tcW w:w="726"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D27795E">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1992"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E67BA5B">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087"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C64F92B">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3267"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8B7C4BC">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124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D03192C">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15DB7049">
        <w:tblPrEx>
          <w:tblCellMar>
            <w:top w:w="0" w:type="dxa"/>
            <w:left w:w="0" w:type="dxa"/>
            <w:bottom w:w="0" w:type="dxa"/>
            <w:right w:w="0" w:type="dxa"/>
          </w:tblCellMar>
        </w:tblPrEx>
        <w:trPr>
          <w:trHeight w:val="708" w:hRule="atLeast"/>
        </w:trPr>
        <w:tc>
          <w:tcPr>
            <w:tcW w:w="726"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5600976">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199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057DD12">
            <w:pPr>
              <w:spacing w:line="360" w:lineRule="auto"/>
              <w:jc w:val="center"/>
              <w:rPr>
                <w:rFonts w:hint="eastAsia" w:ascii="宋体" w:hAnsi="宋体" w:cs="宋体"/>
                <w:color w:val="auto"/>
                <w:kern w:val="0"/>
                <w:sz w:val="24"/>
                <w:highlight w:val="none"/>
              </w:rPr>
            </w:pPr>
          </w:p>
        </w:tc>
        <w:tc>
          <w:tcPr>
            <w:tcW w:w="108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5C8AFEA">
            <w:pPr>
              <w:spacing w:line="360" w:lineRule="auto"/>
              <w:jc w:val="center"/>
              <w:rPr>
                <w:rFonts w:hint="eastAsia" w:ascii="宋体" w:hAnsi="宋体" w:cs="宋体"/>
                <w:color w:val="auto"/>
                <w:kern w:val="0"/>
                <w:sz w:val="24"/>
                <w:highlight w:val="none"/>
              </w:rPr>
            </w:pPr>
          </w:p>
        </w:tc>
        <w:tc>
          <w:tcPr>
            <w:tcW w:w="326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F117C93">
            <w:pPr>
              <w:spacing w:line="360" w:lineRule="auto"/>
              <w:jc w:val="center"/>
              <w:rPr>
                <w:rFonts w:hint="eastAsia" w:ascii="宋体" w:hAnsi="宋体" w:cs="宋体"/>
                <w:color w:val="auto"/>
                <w:kern w:val="0"/>
                <w:sz w:val="24"/>
                <w:highlight w:val="none"/>
              </w:rPr>
            </w:pPr>
          </w:p>
        </w:tc>
        <w:tc>
          <w:tcPr>
            <w:tcW w:w="124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CE4F017">
            <w:pPr>
              <w:spacing w:line="360" w:lineRule="auto"/>
              <w:jc w:val="center"/>
              <w:rPr>
                <w:rFonts w:hint="eastAsia" w:ascii="宋体" w:hAnsi="宋体" w:cs="宋体"/>
                <w:color w:val="auto"/>
                <w:kern w:val="0"/>
                <w:sz w:val="24"/>
                <w:highlight w:val="none"/>
              </w:rPr>
            </w:pPr>
          </w:p>
        </w:tc>
      </w:tr>
      <w:tr w14:paraId="0F4170A6">
        <w:tblPrEx>
          <w:tblCellMar>
            <w:top w:w="0" w:type="dxa"/>
            <w:left w:w="0" w:type="dxa"/>
            <w:bottom w:w="0" w:type="dxa"/>
            <w:right w:w="0" w:type="dxa"/>
          </w:tblCellMar>
        </w:tblPrEx>
        <w:trPr>
          <w:trHeight w:val="708" w:hRule="atLeast"/>
        </w:trPr>
        <w:tc>
          <w:tcPr>
            <w:tcW w:w="726"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E6F5067">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w:t>
            </w:r>
          </w:p>
        </w:tc>
        <w:tc>
          <w:tcPr>
            <w:tcW w:w="199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F6C3584">
            <w:pPr>
              <w:spacing w:line="360" w:lineRule="auto"/>
              <w:jc w:val="center"/>
              <w:rPr>
                <w:rFonts w:hint="eastAsia" w:ascii="宋体" w:hAnsi="宋体" w:cs="宋体"/>
                <w:color w:val="auto"/>
                <w:kern w:val="0"/>
                <w:sz w:val="24"/>
                <w:highlight w:val="none"/>
              </w:rPr>
            </w:pPr>
          </w:p>
        </w:tc>
        <w:tc>
          <w:tcPr>
            <w:tcW w:w="108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54DE856">
            <w:pPr>
              <w:spacing w:line="360" w:lineRule="auto"/>
              <w:jc w:val="center"/>
              <w:rPr>
                <w:rFonts w:hint="eastAsia" w:ascii="宋体" w:hAnsi="宋体" w:cs="宋体"/>
                <w:color w:val="auto"/>
                <w:kern w:val="0"/>
                <w:sz w:val="24"/>
                <w:highlight w:val="none"/>
              </w:rPr>
            </w:pPr>
          </w:p>
        </w:tc>
        <w:tc>
          <w:tcPr>
            <w:tcW w:w="326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8D70DD8">
            <w:pPr>
              <w:spacing w:line="360" w:lineRule="auto"/>
              <w:jc w:val="center"/>
              <w:rPr>
                <w:rFonts w:hint="eastAsia" w:ascii="宋体" w:hAnsi="宋体" w:cs="宋体"/>
                <w:color w:val="auto"/>
                <w:kern w:val="0"/>
                <w:sz w:val="24"/>
                <w:highlight w:val="none"/>
              </w:rPr>
            </w:pPr>
          </w:p>
        </w:tc>
        <w:tc>
          <w:tcPr>
            <w:tcW w:w="124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D3B192B">
            <w:pPr>
              <w:spacing w:line="360" w:lineRule="auto"/>
              <w:jc w:val="center"/>
              <w:rPr>
                <w:rFonts w:hint="eastAsia" w:ascii="宋体" w:hAnsi="宋体" w:cs="宋体"/>
                <w:color w:val="auto"/>
                <w:kern w:val="0"/>
                <w:sz w:val="24"/>
                <w:highlight w:val="none"/>
              </w:rPr>
            </w:pPr>
          </w:p>
        </w:tc>
      </w:tr>
      <w:tr w14:paraId="0ECBB80B">
        <w:tblPrEx>
          <w:shd w:val="clear" w:color="auto" w:fill="FBFBFB"/>
          <w:tblCellMar>
            <w:top w:w="0" w:type="dxa"/>
            <w:left w:w="0" w:type="dxa"/>
            <w:bottom w:w="0" w:type="dxa"/>
            <w:right w:w="0" w:type="dxa"/>
          </w:tblCellMar>
        </w:tblPrEx>
        <w:trPr>
          <w:trHeight w:val="708" w:hRule="atLeast"/>
        </w:trPr>
        <w:tc>
          <w:tcPr>
            <w:tcW w:w="726"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C8B44AE">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w:t>
            </w:r>
          </w:p>
        </w:tc>
        <w:tc>
          <w:tcPr>
            <w:tcW w:w="199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5D69FC6">
            <w:pPr>
              <w:spacing w:line="360" w:lineRule="auto"/>
              <w:jc w:val="center"/>
              <w:rPr>
                <w:rFonts w:hint="eastAsia" w:ascii="宋体" w:hAnsi="宋体" w:cs="宋体"/>
                <w:color w:val="auto"/>
                <w:kern w:val="0"/>
                <w:sz w:val="24"/>
                <w:highlight w:val="none"/>
              </w:rPr>
            </w:pPr>
          </w:p>
        </w:tc>
        <w:tc>
          <w:tcPr>
            <w:tcW w:w="108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5BC6397">
            <w:pPr>
              <w:spacing w:line="360" w:lineRule="auto"/>
              <w:jc w:val="center"/>
              <w:rPr>
                <w:rFonts w:hint="eastAsia" w:ascii="宋体" w:hAnsi="宋体" w:cs="宋体"/>
                <w:color w:val="auto"/>
                <w:kern w:val="0"/>
                <w:sz w:val="24"/>
                <w:highlight w:val="none"/>
              </w:rPr>
            </w:pPr>
          </w:p>
        </w:tc>
        <w:tc>
          <w:tcPr>
            <w:tcW w:w="326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74590F0">
            <w:pPr>
              <w:spacing w:line="360" w:lineRule="auto"/>
              <w:jc w:val="center"/>
              <w:rPr>
                <w:rFonts w:hint="eastAsia" w:ascii="宋体" w:hAnsi="宋体" w:cs="宋体"/>
                <w:color w:val="auto"/>
                <w:kern w:val="0"/>
                <w:sz w:val="24"/>
                <w:highlight w:val="none"/>
              </w:rPr>
            </w:pPr>
          </w:p>
        </w:tc>
        <w:tc>
          <w:tcPr>
            <w:tcW w:w="124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2D63569">
            <w:pPr>
              <w:spacing w:line="360" w:lineRule="auto"/>
              <w:jc w:val="center"/>
              <w:rPr>
                <w:rFonts w:hint="eastAsia" w:ascii="宋体" w:hAnsi="宋体" w:cs="宋体"/>
                <w:color w:val="auto"/>
                <w:kern w:val="0"/>
                <w:sz w:val="24"/>
                <w:highlight w:val="none"/>
              </w:rPr>
            </w:pPr>
          </w:p>
        </w:tc>
      </w:tr>
      <w:tr w14:paraId="2CD9C711">
        <w:tblPrEx>
          <w:shd w:val="clear" w:color="auto" w:fill="FBFBFB"/>
          <w:tblCellMar>
            <w:top w:w="0" w:type="dxa"/>
            <w:left w:w="0" w:type="dxa"/>
            <w:bottom w:w="0" w:type="dxa"/>
            <w:right w:w="0" w:type="dxa"/>
          </w:tblCellMar>
        </w:tblPrEx>
        <w:trPr>
          <w:trHeight w:val="718" w:hRule="atLeast"/>
        </w:trPr>
        <w:tc>
          <w:tcPr>
            <w:tcW w:w="726"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86028A2">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w:t>
            </w:r>
          </w:p>
        </w:tc>
        <w:tc>
          <w:tcPr>
            <w:tcW w:w="199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C038FE3">
            <w:pPr>
              <w:spacing w:line="360" w:lineRule="auto"/>
              <w:jc w:val="center"/>
              <w:rPr>
                <w:rFonts w:hint="eastAsia" w:ascii="宋体" w:hAnsi="宋体" w:cs="宋体"/>
                <w:color w:val="auto"/>
                <w:kern w:val="0"/>
                <w:sz w:val="24"/>
                <w:highlight w:val="none"/>
              </w:rPr>
            </w:pPr>
          </w:p>
        </w:tc>
        <w:tc>
          <w:tcPr>
            <w:tcW w:w="108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FB3EAC8">
            <w:pPr>
              <w:spacing w:line="360" w:lineRule="auto"/>
              <w:jc w:val="center"/>
              <w:rPr>
                <w:rFonts w:hint="eastAsia" w:ascii="宋体" w:hAnsi="宋体" w:cs="宋体"/>
                <w:color w:val="auto"/>
                <w:kern w:val="0"/>
                <w:sz w:val="24"/>
                <w:highlight w:val="none"/>
              </w:rPr>
            </w:pPr>
          </w:p>
        </w:tc>
        <w:tc>
          <w:tcPr>
            <w:tcW w:w="326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442C30A">
            <w:pPr>
              <w:spacing w:line="360" w:lineRule="auto"/>
              <w:jc w:val="center"/>
              <w:rPr>
                <w:rFonts w:hint="eastAsia" w:ascii="宋体" w:hAnsi="宋体" w:cs="宋体"/>
                <w:color w:val="auto"/>
                <w:kern w:val="0"/>
                <w:sz w:val="24"/>
                <w:highlight w:val="none"/>
              </w:rPr>
            </w:pPr>
          </w:p>
        </w:tc>
        <w:tc>
          <w:tcPr>
            <w:tcW w:w="124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0411BF2">
            <w:pPr>
              <w:spacing w:line="360" w:lineRule="auto"/>
              <w:jc w:val="center"/>
              <w:rPr>
                <w:rFonts w:hint="eastAsia" w:ascii="宋体" w:hAnsi="宋体" w:cs="宋体"/>
                <w:color w:val="auto"/>
                <w:kern w:val="0"/>
                <w:sz w:val="24"/>
                <w:highlight w:val="none"/>
              </w:rPr>
            </w:pPr>
          </w:p>
        </w:tc>
      </w:tr>
    </w:tbl>
    <w:p w14:paraId="39B69AD6">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注：</w:t>
      </w:r>
    </w:p>
    <w:p w14:paraId="2D5EDE68">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2B870D61">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2.本表所指的控股关系仅限于直接控股关系，不包括间接的控股关系。公司实际控制人与公司之间的关系不属于本表所指的直接控股关系。</w:t>
      </w:r>
    </w:p>
    <w:p w14:paraId="771914A8">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3.供应商不存在直接控股股东的，则在“</w:t>
      </w:r>
      <w:r>
        <w:rPr>
          <w:rFonts w:hint="eastAsia" w:ascii="宋体" w:hAnsi="宋体" w:cs="宋体"/>
          <w:b/>
          <w:bCs/>
          <w:color w:val="auto"/>
          <w:kern w:val="0"/>
          <w:sz w:val="24"/>
          <w:highlight w:val="none"/>
        </w:rPr>
        <w:t>直接控股股东名称</w:t>
      </w:r>
      <w:r>
        <w:rPr>
          <w:rFonts w:hint="eastAsia" w:ascii="宋体" w:hAnsi="宋体"/>
          <w:color w:val="auto"/>
          <w:sz w:val="24"/>
          <w:highlight w:val="none"/>
        </w:rPr>
        <w:t>”中填“无”。</w:t>
      </w:r>
    </w:p>
    <w:p w14:paraId="183A69BE">
      <w:pPr>
        <w:snapToGrid w:val="0"/>
        <w:spacing w:line="360" w:lineRule="auto"/>
        <w:jc w:val="left"/>
        <w:rPr>
          <w:rFonts w:hint="eastAsia" w:ascii="宋体" w:hAnsi="宋体"/>
          <w:color w:val="auto"/>
          <w:sz w:val="24"/>
          <w:highlight w:val="none"/>
        </w:rPr>
      </w:pPr>
    </w:p>
    <w:p w14:paraId="13F7697B">
      <w:pPr>
        <w:snapToGrid w:val="0"/>
        <w:spacing w:line="360" w:lineRule="auto"/>
        <w:jc w:val="left"/>
        <w:rPr>
          <w:rFonts w:hint="eastAsia" w:ascii="宋体" w:hAnsi="宋体"/>
          <w:color w:val="auto"/>
          <w:sz w:val="24"/>
          <w:highlight w:val="none"/>
        </w:rPr>
      </w:pPr>
    </w:p>
    <w:p w14:paraId="159643CA">
      <w:pPr>
        <w:snapToGrid w:val="0"/>
        <w:spacing w:line="360" w:lineRule="auto"/>
        <w:jc w:val="left"/>
        <w:rPr>
          <w:rFonts w:hint="eastAsia" w:ascii="宋体" w:hAnsi="宋体"/>
          <w:color w:val="auto"/>
          <w:sz w:val="24"/>
          <w:highlight w:val="none"/>
        </w:rPr>
      </w:pPr>
    </w:p>
    <w:p w14:paraId="40B36763">
      <w:pPr>
        <w:snapToGrid w:val="0"/>
        <w:spacing w:line="360" w:lineRule="auto"/>
        <w:ind w:left="-2" w:leftChars="-1" w:right="-817" w:rightChars="-389"/>
        <w:rPr>
          <w:rFonts w:hint="eastAsia" w:ascii="宋体" w:hAnsi="宋体"/>
          <w:color w:val="auto"/>
          <w:sz w:val="24"/>
          <w:highlight w:val="none"/>
        </w:rPr>
      </w:pPr>
      <w:r>
        <w:rPr>
          <w:rFonts w:hint="eastAsia" w:ascii="宋体" w:hAnsi="宋体"/>
          <w:color w:val="auto"/>
          <w:sz w:val="24"/>
          <w:highlight w:val="none"/>
        </w:rPr>
        <w:t xml:space="preserve">             法定代表人或者委托代理人（签字或者电子签名）：</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14:paraId="3D9213FC">
      <w:pPr>
        <w:snapToGrid w:val="0"/>
        <w:spacing w:line="360" w:lineRule="auto"/>
        <w:ind w:left="-3" w:leftChars="-15" w:right="-817" w:rightChars="-389" w:hanging="28" w:hangingChars="12"/>
        <w:rPr>
          <w:rFonts w:hint="eastAsia" w:ascii="宋体" w:hAnsi="宋体"/>
          <w:color w:val="auto"/>
          <w:sz w:val="24"/>
          <w:highlight w:val="none"/>
          <w:u w:val="single"/>
        </w:rPr>
      </w:pPr>
      <w:r>
        <w:rPr>
          <w:rFonts w:hint="eastAsia" w:ascii="宋体" w:hAnsi="宋体"/>
          <w:color w:val="auto"/>
          <w:sz w:val="24"/>
          <w:highlight w:val="none"/>
        </w:rPr>
        <w:t xml:space="preserve">                                    投标人名称（电子签章）：</w:t>
      </w:r>
      <w:r>
        <w:rPr>
          <w:rFonts w:hint="eastAsia" w:ascii="宋体" w:hAnsi="宋体"/>
          <w:color w:val="auto"/>
          <w:sz w:val="24"/>
          <w:highlight w:val="none"/>
          <w:u w:val="single"/>
        </w:rPr>
        <w:t xml:space="preserve">             </w:t>
      </w:r>
    </w:p>
    <w:p w14:paraId="28158E47">
      <w:pPr>
        <w:snapToGrid w:val="0"/>
        <w:spacing w:line="360" w:lineRule="auto"/>
        <w:jc w:val="left"/>
        <w:rPr>
          <w:rFonts w:hint="eastAsia" w:ascii="宋体" w:hAnsi="宋体"/>
          <w:color w:val="auto"/>
          <w:szCs w:val="21"/>
          <w:highlight w:val="none"/>
        </w:rPr>
      </w:pPr>
      <w:r>
        <w:rPr>
          <w:rFonts w:hint="eastAsia" w:ascii="宋体" w:hAnsi="宋体"/>
          <w:color w:val="auto"/>
          <w:sz w:val="24"/>
          <w:highlight w:val="none"/>
        </w:rPr>
        <w:t xml:space="preserve">                                    日期：    年   月   日</w:t>
      </w:r>
    </w:p>
    <w:p w14:paraId="5E000A90">
      <w:pPr>
        <w:snapToGrid w:val="0"/>
        <w:jc w:val="center"/>
        <w:rPr>
          <w:rFonts w:hint="eastAsia" w:ascii="宋体" w:hAnsi="宋体"/>
          <w:b/>
          <w:color w:val="auto"/>
          <w:sz w:val="28"/>
          <w:szCs w:val="28"/>
          <w:highlight w:val="none"/>
        </w:rPr>
      </w:pPr>
    </w:p>
    <w:p w14:paraId="42A22F2C">
      <w:pPr>
        <w:snapToGrid w:val="0"/>
        <w:spacing w:line="360" w:lineRule="auto"/>
        <w:jc w:val="left"/>
        <w:outlineLvl w:val="2"/>
        <w:rPr>
          <w:rFonts w:hint="eastAsia" w:ascii="宋体" w:hAnsi="宋体"/>
          <w:b/>
          <w:color w:val="auto"/>
          <w:sz w:val="32"/>
          <w:szCs w:val="32"/>
          <w:highlight w:val="none"/>
        </w:rPr>
      </w:pPr>
      <w:r>
        <w:rPr>
          <w:rFonts w:hint="eastAsia" w:ascii="宋体" w:hAnsi="宋体"/>
          <w:b/>
          <w:color w:val="auto"/>
          <w:sz w:val="32"/>
          <w:szCs w:val="32"/>
          <w:highlight w:val="none"/>
        </w:rPr>
        <w:br w:type="page"/>
      </w:r>
      <w:r>
        <w:rPr>
          <w:rFonts w:hint="eastAsia" w:ascii="宋体" w:hAnsi="宋体"/>
          <w:b/>
          <w:color w:val="auto"/>
          <w:sz w:val="24"/>
          <w:highlight w:val="none"/>
        </w:rPr>
        <w:t>4.</w:t>
      </w:r>
      <w:r>
        <w:rPr>
          <w:color w:val="auto"/>
          <w:highlight w:val="none"/>
        </w:rPr>
        <w:t xml:space="preserve"> </w:t>
      </w:r>
      <w:r>
        <w:rPr>
          <w:rFonts w:hint="eastAsia" w:ascii="宋体" w:hAnsi="宋体"/>
          <w:b/>
          <w:color w:val="auto"/>
          <w:sz w:val="28"/>
          <w:szCs w:val="28"/>
          <w:highlight w:val="none"/>
        </w:rPr>
        <w:t>投标人直接管理关系信息表</w:t>
      </w:r>
    </w:p>
    <w:p w14:paraId="62F8844C">
      <w:pPr>
        <w:snapToGrid w:val="0"/>
        <w:spacing w:line="360" w:lineRule="auto"/>
        <w:jc w:val="center"/>
        <w:rPr>
          <w:rFonts w:hint="eastAsia" w:ascii="宋体" w:hAnsi="宋体"/>
          <w:color w:val="auto"/>
          <w:sz w:val="32"/>
          <w:szCs w:val="32"/>
          <w:highlight w:val="none"/>
        </w:rPr>
      </w:pPr>
      <w:r>
        <w:rPr>
          <w:rFonts w:hint="eastAsia" w:ascii="宋体" w:hAnsi="宋体"/>
          <w:b/>
          <w:color w:val="auto"/>
          <w:sz w:val="32"/>
          <w:szCs w:val="32"/>
          <w:highlight w:val="none"/>
        </w:rPr>
        <w:t>投标人直接管理关系信息表</w:t>
      </w:r>
    </w:p>
    <w:tbl>
      <w:tblPr>
        <w:tblStyle w:val="47"/>
        <w:tblW w:w="8697" w:type="dxa"/>
        <w:tblInd w:w="0" w:type="dxa"/>
        <w:shd w:val="clear" w:color="auto" w:fill="FBFBFB"/>
        <w:tblLayout w:type="fixed"/>
        <w:tblCellMar>
          <w:top w:w="0" w:type="dxa"/>
          <w:left w:w="0" w:type="dxa"/>
          <w:bottom w:w="0" w:type="dxa"/>
          <w:right w:w="0" w:type="dxa"/>
        </w:tblCellMar>
      </w:tblPr>
      <w:tblGrid>
        <w:gridCol w:w="905"/>
        <w:gridCol w:w="2396"/>
        <w:gridCol w:w="3536"/>
        <w:gridCol w:w="1860"/>
      </w:tblGrid>
      <w:tr w14:paraId="3B24DFC8">
        <w:tblPrEx>
          <w:tblCellMar>
            <w:top w:w="0" w:type="dxa"/>
            <w:left w:w="0" w:type="dxa"/>
            <w:bottom w:w="0" w:type="dxa"/>
            <w:right w:w="0" w:type="dxa"/>
          </w:tblCellMar>
        </w:tblPrEx>
        <w:trPr>
          <w:trHeight w:val="742" w:hRule="atLeast"/>
          <w:tblHeader/>
        </w:trPr>
        <w:tc>
          <w:tcPr>
            <w:tcW w:w="90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2F8453A">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396"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984B84F">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536"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39F7A74">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1860"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829801F">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10A5F943">
        <w:tblPrEx>
          <w:shd w:val="clear" w:color="auto" w:fill="FBFBFB"/>
          <w:tblCellMar>
            <w:top w:w="0" w:type="dxa"/>
            <w:left w:w="0" w:type="dxa"/>
            <w:bottom w:w="0" w:type="dxa"/>
            <w:right w:w="0" w:type="dxa"/>
          </w:tblCellMar>
        </w:tblPrEx>
        <w:trPr>
          <w:trHeight w:val="742" w:hRule="atLeast"/>
        </w:trPr>
        <w:tc>
          <w:tcPr>
            <w:tcW w:w="9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0A9D02E">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2396"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DA423FD">
            <w:pPr>
              <w:spacing w:line="360" w:lineRule="auto"/>
              <w:jc w:val="center"/>
              <w:rPr>
                <w:rFonts w:hint="eastAsia" w:ascii="宋体" w:hAnsi="宋体" w:cs="宋体"/>
                <w:color w:val="auto"/>
                <w:kern w:val="0"/>
                <w:sz w:val="24"/>
                <w:highlight w:val="none"/>
              </w:rPr>
            </w:pPr>
          </w:p>
        </w:tc>
        <w:tc>
          <w:tcPr>
            <w:tcW w:w="3536"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D059259">
            <w:pPr>
              <w:spacing w:line="360" w:lineRule="auto"/>
              <w:jc w:val="center"/>
              <w:rPr>
                <w:rFonts w:hint="eastAsia" w:ascii="宋体" w:hAnsi="宋体" w:cs="宋体"/>
                <w:color w:val="auto"/>
                <w:kern w:val="0"/>
                <w:sz w:val="24"/>
                <w:highlight w:val="none"/>
              </w:rPr>
            </w:pPr>
          </w:p>
        </w:tc>
        <w:tc>
          <w:tcPr>
            <w:tcW w:w="186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9CC60AF">
            <w:pPr>
              <w:spacing w:line="360" w:lineRule="auto"/>
              <w:jc w:val="center"/>
              <w:rPr>
                <w:rFonts w:hint="eastAsia" w:ascii="宋体" w:hAnsi="宋体" w:cs="宋体"/>
                <w:color w:val="auto"/>
                <w:kern w:val="0"/>
                <w:sz w:val="24"/>
                <w:highlight w:val="none"/>
              </w:rPr>
            </w:pPr>
          </w:p>
        </w:tc>
      </w:tr>
      <w:tr w14:paraId="10F488D8">
        <w:tblPrEx>
          <w:tblCellMar>
            <w:top w:w="0" w:type="dxa"/>
            <w:left w:w="0" w:type="dxa"/>
            <w:bottom w:w="0" w:type="dxa"/>
            <w:right w:w="0" w:type="dxa"/>
          </w:tblCellMar>
        </w:tblPrEx>
        <w:trPr>
          <w:trHeight w:val="742" w:hRule="atLeast"/>
        </w:trPr>
        <w:tc>
          <w:tcPr>
            <w:tcW w:w="9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A583118">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w:t>
            </w:r>
          </w:p>
        </w:tc>
        <w:tc>
          <w:tcPr>
            <w:tcW w:w="2396"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4603093">
            <w:pPr>
              <w:spacing w:line="360" w:lineRule="auto"/>
              <w:jc w:val="center"/>
              <w:rPr>
                <w:rFonts w:hint="eastAsia" w:ascii="宋体" w:hAnsi="宋体" w:cs="宋体"/>
                <w:color w:val="auto"/>
                <w:kern w:val="0"/>
                <w:sz w:val="24"/>
                <w:highlight w:val="none"/>
              </w:rPr>
            </w:pPr>
          </w:p>
        </w:tc>
        <w:tc>
          <w:tcPr>
            <w:tcW w:w="3536"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9343C7C">
            <w:pPr>
              <w:spacing w:line="360" w:lineRule="auto"/>
              <w:jc w:val="center"/>
              <w:rPr>
                <w:rFonts w:hint="eastAsia" w:ascii="宋体" w:hAnsi="宋体" w:cs="宋体"/>
                <w:color w:val="auto"/>
                <w:kern w:val="0"/>
                <w:sz w:val="24"/>
                <w:highlight w:val="none"/>
              </w:rPr>
            </w:pPr>
          </w:p>
        </w:tc>
        <w:tc>
          <w:tcPr>
            <w:tcW w:w="186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4014D06">
            <w:pPr>
              <w:spacing w:line="360" w:lineRule="auto"/>
              <w:jc w:val="center"/>
              <w:rPr>
                <w:rFonts w:hint="eastAsia" w:ascii="宋体" w:hAnsi="宋体" w:cs="宋体"/>
                <w:color w:val="auto"/>
                <w:kern w:val="0"/>
                <w:sz w:val="24"/>
                <w:highlight w:val="none"/>
              </w:rPr>
            </w:pPr>
          </w:p>
        </w:tc>
      </w:tr>
      <w:tr w14:paraId="7559BDA9">
        <w:tblPrEx>
          <w:shd w:val="clear" w:color="auto" w:fill="FBFBFB"/>
          <w:tblCellMar>
            <w:top w:w="0" w:type="dxa"/>
            <w:left w:w="0" w:type="dxa"/>
            <w:bottom w:w="0" w:type="dxa"/>
            <w:right w:w="0" w:type="dxa"/>
          </w:tblCellMar>
        </w:tblPrEx>
        <w:trPr>
          <w:trHeight w:val="742" w:hRule="atLeast"/>
        </w:trPr>
        <w:tc>
          <w:tcPr>
            <w:tcW w:w="9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03279A6">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w:t>
            </w:r>
          </w:p>
        </w:tc>
        <w:tc>
          <w:tcPr>
            <w:tcW w:w="2396"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B718B1A">
            <w:pPr>
              <w:spacing w:line="360" w:lineRule="auto"/>
              <w:jc w:val="center"/>
              <w:rPr>
                <w:rFonts w:hint="eastAsia" w:ascii="宋体" w:hAnsi="宋体" w:cs="宋体"/>
                <w:color w:val="auto"/>
                <w:kern w:val="0"/>
                <w:sz w:val="24"/>
                <w:highlight w:val="none"/>
              </w:rPr>
            </w:pPr>
          </w:p>
        </w:tc>
        <w:tc>
          <w:tcPr>
            <w:tcW w:w="3536"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DF24E52">
            <w:pPr>
              <w:spacing w:line="360" w:lineRule="auto"/>
              <w:jc w:val="center"/>
              <w:rPr>
                <w:rFonts w:hint="eastAsia" w:ascii="宋体" w:hAnsi="宋体" w:cs="宋体"/>
                <w:color w:val="auto"/>
                <w:kern w:val="0"/>
                <w:sz w:val="24"/>
                <w:highlight w:val="none"/>
              </w:rPr>
            </w:pPr>
          </w:p>
        </w:tc>
        <w:tc>
          <w:tcPr>
            <w:tcW w:w="186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3B36C97">
            <w:pPr>
              <w:spacing w:line="360" w:lineRule="auto"/>
              <w:jc w:val="center"/>
              <w:rPr>
                <w:rFonts w:hint="eastAsia" w:ascii="宋体" w:hAnsi="宋体" w:cs="宋体"/>
                <w:color w:val="auto"/>
                <w:kern w:val="0"/>
                <w:sz w:val="24"/>
                <w:highlight w:val="none"/>
              </w:rPr>
            </w:pPr>
          </w:p>
        </w:tc>
      </w:tr>
      <w:tr w14:paraId="13036E4C">
        <w:tblPrEx>
          <w:shd w:val="clear" w:color="auto" w:fill="FBFBFB"/>
          <w:tblCellMar>
            <w:top w:w="0" w:type="dxa"/>
            <w:left w:w="0" w:type="dxa"/>
            <w:bottom w:w="0" w:type="dxa"/>
            <w:right w:w="0" w:type="dxa"/>
          </w:tblCellMar>
        </w:tblPrEx>
        <w:trPr>
          <w:trHeight w:val="752" w:hRule="atLeast"/>
        </w:trPr>
        <w:tc>
          <w:tcPr>
            <w:tcW w:w="9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ECDF050">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w:t>
            </w:r>
          </w:p>
        </w:tc>
        <w:tc>
          <w:tcPr>
            <w:tcW w:w="2396"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D88E08B">
            <w:pPr>
              <w:spacing w:line="360" w:lineRule="auto"/>
              <w:jc w:val="center"/>
              <w:rPr>
                <w:rFonts w:hint="eastAsia" w:ascii="宋体" w:hAnsi="宋体" w:cs="宋体"/>
                <w:color w:val="auto"/>
                <w:kern w:val="0"/>
                <w:sz w:val="24"/>
                <w:highlight w:val="none"/>
              </w:rPr>
            </w:pPr>
          </w:p>
        </w:tc>
        <w:tc>
          <w:tcPr>
            <w:tcW w:w="3536"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71ADFCE">
            <w:pPr>
              <w:spacing w:line="360" w:lineRule="auto"/>
              <w:jc w:val="center"/>
              <w:rPr>
                <w:rFonts w:hint="eastAsia" w:ascii="宋体" w:hAnsi="宋体" w:cs="宋体"/>
                <w:color w:val="auto"/>
                <w:kern w:val="0"/>
                <w:sz w:val="24"/>
                <w:highlight w:val="none"/>
              </w:rPr>
            </w:pPr>
          </w:p>
        </w:tc>
        <w:tc>
          <w:tcPr>
            <w:tcW w:w="186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D08BB3A">
            <w:pPr>
              <w:spacing w:line="360" w:lineRule="auto"/>
              <w:jc w:val="center"/>
              <w:rPr>
                <w:rFonts w:hint="eastAsia" w:ascii="宋体" w:hAnsi="宋体" w:cs="宋体"/>
                <w:color w:val="auto"/>
                <w:kern w:val="0"/>
                <w:sz w:val="24"/>
                <w:highlight w:val="none"/>
              </w:rPr>
            </w:pPr>
          </w:p>
        </w:tc>
      </w:tr>
    </w:tbl>
    <w:p w14:paraId="05AB255E">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注：</w:t>
      </w:r>
    </w:p>
    <w:p w14:paraId="11C52CC4">
      <w:pPr>
        <w:snapToGri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1.管理关系：是指不具有出资持股关系的其他单位之间存在的管理与被管理关系，如一些上下级关系的事业单位和团体组织。</w:t>
      </w:r>
    </w:p>
    <w:p w14:paraId="545315B9">
      <w:pPr>
        <w:snapToGri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2.</w:t>
      </w:r>
      <w:r>
        <w:rPr>
          <w:rFonts w:hint="eastAsia" w:ascii="宋体" w:hAnsi="宋体"/>
          <w:color w:val="auto"/>
          <w:spacing w:val="-6"/>
          <w:sz w:val="24"/>
          <w:highlight w:val="none"/>
        </w:rPr>
        <w:t>本表所指的管理关系仅限于直接管理关系，不包括间接的管理关系。</w:t>
      </w:r>
    </w:p>
    <w:p w14:paraId="12752EBB">
      <w:pPr>
        <w:snapToGri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3.供应商不存在直接管理关系的，则在“</w:t>
      </w:r>
      <w:r>
        <w:rPr>
          <w:rFonts w:hint="eastAsia" w:ascii="宋体" w:hAnsi="宋体" w:cs="宋体"/>
          <w:b/>
          <w:bCs/>
          <w:color w:val="auto"/>
          <w:kern w:val="0"/>
          <w:sz w:val="24"/>
          <w:highlight w:val="none"/>
        </w:rPr>
        <w:t>直接管理关系单位名称</w:t>
      </w:r>
      <w:r>
        <w:rPr>
          <w:rFonts w:hint="eastAsia" w:ascii="宋体" w:hAnsi="宋体"/>
          <w:color w:val="auto"/>
          <w:sz w:val="24"/>
          <w:highlight w:val="none"/>
        </w:rPr>
        <w:t>”中填“无”。</w:t>
      </w:r>
    </w:p>
    <w:p w14:paraId="348E6B37">
      <w:pPr>
        <w:snapToGrid w:val="0"/>
        <w:spacing w:line="360" w:lineRule="auto"/>
        <w:jc w:val="left"/>
        <w:rPr>
          <w:rFonts w:hint="eastAsia" w:ascii="宋体" w:hAnsi="宋体"/>
          <w:color w:val="auto"/>
          <w:sz w:val="24"/>
          <w:highlight w:val="none"/>
        </w:rPr>
      </w:pPr>
    </w:p>
    <w:p w14:paraId="56B3E80F">
      <w:pPr>
        <w:snapToGrid w:val="0"/>
        <w:spacing w:line="360" w:lineRule="auto"/>
        <w:jc w:val="left"/>
        <w:rPr>
          <w:rFonts w:hint="eastAsia" w:ascii="宋体" w:hAnsi="宋体"/>
          <w:color w:val="auto"/>
          <w:sz w:val="24"/>
          <w:highlight w:val="none"/>
        </w:rPr>
      </w:pPr>
    </w:p>
    <w:p w14:paraId="4EDA6170">
      <w:pPr>
        <w:snapToGrid w:val="0"/>
        <w:spacing w:line="360" w:lineRule="auto"/>
        <w:jc w:val="left"/>
        <w:rPr>
          <w:rFonts w:hint="eastAsia" w:ascii="宋体" w:hAnsi="宋体"/>
          <w:color w:val="auto"/>
          <w:sz w:val="24"/>
          <w:highlight w:val="none"/>
        </w:rPr>
      </w:pPr>
    </w:p>
    <w:p w14:paraId="2AD8E54C">
      <w:pPr>
        <w:snapToGrid w:val="0"/>
        <w:spacing w:line="360" w:lineRule="auto"/>
        <w:jc w:val="left"/>
        <w:rPr>
          <w:color w:val="auto"/>
          <w:sz w:val="24"/>
          <w:highlight w:val="none"/>
        </w:rPr>
      </w:pPr>
    </w:p>
    <w:p w14:paraId="5DE165C1">
      <w:pPr>
        <w:snapToGrid w:val="0"/>
        <w:spacing w:line="360" w:lineRule="auto"/>
        <w:ind w:left="-2" w:leftChars="-1" w:right="-817" w:rightChars="-389"/>
        <w:rPr>
          <w:rFonts w:hint="eastAsia" w:ascii="宋体" w:hAnsi="宋体"/>
          <w:color w:val="auto"/>
          <w:sz w:val="24"/>
          <w:highlight w:val="none"/>
        </w:rPr>
      </w:pPr>
      <w:r>
        <w:rPr>
          <w:rFonts w:hint="eastAsia" w:ascii="宋体" w:hAnsi="宋体"/>
          <w:color w:val="auto"/>
          <w:sz w:val="24"/>
          <w:highlight w:val="none"/>
        </w:rPr>
        <w:t xml:space="preserve">            法定代表人或者委托代理人（签字或者电子签名）：</w:t>
      </w:r>
    </w:p>
    <w:p w14:paraId="2B099274">
      <w:pPr>
        <w:snapToGrid w:val="0"/>
        <w:spacing w:line="360" w:lineRule="auto"/>
        <w:ind w:left="-3" w:leftChars="-15" w:right="-817" w:rightChars="-389" w:hanging="28" w:hangingChars="12"/>
        <w:rPr>
          <w:rFonts w:hint="eastAsia" w:ascii="宋体" w:hAnsi="宋体"/>
          <w:color w:val="auto"/>
          <w:sz w:val="24"/>
          <w:highlight w:val="none"/>
        </w:rPr>
      </w:pPr>
      <w:r>
        <w:rPr>
          <w:rFonts w:hint="eastAsia" w:ascii="宋体" w:hAnsi="宋体"/>
          <w:color w:val="auto"/>
          <w:sz w:val="24"/>
          <w:highlight w:val="none"/>
        </w:rPr>
        <w:t xml:space="preserve">                                  投标人名称（电子签章）：</w:t>
      </w:r>
    </w:p>
    <w:p w14:paraId="294430DA">
      <w:pPr>
        <w:snapToGrid w:val="0"/>
        <w:spacing w:line="360" w:lineRule="auto"/>
        <w:ind w:right="480" w:firstLine="240" w:firstLineChars="100"/>
        <w:jc w:val="left"/>
        <w:rPr>
          <w:rFonts w:hint="eastAsia" w:ascii="宋体" w:hAnsi="宋体"/>
          <w:color w:val="auto"/>
          <w:szCs w:val="21"/>
          <w:highlight w:val="none"/>
        </w:rPr>
      </w:pPr>
      <w:r>
        <w:rPr>
          <w:rFonts w:hint="eastAsia" w:ascii="宋体" w:hAnsi="宋体"/>
          <w:color w:val="auto"/>
          <w:sz w:val="24"/>
          <w:highlight w:val="none"/>
        </w:rPr>
        <w:t xml:space="preserve">                                日期：    年   月   日</w:t>
      </w:r>
    </w:p>
    <w:p w14:paraId="3812E453">
      <w:pPr>
        <w:snapToGrid w:val="0"/>
        <w:spacing w:before="120" w:beforeLines="50" w:after="50"/>
        <w:jc w:val="left"/>
        <w:rPr>
          <w:rFonts w:hint="eastAsia" w:ascii="宋体" w:hAnsi="宋体"/>
          <w:color w:val="auto"/>
          <w:sz w:val="24"/>
          <w:highlight w:val="none"/>
        </w:rPr>
      </w:pPr>
    </w:p>
    <w:p w14:paraId="47CE28C8">
      <w:pPr>
        <w:snapToGrid w:val="0"/>
        <w:spacing w:before="50" w:after="120" w:afterLines="50"/>
        <w:jc w:val="left"/>
        <w:rPr>
          <w:rFonts w:hint="eastAsia" w:ascii="宋体" w:hAnsi="宋体"/>
          <w:color w:val="auto"/>
          <w:szCs w:val="21"/>
          <w:highlight w:val="none"/>
        </w:rPr>
      </w:pPr>
    </w:p>
    <w:p w14:paraId="4AFF5852">
      <w:pPr>
        <w:snapToGrid w:val="0"/>
        <w:spacing w:before="120" w:beforeLines="50" w:after="50"/>
        <w:jc w:val="left"/>
        <w:rPr>
          <w:rFonts w:hint="eastAsia" w:ascii="宋体" w:hAnsi="宋体"/>
          <w:b/>
          <w:color w:val="auto"/>
          <w:sz w:val="24"/>
          <w:szCs w:val="20"/>
          <w:highlight w:val="none"/>
        </w:rPr>
      </w:pPr>
    </w:p>
    <w:p w14:paraId="40EC2F8F">
      <w:pPr>
        <w:snapToGrid w:val="0"/>
        <w:spacing w:before="120" w:beforeLines="50" w:after="50"/>
        <w:ind w:left="142"/>
        <w:jc w:val="left"/>
        <w:rPr>
          <w:rFonts w:hint="eastAsia" w:ascii="宋体" w:hAnsi="宋体"/>
          <w:b/>
          <w:color w:val="auto"/>
          <w:sz w:val="24"/>
          <w:highlight w:val="none"/>
        </w:rPr>
      </w:pPr>
    </w:p>
    <w:p w14:paraId="3FE95EC3">
      <w:pPr>
        <w:snapToGrid w:val="0"/>
        <w:spacing w:before="120" w:beforeLines="50" w:after="50"/>
        <w:ind w:left="142"/>
        <w:jc w:val="left"/>
        <w:rPr>
          <w:rFonts w:hint="eastAsia" w:ascii="宋体" w:hAnsi="宋体"/>
          <w:b/>
          <w:color w:val="auto"/>
          <w:sz w:val="24"/>
          <w:highlight w:val="none"/>
        </w:rPr>
      </w:pPr>
    </w:p>
    <w:p w14:paraId="5FF46C71">
      <w:pPr>
        <w:snapToGrid w:val="0"/>
        <w:spacing w:before="120" w:beforeLines="50" w:after="50"/>
        <w:ind w:left="142"/>
        <w:jc w:val="left"/>
        <w:outlineLvl w:val="2"/>
        <w:rPr>
          <w:rFonts w:hint="eastAsia" w:ascii="宋体" w:hAnsi="宋体"/>
          <w:b/>
          <w:color w:val="auto"/>
          <w:sz w:val="24"/>
          <w:szCs w:val="20"/>
          <w:highlight w:val="none"/>
        </w:rPr>
      </w:pPr>
      <w:r>
        <w:rPr>
          <w:rFonts w:hint="eastAsia" w:ascii="宋体" w:hAnsi="宋体"/>
          <w:b/>
          <w:color w:val="auto"/>
          <w:sz w:val="24"/>
          <w:highlight w:val="none"/>
        </w:rPr>
        <w:t>5.投标声明</w:t>
      </w:r>
    </w:p>
    <w:p w14:paraId="3EF109E9">
      <w:pPr>
        <w:snapToGrid w:val="0"/>
        <w:spacing w:before="50" w:after="120" w:afterLines="50"/>
        <w:jc w:val="left"/>
        <w:rPr>
          <w:rFonts w:hint="eastAsia" w:ascii="宋体" w:hAnsi="宋体"/>
          <w:color w:val="auto"/>
          <w:highlight w:val="none"/>
        </w:rPr>
      </w:pPr>
    </w:p>
    <w:p w14:paraId="401607D6">
      <w:pPr>
        <w:snapToGrid w:val="0"/>
        <w:spacing w:before="50" w:after="120" w:afterLines="50"/>
        <w:jc w:val="center"/>
        <w:rPr>
          <w:rFonts w:hint="eastAsia" w:ascii="宋体" w:hAnsi="宋体"/>
          <w:b/>
          <w:color w:val="auto"/>
          <w:sz w:val="32"/>
          <w:szCs w:val="32"/>
          <w:highlight w:val="none"/>
        </w:rPr>
      </w:pPr>
      <w:r>
        <w:rPr>
          <w:rFonts w:hint="eastAsia" w:ascii="宋体" w:hAnsi="宋体"/>
          <w:b/>
          <w:color w:val="auto"/>
          <w:sz w:val="32"/>
          <w:szCs w:val="32"/>
          <w:highlight w:val="none"/>
        </w:rPr>
        <w:t>投标声明</w:t>
      </w:r>
    </w:p>
    <w:p w14:paraId="28376E91">
      <w:pPr>
        <w:spacing w:line="400" w:lineRule="exact"/>
        <w:contextualSpacing/>
        <w:jc w:val="left"/>
        <w:rPr>
          <w:color w:val="auto"/>
          <w:sz w:val="24"/>
          <w:highlight w:val="none"/>
          <w:u w:val="single"/>
        </w:rPr>
      </w:pPr>
      <w:r>
        <w:rPr>
          <w:rFonts w:hint="eastAsia"/>
          <w:color w:val="auto"/>
          <w:sz w:val="24"/>
          <w:highlight w:val="none"/>
          <w:u w:val="single"/>
        </w:rPr>
        <w:t xml:space="preserve">（采购人名称）： </w:t>
      </w:r>
    </w:p>
    <w:p w14:paraId="719971A3">
      <w:pPr>
        <w:spacing w:line="400" w:lineRule="exact"/>
        <w:ind w:firstLine="523" w:firstLineChars="218"/>
        <w:contextualSpacing/>
        <w:jc w:val="left"/>
        <w:rPr>
          <w:rFonts w:hint="eastAsia" w:ascii="宋体" w:hAnsi="宋体"/>
          <w:color w:val="auto"/>
          <w:sz w:val="24"/>
          <w:highlight w:val="none"/>
        </w:rPr>
      </w:pPr>
      <w:r>
        <w:rPr>
          <w:rFonts w:hint="eastAsia" w:ascii="宋体" w:hAnsi="宋体"/>
          <w:color w:val="auto"/>
          <w:sz w:val="24"/>
          <w:highlight w:val="none"/>
        </w:rPr>
        <w:t>我方参加贵单位组织</w:t>
      </w:r>
      <w:r>
        <w:rPr>
          <w:rFonts w:hint="eastAsia" w:ascii="宋体" w:hAnsi="宋体"/>
          <w:color w:val="auto"/>
          <w:sz w:val="24"/>
          <w:highlight w:val="none"/>
          <w:u w:val="single"/>
        </w:rPr>
        <w:t xml:space="preserve">             </w:t>
      </w:r>
      <w:r>
        <w:rPr>
          <w:rFonts w:hint="eastAsia" w:ascii="宋体" w:hAnsi="宋体"/>
          <w:color w:val="auto"/>
          <w:sz w:val="24"/>
          <w:highlight w:val="none"/>
        </w:rPr>
        <w:t>项目（项目编号：</w:t>
      </w:r>
      <w:r>
        <w:rPr>
          <w:rFonts w:hint="eastAsia" w:ascii="宋体" w:hAnsi="宋体"/>
          <w:color w:val="auto"/>
          <w:sz w:val="24"/>
          <w:highlight w:val="none"/>
          <w:u w:val="single"/>
        </w:rPr>
        <w:t xml:space="preserve">       </w:t>
      </w:r>
      <w:r>
        <w:rPr>
          <w:rFonts w:hint="eastAsia" w:ascii="宋体" w:hAnsi="宋体"/>
          <w:color w:val="auto"/>
          <w:sz w:val="24"/>
          <w:highlight w:val="none"/>
        </w:rPr>
        <w:t>）的政府采购活动。我方在此郑重声明：</w:t>
      </w:r>
    </w:p>
    <w:p w14:paraId="26A96690">
      <w:pPr>
        <w:spacing w:line="400" w:lineRule="exact"/>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1.我方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4BD06EF7">
      <w:pPr>
        <w:spacing w:line="400" w:lineRule="exact"/>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2.我方不是为本次采购项目提供整体设计、规范编制或者项目管理、监理、检测等服务的供应商。</w:t>
      </w:r>
    </w:p>
    <w:p w14:paraId="163DCC9B">
      <w:pPr>
        <w:spacing w:line="400" w:lineRule="exact"/>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3. 我方承诺符合《中华人民共和国政府采购法》第二十二条规定：</w:t>
      </w:r>
    </w:p>
    <w:p w14:paraId="5BDF05BD">
      <w:pPr>
        <w:spacing w:line="400" w:lineRule="exact"/>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（一）具有独立承担民事责任的能力；</w:t>
      </w:r>
    </w:p>
    <w:p w14:paraId="15EBFCAE">
      <w:pPr>
        <w:spacing w:line="400" w:lineRule="exact"/>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（二）具有良好的商业信誉和健全的财务会计制度；</w:t>
      </w:r>
    </w:p>
    <w:p w14:paraId="19494A99">
      <w:pPr>
        <w:spacing w:line="400" w:lineRule="exact"/>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（三）具有履行合同所必需的设备和专业技术能力；</w:t>
      </w:r>
    </w:p>
    <w:p w14:paraId="2BBF8994">
      <w:pPr>
        <w:spacing w:line="400" w:lineRule="exact"/>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（四）有依法缴纳税收和社会保障资金的良好记录；</w:t>
      </w:r>
    </w:p>
    <w:p w14:paraId="6E0DBCDE">
      <w:pPr>
        <w:spacing w:line="400" w:lineRule="exact"/>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（五）参加政府采购活动前三年内，在经营活动中没有重大违法记录；</w:t>
      </w:r>
    </w:p>
    <w:p w14:paraId="20138324">
      <w:pPr>
        <w:spacing w:line="400" w:lineRule="exact"/>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（六）法律、行政法规规定的其他条件。</w:t>
      </w:r>
    </w:p>
    <w:p w14:paraId="279AC489">
      <w:pPr>
        <w:spacing w:line="400" w:lineRule="exact"/>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4.以上事项如有虚假或者隐瞒，我方愿意承担一切后果，并不再寻求任何旨在减轻或者免除法律责任的辩解。</w:t>
      </w:r>
    </w:p>
    <w:p w14:paraId="7772880B">
      <w:pPr>
        <w:spacing w:line="400" w:lineRule="exact"/>
        <w:contextualSpacing/>
        <w:jc w:val="left"/>
        <w:rPr>
          <w:rFonts w:hint="eastAsia" w:ascii="宋体" w:hAnsi="宋体"/>
          <w:color w:val="auto"/>
          <w:sz w:val="24"/>
          <w:highlight w:val="none"/>
        </w:rPr>
      </w:pPr>
      <w:r>
        <w:rPr>
          <w:rFonts w:hint="eastAsia" w:ascii="宋体" w:hAnsi="宋体"/>
          <w:color w:val="auto"/>
          <w:sz w:val="24"/>
          <w:highlight w:val="none"/>
        </w:rPr>
        <w:t xml:space="preserve">    特此承诺。</w:t>
      </w:r>
    </w:p>
    <w:p w14:paraId="7FDA0AC0">
      <w:pPr>
        <w:snapToGrid w:val="0"/>
        <w:spacing w:before="50" w:after="50"/>
        <w:ind w:firstLine="1063" w:firstLineChars="441"/>
        <w:rPr>
          <w:rFonts w:hint="eastAsia" w:ascii="宋体" w:hAnsi="宋体"/>
          <w:b/>
          <w:color w:val="auto"/>
          <w:sz w:val="24"/>
          <w:highlight w:val="none"/>
        </w:rPr>
      </w:pPr>
    </w:p>
    <w:p w14:paraId="6ADB5239">
      <w:pPr>
        <w:snapToGrid w:val="0"/>
        <w:spacing w:before="50" w:after="50"/>
        <w:ind w:firstLine="1058" w:firstLineChars="441"/>
        <w:rPr>
          <w:rFonts w:hint="eastAsia" w:ascii="宋体" w:hAnsi="宋体"/>
          <w:color w:val="auto"/>
          <w:spacing w:val="20"/>
          <w:sz w:val="24"/>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（签字或者电子签名）：</w:t>
      </w:r>
      <w:r>
        <w:rPr>
          <w:rFonts w:hint="eastAsia" w:ascii="宋体" w:hAnsi="宋体"/>
          <w:color w:val="auto"/>
          <w:spacing w:val="20"/>
          <w:sz w:val="24"/>
          <w:highlight w:val="none"/>
          <w:u w:val="single"/>
        </w:rPr>
        <w:t xml:space="preserve">        </w:t>
      </w:r>
    </w:p>
    <w:p w14:paraId="7AEE32E3">
      <w:pPr>
        <w:spacing w:line="400" w:lineRule="exact"/>
        <w:contextualSpacing/>
        <w:jc w:val="left"/>
        <w:rPr>
          <w:rFonts w:hint="eastAsia" w:ascii="宋体" w:hAnsi="宋体"/>
          <w:color w:val="auto"/>
          <w:sz w:val="24"/>
          <w:highlight w:val="none"/>
        </w:rPr>
      </w:pPr>
    </w:p>
    <w:p w14:paraId="1F233B1C">
      <w:pPr>
        <w:spacing w:line="400" w:lineRule="exact"/>
        <w:contextualSpacing/>
        <w:jc w:val="left"/>
        <w:rPr>
          <w:rFonts w:hint="eastAsia" w:ascii="宋体" w:hAnsi="宋体"/>
          <w:color w:val="auto"/>
          <w:sz w:val="24"/>
          <w:highlight w:val="none"/>
        </w:rPr>
      </w:pPr>
      <w:r>
        <w:rPr>
          <w:rFonts w:hint="eastAsia" w:ascii="宋体" w:hAnsi="宋体"/>
          <w:color w:val="auto"/>
          <w:sz w:val="24"/>
          <w:highlight w:val="none"/>
        </w:rPr>
        <w:t xml:space="preserve">                             投标人名称（电子签章）：</w:t>
      </w:r>
      <w:r>
        <w:rPr>
          <w:rFonts w:hint="eastAsia" w:ascii="宋体" w:hAnsi="宋体"/>
          <w:color w:val="auto"/>
          <w:sz w:val="24"/>
          <w:highlight w:val="none"/>
          <w:u w:val="single"/>
        </w:rPr>
        <w:t xml:space="preserve">                 </w:t>
      </w:r>
    </w:p>
    <w:p w14:paraId="259F5267">
      <w:pPr>
        <w:spacing w:line="400" w:lineRule="exact"/>
        <w:contextualSpacing/>
        <w:jc w:val="left"/>
        <w:rPr>
          <w:rFonts w:hint="eastAsia" w:ascii="宋体" w:hAnsi="宋体"/>
          <w:color w:val="auto"/>
          <w:highlight w:val="none"/>
        </w:rPr>
      </w:pPr>
      <w:r>
        <w:rPr>
          <w:rFonts w:hint="eastAsia" w:ascii="宋体" w:hAnsi="宋体"/>
          <w:color w:val="auto"/>
          <w:sz w:val="24"/>
          <w:highlight w:val="none"/>
        </w:rPr>
        <w:t xml:space="preserve">                                                  年    月    日</w:t>
      </w:r>
    </w:p>
    <w:p w14:paraId="6C28F9DB">
      <w:pPr>
        <w:spacing w:line="400" w:lineRule="exact"/>
        <w:contextualSpacing/>
        <w:jc w:val="left"/>
        <w:rPr>
          <w:rFonts w:hint="eastAsia" w:ascii="宋体" w:hAnsi="宋体"/>
          <w:color w:val="auto"/>
          <w:sz w:val="24"/>
          <w:highlight w:val="none"/>
        </w:rPr>
      </w:pPr>
    </w:p>
    <w:p w14:paraId="7B06287D">
      <w:pPr>
        <w:spacing w:line="400" w:lineRule="exact"/>
        <w:contextualSpacing/>
        <w:jc w:val="left"/>
        <w:rPr>
          <w:rFonts w:hint="eastAsia" w:ascii="宋体" w:hAnsi="宋体"/>
          <w:color w:val="auto"/>
          <w:sz w:val="24"/>
          <w:highlight w:val="none"/>
        </w:rPr>
      </w:pPr>
    </w:p>
    <w:p w14:paraId="364C2CD6">
      <w:pPr>
        <w:outlineLvl w:val="1"/>
        <w:rPr>
          <w:b/>
          <w:color w:val="auto"/>
          <w:sz w:val="28"/>
          <w:szCs w:val="28"/>
          <w:highlight w:val="none"/>
        </w:rPr>
      </w:pPr>
      <w:bookmarkStart w:id="158" w:name="_Toc19686838"/>
      <w:r>
        <w:rPr>
          <w:rFonts w:hint="eastAsia"/>
          <w:b/>
          <w:color w:val="auto"/>
          <w:sz w:val="28"/>
          <w:szCs w:val="28"/>
          <w:highlight w:val="none"/>
        </w:rPr>
        <w:br w:type="page"/>
      </w:r>
      <w:r>
        <w:rPr>
          <w:rFonts w:hint="eastAsia"/>
          <w:b/>
          <w:color w:val="auto"/>
          <w:sz w:val="28"/>
          <w:szCs w:val="28"/>
          <w:highlight w:val="none"/>
        </w:rPr>
        <w:t>三、商务及技术文件格式</w:t>
      </w:r>
      <w:bookmarkEnd w:id="158"/>
    </w:p>
    <w:p w14:paraId="2360D719">
      <w:pPr>
        <w:snapToGrid w:val="0"/>
        <w:spacing w:before="120" w:beforeLines="50" w:after="50" w:line="360" w:lineRule="auto"/>
        <w:jc w:val="left"/>
        <w:outlineLvl w:val="2"/>
        <w:rPr>
          <w:rFonts w:hint="eastAsia" w:ascii="宋体" w:hAnsi="宋体"/>
          <w:b/>
          <w:color w:val="auto"/>
          <w:sz w:val="24"/>
          <w:highlight w:val="none"/>
        </w:rPr>
      </w:pPr>
      <w:r>
        <w:rPr>
          <w:rFonts w:hint="eastAsia" w:ascii="宋体" w:hAnsi="宋体"/>
          <w:b/>
          <w:color w:val="auto"/>
          <w:sz w:val="24"/>
          <w:highlight w:val="none"/>
        </w:rPr>
        <w:t xml:space="preserve">1.商务及技术文件封面格式： </w:t>
      </w:r>
    </w:p>
    <w:p w14:paraId="5528AD40">
      <w:pPr>
        <w:snapToGrid w:val="0"/>
        <w:spacing w:before="120" w:beforeLines="50" w:after="50"/>
        <w:jc w:val="center"/>
        <w:rPr>
          <w:rFonts w:hint="eastAsia" w:ascii="宋体" w:hAnsi="宋体"/>
          <w:color w:val="auto"/>
          <w:sz w:val="24"/>
          <w:highlight w:val="none"/>
        </w:rPr>
      </w:pPr>
      <w:r>
        <w:rPr>
          <w:rFonts w:hint="eastAsia" w:ascii="宋体" w:hAnsi="宋体" w:eastAsia="方正小标宋简体"/>
          <w:bCs/>
          <w:color w:val="auto"/>
          <w:sz w:val="48"/>
          <w:szCs w:val="48"/>
          <w:highlight w:val="none"/>
        </w:rPr>
        <w:t>电子投标文件</w:t>
      </w:r>
    </w:p>
    <w:p w14:paraId="148B61EB">
      <w:pPr>
        <w:snapToGrid w:val="0"/>
        <w:spacing w:before="120" w:beforeLines="50" w:after="50"/>
        <w:rPr>
          <w:rFonts w:hint="eastAsia" w:ascii="宋体" w:hAnsi="宋体"/>
          <w:color w:val="auto"/>
          <w:sz w:val="24"/>
          <w:szCs w:val="20"/>
          <w:highlight w:val="none"/>
        </w:rPr>
      </w:pPr>
      <w:r>
        <w:rPr>
          <w:rFonts w:hint="eastAsia" w:ascii="宋体" w:hAnsi="宋体"/>
          <w:color w:val="auto"/>
          <w:sz w:val="24"/>
          <w:highlight w:val="none"/>
        </w:rPr>
        <w:t xml:space="preserve">                </w:t>
      </w:r>
    </w:p>
    <w:p w14:paraId="42383CE7">
      <w:pPr>
        <w:snapToGrid w:val="0"/>
        <w:spacing w:before="120" w:beforeLines="50" w:after="50"/>
        <w:jc w:val="center"/>
        <w:rPr>
          <w:rFonts w:hint="eastAsia" w:ascii="宋体" w:hAnsi="宋体"/>
          <w:b/>
          <w:color w:val="auto"/>
          <w:sz w:val="24"/>
          <w:szCs w:val="20"/>
          <w:highlight w:val="none"/>
        </w:rPr>
      </w:pPr>
      <w:r>
        <w:rPr>
          <w:rFonts w:hint="eastAsia" w:ascii="宋体" w:hAnsi="宋体"/>
          <w:b/>
          <w:color w:val="auto"/>
          <w:sz w:val="32"/>
          <w:szCs w:val="32"/>
          <w:highlight w:val="none"/>
        </w:rPr>
        <w:t>商务及技术文件</w:t>
      </w:r>
    </w:p>
    <w:p w14:paraId="02853D2B">
      <w:pPr>
        <w:snapToGrid w:val="0"/>
        <w:spacing w:before="120" w:beforeLines="50" w:after="50"/>
        <w:rPr>
          <w:rFonts w:hint="eastAsia" w:ascii="宋体" w:hAnsi="宋体"/>
          <w:bCs/>
          <w:color w:val="auto"/>
          <w:sz w:val="24"/>
          <w:szCs w:val="20"/>
          <w:highlight w:val="none"/>
        </w:rPr>
      </w:pPr>
    </w:p>
    <w:p w14:paraId="4C884687">
      <w:pPr>
        <w:snapToGrid w:val="0"/>
        <w:spacing w:before="120" w:beforeLines="50" w:after="50"/>
        <w:ind w:firstLine="540" w:firstLineChars="225"/>
        <w:rPr>
          <w:rFonts w:hint="eastAsia" w:ascii="宋体" w:hAnsi="宋体"/>
          <w:bCs/>
          <w:color w:val="auto"/>
          <w:sz w:val="24"/>
          <w:highlight w:val="none"/>
        </w:rPr>
      </w:pPr>
      <w:r>
        <w:rPr>
          <w:rFonts w:hint="eastAsia" w:ascii="宋体" w:hAnsi="宋体"/>
          <w:bCs/>
          <w:color w:val="auto"/>
          <w:sz w:val="24"/>
          <w:highlight w:val="none"/>
        </w:rPr>
        <w:t>项目名称：</w:t>
      </w:r>
    </w:p>
    <w:p w14:paraId="230693D2">
      <w:pPr>
        <w:snapToGrid w:val="0"/>
        <w:spacing w:before="120" w:beforeLines="50" w:after="50"/>
        <w:ind w:firstLine="540" w:firstLineChars="225"/>
        <w:rPr>
          <w:rFonts w:hint="eastAsia" w:ascii="宋体" w:hAnsi="宋体"/>
          <w:bCs/>
          <w:color w:val="auto"/>
          <w:sz w:val="24"/>
          <w:szCs w:val="20"/>
          <w:highlight w:val="none"/>
        </w:rPr>
      </w:pPr>
    </w:p>
    <w:p w14:paraId="4E61A38C">
      <w:pPr>
        <w:snapToGrid w:val="0"/>
        <w:spacing w:before="120" w:beforeLines="50" w:after="50"/>
        <w:ind w:firstLine="540" w:firstLineChars="225"/>
        <w:rPr>
          <w:rFonts w:hint="eastAsia" w:ascii="宋体" w:hAnsi="宋体"/>
          <w:bCs/>
          <w:color w:val="auto"/>
          <w:sz w:val="24"/>
          <w:highlight w:val="none"/>
        </w:rPr>
      </w:pPr>
      <w:r>
        <w:rPr>
          <w:rFonts w:hint="eastAsia" w:ascii="宋体" w:hAnsi="宋体"/>
          <w:bCs/>
          <w:color w:val="auto"/>
          <w:sz w:val="24"/>
          <w:highlight w:val="none"/>
        </w:rPr>
        <w:t>项目编号：</w:t>
      </w:r>
    </w:p>
    <w:p w14:paraId="12CC1DE9">
      <w:pPr>
        <w:snapToGrid w:val="0"/>
        <w:spacing w:before="120" w:beforeLines="50" w:after="50"/>
        <w:ind w:firstLine="540" w:firstLineChars="225"/>
        <w:rPr>
          <w:rFonts w:hint="eastAsia" w:ascii="宋体" w:hAnsi="宋体"/>
          <w:bCs/>
          <w:color w:val="auto"/>
          <w:sz w:val="24"/>
          <w:szCs w:val="20"/>
          <w:highlight w:val="none"/>
        </w:rPr>
      </w:pPr>
      <w:r>
        <w:rPr>
          <w:rFonts w:hint="eastAsia" w:ascii="宋体" w:hAnsi="宋体"/>
          <w:bCs/>
          <w:color w:val="auto"/>
          <w:sz w:val="24"/>
          <w:highlight w:val="none"/>
        </w:rPr>
        <w:t xml:space="preserve"> </w:t>
      </w:r>
    </w:p>
    <w:p w14:paraId="3BA42446">
      <w:pPr>
        <w:snapToGrid w:val="0"/>
        <w:spacing w:before="120" w:beforeLines="50" w:after="50"/>
        <w:ind w:firstLine="540" w:firstLineChars="225"/>
        <w:rPr>
          <w:rFonts w:hint="eastAsia" w:ascii="宋体" w:hAnsi="宋体"/>
          <w:bCs/>
          <w:color w:val="auto"/>
          <w:sz w:val="24"/>
          <w:highlight w:val="none"/>
        </w:rPr>
      </w:pPr>
      <w:r>
        <w:rPr>
          <w:rFonts w:hint="eastAsia" w:ascii="宋体" w:hAnsi="宋体"/>
          <w:bCs/>
          <w:color w:val="auto"/>
          <w:sz w:val="24"/>
          <w:highlight w:val="none"/>
        </w:rPr>
        <w:t>所投分标：</w:t>
      </w:r>
    </w:p>
    <w:p w14:paraId="231066DA">
      <w:pPr>
        <w:snapToGrid w:val="0"/>
        <w:spacing w:before="120" w:beforeLines="50" w:after="50"/>
        <w:ind w:firstLine="540" w:firstLineChars="225"/>
        <w:rPr>
          <w:rFonts w:hint="eastAsia" w:ascii="宋体" w:hAnsi="宋体"/>
          <w:bCs/>
          <w:color w:val="auto"/>
          <w:sz w:val="24"/>
          <w:szCs w:val="20"/>
          <w:highlight w:val="none"/>
        </w:rPr>
      </w:pPr>
    </w:p>
    <w:p w14:paraId="47466F5E">
      <w:pPr>
        <w:pStyle w:val="8"/>
        <w:snapToGrid w:val="0"/>
        <w:spacing w:before="50" w:after="50"/>
        <w:ind w:firstLine="540" w:firstLineChars="225"/>
        <w:rPr>
          <w:rFonts w:hint="eastAsia" w:ascii="宋体" w:hAnsi="宋体"/>
          <w:bCs/>
          <w:color w:val="auto"/>
          <w:sz w:val="24"/>
          <w:szCs w:val="24"/>
          <w:highlight w:val="none"/>
        </w:rPr>
      </w:pPr>
      <w:r>
        <w:rPr>
          <w:rFonts w:hint="eastAsia" w:ascii="宋体" w:hAnsi="宋体"/>
          <w:bCs/>
          <w:color w:val="auto"/>
          <w:sz w:val="24"/>
          <w:szCs w:val="24"/>
          <w:highlight w:val="none"/>
        </w:rPr>
        <w:t>投标人名称：</w:t>
      </w:r>
    </w:p>
    <w:p w14:paraId="742B4F7F">
      <w:pPr>
        <w:pStyle w:val="8"/>
        <w:snapToGrid w:val="0"/>
        <w:spacing w:before="50" w:after="50"/>
        <w:ind w:firstLine="540" w:firstLineChars="225"/>
        <w:rPr>
          <w:rFonts w:hint="eastAsia" w:ascii="宋体" w:hAnsi="宋体"/>
          <w:bCs/>
          <w:color w:val="auto"/>
          <w:sz w:val="24"/>
          <w:szCs w:val="24"/>
          <w:highlight w:val="none"/>
        </w:rPr>
      </w:pPr>
    </w:p>
    <w:p w14:paraId="3C95BFFC">
      <w:pPr>
        <w:pStyle w:val="8"/>
        <w:snapToGrid w:val="0"/>
        <w:spacing w:before="50" w:after="50"/>
        <w:ind w:firstLine="540" w:firstLineChars="225"/>
        <w:rPr>
          <w:rFonts w:hint="eastAsia" w:ascii="宋体" w:hAnsi="宋体"/>
          <w:bCs/>
          <w:color w:val="auto"/>
          <w:sz w:val="24"/>
          <w:szCs w:val="24"/>
          <w:highlight w:val="none"/>
        </w:rPr>
      </w:pPr>
      <w:r>
        <w:rPr>
          <w:rFonts w:hint="eastAsia" w:ascii="宋体" w:hAnsi="宋体"/>
          <w:bCs/>
          <w:color w:val="auto"/>
          <w:sz w:val="24"/>
          <w:szCs w:val="24"/>
          <w:highlight w:val="none"/>
        </w:rPr>
        <w:t>投标人地址：</w:t>
      </w:r>
    </w:p>
    <w:p w14:paraId="57F30255">
      <w:pPr>
        <w:pStyle w:val="8"/>
        <w:snapToGrid w:val="0"/>
        <w:spacing w:before="50" w:after="50"/>
        <w:ind w:firstLine="960" w:firstLineChars="400"/>
        <w:rPr>
          <w:rFonts w:hint="eastAsia" w:ascii="宋体" w:hAnsi="宋体"/>
          <w:bCs/>
          <w:color w:val="auto"/>
          <w:sz w:val="24"/>
          <w:szCs w:val="24"/>
          <w:highlight w:val="none"/>
        </w:rPr>
      </w:pPr>
    </w:p>
    <w:p w14:paraId="20AD6447">
      <w:pPr>
        <w:snapToGrid w:val="0"/>
        <w:spacing w:before="120" w:beforeLines="50" w:after="50"/>
        <w:ind w:firstLine="645"/>
        <w:rPr>
          <w:rFonts w:hint="eastAsia" w:ascii="宋体" w:hAnsi="宋体"/>
          <w:color w:val="auto"/>
          <w:sz w:val="24"/>
          <w:highlight w:val="none"/>
        </w:rPr>
      </w:pPr>
      <w:r>
        <w:rPr>
          <w:rFonts w:hint="eastAsia" w:ascii="宋体" w:hAnsi="宋体"/>
          <w:color w:val="auto"/>
          <w:sz w:val="24"/>
          <w:highlight w:val="none"/>
        </w:rPr>
        <w:t xml:space="preserve">                        年  月  日</w:t>
      </w:r>
    </w:p>
    <w:p w14:paraId="36ECB2C3">
      <w:pPr>
        <w:snapToGrid w:val="0"/>
        <w:spacing w:before="120" w:beforeLines="50" w:after="50"/>
        <w:rPr>
          <w:rFonts w:hint="eastAsia" w:ascii="宋体" w:hAnsi="宋体"/>
          <w:color w:val="auto"/>
          <w:sz w:val="24"/>
          <w:szCs w:val="20"/>
          <w:highlight w:val="none"/>
        </w:rPr>
      </w:pPr>
      <w:r>
        <w:rPr>
          <w:rFonts w:ascii="宋体" w:hAnsi="宋体"/>
          <w:color w:val="auto"/>
          <w:sz w:val="24"/>
          <w:szCs w:val="20"/>
          <w:highlight w:val="none"/>
        </w:rPr>
        <w:t xml:space="preserve"> </w:t>
      </w:r>
    </w:p>
    <w:p w14:paraId="3192BACF">
      <w:pPr>
        <w:snapToGrid w:val="0"/>
        <w:spacing w:line="360" w:lineRule="auto"/>
        <w:jc w:val="left"/>
        <w:outlineLvl w:val="2"/>
        <w:rPr>
          <w:rFonts w:hint="eastAsia" w:ascii="宋体" w:hAnsi="宋体"/>
          <w:b/>
          <w:bCs/>
          <w:color w:val="auto"/>
          <w:sz w:val="28"/>
          <w:szCs w:val="28"/>
          <w:highlight w:val="none"/>
        </w:rPr>
      </w:pPr>
      <w:r>
        <w:rPr>
          <w:rFonts w:ascii="宋体" w:hAnsi="宋体"/>
          <w:color w:val="auto"/>
          <w:sz w:val="24"/>
          <w:szCs w:val="20"/>
          <w:highlight w:val="none"/>
        </w:rPr>
        <w:br w:type="page"/>
      </w:r>
      <w:r>
        <w:rPr>
          <w:rFonts w:hint="eastAsia" w:ascii="宋体" w:hAnsi="宋体"/>
          <w:b/>
          <w:bCs/>
          <w:color w:val="auto"/>
          <w:sz w:val="28"/>
          <w:szCs w:val="28"/>
          <w:highlight w:val="none"/>
        </w:rPr>
        <w:t>2.商务及技术文件目录</w:t>
      </w:r>
    </w:p>
    <w:p w14:paraId="6515541D">
      <w:pPr>
        <w:snapToGrid w:val="0"/>
        <w:spacing w:before="50" w:after="120" w:afterLines="50" w:line="360" w:lineRule="auto"/>
        <w:jc w:val="left"/>
        <w:rPr>
          <w:rFonts w:hint="eastAsia" w:ascii="微软雅黑" w:hAnsi="微软雅黑" w:eastAsia="微软雅黑"/>
          <w:b/>
          <w:bCs/>
          <w:color w:val="auto"/>
          <w:sz w:val="24"/>
          <w:highlight w:val="none"/>
        </w:rPr>
      </w:pPr>
      <w:r>
        <w:rPr>
          <w:rFonts w:hint="eastAsia" w:ascii="宋体" w:hAnsi="宋体"/>
          <w:color w:val="auto"/>
          <w:szCs w:val="21"/>
          <w:highlight w:val="none"/>
        </w:rPr>
        <w:t>根据招标文件规定及投标人提供的材料自行编写目录。</w:t>
      </w:r>
    </w:p>
    <w:p w14:paraId="7E48D039">
      <w:pPr>
        <w:snapToGrid w:val="0"/>
        <w:spacing w:before="50" w:after="120" w:afterLines="50"/>
        <w:jc w:val="left"/>
        <w:rPr>
          <w:rFonts w:hint="eastAsia" w:ascii="宋体" w:hAnsi="宋体"/>
          <w:color w:val="auto"/>
          <w:highlight w:val="none"/>
        </w:rPr>
      </w:pPr>
    </w:p>
    <w:p w14:paraId="4A6905EE">
      <w:pPr>
        <w:snapToGrid w:val="0"/>
        <w:spacing w:before="120" w:beforeLines="50" w:after="50"/>
        <w:jc w:val="left"/>
        <w:outlineLvl w:val="2"/>
        <w:rPr>
          <w:rFonts w:hint="eastAsia"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3.投标人参加本项目无围标串标行为的承诺</w:t>
      </w:r>
    </w:p>
    <w:p w14:paraId="3A15529A">
      <w:pPr>
        <w:snapToGrid w:val="0"/>
        <w:spacing w:before="120" w:beforeLines="50" w:after="50"/>
        <w:jc w:val="left"/>
        <w:rPr>
          <w:rFonts w:hint="eastAsia" w:ascii="宋体" w:hAnsi="宋体"/>
          <w:b/>
          <w:color w:val="auto"/>
          <w:sz w:val="24"/>
          <w:highlight w:val="none"/>
        </w:rPr>
      </w:pPr>
    </w:p>
    <w:p w14:paraId="5F0EC14C">
      <w:pPr>
        <w:snapToGrid w:val="0"/>
        <w:spacing w:before="120" w:beforeLines="50" w:after="50"/>
        <w:ind w:left="420"/>
        <w:jc w:val="center"/>
        <w:rPr>
          <w:rFonts w:hint="eastAsia" w:ascii="宋体" w:hAnsi="宋体"/>
          <w:b/>
          <w:color w:val="auto"/>
          <w:spacing w:val="-17"/>
          <w:sz w:val="32"/>
          <w:szCs w:val="32"/>
          <w:highlight w:val="none"/>
        </w:rPr>
      </w:pPr>
      <w:r>
        <w:rPr>
          <w:rFonts w:hint="eastAsia" w:ascii="宋体" w:hAnsi="宋体" w:cs="宋体"/>
          <w:bCs/>
          <w:color w:val="auto"/>
          <w:spacing w:val="-17"/>
          <w:sz w:val="44"/>
          <w:szCs w:val="44"/>
          <w:highlight w:val="none"/>
        </w:rPr>
        <w:t>投标人参加本项目无围标串标行为的承诺函</w:t>
      </w:r>
    </w:p>
    <w:p w14:paraId="541A7B44">
      <w:pPr>
        <w:snapToGrid w:val="0"/>
        <w:spacing w:before="120" w:beforeLines="50" w:after="50"/>
        <w:rPr>
          <w:rFonts w:hint="eastAsia" w:ascii="宋体" w:hAnsi="宋体"/>
          <w:b/>
          <w:color w:val="auto"/>
          <w:sz w:val="24"/>
          <w:highlight w:val="none"/>
        </w:rPr>
      </w:pPr>
    </w:p>
    <w:p w14:paraId="16F7C6CF">
      <w:pPr>
        <w:spacing w:line="400" w:lineRule="exact"/>
        <w:contextualSpacing/>
        <w:jc w:val="left"/>
        <w:rPr>
          <w:rFonts w:hint="eastAsia" w:ascii="宋体" w:hAnsi="宋体"/>
          <w:b/>
          <w:color w:val="auto"/>
          <w:sz w:val="24"/>
          <w:highlight w:val="none"/>
        </w:rPr>
      </w:pPr>
      <w:r>
        <w:rPr>
          <w:rFonts w:hint="eastAsia" w:ascii="宋体" w:hAnsi="宋体"/>
          <w:b/>
          <w:color w:val="auto"/>
          <w:sz w:val="24"/>
          <w:highlight w:val="none"/>
        </w:rPr>
        <w:t>一、我方承诺无下列相互串通投标的情形：</w:t>
      </w:r>
    </w:p>
    <w:p w14:paraId="3A92A447">
      <w:pPr>
        <w:spacing w:line="40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 xml:space="preserve">1.不同投标人的投标文件由同一单位或者个人编制； </w:t>
      </w:r>
    </w:p>
    <w:p w14:paraId="26B510A9">
      <w:pPr>
        <w:spacing w:line="40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2.不同投标人委托同一单位或者个人办理投标事宜；</w:t>
      </w:r>
    </w:p>
    <w:p w14:paraId="0B4CE735">
      <w:pPr>
        <w:spacing w:line="40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3.不同的投标人的投标文件载明的项目管理员为同一个人；</w:t>
      </w:r>
    </w:p>
    <w:p w14:paraId="204E9E7E">
      <w:pPr>
        <w:spacing w:line="40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4.不同投标人的投标文件异常一致或者投标报价呈规律性差异；</w:t>
      </w:r>
    </w:p>
    <w:p w14:paraId="03231122">
      <w:pPr>
        <w:spacing w:line="40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5.不同投标人的投标文件相互混装；</w:t>
      </w:r>
    </w:p>
    <w:p w14:paraId="7354F228">
      <w:pPr>
        <w:spacing w:line="40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6.不同投标人的投标保证金从同一单位或者个人账户转出。</w:t>
      </w:r>
    </w:p>
    <w:p w14:paraId="1CDADA34">
      <w:pPr>
        <w:spacing w:line="400" w:lineRule="exact"/>
        <w:contextualSpacing/>
        <w:jc w:val="left"/>
        <w:rPr>
          <w:rFonts w:hint="eastAsia" w:ascii="宋体" w:hAnsi="宋体"/>
          <w:color w:val="auto"/>
          <w:sz w:val="24"/>
          <w:highlight w:val="none"/>
        </w:rPr>
      </w:pPr>
      <w:r>
        <w:rPr>
          <w:rFonts w:hint="eastAsia" w:ascii="宋体" w:hAnsi="宋体"/>
          <w:b/>
          <w:color w:val="auto"/>
          <w:sz w:val="24"/>
          <w:highlight w:val="none"/>
        </w:rPr>
        <w:t>二、我方承诺无下列恶意串通的情形：</w:t>
      </w:r>
    </w:p>
    <w:p w14:paraId="12F1B610">
      <w:pPr>
        <w:spacing w:line="40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1.投标人直接或者间接从采购人或者采购代理机构处获得其他投标人的相关信息并修改其投标文件或者响应文件；</w:t>
      </w:r>
    </w:p>
    <w:p w14:paraId="5DE24DFD">
      <w:pPr>
        <w:spacing w:line="40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2.投标人按照采购人或者采购代理机构的授意撤换、修改投标文件或者响应文件；</w:t>
      </w:r>
    </w:p>
    <w:p w14:paraId="4DD6DC5E">
      <w:pPr>
        <w:spacing w:line="40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3.投标人之间协商报价、技术方案等投标文件或者响应文件的实质性内容；</w:t>
      </w:r>
    </w:p>
    <w:p w14:paraId="46D0ECD9">
      <w:pPr>
        <w:spacing w:line="40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4.属于同一集团、协会、商会等组织成员的投标人按照该组织要求协同参加政府采购活动；</w:t>
      </w:r>
    </w:p>
    <w:p w14:paraId="581B0D7C">
      <w:pPr>
        <w:spacing w:line="40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5.投标人之间事先约定一致抬高或者压低投标报价，或者在招标项目中事先约定轮流以高价位或者低价位中标，或者事先约定由某一特定投标人中标，然后再参加投标；</w:t>
      </w:r>
    </w:p>
    <w:p w14:paraId="20E120EB">
      <w:pPr>
        <w:spacing w:line="40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6.投标人之间商定部分投标人放弃参加政府采购活动或者放弃中标；</w:t>
      </w:r>
    </w:p>
    <w:p w14:paraId="77B8AD29">
      <w:pPr>
        <w:spacing w:line="40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7.投标人与采购人或者采购代理机构之间、投标人相互之间，为谋求特定投标人中标或者排斥其他投标人的其他串通行为。</w:t>
      </w:r>
    </w:p>
    <w:p w14:paraId="02D7FD47">
      <w:pPr>
        <w:spacing w:line="400" w:lineRule="exact"/>
        <w:ind w:firstLine="472" w:firstLineChars="196"/>
        <w:contextualSpacing/>
        <w:jc w:val="left"/>
        <w:rPr>
          <w:rFonts w:hint="eastAsia" w:ascii="宋体" w:hAnsi="宋体"/>
          <w:b/>
          <w:color w:val="auto"/>
          <w:sz w:val="24"/>
          <w:highlight w:val="none"/>
        </w:rPr>
      </w:pPr>
      <w:r>
        <w:rPr>
          <w:rFonts w:hint="eastAsia" w:ascii="宋体" w:hAnsi="宋体"/>
          <w:b/>
          <w:color w:val="auto"/>
          <w:sz w:val="24"/>
          <w:highlight w:val="none"/>
        </w:rPr>
        <w:t>以上情形一经核查属实，我方愿意承担一切后果，并不再寻求任何旨在减轻或者免除法律责任的辩解。</w:t>
      </w:r>
    </w:p>
    <w:p w14:paraId="331C382D">
      <w:pPr>
        <w:spacing w:line="400" w:lineRule="exact"/>
        <w:ind w:firstLine="472" w:firstLineChars="196"/>
        <w:contextualSpacing/>
        <w:jc w:val="left"/>
        <w:rPr>
          <w:rFonts w:hint="eastAsia" w:ascii="宋体" w:hAnsi="宋体"/>
          <w:b/>
          <w:color w:val="auto"/>
          <w:sz w:val="24"/>
          <w:highlight w:val="none"/>
        </w:rPr>
      </w:pPr>
    </w:p>
    <w:p w14:paraId="5CA3F6B5">
      <w:pPr>
        <w:pStyle w:val="24"/>
        <w:spacing w:line="440" w:lineRule="exact"/>
        <w:ind w:firstLine="960" w:firstLineChars="400"/>
        <w:rPr>
          <w:rFonts w:hint="eastAsia" w:hAnsi="宋体"/>
          <w:color w:val="auto"/>
          <w:sz w:val="24"/>
          <w:szCs w:val="24"/>
          <w:highlight w:val="none"/>
        </w:rPr>
      </w:pPr>
      <w:r>
        <w:rPr>
          <w:rFonts w:hint="eastAsia" w:hAnsi="宋体"/>
          <w:color w:val="auto"/>
          <w:sz w:val="24"/>
          <w:highlight w:val="none"/>
        </w:rPr>
        <w:t>法定代表人或者委托代理人</w:t>
      </w:r>
      <w:r>
        <w:rPr>
          <w:rFonts w:hint="eastAsia" w:hAnsi="宋体"/>
          <w:color w:val="auto"/>
          <w:spacing w:val="20"/>
          <w:sz w:val="24"/>
          <w:highlight w:val="none"/>
        </w:rPr>
        <w:t>（签字或者电子签名）：</w:t>
      </w:r>
      <w:r>
        <w:rPr>
          <w:rFonts w:hint="eastAsia" w:hAnsi="宋体"/>
          <w:color w:val="auto"/>
          <w:spacing w:val="20"/>
          <w:sz w:val="24"/>
          <w:highlight w:val="none"/>
          <w:u w:val="single"/>
        </w:rPr>
        <w:t xml:space="preserve">        </w:t>
      </w:r>
    </w:p>
    <w:p w14:paraId="193C5EDD">
      <w:pPr>
        <w:pStyle w:val="24"/>
        <w:spacing w:line="440" w:lineRule="exact"/>
        <w:ind w:firstLine="960" w:firstLineChars="400"/>
        <w:rPr>
          <w:rFonts w:hint="eastAsia" w:hAnsi="宋体"/>
          <w:color w:val="auto"/>
          <w:sz w:val="24"/>
          <w:szCs w:val="24"/>
          <w:highlight w:val="none"/>
        </w:rPr>
      </w:pPr>
      <w:r>
        <w:rPr>
          <w:rFonts w:hint="eastAsia" w:hAnsi="宋体"/>
          <w:color w:val="auto"/>
          <w:sz w:val="24"/>
          <w:szCs w:val="24"/>
          <w:highlight w:val="none"/>
        </w:rPr>
        <w:t xml:space="preserve"> </w:t>
      </w:r>
      <w:r>
        <w:rPr>
          <w:rFonts w:hAnsi="宋体"/>
          <w:color w:val="auto"/>
          <w:sz w:val="24"/>
          <w:szCs w:val="24"/>
          <w:highlight w:val="none"/>
        </w:rPr>
        <w:t xml:space="preserve">                        </w:t>
      </w:r>
      <w:r>
        <w:rPr>
          <w:rFonts w:hint="eastAsia" w:hAnsi="宋体"/>
          <w:color w:val="auto"/>
          <w:sz w:val="24"/>
          <w:szCs w:val="24"/>
          <w:highlight w:val="none"/>
        </w:rPr>
        <w:t>投标人名称（电子签章）</w:t>
      </w:r>
      <w:r>
        <w:rPr>
          <w:rFonts w:hint="eastAsia" w:hAnsi="宋体"/>
          <w:color w:val="auto"/>
          <w:spacing w:val="20"/>
          <w:sz w:val="24"/>
          <w:highlight w:val="none"/>
        </w:rPr>
        <w:t>：</w:t>
      </w:r>
      <w:r>
        <w:rPr>
          <w:rFonts w:hint="eastAsia" w:hAnsi="宋体"/>
          <w:color w:val="auto"/>
          <w:spacing w:val="20"/>
          <w:sz w:val="24"/>
          <w:highlight w:val="none"/>
          <w:u w:val="single"/>
        </w:rPr>
        <w:t xml:space="preserve">        </w:t>
      </w:r>
    </w:p>
    <w:p w14:paraId="3C100759">
      <w:pPr>
        <w:pStyle w:val="24"/>
        <w:spacing w:line="400" w:lineRule="exact"/>
        <w:contextualSpacing/>
        <w:jc w:val="center"/>
        <w:rPr>
          <w:rFonts w:hint="eastAsia" w:hAnsi="宋体"/>
          <w:color w:val="auto"/>
          <w:sz w:val="24"/>
          <w:szCs w:val="24"/>
          <w:highlight w:val="none"/>
        </w:rPr>
      </w:pPr>
    </w:p>
    <w:p w14:paraId="4DF6AA9D">
      <w:pPr>
        <w:pStyle w:val="24"/>
        <w:spacing w:line="400" w:lineRule="exact"/>
        <w:contextualSpacing/>
        <w:rPr>
          <w:rFonts w:hint="eastAsia" w:hAnsi="宋体"/>
          <w:color w:val="auto"/>
          <w:sz w:val="24"/>
          <w:highlight w:val="none"/>
        </w:rPr>
      </w:pPr>
      <w:r>
        <w:rPr>
          <w:rFonts w:hint="eastAsia" w:hAnsi="宋体"/>
          <w:color w:val="auto"/>
          <w:sz w:val="24"/>
          <w:highlight w:val="none"/>
        </w:rPr>
        <w:t xml:space="preserve">                                                </w:t>
      </w:r>
      <w:r>
        <w:rPr>
          <w:rFonts w:hint="eastAsia" w:hAnsi="宋体"/>
          <w:color w:val="auto"/>
          <w:sz w:val="24"/>
          <w:highlight w:val="none"/>
          <w:u w:val="single"/>
        </w:rPr>
        <w:t xml:space="preserve">      </w:t>
      </w:r>
      <w:r>
        <w:rPr>
          <w:rFonts w:hint="eastAsia" w:hAnsi="宋体"/>
          <w:color w:val="auto"/>
          <w:sz w:val="24"/>
          <w:highlight w:val="none"/>
        </w:rPr>
        <w:t>年</w:t>
      </w:r>
      <w:r>
        <w:rPr>
          <w:rFonts w:hint="eastAsia" w:hAnsi="宋体"/>
          <w:color w:val="auto"/>
          <w:sz w:val="24"/>
          <w:highlight w:val="none"/>
          <w:u w:val="single"/>
        </w:rPr>
        <w:t xml:space="preserve">    </w:t>
      </w:r>
      <w:r>
        <w:rPr>
          <w:rFonts w:hint="eastAsia" w:hAnsi="宋体"/>
          <w:color w:val="auto"/>
          <w:sz w:val="24"/>
          <w:highlight w:val="none"/>
        </w:rPr>
        <w:t>月</w:t>
      </w:r>
      <w:r>
        <w:rPr>
          <w:rFonts w:hint="eastAsia" w:hAnsi="宋体"/>
          <w:color w:val="auto"/>
          <w:sz w:val="24"/>
          <w:highlight w:val="none"/>
          <w:u w:val="single"/>
        </w:rPr>
        <w:t xml:space="preserve">     </w:t>
      </w:r>
      <w:r>
        <w:rPr>
          <w:rFonts w:hint="eastAsia" w:hAnsi="宋体"/>
          <w:color w:val="auto"/>
          <w:sz w:val="24"/>
          <w:highlight w:val="none"/>
        </w:rPr>
        <w:t>日</w:t>
      </w:r>
    </w:p>
    <w:p w14:paraId="0AFC153E">
      <w:pPr>
        <w:snapToGrid w:val="0"/>
        <w:spacing w:before="120" w:beforeLines="50" w:after="50"/>
        <w:ind w:firstLine="472" w:firstLineChars="196"/>
        <w:jc w:val="left"/>
        <w:outlineLvl w:val="2"/>
        <w:rPr>
          <w:rFonts w:hint="eastAsia" w:ascii="宋体" w:hAnsi="宋体"/>
          <w:b/>
          <w:color w:val="auto"/>
          <w:sz w:val="24"/>
          <w:szCs w:val="20"/>
          <w:highlight w:val="none"/>
        </w:rPr>
      </w:pPr>
      <w:r>
        <w:rPr>
          <w:rFonts w:ascii="宋体" w:hAnsi="宋体"/>
          <w:b/>
          <w:color w:val="auto"/>
          <w:sz w:val="24"/>
          <w:highlight w:val="none"/>
        </w:rPr>
        <w:br w:type="page"/>
      </w:r>
      <w:r>
        <w:rPr>
          <w:rFonts w:hint="eastAsia" w:ascii="宋体" w:hAnsi="宋体"/>
          <w:b/>
          <w:color w:val="auto"/>
          <w:sz w:val="24"/>
          <w:highlight w:val="none"/>
        </w:rPr>
        <w:t>4.法定代表人身份证明</w:t>
      </w:r>
    </w:p>
    <w:p w14:paraId="03C79497">
      <w:pPr>
        <w:spacing w:before="240" w:beforeLines="100" w:after="120" w:afterLines="50"/>
        <w:ind w:left="540"/>
        <w:jc w:val="center"/>
        <w:rPr>
          <w:rFonts w:ascii="宋体" w:hAnsi="Courier New"/>
          <w:b/>
          <w:color w:val="auto"/>
          <w:sz w:val="32"/>
          <w:szCs w:val="32"/>
          <w:highlight w:val="none"/>
        </w:rPr>
      </w:pPr>
    </w:p>
    <w:p w14:paraId="1A9C06A7">
      <w:pPr>
        <w:spacing w:before="240" w:beforeLines="100" w:after="120" w:afterLines="50"/>
        <w:ind w:left="54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法定代表人身份证明</w:t>
      </w:r>
    </w:p>
    <w:p w14:paraId="6EB7E512">
      <w:pPr>
        <w:spacing w:line="500" w:lineRule="exact"/>
        <w:ind w:left="540"/>
        <w:rPr>
          <w:rFonts w:hint="eastAsia" w:ascii="宋体" w:hAnsi="宋体"/>
          <w:color w:val="auto"/>
          <w:sz w:val="24"/>
          <w:highlight w:val="none"/>
        </w:rPr>
      </w:pPr>
      <w:r>
        <w:rPr>
          <w:rFonts w:hint="eastAsia" w:ascii="宋体" w:hAnsi="宋体"/>
          <w:color w:val="auto"/>
          <w:sz w:val="24"/>
          <w:highlight w:val="none"/>
        </w:rPr>
        <w:t>投 标 人：</w:t>
      </w:r>
      <w:r>
        <w:rPr>
          <w:rFonts w:hint="eastAsia" w:ascii="宋体" w:hAnsi="宋体"/>
          <w:color w:val="auto"/>
          <w:sz w:val="24"/>
          <w:highlight w:val="none"/>
          <w:u w:val="single"/>
        </w:rPr>
        <w:t xml:space="preserve">                                                        </w:t>
      </w:r>
    </w:p>
    <w:p w14:paraId="1FDBCA6B">
      <w:pPr>
        <w:spacing w:line="500" w:lineRule="exact"/>
        <w:ind w:left="540"/>
        <w:rPr>
          <w:rFonts w:hint="eastAsia" w:ascii="宋体" w:hAnsi="宋体"/>
          <w:color w:val="auto"/>
          <w:sz w:val="24"/>
          <w:highlight w:val="none"/>
        </w:rPr>
      </w:pPr>
      <w:r>
        <w:rPr>
          <w:rFonts w:hint="eastAsia" w:ascii="宋体" w:hAnsi="宋体"/>
          <w:color w:val="auto"/>
          <w:sz w:val="24"/>
          <w:highlight w:val="none"/>
        </w:rPr>
        <w:t>地    址：</w:t>
      </w:r>
      <w:r>
        <w:rPr>
          <w:rFonts w:hint="eastAsia" w:ascii="宋体" w:hAnsi="宋体"/>
          <w:color w:val="auto"/>
          <w:sz w:val="24"/>
          <w:highlight w:val="none"/>
          <w:u w:val="single"/>
        </w:rPr>
        <w:t xml:space="preserve">                                                        </w:t>
      </w:r>
    </w:p>
    <w:p w14:paraId="4DF12D7B">
      <w:pPr>
        <w:spacing w:line="500" w:lineRule="exact"/>
        <w:ind w:left="540"/>
        <w:rPr>
          <w:rFonts w:hint="eastAsia" w:ascii="宋体" w:hAnsi="宋体"/>
          <w:color w:val="auto"/>
          <w:sz w:val="24"/>
          <w:highlight w:val="none"/>
        </w:rPr>
      </w:pPr>
      <w:r>
        <w:rPr>
          <w:rFonts w:hint="eastAsia" w:ascii="宋体" w:hAnsi="宋体"/>
          <w:color w:val="auto"/>
          <w:sz w:val="24"/>
          <w:highlight w:val="none"/>
        </w:rPr>
        <w:t>姓    名：</w:t>
      </w:r>
      <w:r>
        <w:rPr>
          <w:rFonts w:hint="eastAsia" w:ascii="宋体" w:hAnsi="宋体"/>
          <w:color w:val="auto"/>
          <w:sz w:val="24"/>
          <w:highlight w:val="none"/>
          <w:u w:val="single"/>
        </w:rPr>
        <w:t xml:space="preserve">                          </w:t>
      </w:r>
      <w:r>
        <w:rPr>
          <w:rFonts w:hint="eastAsia" w:ascii="宋体" w:hAnsi="宋体"/>
          <w:color w:val="auto"/>
          <w:sz w:val="24"/>
          <w:highlight w:val="none"/>
        </w:rPr>
        <w:t>性      别：</w:t>
      </w:r>
      <w:r>
        <w:rPr>
          <w:rFonts w:hint="eastAsia" w:ascii="宋体" w:hAnsi="宋体"/>
          <w:color w:val="auto"/>
          <w:sz w:val="24"/>
          <w:highlight w:val="none"/>
          <w:u w:val="single"/>
        </w:rPr>
        <w:t xml:space="preserve">                </w:t>
      </w:r>
    </w:p>
    <w:p w14:paraId="386AB3E1">
      <w:pPr>
        <w:spacing w:line="500" w:lineRule="exact"/>
        <w:ind w:left="540"/>
        <w:rPr>
          <w:rFonts w:hint="eastAsia" w:ascii="宋体" w:hAnsi="宋体"/>
          <w:color w:val="auto"/>
          <w:sz w:val="24"/>
          <w:highlight w:val="none"/>
          <w:u w:val="single"/>
        </w:rPr>
      </w:pPr>
      <w:r>
        <w:rPr>
          <w:rFonts w:hint="eastAsia" w:ascii="宋体" w:hAnsi="宋体"/>
          <w:color w:val="auto"/>
          <w:sz w:val="24"/>
          <w:highlight w:val="none"/>
        </w:rPr>
        <w:t>年    龄：</w:t>
      </w:r>
      <w:r>
        <w:rPr>
          <w:rFonts w:hint="eastAsia" w:ascii="宋体" w:hAnsi="宋体"/>
          <w:color w:val="auto"/>
          <w:sz w:val="24"/>
          <w:highlight w:val="none"/>
          <w:u w:val="single"/>
        </w:rPr>
        <w:t xml:space="preserve">                          </w:t>
      </w:r>
      <w:r>
        <w:rPr>
          <w:rFonts w:hint="eastAsia" w:ascii="宋体" w:hAnsi="宋体"/>
          <w:color w:val="auto"/>
          <w:sz w:val="24"/>
          <w:highlight w:val="none"/>
        </w:rPr>
        <w:t>职      务：</w:t>
      </w:r>
      <w:r>
        <w:rPr>
          <w:rFonts w:hint="eastAsia" w:ascii="宋体" w:hAnsi="宋体"/>
          <w:color w:val="auto"/>
          <w:sz w:val="24"/>
          <w:highlight w:val="none"/>
          <w:u w:val="single"/>
        </w:rPr>
        <w:t xml:space="preserve">                </w:t>
      </w:r>
    </w:p>
    <w:p w14:paraId="7083A3AA">
      <w:pPr>
        <w:spacing w:line="500" w:lineRule="exact"/>
        <w:ind w:left="540"/>
        <w:rPr>
          <w:rFonts w:hint="eastAsia" w:ascii="宋体" w:hAnsi="宋体"/>
          <w:color w:val="auto"/>
          <w:sz w:val="24"/>
          <w:highlight w:val="none"/>
        </w:rPr>
      </w:pPr>
      <w:r>
        <w:rPr>
          <w:rFonts w:hint="eastAsia" w:ascii="宋体" w:hAnsi="宋体"/>
          <w:color w:val="auto"/>
          <w:sz w:val="24"/>
          <w:highlight w:val="none"/>
        </w:rPr>
        <w:t>身份证</w:t>
      </w:r>
      <w:r>
        <w:rPr>
          <w:rFonts w:hint="eastAsia"/>
          <w:color w:val="auto"/>
          <w:sz w:val="24"/>
          <w:highlight w:val="none"/>
        </w:rPr>
        <w:t>号码：</w:t>
      </w:r>
      <w:r>
        <w:rPr>
          <w:rFonts w:hint="eastAsia"/>
          <w:color w:val="auto"/>
          <w:sz w:val="24"/>
          <w:highlight w:val="none"/>
          <w:u w:val="single"/>
        </w:rPr>
        <w:t xml:space="preserve">                                 </w:t>
      </w:r>
    </w:p>
    <w:p w14:paraId="052AA44D">
      <w:pPr>
        <w:spacing w:line="500" w:lineRule="exact"/>
        <w:ind w:left="540"/>
        <w:rPr>
          <w:rFonts w:hint="eastAsia" w:ascii="宋体" w:hAnsi="宋体"/>
          <w:color w:val="auto"/>
          <w:sz w:val="24"/>
          <w:highlight w:val="none"/>
        </w:rPr>
      </w:pPr>
      <w:r>
        <w:rPr>
          <w:rFonts w:hint="eastAsia" w:ascii="宋体" w:hAnsi="宋体"/>
          <w:color w:val="auto"/>
          <w:sz w:val="24"/>
          <w:highlight w:val="none"/>
        </w:rPr>
        <w:t>系</w:t>
      </w:r>
      <w:r>
        <w:rPr>
          <w:rFonts w:hint="eastAsia" w:ascii="宋体" w:hAnsi="宋体"/>
          <w:color w:val="auto"/>
          <w:sz w:val="24"/>
          <w:highlight w:val="none"/>
          <w:u w:val="single"/>
        </w:rPr>
        <w:t xml:space="preserve">            （投标人名称）              </w:t>
      </w:r>
      <w:r>
        <w:rPr>
          <w:rFonts w:hint="eastAsia" w:ascii="宋体" w:hAnsi="宋体"/>
          <w:color w:val="auto"/>
          <w:sz w:val="24"/>
          <w:highlight w:val="none"/>
        </w:rPr>
        <w:t>的法定代表人。</w:t>
      </w:r>
    </w:p>
    <w:p w14:paraId="4FEDD50B">
      <w:pPr>
        <w:spacing w:line="500" w:lineRule="exact"/>
        <w:ind w:left="540"/>
        <w:rPr>
          <w:rFonts w:hint="eastAsia" w:ascii="宋体" w:hAnsi="宋体"/>
          <w:color w:val="auto"/>
          <w:sz w:val="24"/>
          <w:highlight w:val="none"/>
        </w:rPr>
      </w:pPr>
      <w:r>
        <w:rPr>
          <w:rFonts w:hint="eastAsia" w:ascii="宋体" w:hAnsi="宋体"/>
          <w:color w:val="auto"/>
          <w:sz w:val="24"/>
          <w:highlight w:val="none"/>
        </w:rPr>
        <w:t>特此证明。</w:t>
      </w:r>
    </w:p>
    <w:p w14:paraId="7212F43D">
      <w:pPr>
        <w:spacing w:line="500" w:lineRule="exact"/>
        <w:ind w:left="540"/>
        <w:rPr>
          <w:rFonts w:hint="eastAsia" w:ascii="宋体" w:hAnsi="宋体"/>
          <w:color w:val="auto"/>
          <w:sz w:val="24"/>
          <w:highlight w:val="none"/>
        </w:rPr>
      </w:pPr>
    </w:p>
    <w:p w14:paraId="5C30C1EB">
      <w:pPr>
        <w:spacing w:line="500" w:lineRule="exact"/>
        <w:ind w:left="540"/>
        <w:rPr>
          <w:rFonts w:hint="eastAsia" w:ascii="宋体" w:hAnsi="宋体"/>
          <w:color w:val="auto"/>
          <w:sz w:val="24"/>
          <w:highlight w:val="none"/>
        </w:rPr>
      </w:pPr>
    </w:p>
    <w:p w14:paraId="558C34A7">
      <w:pPr>
        <w:spacing w:line="500" w:lineRule="exact"/>
        <w:ind w:left="540"/>
        <w:rPr>
          <w:rFonts w:hint="eastAsia" w:ascii="宋体" w:hAnsi="宋体"/>
          <w:color w:val="auto"/>
          <w:sz w:val="24"/>
          <w:highlight w:val="none"/>
        </w:rPr>
      </w:pPr>
      <w:r>
        <w:rPr>
          <w:rFonts w:hint="eastAsia" w:ascii="宋体" w:hAnsi="宋体"/>
          <w:color w:val="auto"/>
          <w:sz w:val="24"/>
          <w:highlight w:val="none"/>
        </w:rPr>
        <w:t>附件：法定代表人有效身份证正反面复印件</w:t>
      </w:r>
    </w:p>
    <w:p w14:paraId="7ECCD42A">
      <w:pPr>
        <w:spacing w:line="500" w:lineRule="exact"/>
        <w:ind w:left="540"/>
        <w:rPr>
          <w:rFonts w:hint="eastAsia" w:ascii="宋体" w:hAnsi="宋体"/>
          <w:color w:val="auto"/>
          <w:sz w:val="24"/>
          <w:highlight w:val="none"/>
        </w:rPr>
      </w:pPr>
    </w:p>
    <w:p w14:paraId="12F445DF">
      <w:pPr>
        <w:spacing w:line="500" w:lineRule="exact"/>
        <w:ind w:left="540"/>
        <w:jc w:val="center"/>
        <w:rPr>
          <w:rFonts w:hint="eastAsia" w:ascii="宋体" w:hAnsi="宋体"/>
          <w:color w:val="auto"/>
          <w:sz w:val="24"/>
          <w:highlight w:val="none"/>
          <w:u w:val="single"/>
        </w:rPr>
      </w:pPr>
      <w:r>
        <w:rPr>
          <w:rFonts w:hint="eastAsia" w:ascii="宋体" w:hAnsi="宋体"/>
          <w:color w:val="auto"/>
          <w:sz w:val="24"/>
          <w:highlight w:val="none"/>
        </w:rPr>
        <w:t>投标人名称（电子签章）：</w:t>
      </w:r>
      <w:r>
        <w:rPr>
          <w:rFonts w:hint="eastAsia" w:ascii="宋体" w:hAnsi="宋体"/>
          <w:color w:val="auto"/>
          <w:sz w:val="24"/>
          <w:highlight w:val="none"/>
          <w:u w:val="single"/>
        </w:rPr>
        <w:t xml:space="preserve">                    </w:t>
      </w:r>
    </w:p>
    <w:p w14:paraId="4029442B">
      <w:pPr>
        <w:snapToGrid w:val="0"/>
        <w:spacing w:before="120" w:beforeLines="50" w:after="50"/>
        <w:ind w:left="540"/>
        <w:jc w:val="right"/>
        <w:rPr>
          <w:rFonts w:hint="eastAsia" w:ascii="宋体" w:hAnsi="宋体"/>
          <w:color w:val="auto"/>
          <w:sz w:val="24"/>
          <w:highlight w:val="none"/>
        </w:rPr>
      </w:pP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0A28FC64">
      <w:pPr>
        <w:snapToGrid w:val="0"/>
        <w:spacing w:before="120" w:beforeLines="50" w:after="50"/>
        <w:jc w:val="center"/>
        <w:rPr>
          <w:rFonts w:hint="eastAsia" w:ascii="宋体" w:hAnsi="宋体"/>
          <w:b/>
          <w:color w:val="auto"/>
          <w:sz w:val="24"/>
          <w:highlight w:val="none"/>
        </w:rPr>
      </w:pPr>
    </w:p>
    <w:p w14:paraId="616748D7">
      <w:pPr>
        <w:snapToGrid w:val="0"/>
        <w:spacing w:before="120" w:beforeLines="50" w:after="50"/>
        <w:jc w:val="left"/>
        <w:rPr>
          <w:rFonts w:hint="eastAsia" w:ascii="宋体" w:hAnsi="宋体"/>
          <w:b/>
          <w:color w:val="auto"/>
          <w:sz w:val="24"/>
          <w:szCs w:val="20"/>
          <w:highlight w:val="none"/>
        </w:rPr>
      </w:pPr>
      <w:r>
        <w:rPr>
          <w:rFonts w:hint="eastAsia" w:ascii="宋体" w:hAnsi="宋体"/>
          <w:color w:val="auto"/>
          <w:sz w:val="24"/>
          <w:highlight w:val="none"/>
        </w:rPr>
        <w:t>注：自然人投标的无需提供</w:t>
      </w:r>
    </w:p>
    <w:p w14:paraId="52624901">
      <w:pPr>
        <w:snapToGrid w:val="0"/>
        <w:spacing w:before="120" w:beforeLines="50" w:after="50"/>
        <w:jc w:val="left"/>
        <w:outlineLvl w:val="2"/>
        <w:rPr>
          <w:rFonts w:hint="eastAsia" w:ascii="宋体" w:hAnsi="宋体"/>
          <w:b/>
          <w:color w:val="auto"/>
          <w:sz w:val="24"/>
          <w:szCs w:val="20"/>
          <w:highlight w:val="none"/>
        </w:rPr>
      </w:pPr>
      <w:r>
        <w:rPr>
          <w:rFonts w:ascii="宋体" w:hAnsi="宋体"/>
          <w:b/>
          <w:color w:val="auto"/>
          <w:sz w:val="24"/>
          <w:highlight w:val="none"/>
        </w:rPr>
        <w:br w:type="page"/>
      </w:r>
      <w:r>
        <w:rPr>
          <w:rFonts w:hint="eastAsia" w:ascii="宋体" w:hAnsi="宋体"/>
          <w:b/>
          <w:color w:val="auto"/>
          <w:sz w:val="24"/>
          <w:highlight w:val="none"/>
        </w:rPr>
        <w:t>5.授权委托书格式</w:t>
      </w:r>
    </w:p>
    <w:p w14:paraId="1F979098">
      <w:pPr>
        <w:snapToGrid w:val="0"/>
        <w:spacing w:before="120" w:beforeLines="50" w:after="50"/>
        <w:jc w:val="center"/>
        <w:rPr>
          <w:rFonts w:hint="eastAsia" w:ascii="宋体" w:hAnsi="宋体"/>
          <w:b/>
          <w:color w:val="auto"/>
          <w:sz w:val="44"/>
          <w:szCs w:val="44"/>
          <w:highlight w:val="none"/>
        </w:rPr>
      </w:pPr>
    </w:p>
    <w:p w14:paraId="1492D9E8">
      <w:pPr>
        <w:snapToGrid w:val="0"/>
        <w:spacing w:before="120"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授权委托书</w:t>
      </w:r>
    </w:p>
    <w:p w14:paraId="60BE6615">
      <w:pPr>
        <w:snapToGrid w:val="0"/>
        <w:spacing w:before="120" w:beforeLines="50" w:after="50"/>
        <w:jc w:val="center"/>
        <w:rPr>
          <w:rFonts w:hint="eastAsia" w:ascii="宋体" w:hAnsi="宋体"/>
          <w:b/>
          <w:color w:val="auto"/>
          <w:sz w:val="32"/>
          <w:szCs w:val="32"/>
          <w:highlight w:val="none"/>
        </w:rPr>
      </w:pPr>
      <w:r>
        <w:rPr>
          <w:rFonts w:hint="eastAsia" w:ascii="宋体" w:hAnsi="宋体"/>
          <w:b/>
          <w:color w:val="auto"/>
          <w:sz w:val="32"/>
          <w:szCs w:val="32"/>
          <w:highlight w:val="none"/>
        </w:rPr>
        <w:t>（非联合体投标格式）</w:t>
      </w:r>
    </w:p>
    <w:p w14:paraId="035F1471">
      <w:pPr>
        <w:snapToGrid w:val="0"/>
        <w:spacing w:before="120" w:beforeLines="50" w:after="50"/>
        <w:jc w:val="center"/>
        <w:rPr>
          <w:rFonts w:hint="eastAsia" w:ascii="宋体" w:hAnsi="宋体"/>
          <w:b/>
          <w:color w:val="auto"/>
          <w:sz w:val="24"/>
          <w:highlight w:val="none"/>
        </w:rPr>
      </w:pPr>
      <w:r>
        <w:rPr>
          <w:rFonts w:hint="eastAsia" w:ascii="宋体" w:hAnsi="宋体"/>
          <w:b/>
          <w:color w:val="auto"/>
          <w:sz w:val="32"/>
          <w:szCs w:val="32"/>
          <w:highlight w:val="none"/>
        </w:rPr>
        <w:t>（如有委托时）</w:t>
      </w:r>
    </w:p>
    <w:p w14:paraId="719FDA3C">
      <w:pPr>
        <w:snapToGrid w:val="0"/>
        <w:spacing w:before="120" w:beforeLines="50" w:after="50"/>
        <w:jc w:val="center"/>
        <w:rPr>
          <w:rFonts w:hint="eastAsia" w:ascii="宋体" w:hAnsi="宋体"/>
          <w:b/>
          <w:color w:val="auto"/>
          <w:sz w:val="24"/>
          <w:highlight w:val="none"/>
        </w:rPr>
      </w:pPr>
    </w:p>
    <w:p w14:paraId="1C842FED">
      <w:pPr>
        <w:spacing w:line="360" w:lineRule="auto"/>
        <w:contextualSpacing/>
        <w:rPr>
          <w:rFonts w:hint="eastAsia" w:ascii="宋体" w:hAnsi="宋体"/>
          <w:b/>
          <w:bCs/>
          <w:color w:val="auto"/>
          <w:sz w:val="24"/>
          <w:highlight w:val="none"/>
        </w:rPr>
      </w:pPr>
      <w:r>
        <w:rPr>
          <w:rFonts w:hint="eastAsia" w:ascii="宋体" w:hAnsi="宋体"/>
          <w:bCs/>
          <w:color w:val="auto"/>
          <w:sz w:val="24"/>
          <w:highlight w:val="none"/>
        </w:rPr>
        <w:t>致：</w:t>
      </w:r>
      <w:r>
        <w:rPr>
          <w:rFonts w:hint="eastAsia" w:ascii="宋体" w:hAnsi="宋体"/>
          <w:color w:val="auto"/>
          <w:sz w:val="24"/>
          <w:highlight w:val="none"/>
          <w:u w:val="single"/>
        </w:rPr>
        <w:t>采购人名称</w:t>
      </w:r>
      <w:r>
        <w:rPr>
          <w:rFonts w:hint="eastAsia" w:ascii="宋体" w:hAnsi="宋体"/>
          <w:color w:val="auto"/>
          <w:sz w:val="24"/>
          <w:highlight w:val="none"/>
        </w:rPr>
        <w:t>：</w:t>
      </w:r>
    </w:p>
    <w:p w14:paraId="162F61F4">
      <w:pPr>
        <w:spacing w:line="360" w:lineRule="auto"/>
        <w:ind w:firstLine="566" w:firstLineChars="236"/>
        <w:contextualSpacing/>
        <w:rPr>
          <w:rFonts w:hint="eastAsia" w:ascii="宋体" w:hAnsi="宋体"/>
          <w:color w:val="auto"/>
          <w:sz w:val="24"/>
          <w:highlight w:val="none"/>
        </w:rPr>
      </w:pPr>
      <w:r>
        <w:rPr>
          <w:rFonts w:hint="eastAsia" w:ascii="宋体" w:hAnsi="宋体"/>
          <w:color w:val="auto"/>
          <w:sz w:val="24"/>
          <w:highlight w:val="none"/>
        </w:rPr>
        <w:t>我</w:t>
      </w:r>
      <w:r>
        <w:rPr>
          <w:rFonts w:hint="eastAsia" w:ascii="宋体" w:hAnsi="宋体"/>
          <w:color w:val="auto"/>
          <w:sz w:val="24"/>
          <w:highlight w:val="none"/>
          <w:u w:val="single"/>
        </w:rPr>
        <w:t xml:space="preserve">       </w:t>
      </w:r>
      <w:r>
        <w:rPr>
          <w:rFonts w:hint="eastAsia" w:ascii="宋体" w:hAnsi="宋体"/>
          <w:color w:val="auto"/>
          <w:sz w:val="24"/>
          <w:highlight w:val="none"/>
        </w:rPr>
        <w:t>（姓名）系</w:t>
      </w:r>
      <w:r>
        <w:rPr>
          <w:rFonts w:hint="eastAsia" w:ascii="宋体" w:hAnsi="宋体"/>
          <w:color w:val="auto"/>
          <w:sz w:val="24"/>
          <w:highlight w:val="none"/>
          <w:u w:val="single"/>
        </w:rPr>
        <w:t xml:space="preserve">      </w:t>
      </w:r>
      <w:r>
        <w:rPr>
          <w:rFonts w:hint="eastAsia" w:ascii="宋体" w:hAnsi="宋体"/>
          <w:color w:val="auto"/>
          <w:sz w:val="24"/>
          <w:highlight w:val="none"/>
        </w:rPr>
        <w:t>（投标人名称）的法定代表人，现授权委托</w:t>
      </w:r>
      <w:r>
        <w:rPr>
          <w:rFonts w:hint="eastAsia" w:ascii="宋体" w:hAnsi="宋体"/>
          <w:color w:val="auto"/>
          <w:sz w:val="24"/>
          <w:highlight w:val="none"/>
          <w:u w:val="single"/>
        </w:rPr>
        <w:t xml:space="preserve">              （姓名）</w:t>
      </w:r>
      <w:r>
        <w:rPr>
          <w:rFonts w:hint="eastAsia" w:ascii="宋体" w:hAnsi="宋体"/>
          <w:color w:val="auto"/>
          <w:sz w:val="24"/>
          <w:highlight w:val="none"/>
        </w:rPr>
        <w:t>以我方的名义参加</w:t>
      </w:r>
      <w:r>
        <w:rPr>
          <w:rFonts w:hint="eastAsia" w:ascii="宋体" w:hAnsi="宋体"/>
          <w:color w:val="auto"/>
          <w:sz w:val="24"/>
          <w:highlight w:val="none"/>
          <w:u w:val="single"/>
        </w:rPr>
        <w:t xml:space="preserve">              </w:t>
      </w:r>
      <w:r>
        <w:rPr>
          <w:rFonts w:hint="eastAsia" w:ascii="宋体" w:hAnsi="宋体"/>
          <w:color w:val="auto"/>
          <w:sz w:val="24"/>
          <w:highlight w:val="none"/>
        </w:rPr>
        <w:t>项目的投标活动，并代表我方全权办理针对上述项目的所有采购程序和环节的具体事务和签署相关文件。</w:t>
      </w:r>
    </w:p>
    <w:p w14:paraId="32CD92BA">
      <w:pPr>
        <w:spacing w:line="360" w:lineRule="auto"/>
        <w:contextualSpacing/>
        <w:rPr>
          <w:rFonts w:hint="eastAsia" w:ascii="宋体" w:hAnsi="宋体"/>
          <w:color w:val="auto"/>
          <w:sz w:val="24"/>
          <w:highlight w:val="none"/>
        </w:rPr>
      </w:pPr>
      <w:r>
        <w:rPr>
          <w:rFonts w:hint="eastAsia" w:ascii="宋体" w:hAnsi="宋体"/>
          <w:color w:val="auto"/>
          <w:sz w:val="24"/>
          <w:highlight w:val="none"/>
        </w:rPr>
        <w:t xml:space="preserve">    我方对委托代理人的签字或者电子签名事项负全部责任。</w:t>
      </w:r>
    </w:p>
    <w:p w14:paraId="1382AF2F">
      <w:pPr>
        <w:spacing w:line="360" w:lineRule="auto"/>
        <w:ind w:firstLine="480"/>
        <w:contextualSpacing/>
        <w:rPr>
          <w:rFonts w:hint="eastAsia" w:ascii="宋体" w:hAnsi="宋体"/>
          <w:color w:val="auto"/>
          <w:sz w:val="24"/>
          <w:highlight w:val="none"/>
        </w:rPr>
      </w:pPr>
      <w:r>
        <w:rPr>
          <w:rFonts w:hint="eastAsia" w:ascii="宋体" w:hAnsi="宋体"/>
          <w:color w:val="auto"/>
          <w:sz w:val="24"/>
          <w:highlight w:val="none"/>
          <w:u w:val="single"/>
        </w:rPr>
        <w:t>本授权书自签署之日起生效，在撤销授权的书面通知以前，本授权书一直有效。委托代理人在授权书有效期内签署的所有文件不因授权的撤销而失效。</w:t>
      </w:r>
    </w:p>
    <w:p w14:paraId="178747BD">
      <w:pPr>
        <w:spacing w:line="360" w:lineRule="auto"/>
        <w:ind w:firstLine="480"/>
        <w:contextualSpacing/>
        <w:rPr>
          <w:rFonts w:hint="eastAsia" w:ascii="宋体" w:hAnsi="宋体"/>
          <w:color w:val="auto"/>
          <w:sz w:val="24"/>
          <w:highlight w:val="none"/>
        </w:rPr>
      </w:pPr>
      <w:r>
        <w:rPr>
          <w:rFonts w:hint="eastAsia" w:ascii="宋体" w:hAnsi="宋体"/>
          <w:color w:val="auto"/>
          <w:sz w:val="24"/>
          <w:highlight w:val="none"/>
        </w:rPr>
        <w:t>委托代理人无转委托权，特此委托。</w:t>
      </w:r>
    </w:p>
    <w:p w14:paraId="3BD7D0D6">
      <w:pPr>
        <w:spacing w:line="360" w:lineRule="auto"/>
        <w:ind w:firstLine="480"/>
        <w:contextualSpacing/>
        <w:rPr>
          <w:rFonts w:hint="eastAsia" w:ascii="宋体" w:hAnsi="宋体"/>
          <w:color w:val="auto"/>
          <w:sz w:val="24"/>
          <w:highlight w:val="none"/>
        </w:rPr>
      </w:pPr>
      <w:r>
        <w:rPr>
          <w:rFonts w:hint="eastAsia" w:ascii="宋体" w:hAnsi="宋体"/>
          <w:color w:val="auto"/>
          <w:sz w:val="24"/>
          <w:highlight w:val="none"/>
        </w:rPr>
        <w:t>附：法定代表人身份证明及委托代理人有效身份证正反面复印件</w:t>
      </w:r>
    </w:p>
    <w:p w14:paraId="61737DE7">
      <w:pPr>
        <w:spacing w:line="360" w:lineRule="auto"/>
        <w:contextualSpacing/>
        <w:rPr>
          <w:rFonts w:hint="eastAsia" w:ascii="宋体" w:hAnsi="宋体"/>
          <w:color w:val="auto"/>
          <w:sz w:val="24"/>
          <w:highlight w:val="none"/>
        </w:rPr>
      </w:pPr>
    </w:p>
    <w:p w14:paraId="26B1F0CB">
      <w:pPr>
        <w:spacing w:line="440" w:lineRule="exact"/>
        <w:contextualSpacing/>
        <w:rPr>
          <w:rFonts w:hint="eastAsia" w:ascii="宋体" w:hAnsi="宋体"/>
          <w:color w:val="auto"/>
          <w:sz w:val="24"/>
          <w:highlight w:val="none"/>
        </w:rPr>
      </w:pPr>
      <w:r>
        <w:rPr>
          <w:rFonts w:hint="eastAsia" w:ascii="宋体" w:hAnsi="宋体"/>
          <w:color w:val="auto"/>
          <w:sz w:val="24"/>
          <w:highlight w:val="none"/>
        </w:rPr>
        <w:t>委托代理人（签字或者电子签名）：</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14:paraId="136F687A">
      <w:pPr>
        <w:spacing w:line="440" w:lineRule="exact"/>
        <w:contextualSpacing/>
        <w:rPr>
          <w:rFonts w:hint="eastAsia" w:ascii="宋体" w:hAnsi="宋体"/>
          <w:color w:val="auto"/>
          <w:sz w:val="24"/>
          <w:highlight w:val="none"/>
          <w:u w:val="single"/>
        </w:rPr>
      </w:pPr>
      <w:r>
        <w:rPr>
          <w:rFonts w:hint="eastAsia" w:ascii="宋体" w:hAnsi="宋体"/>
          <w:color w:val="auto"/>
          <w:sz w:val="24"/>
          <w:highlight w:val="none"/>
        </w:rPr>
        <w:t>委托代理人身份证号码：</w:t>
      </w:r>
      <w:r>
        <w:rPr>
          <w:rFonts w:hint="eastAsia" w:ascii="宋体" w:hAnsi="宋体"/>
          <w:color w:val="auto"/>
          <w:sz w:val="24"/>
          <w:highlight w:val="none"/>
          <w:u w:val="single"/>
        </w:rPr>
        <w:t xml:space="preserve">                             </w:t>
      </w:r>
    </w:p>
    <w:p w14:paraId="3407C3CC">
      <w:pPr>
        <w:spacing w:line="440" w:lineRule="exact"/>
        <w:contextualSpacing/>
        <w:rPr>
          <w:rFonts w:hint="eastAsia" w:ascii="宋体" w:hAnsi="宋体"/>
          <w:color w:val="auto"/>
          <w:sz w:val="24"/>
          <w:highlight w:val="none"/>
          <w:u w:val="single"/>
        </w:rPr>
      </w:pPr>
      <w:r>
        <w:rPr>
          <w:rFonts w:hint="eastAsia" w:ascii="宋体" w:hAnsi="宋体"/>
          <w:color w:val="auto"/>
          <w:sz w:val="24"/>
          <w:highlight w:val="none"/>
        </w:rPr>
        <w:t>法定代表人（签字或者盖章或者电子签名）：</w:t>
      </w:r>
      <w:r>
        <w:rPr>
          <w:rFonts w:hint="eastAsia" w:ascii="宋体" w:hAnsi="宋体"/>
          <w:color w:val="auto"/>
          <w:sz w:val="24"/>
          <w:highlight w:val="none"/>
          <w:u w:val="single"/>
        </w:rPr>
        <w:t xml:space="preserve">              </w:t>
      </w:r>
    </w:p>
    <w:p w14:paraId="28EF3AC8">
      <w:pPr>
        <w:spacing w:line="440" w:lineRule="exact"/>
        <w:contextualSpacing/>
        <w:jc w:val="center"/>
        <w:rPr>
          <w:rFonts w:hint="eastAsia" w:ascii="宋体" w:hAnsi="宋体"/>
          <w:color w:val="auto"/>
          <w:sz w:val="24"/>
          <w:highlight w:val="none"/>
        </w:rPr>
      </w:pPr>
      <w:r>
        <w:rPr>
          <w:rFonts w:hint="eastAsia" w:ascii="宋体" w:hAnsi="宋体"/>
          <w:color w:val="auto"/>
          <w:sz w:val="24"/>
          <w:highlight w:val="none"/>
        </w:rPr>
        <w:t xml:space="preserve"> </w:t>
      </w:r>
    </w:p>
    <w:p w14:paraId="7CAEE40B">
      <w:pPr>
        <w:spacing w:line="440" w:lineRule="exact"/>
        <w:contextualSpacing/>
        <w:jc w:val="center"/>
        <w:rPr>
          <w:rFonts w:hint="eastAsia" w:ascii="宋体" w:hAnsi="宋体"/>
          <w:color w:val="auto"/>
          <w:sz w:val="24"/>
          <w:highlight w:val="none"/>
          <w:u w:val="single"/>
        </w:rPr>
      </w:pPr>
      <w:r>
        <w:rPr>
          <w:rFonts w:hint="eastAsia" w:ascii="宋体" w:hAnsi="宋体"/>
          <w:color w:val="auto"/>
          <w:sz w:val="24"/>
          <w:highlight w:val="none"/>
        </w:rPr>
        <w:t xml:space="preserve">             投标人名称（电子签章）：</w:t>
      </w:r>
      <w:r>
        <w:rPr>
          <w:rFonts w:hint="eastAsia" w:ascii="宋体" w:hAnsi="宋体"/>
          <w:color w:val="auto"/>
          <w:sz w:val="24"/>
          <w:highlight w:val="none"/>
          <w:u w:val="single"/>
        </w:rPr>
        <w:t xml:space="preserve">             </w:t>
      </w:r>
    </w:p>
    <w:p w14:paraId="5C6F6E95">
      <w:pPr>
        <w:spacing w:line="440" w:lineRule="exact"/>
        <w:contextualSpacing/>
        <w:jc w:val="center"/>
        <w:rPr>
          <w:rFonts w:hint="eastAsia" w:ascii="宋体" w:hAnsi="宋体"/>
          <w:color w:val="auto"/>
          <w:sz w:val="24"/>
          <w:highlight w:val="none"/>
        </w:rPr>
      </w:pPr>
      <w:r>
        <w:rPr>
          <w:rFonts w:hint="eastAsia" w:ascii="宋体" w:hAnsi="宋体"/>
          <w:color w:val="auto"/>
          <w:sz w:val="24"/>
          <w:highlight w:val="none"/>
        </w:rPr>
        <w:t xml:space="preserve">                                              年    月    日</w:t>
      </w:r>
    </w:p>
    <w:p w14:paraId="39F23C3F">
      <w:pPr>
        <w:spacing w:line="440" w:lineRule="exact"/>
        <w:contextualSpacing/>
        <w:rPr>
          <w:rFonts w:hint="eastAsia" w:ascii="宋体" w:hAnsi="宋体" w:cs="仿宋_GB2312"/>
          <w:color w:val="auto"/>
          <w:sz w:val="24"/>
          <w:highlight w:val="none"/>
        </w:rPr>
      </w:pPr>
      <w:r>
        <w:rPr>
          <w:rFonts w:hint="eastAsia" w:ascii="宋体" w:hAnsi="宋体" w:cs="仿宋_GB2312"/>
          <w:color w:val="auto"/>
          <w:sz w:val="24"/>
          <w:highlight w:val="none"/>
        </w:rPr>
        <w:t>注：1.</w:t>
      </w:r>
      <w:bookmarkStart w:id="159" w:name="_Hlk65851555"/>
      <w:bookmarkStart w:id="160" w:name="_Hlk65851620"/>
      <w:r>
        <w:rPr>
          <w:rFonts w:hint="eastAsia" w:ascii="宋体" w:hAnsi="宋体" w:cs="仿宋_GB2312"/>
          <w:color w:val="auto"/>
          <w:sz w:val="24"/>
          <w:highlight w:val="none"/>
        </w:rPr>
        <w:t>法定代表人必须在授权委托书上签字或者盖章</w:t>
      </w:r>
      <w:r>
        <w:rPr>
          <w:rFonts w:hint="eastAsia" w:ascii="宋体" w:hAnsi="宋体"/>
          <w:color w:val="auto"/>
          <w:sz w:val="24"/>
          <w:highlight w:val="none"/>
        </w:rPr>
        <w:t>或者电子签名</w:t>
      </w:r>
      <w:r>
        <w:rPr>
          <w:rFonts w:hint="eastAsia" w:ascii="宋体" w:hAnsi="宋体" w:cs="仿宋_GB2312"/>
          <w:color w:val="auto"/>
          <w:sz w:val="24"/>
          <w:highlight w:val="none"/>
        </w:rPr>
        <w:t>，</w:t>
      </w:r>
      <w:bookmarkEnd w:id="159"/>
      <w:r>
        <w:rPr>
          <w:rFonts w:hint="eastAsia" w:ascii="宋体" w:hAnsi="宋体" w:cs="仿宋_GB2312"/>
          <w:color w:val="auto"/>
          <w:sz w:val="24"/>
          <w:highlight w:val="none"/>
        </w:rPr>
        <w:t>委托代理人必须在授权委托书上签字</w:t>
      </w:r>
      <w:r>
        <w:rPr>
          <w:rFonts w:hint="eastAsia" w:ascii="宋体" w:hAnsi="宋体"/>
          <w:color w:val="auto"/>
          <w:sz w:val="24"/>
          <w:highlight w:val="none"/>
        </w:rPr>
        <w:t>或者电子签名</w:t>
      </w:r>
      <w:r>
        <w:rPr>
          <w:rFonts w:hint="eastAsia" w:ascii="宋体" w:hAnsi="宋体" w:cs="仿宋_GB2312"/>
          <w:color w:val="auto"/>
          <w:sz w:val="24"/>
          <w:highlight w:val="none"/>
        </w:rPr>
        <w:t>，</w:t>
      </w:r>
      <w:r>
        <w:rPr>
          <w:rFonts w:hint="eastAsia" w:ascii="宋体" w:hAnsi="宋体" w:cs="仿宋_GB2312"/>
          <w:b/>
          <w:bCs/>
          <w:color w:val="auto"/>
          <w:sz w:val="24"/>
          <w:highlight w:val="none"/>
        </w:rPr>
        <w:t>否则按无效投标处理</w:t>
      </w:r>
      <w:r>
        <w:rPr>
          <w:rFonts w:hint="eastAsia" w:ascii="宋体" w:hAnsi="宋体" w:cs="仿宋_GB2312"/>
          <w:color w:val="auto"/>
          <w:sz w:val="24"/>
          <w:highlight w:val="none"/>
        </w:rPr>
        <w:t>；</w:t>
      </w:r>
      <w:bookmarkEnd w:id="160"/>
    </w:p>
    <w:p w14:paraId="1CFE08DE">
      <w:pPr>
        <w:spacing w:line="440" w:lineRule="exact"/>
        <w:ind w:firstLine="480" w:firstLineChars="200"/>
        <w:contextualSpacing/>
        <w:jc w:val="left"/>
        <w:rPr>
          <w:rFonts w:hint="eastAsia" w:ascii="宋体" w:hAnsi="宋体"/>
          <w:color w:val="auto"/>
          <w:sz w:val="24"/>
          <w:highlight w:val="none"/>
        </w:rPr>
      </w:pPr>
      <w:r>
        <w:rPr>
          <w:rFonts w:hint="eastAsia" w:ascii="宋体" w:hAnsi="宋体" w:cs="仿宋_GB2312"/>
          <w:color w:val="auto"/>
          <w:sz w:val="24"/>
          <w:highlight w:val="none"/>
        </w:rPr>
        <w:t>2.法人、其他组织投标时“我方”是指“我单位”，自然人投标时“我方”是指“本人”。</w:t>
      </w:r>
    </w:p>
    <w:p w14:paraId="58A6E72B">
      <w:pPr>
        <w:outlineLvl w:val="2"/>
        <w:rPr>
          <w:rFonts w:hint="eastAsia" w:ascii="宋体" w:hAnsi="宋体"/>
          <w:b/>
          <w:color w:val="auto"/>
          <w:sz w:val="24"/>
          <w:szCs w:val="20"/>
          <w:highlight w:val="none"/>
        </w:rPr>
      </w:pPr>
      <w:r>
        <w:rPr>
          <w:rFonts w:ascii="宋体" w:hAnsi="宋体"/>
          <w:color w:val="auto"/>
          <w:sz w:val="24"/>
          <w:highlight w:val="none"/>
        </w:rPr>
        <w:br w:type="page"/>
      </w:r>
      <w:r>
        <w:rPr>
          <w:rFonts w:hint="eastAsia" w:ascii="宋体" w:hAnsi="宋体"/>
          <w:b/>
          <w:color w:val="auto"/>
          <w:sz w:val="24"/>
          <w:highlight w:val="none"/>
        </w:rPr>
        <w:t>6.商务要求偏离表格式</w:t>
      </w:r>
    </w:p>
    <w:p w14:paraId="15FF3125">
      <w:pPr>
        <w:snapToGrid w:val="0"/>
        <w:spacing w:before="50"/>
        <w:jc w:val="left"/>
        <w:rPr>
          <w:rFonts w:hint="eastAsia" w:ascii="宋体" w:hAnsi="宋体"/>
          <w:color w:val="auto"/>
          <w:sz w:val="24"/>
          <w:highlight w:val="none"/>
        </w:rPr>
      </w:pPr>
    </w:p>
    <w:p w14:paraId="7A0D07B8">
      <w:pPr>
        <w:pStyle w:val="24"/>
        <w:rPr>
          <w:rFonts w:hint="eastAsia" w:hAnsi="宋体"/>
          <w:color w:val="auto"/>
          <w:sz w:val="24"/>
          <w:szCs w:val="24"/>
          <w:highlight w:val="none"/>
        </w:rPr>
      </w:pPr>
      <w:r>
        <w:rPr>
          <w:rFonts w:hint="eastAsia" w:hAnsi="宋体"/>
          <w:color w:val="auto"/>
          <w:sz w:val="24"/>
          <w:szCs w:val="24"/>
          <w:highlight w:val="none"/>
        </w:rPr>
        <w:t>所投分标：</w:t>
      </w:r>
      <w:r>
        <w:rPr>
          <w:rFonts w:hint="eastAsia" w:hAnsi="宋体"/>
          <w:color w:val="auto"/>
          <w:sz w:val="24"/>
          <w:szCs w:val="24"/>
          <w:highlight w:val="none"/>
          <w:u w:val="single"/>
        </w:rPr>
        <w:t xml:space="preserve">     </w:t>
      </w:r>
      <w:r>
        <w:rPr>
          <w:rFonts w:hint="eastAsia" w:hAnsi="宋体"/>
          <w:color w:val="auto"/>
          <w:sz w:val="24"/>
          <w:szCs w:val="24"/>
          <w:highlight w:val="none"/>
        </w:rPr>
        <w:t>分标</w:t>
      </w:r>
    </w:p>
    <w:p w14:paraId="60EE0F49">
      <w:pPr>
        <w:snapToGrid w:val="0"/>
        <w:spacing w:before="50"/>
        <w:jc w:val="left"/>
        <w:rPr>
          <w:rFonts w:hint="eastAsia" w:ascii="宋体" w:hAnsi="宋体"/>
          <w:color w:val="auto"/>
          <w:sz w:val="24"/>
          <w:highlight w:val="none"/>
          <w:u w:val="single"/>
        </w:rPr>
      </w:pPr>
    </w:p>
    <w:tbl>
      <w:tblPr>
        <w:tblStyle w:val="47"/>
        <w:tblW w:w="0" w:type="auto"/>
        <w:tblInd w:w="-11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52"/>
        <w:gridCol w:w="2694"/>
        <w:gridCol w:w="1760"/>
        <w:gridCol w:w="2035"/>
      </w:tblGrid>
      <w:tr w14:paraId="4696C8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152" w:type="dxa"/>
            <w:tcBorders>
              <w:top w:val="single" w:color="auto" w:sz="4" w:space="0"/>
              <w:left w:val="single" w:color="auto" w:sz="4" w:space="0"/>
              <w:bottom w:val="single" w:color="auto" w:sz="4" w:space="0"/>
              <w:right w:val="single" w:color="auto" w:sz="4" w:space="0"/>
            </w:tcBorders>
          </w:tcPr>
          <w:p w14:paraId="27CD3DA9">
            <w:pPr>
              <w:snapToGrid w:val="0"/>
              <w:spacing w:before="120" w:beforeLines="50"/>
              <w:jc w:val="center"/>
              <w:rPr>
                <w:rFonts w:hint="eastAsia" w:ascii="宋体" w:hAnsi="宋体"/>
                <w:color w:val="auto"/>
                <w:sz w:val="24"/>
                <w:highlight w:val="none"/>
              </w:rPr>
            </w:pPr>
            <w:r>
              <w:rPr>
                <w:rFonts w:hint="eastAsia" w:ascii="宋体" w:hAnsi="宋体"/>
                <w:color w:val="auto"/>
                <w:sz w:val="24"/>
                <w:highlight w:val="none"/>
              </w:rPr>
              <w:t>项目</w:t>
            </w:r>
          </w:p>
        </w:tc>
        <w:tc>
          <w:tcPr>
            <w:tcW w:w="2694" w:type="dxa"/>
            <w:tcBorders>
              <w:top w:val="single" w:color="auto" w:sz="4" w:space="0"/>
              <w:left w:val="single" w:color="auto" w:sz="4" w:space="0"/>
              <w:bottom w:val="single" w:color="auto" w:sz="4" w:space="0"/>
              <w:right w:val="single" w:color="auto" w:sz="4" w:space="0"/>
            </w:tcBorders>
          </w:tcPr>
          <w:p w14:paraId="07C34395">
            <w:pPr>
              <w:snapToGrid w:val="0"/>
              <w:spacing w:before="120" w:beforeLines="50"/>
              <w:jc w:val="center"/>
              <w:rPr>
                <w:rFonts w:hint="eastAsia" w:ascii="宋体" w:hAnsi="宋体"/>
                <w:color w:val="auto"/>
                <w:sz w:val="24"/>
                <w:highlight w:val="none"/>
              </w:rPr>
            </w:pPr>
            <w:r>
              <w:rPr>
                <w:rFonts w:hint="eastAsia" w:ascii="宋体" w:hAnsi="宋体"/>
                <w:color w:val="auto"/>
                <w:sz w:val="24"/>
                <w:highlight w:val="none"/>
              </w:rPr>
              <w:t>招标文件商务要求</w:t>
            </w:r>
          </w:p>
        </w:tc>
        <w:tc>
          <w:tcPr>
            <w:tcW w:w="1760" w:type="dxa"/>
            <w:tcBorders>
              <w:top w:val="single" w:color="auto" w:sz="4" w:space="0"/>
              <w:left w:val="single" w:color="auto" w:sz="4" w:space="0"/>
              <w:bottom w:val="single" w:color="auto" w:sz="4" w:space="0"/>
              <w:right w:val="single" w:color="auto" w:sz="4" w:space="0"/>
            </w:tcBorders>
          </w:tcPr>
          <w:p w14:paraId="69044DAB">
            <w:pPr>
              <w:snapToGrid w:val="0"/>
              <w:spacing w:before="120" w:beforeLines="50"/>
              <w:jc w:val="center"/>
              <w:rPr>
                <w:rFonts w:hint="eastAsia" w:ascii="宋体" w:hAnsi="宋体"/>
                <w:color w:val="auto"/>
                <w:sz w:val="24"/>
                <w:highlight w:val="none"/>
              </w:rPr>
            </w:pPr>
            <w:r>
              <w:rPr>
                <w:rFonts w:hint="eastAsia" w:ascii="宋体" w:hAnsi="宋体"/>
                <w:color w:val="auto"/>
                <w:sz w:val="24"/>
                <w:highlight w:val="none"/>
              </w:rPr>
              <w:t>投标人的承诺</w:t>
            </w:r>
          </w:p>
        </w:tc>
        <w:tc>
          <w:tcPr>
            <w:tcW w:w="2035" w:type="dxa"/>
            <w:tcBorders>
              <w:top w:val="single" w:color="auto" w:sz="4" w:space="0"/>
              <w:left w:val="single" w:color="auto" w:sz="4" w:space="0"/>
              <w:bottom w:val="single" w:color="auto" w:sz="4" w:space="0"/>
              <w:right w:val="single" w:color="auto" w:sz="4" w:space="0"/>
            </w:tcBorders>
          </w:tcPr>
          <w:p w14:paraId="65248F35">
            <w:pPr>
              <w:snapToGrid w:val="0"/>
              <w:spacing w:before="120" w:beforeLines="50"/>
              <w:jc w:val="center"/>
              <w:rPr>
                <w:rFonts w:hint="eastAsia" w:ascii="宋体" w:hAnsi="宋体"/>
                <w:color w:val="auto"/>
                <w:sz w:val="24"/>
                <w:highlight w:val="none"/>
              </w:rPr>
            </w:pPr>
            <w:r>
              <w:rPr>
                <w:rFonts w:hint="eastAsia" w:ascii="宋体" w:hAnsi="宋体"/>
                <w:color w:val="auto"/>
                <w:sz w:val="24"/>
                <w:highlight w:val="none"/>
              </w:rPr>
              <w:t>偏离说明</w:t>
            </w:r>
          </w:p>
        </w:tc>
      </w:tr>
      <w:tr w14:paraId="2D271C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2152" w:type="dxa"/>
            <w:tcBorders>
              <w:top w:val="single" w:color="auto" w:sz="4" w:space="0"/>
              <w:left w:val="single" w:color="auto" w:sz="4" w:space="0"/>
              <w:bottom w:val="single" w:color="auto" w:sz="4" w:space="0"/>
              <w:right w:val="single" w:color="auto" w:sz="4" w:space="0"/>
            </w:tcBorders>
            <w:vAlign w:val="center"/>
          </w:tcPr>
          <w:p w14:paraId="218E5ECE">
            <w:pPr>
              <w:jc w:val="center"/>
              <w:rPr>
                <w:rFonts w:hint="eastAsia" w:ascii="宋体" w:hAnsi="宋体"/>
                <w:color w:val="auto"/>
                <w:sz w:val="24"/>
                <w:highlight w:val="none"/>
              </w:rPr>
            </w:pPr>
            <w:r>
              <w:rPr>
                <w:rFonts w:hint="eastAsia" w:ascii="宋体" w:hAnsi="宋体"/>
                <w:color w:val="auto"/>
                <w:sz w:val="24"/>
                <w:highlight w:val="none"/>
              </w:rPr>
              <w:t>服务期限和地点</w:t>
            </w:r>
          </w:p>
        </w:tc>
        <w:tc>
          <w:tcPr>
            <w:tcW w:w="2694" w:type="dxa"/>
            <w:tcBorders>
              <w:top w:val="single" w:color="auto" w:sz="4" w:space="0"/>
              <w:left w:val="single" w:color="auto" w:sz="4" w:space="0"/>
              <w:bottom w:val="single" w:color="auto" w:sz="4" w:space="0"/>
              <w:right w:val="single" w:color="auto" w:sz="4" w:space="0"/>
            </w:tcBorders>
            <w:vAlign w:val="center"/>
          </w:tcPr>
          <w:p w14:paraId="6DD7C6D8">
            <w:pPr>
              <w:jc w:val="left"/>
              <w:rPr>
                <w:rFonts w:hint="eastAsia"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tcPr>
          <w:p w14:paraId="09F44DA6">
            <w:pPr>
              <w:snapToGrid w:val="0"/>
              <w:spacing w:before="120" w:beforeLines="50"/>
              <w:jc w:val="center"/>
              <w:rPr>
                <w:rFonts w:hint="eastAsia"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tcPr>
          <w:p w14:paraId="7C539279">
            <w:pPr>
              <w:snapToGrid w:val="0"/>
              <w:spacing w:before="120" w:beforeLines="50"/>
              <w:jc w:val="center"/>
              <w:rPr>
                <w:rFonts w:hint="eastAsia" w:ascii="宋体" w:hAnsi="宋体"/>
                <w:color w:val="auto"/>
                <w:sz w:val="24"/>
                <w:highlight w:val="none"/>
              </w:rPr>
            </w:pPr>
          </w:p>
        </w:tc>
      </w:tr>
      <w:tr w14:paraId="4DB3E2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2152" w:type="dxa"/>
            <w:tcBorders>
              <w:top w:val="single" w:color="auto" w:sz="4" w:space="0"/>
              <w:left w:val="single" w:color="auto" w:sz="4" w:space="0"/>
              <w:bottom w:val="single" w:color="auto" w:sz="4" w:space="0"/>
              <w:right w:val="single" w:color="auto" w:sz="4" w:space="0"/>
            </w:tcBorders>
            <w:vAlign w:val="center"/>
          </w:tcPr>
          <w:p w14:paraId="507D2DBF">
            <w:pPr>
              <w:jc w:val="center"/>
              <w:rPr>
                <w:rFonts w:hint="eastAsia" w:ascii="宋体" w:hAnsi="宋体"/>
                <w:color w:val="auto"/>
                <w:sz w:val="24"/>
                <w:highlight w:val="none"/>
              </w:rPr>
            </w:pPr>
            <w:r>
              <w:rPr>
                <w:rFonts w:hint="eastAsia" w:ascii="宋体" w:hAnsi="宋体"/>
                <w:color w:val="auto"/>
                <w:sz w:val="24"/>
                <w:highlight w:val="none"/>
              </w:rPr>
              <w:t>合同签订时间</w:t>
            </w:r>
          </w:p>
        </w:tc>
        <w:tc>
          <w:tcPr>
            <w:tcW w:w="2694" w:type="dxa"/>
            <w:tcBorders>
              <w:top w:val="single" w:color="auto" w:sz="4" w:space="0"/>
              <w:left w:val="single" w:color="auto" w:sz="4" w:space="0"/>
              <w:bottom w:val="single" w:color="auto" w:sz="4" w:space="0"/>
              <w:right w:val="single" w:color="auto" w:sz="4" w:space="0"/>
            </w:tcBorders>
            <w:vAlign w:val="center"/>
          </w:tcPr>
          <w:p w14:paraId="6D50CAA8">
            <w:pPr>
              <w:jc w:val="left"/>
              <w:rPr>
                <w:rFonts w:hint="eastAsia"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tcPr>
          <w:p w14:paraId="4F7B79CE">
            <w:pPr>
              <w:snapToGrid w:val="0"/>
              <w:spacing w:before="120" w:beforeLines="50"/>
              <w:ind w:left="43"/>
              <w:jc w:val="center"/>
              <w:rPr>
                <w:rFonts w:hint="eastAsia"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tcPr>
          <w:p w14:paraId="4EFCA788">
            <w:pPr>
              <w:snapToGrid w:val="0"/>
              <w:spacing w:before="120" w:beforeLines="50"/>
              <w:ind w:left="43"/>
              <w:jc w:val="center"/>
              <w:rPr>
                <w:rFonts w:hint="eastAsia" w:ascii="宋体" w:hAnsi="宋体"/>
                <w:color w:val="auto"/>
                <w:sz w:val="24"/>
                <w:highlight w:val="none"/>
              </w:rPr>
            </w:pPr>
          </w:p>
        </w:tc>
      </w:tr>
      <w:tr w14:paraId="59DAE1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2152" w:type="dxa"/>
            <w:tcBorders>
              <w:top w:val="single" w:color="auto" w:sz="4" w:space="0"/>
              <w:left w:val="single" w:color="auto" w:sz="4" w:space="0"/>
              <w:bottom w:val="single" w:color="auto" w:sz="4" w:space="0"/>
              <w:right w:val="single" w:color="auto" w:sz="4" w:space="0"/>
            </w:tcBorders>
            <w:vAlign w:val="center"/>
          </w:tcPr>
          <w:p w14:paraId="08F6B7AD">
            <w:pPr>
              <w:jc w:val="center"/>
              <w:rPr>
                <w:rFonts w:hint="eastAsia" w:ascii="宋体" w:hAnsi="宋体"/>
                <w:color w:val="auto"/>
                <w:sz w:val="24"/>
                <w:highlight w:val="none"/>
              </w:rPr>
            </w:pPr>
            <w:r>
              <w:rPr>
                <w:rFonts w:hint="eastAsia" w:ascii="宋体" w:hAnsi="宋体"/>
                <w:color w:val="auto"/>
                <w:sz w:val="24"/>
                <w:highlight w:val="none"/>
              </w:rPr>
              <w:t>投标报价</w:t>
            </w:r>
          </w:p>
        </w:tc>
        <w:tc>
          <w:tcPr>
            <w:tcW w:w="2694" w:type="dxa"/>
            <w:tcBorders>
              <w:top w:val="single" w:color="auto" w:sz="4" w:space="0"/>
              <w:left w:val="single" w:color="auto" w:sz="4" w:space="0"/>
              <w:bottom w:val="single" w:color="auto" w:sz="4" w:space="0"/>
              <w:right w:val="single" w:color="auto" w:sz="4" w:space="0"/>
            </w:tcBorders>
            <w:vAlign w:val="center"/>
          </w:tcPr>
          <w:p w14:paraId="7BF11759">
            <w:pPr>
              <w:jc w:val="left"/>
              <w:rPr>
                <w:rFonts w:hint="eastAsia"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tcPr>
          <w:p w14:paraId="6B19B7AD">
            <w:pPr>
              <w:snapToGrid w:val="0"/>
              <w:spacing w:before="120" w:beforeLines="50"/>
              <w:ind w:left="43"/>
              <w:jc w:val="center"/>
              <w:rPr>
                <w:rFonts w:hint="eastAsia"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tcPr>
          <w:p w14:paraId="54A85BE9">
            <w:pPr>
              <w:snapToGrid w:val="0"/>
              <w:spacing w:before="120" w:beforeLines="50"/>
              <w:ind w:left="43"/>
              <w:jc w:val="center"/>
              <w:rPr>
                <w:rFonts w:hint="eastAsia" w:ascii="宋体" w:hAnsi="宋体"/>
                <w:color w:val="auto"/>
                <w:sz w:val="24"/>
                <w:highlight w:val="none"/>
              </w:rPr>
            </w:pPr>
          </w:p>
        </w:tc>
      </w:tr>
      <w:tr w14:paraId="14D56B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2152" w:type="dxa"/>
            <w:tcBorders>
              <w:top w:val="single" w:color="auto" w:sz="4" w:space="0"/>
              <w:left w:val="single" w:color="auto" w:sz="4" w:space="0"/>
              <w:bottom w:val="single" w:color="auto" w:sz="4" w:space="0"/>
              <w:right w:val="single" w:color="auto" w:sz="4" w:space="0"/>
            </w:tcBorders>
            <w:shd w:val="clear" w:color="auto" w:fill="auto"/>
            <w:vAlign w:val="center"/>
          </w:tcPr>
          <w:p w14:paraId="3D06B5AA">
            <w:pPr>
              <w:jc w:val="center"/>
              <w:rPr>
                <w:rFonts w:hint="eastAsia" w:ascii="宋体" w:hAnsi="宋体"/>
                <w:color w:val="auto"/>
                <w:sz w:val="24"/>
                <w:highlight w:val="none"/>
              </w:rPr>
            </w:pPr>
            <w:r>
              <w:rPr>
                <w:rFonts w:hint="eastAsia" w:ascii="宋体" w:hAnsi="宋体"/>
                <w:color w:val="auto"/>
                <w:sz w:val="24"/>
                <w:highlight w:val="none"/>
              </w:rPr>
              <w:t>付款条件（进度和方式）</w:t>
            </w:r>
          </w:p>
        </w:tc>
        <w:tc>
          <w:tcPr>
            <w:tcW w:w="2694" w:type="dxa"/>
            <w:tcBorders>
              <w:top w:val="single" w:color="auto" w:sz="4" w:space="0"/>
              <w:left w:val="single" w:color="auto" w:sz="4" w:space="0"/>
              <w:bottom w:val="single" w:color="auto" w:sz="4" w:space="0"/>
              <w:right w:val="single" w:color="auto" w:sz="4" w:space="0"/>
            </w:tcBorders>
            <w:vAlign w:val="center"/>
          </w:tcPr>
          <w:p w14:paraId="457414E6">
            <w:pPr>
              <w:jc w:val="left"/>
              <w:rPr>
                <w:rFonts w:hint="eastAsia"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tcPr>
          <w:p w14:paraId="115282BD">
            <w:pPr>
              <w:snapToGrid w:val="0"/>
              <w:spacing w:before="120" w:beforeLines="50"/>
              <w:ind w:left="43"/>
              <w:jc w:val="center"/>
              <w:rPr>
                <w:rFonts w:hint="eastAsia"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tcPr>
          <w:p w14:paraId="256E5591">
            <w:pPr>
              <w:snapToGrid w:val="0"/>
              <w:spacing w:before="120" w:beforeLines="50"/>
              <w:ind w:left="43"/>
              <w:jc w:val="center"/>
              <w:rPr>
                <w:rFonts w:hint="eastAsia" w:ascii="宋体" w:hAnsi="宋体"/>
                <w:color w:val="auto"/>
                <w:sz w:val="24"/>
                <w:highlight w:val="none"/>
              </w:rPr>
            </w:pPr>
          </w:p>
        </w:tc>
      </w:tr>
      <w:tr w14:paraId="1F1167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2152" w:type="dxa"/>
            <w:tcBorders>
              <w:top w:val="single" w:color="auto" w:sz="4" w:space="0"/>
              <w:left w:val="single" w:color="auto" w:sz="4" w:space="0"/>
              <w:bottom w:val="single" w:color="auto" w:sz="4" w:space="0"/>
              <w:right w:val="single" w:color="auto" w:sz="4" w:space="0"/>
            </w:tcBorders>
            <w:shd w:val="clear" w:color="auto" w:fill="auto"/>
            <w:vAlign w:val="center"/>
          </w:tcPr>
          <w:p w14:paraId="5A860C15">
            <w:pPr>
              <w:jc w:val="center"/>
              <w:rPr>
                <w:rFonts w:hint="eastAsia" w:ascii="宋体" w:hAnsi="宋体"/>
                <w:color w:val="auto"/>
                <w:sz w:val="24"/>
                <w:highlight w:val="none"/>
              </w:rPr>
            </w:pPr>
            <w:r>
              <w:rPr>
                <w:rFonts w:hint="eastAsia" w:ascii="宋体" w:hAnsi="宋体"/>
                <w:color w:val="auto"/>
                <w:sz w:val="24"/>
                <w:highlight w:val="none"/>
              </w:rPr>
              <w:t>......</w:t>
            </w:r>
          </w:p>
        </w:tc>
        <w:tc>
          <w:tcPr>
            <w:tcW w:w="2694" w:type="dxa"/>
            <w:tcBorders>
              <w:top w:val="single" w:color="auto" w:sz="4" w:space="0"/>
              <w:left w:val="single" w:color="auto" w:sz="4" w:space="0"/>
              <w:bottom w:val="single" w:color="auto" w:sz="4" w:space="0"/>
              <w:right w:val="single" w:color="auto" w:sz="4" w:space="0"/>
            </w:tcBorders>
            <w:vAlign w:val="center"/>
          </w:tcPr>
          <w:p w14:paraId="638A6E46">
            <w:pPr>
              <w:jc w:val="left"/>
              <w:rPr>
                <w:rFonts w:hint="eastAsia"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tcPr>
          <w:p w14:paraId="50B55BCE">
            <w:pPr>
              <w:snapToGrid w:val="0"/>
              <w:spacing w:before="120" w:beforeLines="50"/>
              <w:ind w:left="43"/>
              <w:jc w:val="center"/>
              <w:rPr>
                <w:rFonts w:hint="eastAsia"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tcPr>
          <w:p w14:paraId="588FC8A6">
            <w:pPr>
              <w:snapToGrid w:val="0"/>
              <w:spacing w:before="120" w:beforeLines="50"/>
              <w:ind w:left="43"/>
              <w:jc w:val="center"/>
              <w:rPr>
                <w:rFonts w:hint="eastAsia" w:ascii="宋体" w:hAnsi="宋体"/>
                <w:color w:val="auto"/>
                <w:sz w:val="24"/>
                <w:highlight w:val="none"/>
              </w:rPr>
            </w:pPr>
          </w:p>
        </w:tc>
      </w:tr>
    </w:tbl>
    <w:p w14:paraId="79C96D48">
      <w:pPr>
        <w:pStyle w:val="17"/>
        <w:rPr>
          <w:rFonts w:hint="eastAsia" w:ascii="宋体" w:hAnsi="宋体"/>
          <w:color w:val="auto"/>
          <w:highlight w:val="none"/>
        </w:rPr>
      </w:pPr>
      <w:r>
        <w:rPr>
          <w:rFonts w:hint="eastAsia" w:ascii="宋体" w:hAnsi="宋体"/>
          <w:color w:val="auto"/>
          <w:highlight w:val="none"/>
        </w:rPr>
        <w:t>注：</w:t>
      </w:r>
    </w:p>
    <w:p w14:paraId="3F725C9E">
      <w:pPr>
        <w:pStyle w:val="18"/>
        <w:spacing w:line="520" w:lineRule="exact"/>
        <w:ind w:firstLine="0" w:firstLineChars="0"/>
        <w:rPr>
          <w:rFonts w:hint="eastAsia" w:hAnsi="仿宋_GB2312" w:cs="仿宋_GB2312"/>
          <w:color w:val="auto"/>
          <w:szCs w:val="32"/>
          <w:highlight w:val="none"/>
        </w:rPr>
      </w:pPr>
      <w:r>
        <w:rPr>
          <w:rFonts w:hint="eastAsia" w:ascii="宋体" w:hAnsi="宋体" w:eastAsia="宋体"/>
          <w:color w:val="auto"/>
          <w:sz w:val="24"/>
          <w:szCs w:val="24"/>
          <w:highlight w:val="none"/>
        </w:rPr>
        <w:t>1. 说明：应对照招标文件“第二章 采购需求”中的商务要求逐条作明确的投标响应，并作出偏离说明。</w:t>
      </w:r>
    </w:p>
    <w:p w14:paraId="2157DDCF">
      <w:pPr>
        <w:pStyle w:val="17"/>
        <w:rPr>
          <w:rFonts w:hint="eastAsia" w:ascii="宋体" w:hAnsi="宋体"/>
          <w:b w:val="0"/>
          <w:bCs w:val="0"/>
          <w:color w:val="auto"/>
          <w:highlight w:val="none"/>
        </w:rPr>
      </w:pPr>
      <w:r>
        <w:rPr>
          <w:rFonts w:ascii="宋体" w:hAnsi="宋体"/>
          <w:b w:val="0"/>
          <w:bCs w:val="0"/>
          <w:color w:val="auto"/>
          <w:highlight w:val="none"/>
        </w:rPr>
        <w:t>2.</w:t>
      </w:r>
      <w:r>
        <w:rPr>
          <w:rFonts w:hint="eastAsia" w:ascii="宋体" w:hAnsi="宋体"/>
          <w:b w:val="0"/>
          <w:bCs w:val="0"/>
          <w:color w:val="auto"/>
          <w:highlight w:val="none"/>
        </w:rPr>
        <w:t>投标人应根据自身的承诺，对照招标文件要求在“偏离说明”中注明“</w:t>
      </w:r>
      <w:r>
        <w:rPr>
          <w:rFonts w:hint="eastAsia" w:ascii="宋体" w:hAnsi="宋体"/>
          <w:color w:val="auto"/>
          <w:highlight w:val="none"/>
        </w:rPr>
        <w:t>正偏离</w:t>
      </w:r>
      <w:r>
        <w:rPr>
          <w:rFonts w:hint="eastAsia" w:ascii="宋体" w:hAnsi="宋体"/>
          <w:b w:val="0"/>
          <w:bCs w:val="0"/>
          <w:color w:val="auto"/>
          <w:highlight w:val="none"/>
        </w:rPr>
        <w:t>”、“</w:t>
      </w:r>
      <w:r>
        <w:rPr>
          <w:rFonts w:hint="eastAsia" w:ascii="宋体" w:hAnsi="宋体"/>
          <w:color w:val="auto"/>
          <w:highlight w:val="none"/>
        </w:rPr>
        <w:t>负偏离</w:t>
      </w:r>
      <w:r>
        <w:rPr>
          <w:rFonts w:hint="eastAsia" w:ascii="宋体" w:hAnsi="宋体"/>
          <w:b w:val="0"/>
          <w:bCs w:val="0"/>
          <w:color w:val="auto"/>
          <w:highlight w:val="none"/>
        </w:rPr>
        <w:t>”或者“</w:t>
      </w:r>
      <w:r>
        <w:rPr>
          <w:rFonts w:hint="eastAsia" w:ascii="宋体" w:hAnsi="宋体"/>
          <w:color w:val="auto"/>
          <w:highlight w:val="none"/>
        </w:rPr>
        <w:t>无偏离</w:t>
      </w:r>
      <w:r>
        <w:rPr>
          <w:rFonts w:hint="eastAsia" w:ascii="宋体" w:hAnsi="宋体"/>
          <w:b w:val="0"/>
          <w:bCs w:val="0"/>
          <w:color w:val="auto"/>
          <w:highlight w:val="none"/>
        </w:rPr>
        <w:t>”。既不属于“</w:t>
      </w:r>
      <w:r>
        <w:rPr>
          <w:rFonts w:hint="eastAsia" w:ascii="宋体" w:hAnsi="宋体"/>
          <w:color w:val="auto"/>
          <w:highlight w:val="none"/>
        </w:rPr>
        <w:t>正偏离</w:t>
      </w:r>
      <w:r>
        <w:rPr>
          <w:rFonts w:hint="eastAsia" w:ascii="宋体" w:hAnsi="宋体"/>
          <w:b w:val="0"/>
          <w:bCs w:val="0"/>
          <w:color w:val="auto"/>
          <w:highlight w:val="none"/>
        </w:rPr>
        <w:t>”也不属于“</w:t>
      </w:r>
      <w:r>
        <w:rPr>
          <w:rFonts w:hint="eastAsia" w:ascii="宋体" w:hAnsi="宋体"/>
          <w:color w:val="auto"/>
          <w:highlight w:val="none"/>
        </w:rPr>
        <w:t>负偏离</w:t>
      </w:r>
      <w:r>
        <w:rPr>
          <w:rFonts w:hint="eastAsia" w:ascii="宋体" w:hAnsi="宋体"/>
          <w:b w:val="0"/>
          <w:bCs w:val="0"/>
          <w:color w:val="auto"/>
          <w:highlight w:val="none"/>
        </w:rPr>
        <w:t>”即为“</w:t>
      </w:r>
      <w:r>
        <w:rPr>
          <w:rFonts w:hint="eastAsia" w:ascii="宋体" w:hAnsi="宋体"/>
          <w:color w:val="auto"/>
          <w:highlight w:val="none"/>
        </w:rPr>
        <w:t>无偏离</w:t>
      </w:r>
      <w:r>
        <w:rPr>
          <w:rFonts w:hint="eastAsia" w:ascii="宋体" w:hAnsi="宋体"/>
          <w:b w:val="0"/>
          <w:bCs w:val="0"/>
          <w:color w:val="auto"/>
          <w:highlight w:val="none"/>
        </w:rPr>
        <w:t>”。</w:t>
      </w:r>
    </w:p>
    <w:p w14:paraId="42E521D2">
      <w:pPr>
        <w:snapToGrid w:val="0"/>
        <w:spacing w:before="50" w:after="50"/>
        <w:rPr>
          <w:rFonts w:hint="eastAsia" w:ascii="宋体" w:hAnsi="宋体"/>
          <w:color w:val="auto"/>
          <w:sz w:val="24"/>
          <w:highlight w:val="none"/>
        </w:rPr>
      </w:pPr>
    </w:p>
    <w:p w14:paraId="6B4F4409">
      <w:pPr>
        <w:snapToGrid w:val="0"/>
        <w:spacing w:before="50" w:after="50"/>
        <w:rPr>
          <w:rFonts w:hint="eastAsia" w:ascii="宋体" w:hAnsi="宋体"/>
          <w:color w:val="auto"/>
          <w:sz w:val="24"/>
          <w:highlight w:val="none"/>
        </w:rPr>
      </w:pPr>
    </w:p>
    <w:p w14:paraId="5AF209CD">
      <w:pPr>
        <w:snapToGrid w:val="0"/>
        <w:spacing w:before="50" w:after="50"/>
        <w:rPr>
          <w:rFonts w:hint="eastAsia" w:ascii="宋体" w:hAnsi="宋体"/>
          <w:color w:val="auto"/>
          <w:spacing w:val="20"/>
          <w:sz w:val="24"/>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（签字或者电子签名）：</w:t>
      </w:r>
      <w:r>
        <w:rPr>
          <w:rFonts w:hint="eastAsia" w:ascii="宋体" w:hAnsi="宋体"/>
          <w:color w:val="auto"/>
          <w:spacing w:val="20"/>
          <w:sz w:val="24"/>
          <w:highlight w:val="none"/>
          <w:u w:val="single"/>
        </w:rPr>
        <w:t xml:space="preserve">        </w:t>
      </w:r>
    </w:p>
    <w:p w14:paraId="126ED31E">
      <w:pPr>
        <w:snapToGrid w:val="0"/>
        <w:spacing w:before="120" w:beforeLines="50"/>
        <w:rPr>
          <w:rFonts w:hint="eastAsia" w:ascii="宋体" w:hAnsi="宋体"/>
          <w:color w:val="auto"/>
          <w:spacing w:val="20"/>
          <w:sz w:val="24"/>
          <w:highlight w:val="none"/>
        </w:rPr>
      </w:pPr>
      <w:r>
        <w:rPr>
          <w:rFonts w:hint="eastAsia" w:ascii="宋体" w:hAnsi="宋体"/>
          <w:color w:val="auto"/>
          <w:spacing w:val="20"/>
          <w:sz w:val="24"/>
          <w:highlight w:val="none"/>
        </w:rPr>
        <w:t>投标人名称（电子签章）：</w:t>
      </w:r>
      <w:r>
        <w:rPr>
          <w:rFonts w:hint="eastAsia" w:ascii="宋体" w:hAnsi="宋体"/>
          <w:color w:val="auto"/>
          <w:spacing w:val="20"/>
          <w:sz w:val="24"/>
          <w:highlight w:val="none"/>
          <w:u w:val="single"/>
        </w:rPr>
        <w:t xml:space="preserve">            </w:t>
      </w:r>
      <w:r>
        <w:rPr>
          <w:rFonts w:hint="eastAsia" w:ascii="宋体" w:hAnsi="宋体"/>
          <w:color w:val="auto"/>
          <w:spacing w:val="20"/>
          <w:sz w:val="24"/>
          <w:highlight w:val="none"/>
        </w:rPr>
        <w:t xml:space="preserve">   </w:t>
      </w:r>
    </w:p>
    <w:p w14:paraId="40A5F0FA">
      <w:pPr>
        <w:snapToGrid w:val="0"/>
        <w:spacing w:before="120" w:beforeLines="50"/>
        <w:rPr>
          <w:rFonts w:hint="eastAsia" w:ascii="宋体" w:hAnsi="宋体"/>
          <w:color w:val="auto"/>
          <w:sz w:val="24"/>
          <w:szCs w:val="20"/>
          <w:highlight w:val="none"/>
        </w:rPr>
      </w:pPr>
      <w:r>
        <w:rPr>
          <w:rFonts w:hint="eastAsia" w:ascii="宋体" w:hAnsi="宋体"/>
          <w:color w:val="auto"/>
          <w:spacing w:val="20"/>
          <w:sz w:val="24"/>
          <w:highlight w:val="none"/>
        </w:rPr>
        <w:t>日  期：</w:t>
      </w:r>
      <w:r>
        <w:rPr>
          <w:rFonts w:hint="eastAsia" w:ascii="宋体" w:hAnsi="宋体"/>
          <w:color w:val="auto"/>
          <w:spacing w:val="20"/>
          <w:sz w:val="24"/>
          <w:highlight w:val="none"/>
          <w:u w:val="single"/>
        </w:rPr>
        <w:t xml:space="preserve">         </w:t>
      </w:r>
    </w:p>
    <w:p w14:paraId="391A80CF">
      <w:pPr>
        <w:snapToGrid w:val="0"/>
        <w:spacing w:before="120" w:beforeLines="50"/>
        <w:rPr>
          <w:rFonts w:hint="eastAsia" w:ascii="宋体" w:hAnsi="宋体"/>
          <w:color w:val="auto"/>
          <w:sz w:val="24"/>
          <w:szCs w:val="20"/>
          <w:highlight w:val="none"/>
        </w:rPr>
      </w:pPr>
    </w:p>
    <w:p w14:paraId="48CC64CF">
      <w:pPr>
        <w:snapToGrid w:val="0"/>
        <w:spacing w:before="120" w:beforeLines="50" w:after="50"/>
        <w:jc w:val="left"/>
        <w:rPr>
          <w:rFonts w:hint="eastAsia" w:ascii="宋体" w:hAnsi="宋体"/>
          <w:color w:val="auto"/>
          <w:sz w:val="24"/>
          <w:szCs w:val="20"/>
          <w:highlight w:val="none"/>
        </w:rPr>
        <w:sectPr>
          <w:footerReference r:id="rId17" w:type="first"/>
          <w:headerReference r:id="rId14" w:type="default"/>
          <w:footerReference r:id="rId15" w:type="default"/>
          <w:footerReference r:id="rId16" w:type="even"/>
          <w:pgSz w:w="11906" w:h="16838"/>
          <w:pgMar w:top="1440" w:right="1797" w:bottom="1440" w:left="1797" w:header="851" w:footer="992" w:gutter="0"/>
          <w:cols w:space="720" w:num="1"/>
          <w:docGrid w:linePitch="312" w:charSpace="0"/>
        </w:sectPr>
      </w:pPr>
    </w:p>
    <w:p w14:paraId="64442A58">
      <w:pPr>
        <w:snapToGrid w:val="0"/>
        <w:spacing w:before="120" w:beforeLines="50" w:after="50"/>
        <w:jc w:val="left"/>
        <w:outlineLvl w:val="2"/>
        <w:rPr>
          <w:rFonts w:hint="eastAsia" w:ascii="宋体" w:hAnsi="宋体"/>
          <w:b/>
          <w:color w:val="auto"/>
          <w:sz w:val="24"/>
          <w:highlight w:val="none"/>
        </w:rPr>
      </w:pPr>
      <w:r>
        <w:rPr>
          <w:rFonts w:hint="eastAsia" w:ascii="宋体" w:hAnsi="宋体"/>
          <w:b/>
          <w:color w:val="auto"/>
          <w:sz w:val="24"/>
          <w:highlight w:val="none"/>
        </w:rPr>
        <w:t>7.技术要求偏离表格式</w:t>
      </w:r>
    </w:p>
    <w:p w14:paraId="2619674F">
      <w:pPr>
        <w:snapToGrid w:val="0"/>
        <w:spacing w:before="120" w:beforeLines="50" w:after="50"/>
        <w:ind w:left="142"/>
        <w:jc w:val="left"/>
        <w:rPr>
          <w:rFonts w:hint="eastAsia" w:ascii="宋体" w:hAnsi="宋体"/>
          <w:b/>
          <w:color w:val="auto"/>
          <w:sz w:val="24"/>
          <w:highlight w:val="none"/>
        </w:rPr>
      </w:pPr>
    </w:p>
    <w:p w14:paraId="379D0669">
      <w:pPr>
        <w:snapToGrid w:val="0"/>
        <w:spacing w:before="120" w:beforeLines="50" w:after="50"/>
        <w:ind w:left="142"/>
        <w:jc w:val="center"/>
        <w:rPr>
          <w:rFonts w:hint="eastAsia" w:ascii="宋体" w:hAnsi="宋体"/>
          <w:b/>
          <w:color w:val="auto"/>
          <w:sz w:val="32"/>
          <w:szCs w:val="32"/>
          <w:highlight w:val="none"/>
        </w:rPr>
      </w:pPr>
      <w:r>
        <w:rPr>
          <w:rFonts w:hint="eastAsia" w:ascii="宋体" w:hAnsi="宋体"/>
          <w:b/>
          <w:color w:val="auto"/>
          <w:sz w:val="32"/>
          <w:szCs w:val="32"/>
          <w:highlight w:val="none"/>
        </w:rPr>
        <w:t>技术要求偏离表</w:t>
      </w:r>
    </w:p>
    <w:p w14:paraId="1E0BB347">
      <w:pPr>
        <w:pStyle w:val="24"/>
        <w:rPr>
          <w:rFonts w:hint="eastAsia" w:hAnsi="宋体"/>
          <w:color w:val="auto"/>
          <w:sz w:val="24"/>
          <w:szCs w:val="24"/>
          <w:highlight w:val="none"/>
        </w:rPr>
      </w:pPr>
      <w:r>
        <w:rPr>
          <w:rFonts w:hint="eastAsia" w:hAnsi="宋体"/>
          <w:color w:val="auto"/>
          <w:sz w:val="24"/>
          <w:szCs w:val="24"/>
          <w:highlight w:val="none"/>
        </w:rPr>
        <w:t>所投分标：</w:t>
      </w:r>
      <w:r>
        <w:rPr>
          <w:rFonts w:hint="eastAsia" w:hAnsi="宋体"/>
          <w:color w:val="auto"/>
          <w:sz w:val="24"/>
          <w:szCs w:val="24"/>
          <w:highlight w:val="none"/>
          <w:u w:val="single"/>
        </w:rPr>
        <w:t xml:space="preserve">     </w:t>
      </w:r>
      <w:r>
        <w:rPr>
          <w:rFonts w:hint="eastAsia" w:hAnsi="宋体"/>
          <w:color w:val="auto"/>
          <w:sz w:val="24"/>
          <w:szCs w:val="24"/>
          <w:highlight w:val="none"/>
        </w:rPr>
        <w:t>分标</w:t>
      </w:r>
    </w:p>
    <w:tbl>
      <w:tblPr>
        <w:tblStyle w:val="47"/>
        <w:tblW w:w="8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143"/>
        <w:gridCol w:w="1834"/>
        <w:gridCol w:w="2181"/>
        <w:gridCol w:w="1934"/>
      </w:tblGrid>
      <w:tr w14:paraId="150E8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52" w:type="dxa"/>
            <w:vAlign w:val="center"/>
          </w:tcPr>
          <w:p w14:paraId="41E9690F">
            <w:pPr>
              <w:pStyle w:val="24"/>
              <w:spacing w:line="400" w:lineRule="exact"/>
              <w:jc w:val="center"/>
              <w:rPr>
                <w:rFonts w:hint="eastAsia" w:hAnsi="宋体" w:cs="Courier New"/>
                <w:color w:val="auto"/>
                <w:kern w:val="2"/>
                <w:sz w:val="24"/>
                <w:szCs w:val="24"/>
                <w:highlight w:val="none"/>
              </w:rPr>
            </w:pPr>
            <w:r>
              <w:rPr>
                <w:rFonts w:hint="eastAsia" w:hAnsi="宋体" w:cs="Courier New"/>
                <w:color w:val="auto"/>
                <w:kern w:val="2"/>
                <w:sz w:val="24"/>
                <w:szCs w:val="24"/>
                <w:highlight w:val="none"/>
              </w:rPr>
              <w:t>项号</w:t>
            </w:r>
          </w:p>
        </w:tc>
        <w:tc>
          <w:tcPr>
            <w:tcW w:w="2143" w:type="dxa"/>
            <w:vAlign w:val="center"/>
          </w:tcPr>
          <w:p w14:paraId="32703C1E">
            <w:pPr>
              <w:pStyle w:val="24"/>
              <w:spacing w:line="400" w:lineRule="exact"/>
              <w:jc w:val="center"/>
              <w:rPr>
                <w:rFonts w:hint="eastAsia" w:hAnsi="宋体" w:cs="Courier New"/>
                <w:color w:val="auto"/>
                <w:kern w:val="2"/>
                <w:sz w:val="24"/>
                <w:szCs w:val="24"/>
                <w:highlight w:val="none"/>
              </w:rPr>
            </w:pPr>
            <w:r>
              <w:rPr>
                <w:rFonts w:hint="eastAsia" w:hAnsi="宋体" w:cs="Courier New"/>
                <w:color w:val="auto"/>
                <w:kern w:val="2"/>
                <w:sz w:val="24"/>
                <w:szCs w:val="24"/>
                <w:highlight w:val="none"/>
              </w:rPr>
              <w:t>标的的名称</w:t>
            </w:r>
          </w:p>
        </w:tc>
        <w:tc>
          <w:tcPr>
            <w:tcW w:w="1834" w:type="dxa"/>
            <w:vAlign w:val="center"/>
          </w:tcPr>
          <w:p w14:paraId="16BF124F">
            <w:pPr>
              <w:pStyle w:val="24"/>
              <w:spacing w:line="400" w:lineRule="exact"/>
              <w:jc w:val="center"/>
              <w:rPr>
                <w:rFonts w:hint="eastAsia" w:hAnsi="宋体" w:cs="Courier New"/>
                <w:color w:val="auto"/>
                <w:kern w:val="2"/>
                <w:sz w:val="24"/>
                <w:szCs w:val="24"/>
                <w:highlight w:val="none"/>
              </w:rPr>
            </w:pPr>
            <w:r>
              <w:rPr>
                <w:rFonts w:hint="eastAsia" w:hAnsi="宋体" w:cs="Courier New"/>
                <w:color w:val="auto"/>
                <w:kern w:val="2"/>
                <w:sz w:val="24"/>
                <w:szCs w:val="24"/>
                <w:highlight w:val="none"/>
              </w:rPr>
              <w:t>技术要求</w:t>
            </w:r>
          </w:p>
        </w:tc>
        <w:tc>
          <w:tcPr>
            <w:tcW w:w="2181" w:type="dxa"/>
            <w:vAlign w:val="center"/>
          </w:tcPr>
          <w:p w14:paraId="3B2E1826">
            <w:pPr>
              <w:pStyle w:val="24"/>
              <w:spacing w:line="400" w:lineRule="exact"/>
              <w:jc w:val="center"/>
              <w:rPr>
                <w:rFonts w:hint="eastAsia" w:hAnsi="宋体" w:cs="Courier New"/>
                <w:color w:val="auto"/>
                <w:kern w:val="2"/>
                <w:sz w:val="24"/>
                <w:szCs w:val="24"/>
                <w:highlight w:val="none"/>
              </w:rPr>
            </w:pPr>
            <w:r>
              <w:rPr>
                <w:rFonts w:hint="eastAsia" w:hAnsi="宋体" w:cs="Courier New"/>
                <w:color w:val="auto"/>
                <w:kern w:val="2"/>
                <w:sz w:val="24"/>
                <w:szCs w:val="24"/>
                <w:highlight w:val="none"/>
              </w:rPr>
              <w:t>投标响应</w:t>
            </w:r>
          </w:p>
        </w:tc>
        <w:tc>
          <w:tcPr>
            <w:tcW w:w="1934" w:type="dxa"/>
            <w:vAlign w:val="center"/>
          </w:tcPr>
          <w:p w14:paraId="72612D2A">
            <w:pPr>
              <w:pStyle w:val="24"/>
              <w:spacing w:line="400" w:lineRule="exact"/>
              <w:jc w:val="center"/>
              <w:rPr>
                <w:rFonts w:hint="eastAsia" w:hAnsi="宋体" w:cs="Courier New"/>
                <w:color w:val="auto"/>
                <w:kern w:val="2"/>
                <w:sz w:val="24"/>
                <w:szCs w:val="24"/>
                <w:highlight w:val="none"/>
              </w:rPr>
            </w:pPr>
            <w:r>
              <w:rPr>
                <w:rFonts w:hint="eastAsia" w:hAnsi="宋体" w:cs="Courier New"/>
                <w:color w:val="auto"/>
                <w:kern w:val="2"/>
                <w:sz w:val="24"/>
                <w:szCs w:val="24"/>
                <w:highlight w:val="none"/>
              </w:rPr>
              <w:t>偏离说明</w:t>
            </w:r>
          </w:p>
        </w:tc>
      </w:tr>
      <w:tr w14:paraId="19B88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69BA6360">
            <w:pPr>
              <w:pStyle w:val="24"/>
              <w:spacing w:line="600" w:lineRule="exact"/>
              <w:jc w:val="center"/>
              <w:rPr>
                <w:rFonts w:hint="eastAsia" w:hAnsi="宋体" w:cs="Courier New"/>
                <w:color w:val="auto"/>
                <w:kern w:val="2"/>
                <w:sz w:val="24"/>
                <w:szCs w:val="24"/>
                <w:highlight w:val="none"/>
              </w:rPr>
            </w:pPr>
          </w:p>
        </w:tc>
        <w:tc>
          <w:tcPr>
            <w:tcW w:w="2143" w:type="dxa"/>
            <w:vAlign w:val="center"/>
          </w:tcPr>
          <w:p w14:paraId="2E8338BC">
            <w:pPr>
              <w:pStyle w:val="24"/>
              <w:spacing w:line="600" w:lineRule="exact"/>
              <w:jc w:val="center"/>
              <w:rPr>
                <w:rFonts w:hint="eastAsia" w:hAnsi="宋体" w:cs="Courier New"/>
                <w:color w:val="auto"/>
                <w:kern w:val="2"/>
                <w:sz w:val="24"/>
                <w:szCs w:val="24"/>
                <w:highlight w:val="none"/>
              </w:rPr>
            </w:pPr>
          </w:p>
        </w:tc>
        <w:tc>
          <w:tcPr>
            <w:tcW w:w="1834" w:type="dxa"/>
            <w:vAlign w:val="center"/>
          </w:tcPr>
          <w:p w14:paraId="7B245C7C">
            <w:pPr>
              <w:pStyle w:val="24"/>
              <w:spacing w:line="600" w:lineRule="exact"/>
              <w:jc w:val="center"/>
              <w:rPr>
                <w:rFonts w:hint="eastAsia" w:hAnsi="宋体" w:cs="Courier New"/>
                <w:color w:val="auto"/>
                <w:kern w:val="2"/>
                <w:sz w:val="24"/>
                <w:szCs w:val="24"/>
                <w:highlight w:val="none"/>
              </w:rPr>
            </w:pPr>
          </w:p>
        </w:tc>
        <w:tc>
          <w:tcPr>
            <w:tcW w:w="2181" w:type="dxa"/>
            <w:vAlign w:val="center"/>
          </w:tcPr>
          <w:p w14:paraId="3CFCF93B">
            <w:pPr>
              <w:pStyle w:val="24"/>
              <w:spacing w:line="600" w:lineRule="exact"/>
              <w:jc w:val="center"/>
              <w:rPr>
                <w:rFonts w:hint="eastAsia" w:hAnsi="宋体" w:cs="Courier New"/>
                <w:color w:val="auto"/>
                <w:kern w:val="2"/>
                <w:sz w:val="24"/>
                <w:szCs w:val="24"/>
                <w:highlight w:val="none"/>
              </w:rPr>
            </w:pPr>
          </w:p>
        </w:tc>
        <w:tc>
          <w:tcPr>
            <w:tcW w:w="1934" w:type="dxa"/>
            <w:vAlign w:val="center"/>
          </w:tcPr>
          <w:p w14:paraId="4FF233C2">
            <w:pPr>
              <w:pStyle w:val="24"/>
              <w:spacing w:line="600" w:lineRule="exact"/>
              <w:jc w:val="center"/>
              <w:rPr>
                <w:rFonts w:hint="eastAsia" w:hAnsi="宋体" w:cs="Courier New"/>
                <w:color w:val="auto"/>
                <w:kern w:val="2"/>
                <w:sz w:val="24"/>
                <w:szCs w:val="24"/>
                <w:highlight w:val="none"/>
              </w:rPr>
            </w:pPr>
          </w:p>
        </w:tc>
      </w:tr>
      <w:tr w14:paraId="42A84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56F2BC27">
            <w:pPr>
              <w:pStyle w:val="24"/>
              <w:spacing w:line="600" w:lineRule="exact"/>
              <w:rPr>
                <w:rFonts w:hint="eastAsia" w:hAnsi="宋体" w:cs="Courier New"/>
                <w:color w:val="auto"/>
                <w:kern w:val="2"/>
                <w:sz w:val="24"/>
                <w:szCs w:val="24"/>
                <w:highlight w:val="none"/>
              </w:rPr>
            </w:pPr>
          </w:p>
        </w:tc>
        <w:tc>
          <w:tcPr>
            <w:tcW w:w="2143" w:type="dxa"/>
          </w:tcPr>
          <w:p w14:paraId="39290F77">
            <w:pPr>
              <w:pStyle w:val="24"/>
              <w:spacing w:line="600" w:lineRule="exact"/>
              <w:rPr>
                <w:rFonts w:hint="eastAsia" w:hAnsi="宋体" w:cs="Courier New"/>
                <w:color w:val="auto"/>
                <w:kern w:val="2"/>
                <w:sz w:val="24"/>
                <w:szCs w:val="24"/>
                <w:highlight w:val="none"/>
              </w:rPr>
            </w:pPr>
          </w:p>
        </w:tc>
        <w:tc>
          <w:tcPr>
            <w:tcW w:w="1834" w:type="dxa"/>
          </w:tcPr>
          <w:p w14:paraId="77432643">
            <w:pPr>
              <w:pStyle w:val="24"/>
              <w:spacing w:line="600" w:lineRule="exact"/>
              <w:rPr>
                <w:rFonts w:hint="eastAsia" w:hAnsi="宋体" w:cs="Courier New"/>
                <w:color w:val="auto"/>
                <w:kern w:val="2"/>
                <w:sz w:val="24"/>
                <w:szCs w:val="24"/>
                <w:highlight w:val="none"/>
              </w:rPr>
            </w:pPr>
          </w:p>
        </w:tc>
        <w:tc>
          <w:tcPr>
            <w:tcW w:w="2181" w:type="dxa"/>
          </w:tcPr>
          <w:p w14:paraId="661FD6F7">
            <w:pPr>
              <w:pStyle w:val="24"/>
              <w:spacing w:line="600" w:lineRule="exact"/>
              <w:rPr>
                <w:rFonts w:hint="eastAsia" w:hAnsi="宋体" w:cs="Courier New"/>
                <w:color w:val="auto"/>
                <w:kern w:val="2"/>
                <w:sz w:val="24"/>
                <w:szCs w:val="24"/>
                <w:highlight w:val="none"/>
              </w:rPr>
            </w:pPr>
          </w:p>
        </w:tc>
        <w:tc>
          <w:tcPr>
            <w:tcW w:w="1934" w:type="dxa"/>
          </w:tcPr>
          <w:p w14:paraId="6E86C108">
            <w:pPr>
              <w:pStyle w:val="24"/>
              <w:spacing w:line="600" w:lineRule="exact"/>
              <w:rPr>
                <w:rFonts w:hint="eastAsia" w:hAnsi="宋体" w:cs="Courier New"/>
                <w:color w:val="auto"/>
                <w:kern w:val="2"/>
                <w:sz w:val="24"/>
                <w:szCs w:val="24"/>
                <w:highlight w:val="none"/>
              </w:rPr>
            </w:pPr>
          </w:p>
        </w:tc>
      </w:tr>
      <w:tr w14:paraId="4B674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4BD44DFD">
            <w:pPr>
              <w:pStyle w:val="24"/>
              <w:spacing w:line="600" w:lineRule="exact"/>
              <w:rPr>
                <w:rFonts w:hint="eastAsia" w:hAnsi="宋体" w:cs="Courier New"/>
                <w:color w:val="auto"/>
                <w:kern w:val="2"/>
                <w:sz w:val="24"/>
                <w:szCs w:val="24"/>
                <w:highlight w:val="none"/>
              </w:rPr>
            </w:pPr>
          </w:p>
        </w:tc>
        <w:tc>
          <w:tcPr>
            <w:tcW w:w="2143" w:type="dxa"/>
          </w:tcPr>
          <w:p w14:paraId="2AC0BA94">
            <w:pPr>
              <w:pStyle w:val="24"/>
              <w:spacing w:line="600" w:lineRule="exact"/>
              <w:rPr>
                <w:rFonts w:hint="eastAsia" w:hAnsi="宋体" w:cs="Courier New"/>
                <w:color w:val="auto"/>
                <w:kern w:val="2"/>
                <w:sz w:val="24"/>
                <w:szCs w:val="24"/>
                <w:highlight w:val="none"/>
              </w:rPr>
            </w:pPr>
          </w:p>
        </w:tc>
        <w:tc>
          <w:tcPr>
            <w:tcW w:w="1834" w:type="dxa"/>
          </w:tcPr>
          <w:p w14:paraId="3EC2872C">
            <w:pPr>
              <w:pStyle w:val="24"/>
              <w:spacing w:line="600" w:lineRule="exact"/>
              <w:rPr>
                <w:rFonts w:hint="eastAsia" w:hAnsi="宋体" w:cs="Courier New"/>
                <w:color w:val="auto"/>
                <w:kern w:val="2"/>
                <w:sz w:val="24"/>
                <w:szCs w:val="24"/>
                <w:highlight w:val="none"/>
              </w:rPr>
            </w:pPr>
          </w:p>
        </w:tc>
        <w:tc>
          <w:tcPr>
            <w:tcW w:w="2181" w:type="dxa"/>
          </w:tcPr>
          <w:p w14:paraId="47C880CB">
            <w:pPr>
              <w:pStyle w:val="24"/>
              <w:spacing w:line="600" w:lineRule="exact"/>
              <w:rPr>
                <w:rFonts w:hint="eastAsia" w:hAnsi="宋体" w:cs="Courier New"/>
                <w:color w:val="auto"/>
                <w:kern w:val="2"/>
                <w:sz w:val="24"/>
                <w:szCs w:val="24"/>
                <w:highlight w:val="none"/>
              </w:rPr>
            </w:pPr>
          </w:p>
        </w:tc>
        <w:tc>
          <w:tcPr>
            <w:tcW w:w="1934" w:type="dxa"/>
          </w:tcPr>
          <w:p w14:paraId="7201D578">
            <w:pPr>
              <w:pStyle w:val="24"/>
              <w:spacing w:line="600" w:lineRule="exact"/>
              <w:rPr>
                <w:rFonts w:hint="eastAsia" w:hAnsi="宋体" w:cs="Courier New"/>
                <w:color w:val="auto"/>
                <w:kern w:val="2"/>
                <w:sz w:val="24"/>
                <w:szCs w:val="24"/>
                <w:highlight w:val="none"/>
              </w:rPr>
            </w:pPr>
          </w:p>
        </w:tc>
      </w:tr>
      <w:tr w14:paraId="4AD66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53521E9E">
            <w:pPr>
              <w:pStyle w:val="24"/>
              <w:spacing w:line="600" w:lineRule="exact"/>
              <w:rPr>
                <w:rFonts w:hint="eastAsia" w:hAnsi="宋体" w:cs="Courier New"/>
                <w:color w:val="auto"/>
                <w:kern w:val="2"/>
                <w:sz w:val="24"/>
                <w:szCs w:val="24"/>
                <w:highlight w:val="none"/>
              </w:rPr>
            </w:pPr>
          </w:p>
        </w:tc>
        <w:tc>
          <w:tcPr>
            <w:tcW w:w="2143" w:type="dxa"/>
          </w:tcPr>
          <w:p w14:paraId="106D7243">
            <w:pPr>
              <w:pStyle w:val="24"/>
              <w:spacing w:line="600" w:lineRule="exact"/>
              <w:rPr>
                <w:rFonts w:hint="eastAsia" w:hAnsi="宋体" w:cs="Courier New"/>
                <w:color w:val="auto"/>
                <w:kern w:val="2"/>
                <w:sz w:val="24"/>
                <w:szCs w:val="24"/>
                <w:highlight w:val="none"/>
              </w:rPr>
            </w:pPr>
          </w:p>
        </w:tc>
        <w:tc>
          <w:tcPr>
            <w:tcW w:w="1834" w:type="dxa"/>
          </w:tcPr>
          <w:p w14:paraId="51C5262B">
            <w:pPr>
              <w:pStyle w:val="24"/>
              <w:spacing w:line="600" w:lineRule="exact"/>
              <w:rPr>
                <w:rFonts w:hint="eastAsia" w:hAnsi="宋体" w:cs="Courier New"/>
                <w:color w:val="auto"/>
                <w:kern w:val="2"/>
                <w:sz w:val="24"/>
                <w:szCs w:val="24"/>
                <w:highlight w:val="none"/>
              </w:rPr>
            </w:pPr>
          </w:p>
        </w:tc>
        <w:tc>
          <w:tcPr>
            <w:tcW w:w="2181" w:type="dxa"/>
          </w:tcPr>
          <w:p w14:paraId="13561172">
            <w:pPr>
              <w:pStyle w:val="24"/>
              <w:spacing w:line="600" w:lineRule="exact"/>
              <w:rPr>
                <w:rFonts w:hint="eastAsia" w:hAnsi="宋体" w:cs="Courier New"/>
                <w:color w:val="auto"/>
                <w:kern w:val="2"/>
                <w:sz w:val="24"/>
                <w:szCs w:val="24"/>
                <w:highlight w:val="none"/>
              </w:rPr>
            </w:pPr>
          </w:p>
        </w:tc>
        <w:tc>
          <w:tcPr>
            <w:tcW w:w="1934" w:type="dxa"/>
          </w:tcPr>
          <w:p w14:paraId="67E80360">
            <w:pPr>
              <w:pStyle w:val="24"/>
              <w:spacing w:line="600" w:lineRule="exact"/>
              <w:rPr>
                <w:rFonts w:hint="eastAsia" w:hAnsi="宋体" w:cs="Courier New"/>
                <w:color w:val="auto"/>
                <w:kern w:val="2"/>
                <w:sz w:val="24"/>
                <w:szCs w:val="24"/>
                <w:highlight w:val="none"/>
              </w:rPr>
            </w:pPr>
          </w:p>
        </w:tc>
      </w:tr>
      <w:tr w14:paraId="31DE5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1E1C6536">
            <w:pPr>
              <w:pStyle w:val="24"/>
              <w:spacing w:line="600" w:lineRule="exact"/>
              <w:rPr>
                <w:rFonts w:hint="eastAsia" w:hAnsi="宋体" w:cs="Courier New"/>
                <w:color w:val="auto"/>
                <w:kern w:val="2"/>
                <w:sz w:val="24"/>
                <w:szCs w:val="24"/>
                <w:highlight w:val="none"/>
              </w:rPr>
            </w:pPr>
          </w:p>
        </w:tc>
        <w:tc>
          <w:tcPr>
            <w:tcW w:w="2143" w:type="dxa"/>
          </w:tcPr>
          <w:p w14:paraId="42638D8D">
            <w:pPr>
              <w:pStyle w:val="24"/>
              <w:spacing w:line="600" w:lineRule="exact"/>
              <w:rPr>
                <w:rFonts w:hint="eastAsia" w:hAnsi="宋体" w:cs="Courier New"/>
                <w:color w:val="auto"/>
                <w:kern w:val="2"/>
                <w:sz w:val="24"/>
                <w:szCs w:val="24"/>
                <w:highlight w:val="none"/>
              </w:rPr>
            </w:pPr>
          </w:p>
        </w:tc>
        <w:tc>
          <w:tcPr>
            <w:tcW w:w="1834" w:type="dxa"/>
          </w:tcPr>
          <w:p w14:paraId="003A3843">
            <w:pPr>
              <w:pStyle w:val="24"/>
              <w:spacing w:line="600" w:lineRule="exact"/>
              <w:rPr>
                <w:rFonts w:hint="eastAsia" w:hAnsi="宋体" w:cs="Courier New"/>
                <w:color w:val="auto"/>
                <w:kern w:val="2"/>
                <w:sz w:val="24"/>
                <w:szCs w:val="24"/>
                <w:highlight w:val="none"/>
              </w:rPr>
            </w:pPr>
          </w:p>
        </w:tc>
        <w:tc>
          <w:tcPr>
            <w:tcW w:w="2181" w:type="dxa"/>
          </w:tcPr>
          <w:p w14:paraId="548D143E">
            <w:pPr>
              <w:pStyle w:val="24"/>
              <w:spacing w:line="600" w:lineRule="exact"/>
              <w:rPr>
                <w:rFonts w:hint="eastAsia" w:hAnsi="宋体" w:cs="Courier New"/>
                <w:color w:val="auto"/>
                <w:kern w:val="2"/>
                <w:sz w:val="24"/>
                <w:szCs w:val="24"/>
                <w:highlight w:val="none"/>
              </w:rPr>
            </w:pPr>
          </w:p>
        </w:tc>
        <w:tc>
          <w:tcPr>
            <w:tcW w:w="1934" w:type="dxa"/>
          </w:tcPr>
          <w:p w14:paraId="434E6751">
            <w:pPr>
              <w:pStyle w:val="24"/>
              <w:spacing w:line="600" w:lineRule="exact"/>
              <w:rPr>
                <w:rFonts w:hint="eastAsia" w:hAnsi="宋体" w:cs="Courier New"/>
                <w:color w:val="auto"/>
                <w:kern w:val="2"/>
                <w:sz w:val="24"/>
                <w:szCs w:val="24"/>
                <w:highlight w:val="none"/>
              </w:rPr>
            </w:pPr>
          </w:p>
        </w:tc>
      </w:tr>
      <w:tr w14:paraId="59C81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3A224398">
            <w:pPr>
              <w:pStyle w:val="24"/>
              <w:spacing w:line="600" w:lineRule="exact"/>
              <w:rPr>
                <w:rFonts w:hint="eastAsia" w:hAnsi="宋体" w:cs="Courier New"/>
                <w:color w:val="auto"/>
                <w:kern w:val="2"/>
                <w:sz w:val="24"/>
                <w:szCs w:val="24"/>
                <w:highlight w:val="none"/>
              </w:rPr>
            </w:pPr>
          </w:p>
        </w:tc>
        <w:tc>
          <w:tcPr>
            <w:tcW w:w="2143" w:type="dxa"/>
          </w:tcPr>
          <w:p w14:paraId="4F87F596">
            <w:pPr>
              <w:pStyle w:val="24"/>
              <w:spacing w:line="600" w:lineRule="exact"/>
              <w:rPr>
                <w:rFonts w:hint="eastAsia" w:hAnsi="宋体" w:cs="Courier New"/>
                <w:color w:val="auto"/>
                <w:kern w:val="2"/>
                <w:sz w:val="24"/>
                <w:szCs w:val="24"/>
                <w:highlight w:val="none"/>
              </w:rPr>
            </w:pPr>
          </w:p>
        </w:tc>
        <w:tc>
          <w:tcPr>
            <w:tcW w:w="1834" w:type="dxa"/>
          </w:tcPr>
          <w:p w14:paraId="2DE54D64">
            <w:pPr>
              <w:pStyle w:val="24"/>
              <w:spacing w:line="600" w:lineRule="exact"/>
              <w:rPr>
                <w:rFonts w:hint="eastAsia" w:hAnsi="宋体" w:cs="Courier New"/>
                <w:color w:val="auto"/>
                <w:kern w:val="2"/>
                <w:sz w:val="24"/>
                <w:szCs w:val="24"/>
                <w:highlight w:val="none"/>
              </w:rPr>
            </w:pPr>
          </w:p>
        </w:tc>
        <w:tc>
          <w:tcPr>
            <w:tcW w:w="2181" w:type="dxa"/>
          </w:tcPr>
          <w:p w14:paraId="50D6BD42">
            <w:pPr>
              <w:pStyle w:val="24"/>
              <w:spacing w:line="600" w:lineRule="exact"/>
              <w:rPr>
                <w:rFonts w:hint="eastAsia" w:hAnsi="宋体" w:cs="Courier New"/>
                <w:color w:val="auto"/>
                <w:kern w:val="2"/>
                <w:sz w:val="24"/>
                <w:szCs w:val="24"/>
                <w:highlight w:val="none"/>
              </w:rPr>
            </w:pPr>
          </w:p>
        </w:tc>
        <w:tc>
          <w:tcPr>
            <w:tcW w:w="1934" w:type="dxa"/>
          </w:tcPr>
          <w:p w14:paraId="59277533">
            <w:pPr>
              <w:pStyle w:val="24"/>
              <w:spacing w:line="600" w:lineRule="exact"/>
              <w:rPr>
                <w:rFonts w:hint="eastAsia" w:hAnsi="宋体" w:cs="Courier New"/>
                <w:color w:val="auto"/>
                <w:kern w:val="2"/>
                <w:sz w:val="24"/>
                <w:szCs w:val="24"/>
                <w:highlight w:val="none"/>
              </w:rPr>
            </w:pPr>
          </w:p>
        </w:tc>
      </w:tr>
      <w:tr w14:paraId="0027C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6C6AFEFA">
            <w:pPr>
              <w:pStyle w:val="24"/>
              <w:spacing w:line="600" w:lineRule="exact"/>
              <w:rPr>
                <w:rFonts w:hint="eastAsia" w:hAnsi="宋体" w:cs="Courier New"/>
                <w:color w:val="auto"/>
                <w:kern w:val="2"/>
                <w:sz w:val="24"/>
                <w:szCs w:val="24"/>
                <w:highlight w:val="none"/>
              </w:rPr>
            </w:pPr>
          </w:p>
        </w:tc>
        <w:tc>
          <w:tcPr>
            <w:tcW w:w="2143" w:type="dxa"/>
          </w:tcPr>
          <w:p w14:paraId="5FC4AC9D">
            <w:pPr>
              <w:pStyle w:val="24"/>
              <w:spacing w:line="600" w:lineRule="exact"/>
              <w:rPr>
                <w:rFonts w:hint="eastAsia" w:hAnsi="宋体" w:cs="Courier New"/>
                <w:color w:val="auto"/>
                <w:kern w:val="2"/>
                <w:sz w:val="24"/>
                <w:szCs w:val="24"/>
                <w:highlight w:val="none"/>
              </w:rPr>
            </w:pPr>
          </w:p>
        </w:tc>
        <w:tc>
          <w:tcPr>
            <w:tcW w:w="1834" w:type="dxa"/>
          </w:tcPr>
          <w:p w14:paraId="171EDD2D">
            <w:pPr>
              <w:pStyle w:val="24"/>
              <w:spacing w:line="600" w:lineRule="exact"/>
              <w:rPr>
                <w:rFonts w:hint="eastAsia" w:hAnsi="宋体" w:cs="Courier New"/>
                <w:color w:val="auto"/>
                <w:kern w:val="2"/>
                <w:sz w:val="24"/>
                <w:szCs w:val="24"/>
                <w:highlight w:val="none"/>
              </w:rPr>
            </w:pPr>
          </w:p>
        </w:tc>
        <w:tc>
          <w:tcPr>
            <w:tcW w:w="2181" w:type="dxa"/>
          </w:tcPr>
          <w:p w14:paraId="1617CE88">
            <w:pPr>
              <w:pStyle w:val="24"/>
              <w:spacing w:line="600" w:lineRule="exact"/>
              <w:rPr>
                <w:rFonts w:hint="eastAsia" w:hAnsi="宋体" w:cs="Courier New"/>
                <w:color w:val="auto"/>
                <w:kern w:val="2"/>
                <w:sz w:val="24"/>
                <w:szCs w:val="24"/>
                <w:highlight w:val="none"/>
              </w:rPr>
            </w:pPr>
          </w:p>
        </w:tc>
        <w:tc>
          <w:tcPr>
            <w:tcW w:w="1934" w:type="dxa"/>
          </w:tcPr>
          <w:p w14:paraId="2A5B0050">
            <w:pPr>
              <w:pStyle w:val="24"/>
              <w:spacing w:line="600" w:lineRule="exact"/>
              <w:rPr>
                <w:rFonts w:hint="eastAsia" w:hAnsi="宋体" w:cs="Courier New"/>
                <w:color w:val="auto"/>
                <w:kern w:val="2"/>
                <w:sz w:val="24"/>
                <w:szCs w:val="24"/>
                <w:highlight w:val="none"/>
              </w:rPr>
            </w:pPr>
          </w:p>
        </w:tc>
      </w:tr>
    </w:tbl>
    <w:p w14:paraId="11E81F0D">
      <w:pPr>
        <w:pStyle w:val="17"/>
        <w:spacing w:line="360" w:lineRule="auto"/>
        <w:contextualSpacing/>
        <w:rPr>
          <w:rFonts w:hint="eastAsia" w:ascii="宋体" w:hAnsi="宋体"/>
          <w:color w:val="auto"/>
          <w:highlight w:val="none"/>
        </w:rPr>
      </w:pPr>
      <w:r>
        <w:rPr>
          <w:rFonts w:hint="eastAsia" w:ascii="宋体" w:hAnsi="宋体"/>
          <w:color w:val="auto"/>
          <w:highlight w:val="none"/>
        </w:rPr>
        <w:t>注：</w:t>
      </w:r>
    </w:p>
    <w:p w14:paraId="10FBFC03">
      <w:pPr>
        <w:pStyle w:val="18"/>
        <w:spacing w:line="360" w:lineRule="auto"/>
        <w:ind w:firstLine="0" w:firstLineChars="0"/>
        <w:contextualSpacing/>
        <w:rPr>
          <w:rFonts w:hint="eastAsia" w:hAnsi="仿宋_GB2312" w:cs="仿宋_GB2312"/>
          <w:color w:val="auto"/>
          <w:szCs w:val="32"/>
          <w:highlight w:val="none"/>
        </w:rPr>
      </w:pPr>
      <w:r>
        <w:rPr>
          <w:rFonts w:hint="eastAsia" w:ascii="宋体" w:hAnsi="宋体" w:eastAsia="宋体"/>
          <w:color w:val="auto"/>
          <w:sz w:val="24"/>
          <w:szCs w:val="24"/>
          <w:highlight w:val="none"/>
        </w:rPr>
        <w:t>1. 说明：应对照招标文件“第二章 采购需求”中的技术要求逐条作明确的投标响应，并作出偏离说明。</w:t>
      </w:r>
    </w:p>
    <w:p w14:paraId="2DFFA91B">
      <w:pPr>
        <w:pStyle w:val="17"/>
        <w:spacing w:line="360" w:lineRule="auto"/>
        <w:contextualSpacing/>
        <w:rPr>
          <w:rFonts w:hint="eastAsia" w:ascii="宋体" w:hAnsi="宋体"/>
          <w:color w:val="auto"/>
          <w:highlight w:val="none"/>
        </w:rPr>
      </w:pPr>
      <w:r>
        <w:rPr>
          <w:rFonts w:ascii="宋体" w:hAnsi="宋体"/>
          <w:b w:val="0"/>
          <w:bCs w:val="0"/>
          <w:color w:val="auto"/>
          <w:highlight w:val="none"/>
        </w:rPr>
        <w:t>2.</w:t>
      </w:r>
      <w:r>
        <w:rPr>
          <w:rFonts w:hint="eastAsia" w:ascii="宋体" w:hAnsi="宋体"/>
          <w:b w:val="0"/>
          <w:bCs w:val="0"/>
          <w:color w:val="auto"/>
          <w:highlight w:val="none"/>
        </w:rPr>
        <w:t>投标人应根据自身的承诺，对照招标文件要求，在“偏离说明”中注明“</w:t>
      </w:r>
      <w:r>
        <w:rPr>
          <w:rFonts w:hint="eastAsia" w:ascii="宋体" w:hAnsi="宋体"/>
          <w:color w:val="auto"/>
          <w:highlight w:val="none"/>
        </w:rPr>
        <w:t>正偏离</w:t>
      </w:r>
      <w:r>
        <w:rPr>
          <w:rFonts w:hint="eastAsia" w:ascii="宋体" w:hAnsi="宋体"/>
          <w:b w:val="0"/>
          <w:bCs w:val="0"/>
          <w:color w:val="auto"/>
          <w:highlight w:val="none"/>
        </w:rPr>
        <w:t>”、“</w:t>
      </w:r>
      <w:r>
        <w:rPr>
          <w:rFonts w:hint="eastAsia" w:ascii="宋体" w:hAnsi="宋体"/>
          <w:color w:val="auto"/>
          <w:highlight w:val="none"/>
        </w:rPr>
        <w:t>负偏离</w:t>
      </w:r>
      <w:r>
        <w:rPr>
          <w:rFonts w:hint="eastAsia" w:ascii="宋体" w:hAnsi="宋体"/>
          <w:b w:val="0"/>
          <w:bCs w:val="0"/>
          <w:color w:val="auto"/>
          <w:highlight w:val="none"/>
        </w:rPr>
        <w:t>”或者“</w:t>
      </w:r>
      <w:r>
        <w:rPr>
          <w:rFonts w:hint="eastAsia" w:ascii="宋体" w:hAnsi="宋体"/>
          <w:color w:val="auto"/>
          <w:highlight w:val="none"/>
        </w:rPr>
        <w:t>无偏离</w:t>
      </w:r>
      <w:r>
        <w:rPr>
          <w:rFonts w:hint="eastAsia" w:ascii="宋体" w:hAnsi="宋体"/>
          <w:b w:val="0"/>
          <w:bCs w:val="0"/>
          <w:color w:val="auto"/>
          <w:highlight w:val="none"/>
        </w:rPr>
        <w:t>”。既不属于“</w:t>
      </w:r>
      <w:r>
        <w:rPr>
          <w:rFonts w:hint="eastAsia" w:ascii="宋体" w:hAnsi="宋体"/>
          <w:color w:val="auto"/>
          <w:highlight w:val="none"/>
        </w:rPr>
        <w:t>正偏离</w:t>
      </w:r>
      <w:r>
        <w:rPr>
          <w:rFonts w:hint="eastAsia" w:ascii="宋体" w:hAnsi="宋体"/>
          <w:b w:val="0"/>
          <w:bCs w:val="0"/>
          <w:color w:val="auto"/>
          <w:highlight w:val="none"/>
        </w:rPr>
        <w:t>”也不属于“</w:t>
      </w:r>
      <w:r>
        <w:rPr>
          <w:rFonts w:hint="eastAsia" w:ascii="宋体" w:hAnsi="宋体"/>
          <w:color w:val="auto"/>
          <w:highlight w:val="none"/>
        </w:rPr>
        <w:t>负偏离</w:t>
      </w:r>
      <w:r>
        <w:rPr>
          <w:rFonts w:hint="eastAsia" w:ascii="宋体" w:hAnsi="宋体"/>
          <w:b w:val="0"/>
          <w:bCs w:val="0"/>
          <w:color w:val="auto"/>
          <w:highlight w:val="none"/>
        </w:rPr>
        <w:t>”即为“</w:t>
      </w:r>
      <w:r>
        <w:rPr>
          <w:rFonts w:hint="eastAsia" w:ascii="宋体" w:hAnsi="宋体"/>
          <w:color w:val="auto"/>
          <w:highlight w:val="none"/>
        </w:rPr>
        <w:t>无偏离</w:t>
      </w:r>
      <w:r>
        <w:rPr>
          <w:rFonts w:hint="eastAsia" w:ascii="宋体" w:hAnsi="宋体"/>
          <w:b w:val="0"/>
          <w:bCs w:val="0"/>
          <w:color w:val="auto"/>
          <w:highlight w:val="none"/>
        </w:rPr>
        <w:t>”。</w:t>
      </w:r>
    </w:p>
    <w:p w14:paraId="44074EAD">
      <w:pPr>
        <w:pStyle w:val="17"/>
        <w:spacing w:line="360" w:lineRule="auto"/>
        <w:contextualSpacing/>
        <w:rPr>
          <w:rFonts w:hint="eastAsia" w:ascii="宋体" w:hAnsi="宋体"/>
          <w:color w:val="auto"/>
          <w:spacing w:val="20"/>
          <w:highlight w:val="none"/>
        </w:rPr>
      </w:pPr>
    </w:p>
    <w:p w14:paraId="6762150B">
      <w:pPr>
        <w:spacing w:line="360" w:lineRule="auto"/>
        <w:contextualSpacing/>
        <w:rPr>
          <w:rFonts w:hint="eastAsia" w:ascii="宋体" w:hAnsi="宋体"/>
          <w:color w:val="auto"/>
          <w:spacing w:val="20"/>
          <w:sz w:val="24"/>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（签字或者电子签名）：</w:t>
      </w:r>
      <w:r>
        <w:rPr>
          <w:rFonts w:hint="eastAsia" w:ascii="宋体" w:hAnsi="宋体"/>
          <w:color w:val="auto"/>
          <w:spacing w:val="20"/>
          <w:sz w:val="24"/>
          <w:highlight w:val="none"/>
          <w:u w:val="single"/>
        </w:rPr>
        <w:t xml:space="preserve">        </w:t>
      </w:r>
    </w:p>
    <w:p w14:paraId="38CE2ACD">
      <w:pPr>
        <w:spacing w:line="360" w:lineRule="auto"/>
        <w:contextualSpacing/>
        <w:rPr>
          <w:rFonts w:hint="eastAsia" w:ascii="宋体" w:hAnsi="宋体"/>
          <w:color w:val="auto"/>
          <w:spacing w:val="20"/>
          <w:sz w:val="24"/>
          <w:highlight w:val="none"/>
        </w:rPr>
      </w:pPr>
      <w:r>
        <w:rPr>
          <w:rFonts w:hint="eastAsia" w:ascii="宋体" w:hAnsi="宋体"/>
          <w:color w:val="auto"/>
          <w:spacing w:val="20"/>
          <w:sz w:val="24"/>
          <w:highlight w:val="none"/>
        </w:rPr>
        <w:t>投标人名称（电子签章）：</w:t>
      </w:r>
      <w:r>
        <w:rPr>
          <w:rFonts w:hint="eastAsia" w:ascii="宋体" w:hAnsi="宋体"/>
          <w:color w:val="auto"/>
          <w:spacing w:val="20"/>
          <w:sz w:val="24"/>
          <w:highlight w:val="none"/>
          <w:u w:val="single"/>
        </w:rPr>
        <w:t xml:space="preserve">            </w:t>
      </w:r>
      <w:r>
        <w:rPr>
          <w:rFonts w:hint="eastAsia" w:ascii="宋体" w:hAnsi="宋体"/>
          <w:color w:val="auto"/>
          <w:spacing w:val="20"/>
          <w:sz w:val="24"/>
          <w:highlight w:val="none"/>
        </w:rPr>
        <w:t xml:space="preserve">              </w:t>
      </w:r>
    </w:p>
    <w:p w14:paraId="584CD236">
      <w:pPr>
        <w:spacing w:line="360" w:lineRule="auto"/>
        <w:contextualSpacing/>
        <w:rPr>
          <w:rFonts w:hint="eastAsia" w:ascii="宋体" w:hAnsi="宋体"/>
          <w:color w:val="auto"/>
          <w:sz w:val="24"/>
          <w:szCs w:val="20"/>
          <w:highlight w:val="none"/>
        </w:rPr>
      </w:pPr>
      <w:r>
        <w:rPr>
          <w:rFonts w:hint="eastAsia" w:ascii="宋体" w:hAnsi="宋体"/>
          <w:color w:val="auto"/>
          <w:spacing w:val="20"/>
          <w:sz w:val="24"/>
          <w:highlight w:val="none"/>
        </w:rPr>
        <w:t>日  期：</w:t>
      </w:r>
      <w:r>
        <w:rPr>
          <w:rFonts w:hint="eastAsia" w:ascii="宋体" w:hAnsi="宋体"/>
          <w:color w:val="auto"/>
          <w:spacing w:val="20"/>
          <w:sz w:val="24"/>
          <w:highlight w:val="none"/>
          <w:u w:val="single"/>
        </w:rPr>
        <w:t xml:space="preserve">          </w:t>
      </w:r>
    </w:p>
    <w:p w14:paraId="1629565C">
      <w:pPr>
        <w:spacing w:line="360" w:lineRule="auto"/>
        <w:contextualSpacing/>
        <w:rPr>
          <w:rFonts w:hint="eastAsia" w:ascii="宋体" w:hAnsi="宋体"/>
          <w:color w:val="auto"/>
          <w:spacing w:val="20"/>
          <w:sz w:val="24"/>
          <w:highlight w:val="none"/>
          <w:u w:val="single"/>
        </w:rPr>
      </w:pPr>
    </w:p>
    <w:p w14:paraId="4AE2BABF">
      <w:pPr>
        <w:spacing w:line="360" w:lineRule="auto"/>
        <w:contextualSpacing/>
        <w:rPr>
          <w:rFonts w:hint="eastAsia" w:ascii="宋体" w:hAnsi="宋体"/>
          <w:color w:val="auto"/>
          <w:sz w:val="24"/>
          <w:szCs w:val="20"/>
          <w:highlight w:val="none"/>
        </w:rPr>
      </w:pPr>
    </w:p>
    <w:p w14:paraId="77231B7B">
      <w:pPr>
        <w:snapToGrid w:val="0"/>
        <w:spacing w:before="120" w:beforeLines="50" w:after="50"/>
        <w:ind w:left="142"/>
        <w:jc w:val="left"/>
        <w:outlineLvl w:val="2"/>
        <w:rPr>
          <w:rFonts w:hint="eastAsia" w:ascii="宋体" w:hAnsi="宋体"/>
          <w:b/>
          <w:color w:val="auto"/>
          <w:sz w:val="24"/>
          <w:highlight w:val="none"/>
        </w:rPr>
      </w:pPr>
      <w:r>
        <w:rPr>
          <w:rFonts w:hint="eastAsia" w:ascii="宋体" w:hAnsi="宋体"/>
          <w:b/>
          <w:color w:val="auto"/>
          <w:sz w:val="24"/>
          <w:highlight w:val="none"/>
        </w:rPr>
        <w:br w:type="page"/>
      </w:r>
      <w:r>
        <w:rPr>
          <w:rFonts w:hint="eastAsia" w:ascii="宋体" w:hAnsi="宋体"/>
          <w:b/>
          <w:color w:val="auto"/>
          <w:sz w:val="24"/>
          <w:highlight w:val="none"/>
        </w:rPr>
        <w:t>8. 项目实施人员一览表格式</w:t>
      </w:r>
    </w:p>
    <w:p w14:paraId="18E245AE">
      <w:pPr>
        <w:snapToGrid w:val="0"/>
        <w:spacing w:before="120" w:beforeLines="50" w:after="50"/>
        <w:ind w:left="142"/>
        <w:jc w:val="left"/>
        <w:rPr>
          <w:rFonts w:hint="eastAsia" w:ascii="宋体" w:hAnsi="宋体"/>
          <w:b/>
          <w:color w:val="auto"/>
          <w:sz w:val="24"/>
          <w:highlight w:val="none"/>
        </w:rPr>
      </w:pPr>
    </w:p>
    <w:p w14:paraId="3B97F1C3">
      <w:pPr>
        <w:snapToGrid w:val="0"/>
        <w:spacing w:before="120" w:beforeLines="50" w:after="50"/>
        <w:ind w:left="142"/>
        <w:jc w:val="center"/>
        <w:rPr>
          <w:rFonts w:hint="eastAsia" w:ascii="宋体" w:hAnsi="宋体"/>
          <w:b/>
          <w:color w:val="auto"/>
          <w:sz w:val="32"/>
          <w:szCs w:val="32"/>
          <w:highlight w:val="none"/>
        </w:rPr>
      </w:pPr>
      <w:r>
        <w:rPr>
          <w:rFonts w:hint="eastAsia" w:ascii="宋体" w:hAnsi="宋体"/>
          <w:b/>
          <w:color w:val="auto"/>
          <w:sz w:val="32"/>
          <w:szCs w:val="32"/>
          <w:highlight w:val="none"/>
        </w:rPr>
        <w:t>项目实施人员一览表</w:t>
      </w:r>
    </w:p>
    <w:p w14:paraId="4F229F9A">
      <w:pPr>
        <w:pStyle w:val="24"/>
        <w:rPr>
          <w:color w:val="auto"/>
          <w:sz w:val="24"/>
          <w:szCs w:val="24"/>
          <w:highlight w:val="none"/>
        </w:rPr>
      </w:pPr>
      <w:r>
        <w:rPr>
          <w:rFonts w:hint="eastAsia"/>
          <w:color w:val="auto"/>
          <w:sz w:val="24"/>
          <w:szCs w:val="24"/>
          <w:highlight w:val="none"/>
        </w:rPr>
        <w:t>所投分标：</w:t>
      </w:r>
      <w:r>
        <w:rPr>
          <w:rFonts w:hint="eastAsia"/>
          <w:color w:val="auto"/>
          <w:sz w:val="24"/>
          <w:szCs w:val="24"/>
          <w:highlight w:val="none"/>
          <w:u w:val="single"/>
        </w:rPr>
        <w:t xml:space="preserve">     </w:t>
      </w:r>
      <w:r>
        <w:rPr>
          <w:rFonts w:hint="eastAsia"/>
          <w:color w:val="auto"/>
          <w:sz w:val="24"/>
          <w:szCs w:val="24"/>
          <w:highlight w:val="none"/>
        </w:rPr>
        <w:t>分标</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1701"/>
        <w:gridCol w:w="1420"/>
        <w:gridCol w:w="1698"/>
        <w:gridCol w:w="1843"/>
      </w:tblGrid>
      <w:tr w14:paraId="66AD1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7E51C802">
            <w:pPr>
              <w:snapToGrid w:val="0"/>
              <w:spacing w:before="50" w:after="120" w:afterLines="50"/>
              <w:jc w:val="center"/>
              <w:rPr>
                <w:rFonts w:hint="eastAsia" w:ascii="宋体" w:hAnsi="宋体"/>
                <w:color w:val="auto"/>
                <w:sz w:val="24"/>
                <w:szCs w:val="20"/>
                <w:highlight w:val="none"/>
              </w:rPr>
            </w:pPr>
            <w:r>
              <w:rPr>
                <w:rFonts w:hint="eastAsia" w:ascii="宋体" w:hAnsi="宋体"/>
                <w:color w:val="auto"/>
                <w:sz w:val="24"/>
                <w:szCs w:val="20"/>
                <w:highlight w:val="none"/>
              </w:rPr>
              <w:t>姓名</w:t>
            </w:r>
          </w:p>
        </w:tc>
        <w:tc>
          <w:tcPr>
            <w:tcW w:w="709" w:type="dxa"/>
            <w:vAlign w:val="center"/>
          </w:tcPr>
          <w:p w14:paraId="2272F89A">
            <w:pPr>
              <w:snapToGrid w:val="0"/>
              <w:spacing w:before="50" w:after="120" w:afterLines="50"/>
              <w:jc w:val="center"/>
              <w:rPr>
                <w:rFonts w:hint="eastAsia" w:ascii="宋体" w:hAnsi="宋体"/>
                <w:color w:val="auto"/>
                <w:sz w:val="24"/>
                <w:szCs w:val="20"/>
                <w:highlight w:val="none"/>
              </w:rPr>
            </w:pPr>
            <w:r>
              <w:rPr>
                <w:rFonts w:hint="eastAsia" w:ascii="宋体" w:hAnsi="宋体"/>
                <w:color w:val="auto"/>
                <w:sz w:val="24"/>
                <w:szCs w:val="20"/>
                <w:highlight w:val="none"/>
              </w:rPr>
              <w:t>职务</w:t>
            </w:r>
          </w:p>
        </w:tc>
        <w:tc>
          <w:tcPr>
            <w:tcW w:w="1701" w:type="dxa"/>
            <w:vAlign w:val="center"/>
          </w:tcPr>
          <w:p w14:paraId="2FB7F9CC">
            <w:pPr>
              <w:snapToGrid w:val="0"/>
              <w:spacing w:before="50" w:after="120" w:afterLines="50"/>
              <w:jc w:val="center"/>
              <w:rPr>
                <w:rFonts w:hint="eastAsia" w:ascii="宋体" w:hAnsi="宋体"/>
                <w:color w:val="auto"/>
                <w:sz w:val="24"/>
                <w:szCs w:val="20"/>
                <w:highlight w:val="none"/>
              </w:rPr>
            </w:pPr>
            <w:r>
              <w:rPr>
                <w:rFonts w:hint="eastAsia" w:ascii="宋体" w:hAnsi="宋体"/>
                <w:color w:val="auto"/>
                <w:sz w:val="24"/>
                <w:szCs w:val="20"/>
                <w:highlight w:val="none"/>
              </w:rPr>
              <w:t>专业技术资格（职称）或者职业资格或者执业资格证或者其他证书</w:t>
            </w:r>
          </w:p>
        </w:tc>
        <w:tc>
          <w:tcPr>
            <w:tcW w:w="1420" w:type="dxa"/>
            <w:vAlign w:val="center"/>
          </w:tcPr>
          <w:p w14:paraId="3FF6D662">
            <w:pPr>
              <w:snapToGrid w:val="0"/>
              <w:spacing w:before="50" w:after="120" w:afterLines="50"/>
              <w:jc w:val="center"/>
              <w:rPr>
                <w:rFonts w:hint="eastAsia" w:ascii="宋体" w:hAnsi="宋体"/>
                <w:color w:val="auto"/>
                <w:sz w:val="24"/>
                <w:szCs w:val="20"/>
                <w:highlight w:val="none"/>
              </w:rPr>
            </w:pPr>
            <w:r>
              <w:rPr>
                <w:rFonts w:hint="eastAsia" w:ascii="宋体" w:hAnsi="宋体"/>
                <w:color w:val="auto"/>
                <w:sz w:val="24"/>
                <w:szCs w:val="20"/>
                <w:highlight w:val="none"/>
              </w:rPr>
              <w:t>证书编号</w:t>
            </w:r>
          </w:p>
        </w:tc>
        <w:tc>
          <w:tcPr>
            <w:tcW w:w="1698" w:type="dxa"/>
            <w:vAlign w:val="center"/>
          </w:tcPr>
          <w:p w14:paraId="7B8B4E2E">
            <w:pPr>
              <w:snapToGrid w:val="0"/>
              <w:spacing w:before="50" w:after="120" w:afterLines="50"/>
              <w:jc w:val="center"/>
              <w:rPr>
                <w:rFonts w:hint="eastAsia" w:ascii="宋体" w:hAnsi="宋体"/>
                <w:color w:val="auto"/>
                <w:sz w:val="24"/>
                <w:szCs w:val="20"/>
                <w:highlight w:val="none"/>
              </w:rPr>
            </w:pPr>
            <w:r>
              <w:rPr>
                <w:rFonts w:hint="eastAsia" w:ascii="宋体" w:hAnsi="宋体"/>
                <w:color w:val="auto"/>
                <w:sz w:val="24"/>
                <w:szCs w:val="20"/>
                <w:highlight w:val="none"/>
              </w:rPr>
              <w:t>参加本单位</w:t>
            </w:r>
          </w:p>
          <w:p w14:paraId="2A434016">
            <w:pPr>
              <w:snapToGrid w:val="0"/>
              <w:spacing w:before="50" w:after="120" w:afterLines="50"/>
              <w:jc w:val="center"/>
              <w:rPr>
                <w:rFonts w:hint="eastAsia" w:ascii="宋体" w:hAnsi="宋体"/>
                <w:color w:val="auto"/>
                <w:sz w:val="24"/>
                <w:szCs w:val="20"/>
                <w:highlight w:val="none"/>
              </w:rPr>
            </w:pPr>
            <w:r>
              <w:rPr>
                <w:rFonts w:hint="eastAsia" w:ascii="宋体" w:hAnsi="宋体"/>
                <w:color w:val="auto"/>
                <w:sz w:val="24"/>
                <w:szCs w:val="20"/>
                <w:highlight w:val="none"/>
              </w:rPr>
              <w:t>工作时间</w:t>
            </w:r>
          </w:p>
        </w:tc>
        <w:tc>
          <w:tcPr>
            <w:tcW w:w="1843" w:type="dxa"/>
            <w:vAlign w:val="center"/>
          </w:tcPr>
          <w:p w14:paraId="70FE4BC1">
            <w:pPr>
              <w:snapToGrid w:val="0"/>
              <w:spacing w:before="50" w:after="120" w:afterLines="50"/>
              <w:jc w:val="center"/>
              <w:rPr>
                <w:rFonts w:hint="eastAsia" w:ascii="宋体" w:hAnsi="宋体"/>
                <w:color w:val="auto"/>
                <w:sz w:val="24"/>
                <w:szCs w:val="20"/>
                <w:highlight w:val="none"/>
              </w:rPr>
            </w:pPr>
            <w:r>
              <w:rPr>
                <w:rFonts w:hint="eastAsia" w:ascii="宋体" w:hAnsi="宋体"/>
                <w:color w:val="auto"/>
                <w:sz w:val="24"/>
                <w:szCs w:val="20"/>
                <w:highlight w:val="none"/>
              </w:rPr>
              <w:t>劳动合同编号</w:t>
            </w:r>
          </w:p>
        </w:tc>
      </w:tr>
      <w:tr w14:paraId="2DE2A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19F3D050">
            <w:pPr>
              <w:snapToGrid w:val="0"/>
              <w:spacing w:before="50" w:after="120" w:afterLines="50"/>
              <w:jc w:val="center"/>
              <w:rPr>
                <w:rFonts w:hint="eastAsia" w:ascii="宋体" w:hAnsi="宋体"/>
                <w:color w:val="auto"/>
                <w:sz w:val="24"/>
                <w:szCs w:val="20"/>
                <w:highlight w:val="none"/>
              </w:rPr>
            </w:pPr>
          </w:p>
        </w:tc>
        <w:tc>
          <w:tcPr>
            <w:tcW w:w="709" w:type="dxa"/>
            <w:vAlign w:val="center"/>
          </w:tcPr>
          <w:p w14:paraId="398B59F1">
            <w:pPr>
              <w:snapToGrid w:val="0"/>
              <w:spacing w:before="50" w:after="120" w:afterLines="50"/>
              <w:jc w:val="center"/>
              <w:rPr>
                <w:rFonts w:hint="eastAsia" w:ascii="宋体" w:hAnsi="宋体"/>
                <w:color w:val="auto"/>
                <w:sz w:val="24"/>
                <w:szCs w:val="20"/>
                <w:highlight w:val="none"/>
              </w:rPr>
            </w:pPr>
          </w:p>
        </w:tc>
        <w:tc>
          <w:tcPr>
            <w:tcW w:w="1701" w:type="dxa"/>
            <w:vAlign w:val="center"/>
          </w:tcPr>
          <w:p w14:paraId="320633F7">
            <w:pPr>
              <w:snapToGrid w:val="0"/>
              <w:spacing w:before="50" w:after="120" w:afterLines="50"/>
              <w:jc w:val="center"/>
              <w:rPr>
                <w:rFonts w:hint="eastAsia" w:ascii="宋体" w:hAnsi="宋体"/>
                <w:color w:val="auto"/>
                <w:sz w:val="24"/>
                <w:szCs w:val="20"/>
                <w:highlight w:val="none"/>
              </w:rPr>
            </w:pPr>
          </w:p>
        </w:tc>
        <w:tc>
          <w:tcPr>
            <w:tcW w:w="1420" w:type="dxa"/>
            <w:vAlign w:val="center"/>
          </w:tcPr>
          <w:p w14:paraId="33045429">
            <w:pPr>
              <w:snapToGrid w:val="0"/>
              <w:spacing w:before="50" w:after="120" w:afterLines="50"/>
              <w:jc w:val="center"/>
              <w:rPr>
                <w:rFonts w:hint="eastAsia" w:ascii="宋体" w:hAnsi="宋体"/>
                <w:color w:val="auto"/>
                <w:sz w:val="24"/>
                <w:szCs w:val="20"/>
                <w:highlight w:val="none"/>
              </w:rPr>
            </w:pPr>
          </w:p>
        </w:tc>
        <w:tc>
          <w:tcPr>
            <w:tcW w:w="1698" w:type="dxa"/>
            <w:vAlign w:val="center"/>
          </w:tcPr>
          <w:p w14:paraId="481D8308">
            <w:pPr>
              <w:snapToGrid w:val="0"/>
              <w:spacing w:before="50" w:after="120" w:afterLines="50"/>
              <w:jc w:val="center"/>
              <w:rPr>
                <w:rFonts w:hint="eastAsia" w:ascii="宋体" w:hAnsi="宋体"/>
                <w:color w:val="auto"/>
                <w:sz w:val="24"/>
                <w:szCs w:val="20"/>
                <w:highlight w:val="none"/>
              </w:rPr>
            </w:pPr>
          </w:p>
        </w:tc>
        <w:tc>
          <w:tcPr>
            <w:tcW w:w="1843" w:type="dxa"/>
            <w:vAlign w:val="center"/>
          </w:tcPr>
          <w:p w14:paraId="2F38B774">
            <w:pPr>
              <w:snapToGrid w:val="0"/>
              <w:spacing w:before="50" w:after="120" w:afterLines="50"/>
              <w:jc w:val="center"/>
              <w:rPr>
                <w:rFonts w:hint="eastAsia" w:ascii="宋体" w:hAnsi="宋体"/>
                <w:color w:val="auto"/>
                <w:sz w:val="24"/>
                <w:szCs w:val="20"/>
                <w:highlight w:val="none"/>
              </w:rPr>
            </w:pPr>
          </w:p>
        </w:tc>
      </w:tr>
      <w:tr w14:paraId="074AD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B08EA15">
            <w:pPr>
              <w:snapToGrid w:val="0"/>
              <w:spacing w:before="50" w:after="120" w:afterLines="50"/>
              <w:jc w:val="center"/>
              <w:rPr>
                <w:rFonts w:hint="eastAsia" w:ascii="宋体" w:hAnsi="宋体"/>
                <w:color w:val="auto"/>
                <w:sz w:val="24"/>
                <w:szCs w:val="20"/>
                <w:highlight w:val="none"/>
              </w:rPr>
            </w:pPr>
          </w:p>
        </w:tc>
        <w:tc>
          <w:tcPr>
            <w:tcW w:w="709" w:type="dxa"/>
            <w:vAlign w:val="center"/>
          </w:tcPr>
          <w:p w14:paraId="50090BA8">
            <w:pPr>
              <w:snapToGrid w:val="0"/>
              <w:spacing w:before="50" w:after="120" w:afterLines="50"/>
              <w:jc w:val="center"/>
              <w:rPr>
                <w:rFonts w:hint="eastAsia" w:ascii="宋体" w:hAnsi="宋体"/>
                <w:color w:val="auto"/>
                <w:sz w:val="24"/>
                <w:szCs w:val="20"/>
                <w:highlight w:val="none"/>
              </w:rPr>
            </w:pPr>
          </w:p>
        </w:tc>
        <w:tc>
          <w:tcPr>
            <w:tcW w:w="1701" w:type="dxa"/>
            <w:vAlign w:val="center"/>
          </w:tcPr>
          <w:p w14:paraId="061118C2">
            <w:pPr>
              <w:snapToGrid w:val="0"/>
              <w:spacing w:before="50" w:after="120" w:afterLines="50"/>
              <w:jc w:val="center"/>
              <w:rPr>
                <w:rFonts w:hint="eastAsia" w:ascii="宋体" w:hAnsi="宋体"/>
                <w:color w:val="auto"/>
                <w:sz w:val="24"/>
                <w:szCs w:val="20"/>
                <w:highlight w:val="none"/>
              </w:rPr>
            </w:pPr>
          </w:p>
        </w:tc>
        <w:tc>
          <w:tcPr>
            <w:tcW w:w="1420" w:type="dxa"/>
            <w:vAlign w:val="center"/>
          </w:tcPr>
          <w:p w14:paraId="58EF6D18">
            <w:pPr>
              <w:snapToGrid w:val="0"/>
              <w:spacing w:before="50" w:after="120" w:afterLines="50"/>
              <w:jc w:val="center"/>
              <w:rPr>
                <w:rFonts w:hint="eastAsia" w:ascii="宋体" w:hAnsi="宋体"/>
                <w:color w:val="auto"/>
                <w:sz w:val="24"/>
                <w:szCs w:val="20"/>
                <w:highlight w:val="none"/>
              </w:rPr>
            </w:pPr>
          </w:p>
        </w:tc>
        <w:tc>
          <w:tcPr>
            <w:tcW w:w="1698" w:type="dxa"/>
            <w:vAlign w:val="center"/>
          </w:tcPr>
          <w:p w14:paraId="74390868">
            <w:pPr>
              <w:snapToGrid w:val="0"/>
              <w:spacing w:before="50" w:after="120" w:afterLines="50"/>
              <w:jc w:val="center"/>
              <w:rPr>
                <w:rFonts w:hint="eastAsia" w:ascii="宋体" w:hAnsi="宋体"/>
                <w:color w:val="auto"/>
                <w:sz w:val="24"/>
                <w:szCs w:val="20"/>
                <w:highlight w:val="none"/>
              </w:rPr>
            </w:pPr>
          </w:p>
        </w:tc>
        <w:tc>
          <w:tcPr>
            <w:tcW w:w="1843" w:type="dxa"/>
            <w:vAlign w:val="center"/>
          </w:tcPr>
          <w:p w14:paraId="4B04840D">
            <w:pPr>
              <w:snapToGrid w:val="0"/>
              <w:spacing w:before="50" w:after="120" w:afterLines="50"/>
              <w:jc w:val="center"/>
              <w:rPr>
                <w:rFonts w:hint="eastAsia" w:ascii="宋体" w:hAnsi="宋体"/>
                <w:color w:val="auto"/>
                <w:sz w:val="24"/>
                <w:szCs w:val="20"/>
                <w:highlight w:val="none"/>
              </w:rPr>
            </w:pPr>
          </w:p>
        </w:tc>
      </w:tr>
      <w:tr w14:paraId="0B63D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5CAA04E0">
            <w:pPr>
              <w:snapToGrid w:val="0"/>
              <w:spacing w:before="50" w:after="120" w:afterLines="50"/>
              <w:jc w:val="center"/>
              <w:rPr>
                <w:rFonts w:hint="eastAsia" w:ascii="宋体" w:hAnsi="宋体"/>
                <w:color w:val="auto"/>
                <w:sz w:val="24"/>
                <w:szCs w:val="20"/>
                <w:highlight w:val="none"/>
              </w:rPr>
            </w:pPr>
          </w:p>
        </w:tc>
        <w:tc>
          <w:tcPr>
            <w:tcW w:w="709" w:type="dxa"/>
            <w:vAlign w:val="center"/>
          </w:tcPr>
          <w:p w14:paraId="0189F1F3">
            <w:pPr>
              <w:snapToGrid w:val="0"/>
              <w:spacing w:before="50" w:after="120" w:afterLines="50"/>
              <w:jc w:val="center"/>
              <w:rPr>
                <w:rFonts w:hint="eastAsia" w:ascii="宋体" w:hAnsi="宋体"/>
                <w:color w:val="auto"/>
                <w:sz w:val="24"/>
                <w:szCs w:val="20"/>
                <w:highlight w:val="none"/>
              </w:rPr>
            </w:pPr>
          </w:p>
        </w:tc>
        <w:tc>
          <w:tcPr>
            <w:tcW w:w="1701" w:type="dxa"/>
            <w:vAlign w:val="center"/>
          </w:tcPr>
          <w:p w14:paraId="2413B253">
            <w:pPr>
              <w:snapToGrid w:val="0"/>
              <w:spacing w:before="50" w:after="120" w:afterLines="50"/>
              <w:jc w:val="center"/>
              <w:rPr>
                <w:rFonts w:hint="eastAsia" w:ascii="宋体" w:hAnsi="宋体"/>
                <w:color w:val="auto"/>
                <w:sz w:val="24"/>
                <w:szCs w:val="20"/>
                <w:highlight w:val="none"/>
              </w:rPr>
            </w:pPr>
          </w:p>
        </w:tc>
        <w:tc>
          <w:tcPr>
            <w:tcW w:w="1420" w:type="dxa"/>
            <w:vAlign w:val="center"/>
          </w:tcPr>
          <w:p w14:paraId="22ACD2BA">
            <w:pPr>
              <w:snapToGrid w:val="0"/>
              <w:spacing w:before="50" w:after="120" w:afterLines="50"/>
              <w:jc w:val="center"/>
              <w:rPr>
                <w:rFonts w:hint="eastAsia" w:ascii="宋体" w:hAnsi="宋体"/>
                <w:color w:val="auto"/>
                <w:sz w:val="24"/>
                <w:szCs w:val="20"/>
                <w:highlight w:val="none"/>
              </w:rPr>
            </w:pPr>
          </w:p>
        </w:tc>
        <w:tc>
          <w:tcPr>
            <w:tcW w:w="1698" w:type="dxa"/>
            <w:vAlign w:val="center"/>
          </w:tcPr>
          <w:p w14:paraId="5B1CEDDE">
            <w:pPr>
              <w:snapToGrid w:val="0"/>
              <w:spacing w:before="50" w:after="120" w:afterLines="50"/>
              <w:jc w:val="center"/>
              <w:rPr>
                <w:rFonts w:hint="eastAsia" w:ascii="宋体" w:hAnsi="宋体"/>
                <w:color w:val="auto"/>
                <w:sz w:val="24"/>
                <w:szCs w:val="20"/>
                <w:highlight w:val="none"/>
              </w:rPr>
            </w:pPr>
          </w:p>
        </w:tc>
        <w:tc>
          <w:tcPr>
            <w:tcW w:w="1843" w:type="dxa"/>
            <w:vAlign w:val="center"/>
          </w:tcPr>
          <w:p w14:paraId="7FDE39FE">
            <w:pPr>
              <w:snapToGrid w:val="0"/>
              <w:spacing w:before="50" w:after="120" w:afterLines="50"/>
              <w:jc w:val="center"/>
              <w:rPr>
                <w:rFonts w:hint="eastAsia" w:ascii="宋体" w:hAnsi="宋体"/>
                <w:color w:val="auto"/>
                <w:sz w:val="24"/>
                <w:szCs w:val="20"/>
                <w:highlight w:val="none"/>
              </w:rPr>
            </w:pPr>
          </w:p>
        </w:tc>
      </w:tr>
    </w:tbl>
    <w:p w14:paraId="0FC0B272">
      <w:pPr>
        <w:snapToGrid w:val="0"/>
        <w:spacing w:before="50" w:after="120" w:afterLines="50"/>
        <w:jc w:val="left"/>
        <w:rPr>
          <w:rFonts w:hint="eastAsia" w:ascii="宋体" w:hAnsi="宋体"/>
          <w:color w:val="auto"/>
          <w:sz w:val="24"/>
          <w:szCs w:val="20"/>
          <w:highlight w:val="none"/>
        </w:rPr>
      </w:pPr>
    </w:p>
    <w:p w14:paraId="6E8A6C85">
      <w:pPr>
        <w:spacing w:line="360" w:lineRule="auto"/>
        <w:contextualSpacing/>
        <w:jc w:val="left"/>
        <w:rPr>
          <w:rFonts w:hint="eastAsia" w:ascii="宋体" w:hAnsi="宋体"/>
          <w:color w:val="auto"/>
          <w:sz w:val="24"/>
          <w:szCs w:val="20"/>
          <w:highlight w:val="none"/>
        </w:rPr>
      </w:pPr>
      <w:r>
        <w:rPr>
          <w:rFonts w:hint="eastAsia" w:ascii="宋体" w:hAnsi="宋体"/>
          <w:color w:val="auto"/>
          <w:sz w:val="24"/>
          <w:szCs w:val="20"/>
          <w:highlight w:val="none"/>
        </w:rPr>
        <w:t>注：</w:t>
      </w:r>
    </w:p>
    <w:p w14:paraId="4F72117E">
      <w:pPr>
        <w:spacing w:line="360" w:lineRule="auto"/>
        <w:contextualSpacing/>
        <w:jc w:val="left"/>
        <w:rPr>
          <w:rFonts w:hint="eastAsia" w:ascii="宋体" w:hAnsi="宋体"/>
          <w:color w:val="auto"/>
          <w:sz w:val="24"/>
          <w:szCs w:val="20"/>
          <w:highlight w:val="none"/>
        </w:rPr>
      </w:pPr>
      <w:r>
        <w:rPr>
          <w:rFonts w:hint="eastAsia" w:ascii="宋体" w:hAnsi="宋体"/>
          <w:color w:val="auto"/>
          <w:sz w:val="24"/>
          <w:szCs w:val="20"/>
          <w:highlight w:val="none"/>
        </w:rPr>
        <w:t>1.在填写时，如本表格不适合投标单位的实际情况，可根据本表格式自行制表填写。</w:t>
      </w:r>
    </w:p>
    <w:p w14:paraId="6615ED42">
      <w:pPr>
        <w:spacing w:line="360" w:lineRule="auto"/>
        <w:contextualSpacing/>
        <w:jc w:val="left"/>
        <w:rPr>
          <w:rFonts w:hint="eastAsia" w:ascii="宋体" w:hAnsi="宋体"/>
          <w:color w:val="auto"/>
          <w:sz w:val="24"/>
          <w:szCs w:val="20"/>
          <w:highlight w:val="none"/>
        </w:rPr>
      </w:pPr>
      <w:r>
        <w:rPr>
          <w:rFonts w:hint="eastAsia" w:ascii="宋体" w:hAnsi="宋体"/>
          <w:color w:val="auto"/>
          <w:sz w:val="24"/>
          <w:szCs w:val="20"/>
          <w:highlight w:val="none"/>
        </w:rPr>
        <w:t>2.投标人应当按采购需求要求</w:t>
      </w:r>
      <w:r>
        <w:rPr>
          <w:rFonts w:hint="eastAsia" w:ascii="宋体" w:hAnsi="宋体"/>
          <w:color w:val="auto"/>
          <w:sz w:val="24"/>
          <w:szCs w:val="20"/>
          <w:highlight w:val="none"/>
          <w:lang w:eastAsia="zh-CN"/>
        </w:rPr>
        <w:t>和评分标准</w:t>
      </w:r>
      <w:r>
        <w:rPr>
          <w:rFonts w:hint="eastAsia" w:ascii="宋体" w:hAnsi="宋体"/>
          <w:color w:val="auto"/>
          <w:sz w:val="24"/>
          <w:szCs w:val="20"/>
          <w:highlight w:val="none"/>
        </w:rPr>
        <w:t>附</w:t>
      </w:r>
      <w:r>
        <w:rPr>
          <w:rFonts w:hint="eastAsia" w:ascii="宋体" w:hAnsi="宋体"/>
          <w:color w:val="auto"/>
          <w:sz w:val="24"/>
          <w:szCs w:val="20"/>
          <w:highlight w:val="none"/>
          <w:lang w:eastAsia="zh-CN"/>
        </w:rPr>
        <w:t>上相关</w:t>
      </w:r>
      <w:r>
        <w:rPr>
          <w:rFonts w:hint="eastAsia" w:ascii="宋体" w:hAnsi="宋体"/>
          <w:color w:val="auto"/>
          <w:sz w:val="24"/>
          <w:szCs w:val="20"/>
          <w:highlight w:val="none"/>
        </w:rPr>
        <w:t>证书</w:t>
      </w:r>
      <w:r>
        <w:rPr>
          <w:rFonts w:hint="eastAsia" w:ascii="宋体" w:hAnsi="宋体"/>
          <w:color w:val="auto"/>
          <w:sz w:val="24"/>
          <w:szCs w:val="20"/>
          <w:highlight w:val="none"/>
          <w:lang w:eastAsia="zh-CN"/>
        </w:rPr>
        <w:t>（如有）</w:t>
      </w:r>
      <w:r>
        <w:rPr>
          <w:rFonts w:hint="eastAsia" w:ascii="宋体" w:hAnsi="宋体"/>
          <w:color w:val="auto"/>
          <w:sz w:val="24"/>
          <w:szCs w:val="20"/>
          <w:highlight w:val="none"/>
        </w:rPr>
        <w:t>的复印件</w:t>
      </w:r>
      <w:r>
        <w:rPr>
          <w:rFonts w:hint="eastAsia" w:ascii="宋体" w:hAnsi="宋体"/>
          <w:color w:val="auto"/>
          <w:sz w:val="24"/>
          <w:szCs w:val="20"/>
          <w:highlight w:val="none"/>
          <w:lang w:eastAsia="zh-CN"/>
        </w:rPr>
        <w:t>和相关证明材料</w:t>
      </w:r>
      <w:r>
        <w:rPr>
          <w:rFonts w:hint="eastAsia" w:ascii="宋体" w:hAnsi="宋体"/>
          <w:color w:val="auto"/>
          <w:sz w:val="24"/>
          <w:szCs w:val="20"/>
          <w:highlight w:val="none"/>
        </w:rPr>
        <w:t>并加盖投标人电子签章。</w:t>
      </w:r>
    </w:p>
    <w:p w14:paraId="723BD8B0">
      <w:pPr>
        <w:spacing w:line="360" w:lineRule="auto"/>
        <w:contextualSpacing/>
        <w:jc w:val="left"/>
        <w:rPr>
          <w:rFonts w:hint="eastAsia" w:ascii="宋体" w:hAnsi="宋体"/>
          <w:color w:val="auto"/>
          <w:sz w:val="24"/>
          <w:szCs w:val="20"/>
          <w:highlight w:val="none"/>
        </w:rPr>
      </w:pPr>
    </w:p>
    <w:p w14:paraId="7CF4BE5C">
      <w:pPr>
        <w:spacing w:line="360" w:lineRule="auto"/>
        <w:contextualSpacing/>
        <w:rPr>
          <w:rFonts w:hint="eastAsia" w:ascii="宋体" w:hAnsi="宋体"/>
          <w:color w:val="auto"/>
          <w:spacing w:val="20"/>
          <w:sz w:val="24"/>
          <w:szCs w:val="20"/>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（签字或者电子签名）：</w:t>
      </w:r>
      <w:r>
        <w:rPr>
          <w:rFonts w:hint="eastAsia" w:ascii="宋体" w:hAnsi="宋体"/>
          <w:color w:val="auto"/>
          <w:spacing w:val="20"/>
          <w:sz w:val="24"/>
          <w:highlight w:val="none"/>
          <w:u w:val="single"/>
        </w:rPr>
        <w:t xml:space="preserve">        </w:t>
      </w:r>
    </w:p>
    <w:p w14:paraId="5437DB50">
      <w:pPr>
        <w:spacing w:line="360" w:lineRule="auto"/>
        <w:contextualSpacing/>
        <w:jc w:val="left"/>
        <w:rPr>
          <w:rFonts w:hint="eastAsia" w:ascii="宋体" w:hAnsi="宋体"/>
          <w:color w:val="auto"/>
          <w:spacing w:val="20"/>
          <w:sz w:val="24"/>
          <w:highlight w:val="none"/>
        </w:rPr>
      </w:pPr>
      <w:r>
        <w:rPr>
          <w:rFonts w:hint="eastAsia" w:ascii="宋体" w:hAnsi="宋体"/>
          <w:color w:val="auto"/>
          <w:spacing w:val="20"/>
          <w:sz w:val="24"/>
          <w:highlight w:val="none"/>
        </w:rPr>
        <w:t>投标人名称（电子签章）：</w:t>
      </w:r>
      <w:r>
        <w:rPr>
          <w:rFonts w:hint="eastAsia" w:ascii="宋体" w:hAnsi="宋体"/>
          <w:color w:val="auto"/>
          <w:spacing w:val="20"/>
          <w:sz w:val="24"/>
          <w:highlight w:val="none"/>
          <w:u w:val="single"/>
        </w:rPr>
        <w:t xml:space="preserve">            </w:t>
      </w:r>
      <w:r>
        <w:rPr>
          <w:rFonts w:hint="eastAsia" w:ascii="宋体" w:hAnsi="宋体"/>
          <w:color w:val="auto"/>
          <w:spacing w:val="20"/>
          <w:sz w:val="24"/>
          <w:highlight w:val="none"/>
        </w:rPr>
        <w:t xml:space="preserve">              </w:t>
      </w:r>
    </w:p>
    <w:p w14:paraId="7DE56AB2">
      <w:pPr>
        <w:spacing w:line="360" w:lineRule="auto"/>
        <w:contextualSpacing/>
        <w:jc w:val="left"/>
        <w:rPr>
          <w:rFonts w:hint="eastAsia" w:ascii="宋体" w:hAnsi="宋体"/>
          <w:color w:val="auto"/>
          <w:sz w:val="24"/>
          <w:szCs w:val="20"/>
          <w:highlight w:val="none"/>
        </w:rPr>
      </w:pPr>
      <w:r>
        <w:rPr>
          <w:rFonts w:hint="eastAsia" w:ascii="宋体" w:hAnsi="宋体"/>
          <w:color w:val="auto"/>
          <w:spacing w:val="20"/>
          <w:sz w:val="24"/>
          <w:highlight w:val="none"/>
        </w:rPr>
        <w:t>日 期：</w:t>
      </w:r>
      <w:r>
        <w:rPr>
          <w:rFonts w:hint="eastAsia" w:ascii="宋体" w:hAnsi="宋体"/>
          <w:color w:val="auto"/>
          <w:spacing w:val="20"/>
          <w:sz w:val="24"/>
          <w:highlight w:val="none"/>
          <w:u w:val="single"/>
        </w:rPr>
        <w:t xml:space="preserve">         </w:t>
      </w:r>
    </w:p>
    <w:p w14:paraId="653B1850">
      <w:pPr>
        <w:spacing w:line="360" w:lineRule="auto"/>
        <w:contextualSpacing/>
        <w:jc w:val="left"/>
        <w:rPr>
          <w:rFonts w:hint="eastAsia" w:ascii="宋体" w:hAnsi="宋体"/>
          <w:color w:val="auto"/>
          <w:sz w:val="24"/>
          <w:szCs w:val="20"/>
          <w:highlight w:val="none"/>
        </w:rPr>
      </w:pPr>
    </w:p>
    <w:p w14:paraId="27209366">
      <w:pPr>
        <w:snapToGrid w:val="0"/>
        <w:spacing w:before="50" w:after="120" w:afterLines="50"/>
        <w:jc w:val="left"/>
        <w:rPr>
          <w:rFonts w:hint="eastAsia" w:ascii="宋体" w:hAnsi="宋体"/>
          <w:color w:val="auto"/>
          <w:sz w:val="24"/>
          <w:szCs w:val="20"/>
          <w:highlight w:val="none"/>
        </w:rPr>
      </w:pPr>
    </w:p>
    <w:p w14:paraId="27C37DD5">
      <w:pPr>
        <w:rPr>
          <w:rFonts w:hint="eastAsia" w:ascii="宋体" w:hAnsi="宋体"/>
          <w:b/>
          <w:color w:val="auto"/>
          <w:sz w:val="24"/>
          <w:highlight w:val="none"/>
        </w:rPr>
      </w:pPr>
      <w:r>
        <w:rPr>
          <w:rFonts w:hint="eastAsia" w:ascii="宋体" w:hAnsi="宋体"/>
          <w:b/>
          <w:color w:val="auto"/>
          <w:sz w:val="24"/>
          <w:highlight w:val="none"/>
        </w:rPr>
        <w:br w:type="page"/>
      </w:r>
    </w:p>
    <w:p w14:paraId="11BF1CB0">
      <w:pPr>
        <w:outlineLvl w:val="2"/>
        <w:rPr>
          <w:rFonts w:hint="eastAsia" w:ascii="宋体" w:hAnsi="宋体"/>
          <w:b/>
          <w:color w:val="auto"/>
          <w:sz w:val="24"/>
          <w:highlight w:val="none"/>
        </w:rPr>
      </w:pPr>
      <w:r>
        <w:rPr>
          <w:rFonts w:hint="eastAsia" w:ascii="宋体" w:hAnsi="宋体"/>
          <w:b/>
          <w:color w:val="auto"/>
          <w:sz w:val="24"/>
          <w:highlight w:val="none"/>
        </w:rPr>
        <w:t>9.试验检测设备一览表</w:t>
      </w:r>
    </w:p>
    <w:tbl>
      <w:tblPr>
        <w:tblStyle w:val="47"/>
        <w:tblW w:w="8288" w:type="dxa"/>
        <w:tblInd w:w="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8"/>
        <w:gridCol w:w="2280"/>
        <w:gridCol w:w="1905"/>
        <w:gridCol w:w="1042"/>
        <w:gridCol w:w="982"/>
        <w:gridCol w:w="1331"/>
      </w:tblGrid>
      <w:tr w14:paraId="3D75D0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2" w:hRule="atLeast"/>
        </w:trPr>
        <w:tc>
          <w:tcPr>
            <w:tcW w:w="748" w:type="dxa"/>
            <w:vAlign w:val="center"/>
          </w:tcPr>
          <w:p w14:paraId="2F7B54A5">
            <w:pPr>
              <w:pStyle w:val="102"/>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序号</w:t>
            </w:r>
          </w:p>
        </w:tc>
        <w:tc>
          <w:tcPr>
            <w:tcW w:w="2280" w:type="dxa"/>
            <w:vAlign w:val="center"/>
          </w:tcPr>
          <w:p w14:paraId="2420B7CC">
            <w:pPr>
              <w:pStyle w:val="102"/>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仪器及设备名称</w:t>
            </w:r>
          </w:p>
        </w:tc>
        <w:tc>
          <w:tcPr>
            <w:tcW w:w="1905" w:type="dxa"/>
            <w:vAlign w:val="center"/>
          </w:tcPr>
          <w:p w14:paraId="4D9D8325">
            <w:pPr>
              <w:pStyle w:val="102"/>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规格或要求</w:t>
            </w:r>
          </w:p>
        </w:tc>
        <w:tc>
          <w:tcPr>
            <w:tcW w:w="1042" w:type="dxa"/>
            <w:vAlign w:val="center"/>
          </w:tcPr>
          <w:p w14:paraId="7CCAE09B">
            <w:pPr>
              <w:pStyle w:val="102"/>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单位</w:t>
            </w:r>
          </w:p>
        </w:tc>
        <w:tc>
          <w:tcPr>
            <w:tcW w:w="982" w:type="dxa"/>
            <w:vAlign w:val="center"/>
          </w:tcPr>
          <w:p w14:paraId="69737628">
            <w:pPr>
              <w:pStyle w:val="102"/>
              <w:jc w:val="center"/>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rPr>
              <w:t>数量</w:t>
            </w:r>
          </w:p>
        </w:tc>
        <w:tc>
          <w:tcPr>
            <w:tcW w:w="1331" w:type="dxa"/>
            <w:vAlign w:val="center"/>
          </w:tcPr>
          <w:p w14:paraId="46DD120C">
            <w:pPr>
              <w:pStyle w:val="102"/>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备注</w:t>
            </w:r>
          </w:p>
        </w:tc>
      </w:tr>
      <w:tr w14:paraId="58BD58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748" w:type="dxa"/>
            <w:vAlign w:val="center"/>
          </w:tcPr>
          <w:p w14:paraId="6B146C7E">
            <w:pPr>
              <w:pStyle w:val="102"/>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w:t>
            </w:r>
          </w:p>
        </w:tc>
        <w:tc>
          <w:tcPr>
            <w:tcW w:w="2280" w:type="dxa"/>
            <w:vAlign w:val="center"/>
          </w:tcPr>
          <w:p w14:paraId="606C0CC4">
            <w:pPr>
              <w:pStyle w:val="102"/>
              <w:jc w:val="center"/>
              <w:rPr>
                <w:rFonts w:hint="eastAsia" w:ascii="宋体" w:hAnsi="宋体" w:cs="宋体"/>
                <w:color w:val="auto"/>
                <w:sz w:val="21"/>
                <w:szCs w:val="21"/>
                <w:highlight w:val="none"/>
              </w:rPr>
            </w:pPr>
            <w:r>
              <w:rPr>
                <w:rFonts w:hint="eastAsia" w:ascii="微软雅黑" w:hAnsi="微软雅黑" w:eastAsia="微软雅黑" w:cs="微软雅黑"/>
                <w:color w:val="auto"/>
                <w:sz w:val="21"/>
                <w:szCs w:val="21"/>
                <w:highlight w:val="none"/>
                <w:lang w:eastAsia="zh-CN"/>
              </w:rPr>
              <w:t>★</w:t>
            </w:r>
            <w:r>
              <w:rPr>
                <w:rFonts w:hint="eastAsia" w:ascii="宋体" w:hAnsi="宋体" w:cs="宋体"/>
                <w:color w:val="auto"/>
                <w:sz w:val="21"/>
                <w:szCs w:val="21"/>
                <w:highlight w:val="none"/>
              </w:rPr>
              <w:t>桥梁检查车</w:t>
            </w:r>
          </w:p>
        </w:tc>
        <w:tc>
          <w:tcPr>
            <w:tcW w:w="1905" w:type="dxa"/>
            <w:vAlign w:val="center"/>
          </w:tcPr>
          <w:p w14:paraId="41660AE8">
            <w:pPr>
              <w:pStyle w:val="102"/>
              <w:jc w:val="center"/>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rPr>
              <w:t>自有或</w:t>
            </w:r>
            <w:r>
              <w:rPr>
                <w:rFonts w:hint="eastAsia" w:ascii="宋体" w:hAnsi="宋体" w:cs="宋体"/>
                <w:color w:val="auto"/>
                <w:sz w:val="21"/>
                <w:szCs w:val="21"/>
                <w:highlight w:val="none"/>
                <w:lang w:eastAsia="zh-CN"/>
              </w:rPr>
              <w:t>租赁</w:t>
            </w:r>
          </w:p>
        </w:tc>
        <w:tc>
          <w:tcPr>
            <w:tcW w:w="1042" w:type="dxa"/>
            <w:vAlign w:val="center"/>
          </w:tcPr>
          <w:p w14:paraId="3413AB36">
            <w:pPr>
              <w:pStyle w:val="102"/>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辆</w:t>
            </w:r>
          </w:p>
        </w:tc>
        <w:tc>
          <w:tcPr>
            <w:tcW w:w="982" w:type="dxa"/>
            <w:vAlign w:val="center"/>
          </w:tcPr>
          <w:p w14:paraId="0E45244D">
            <w:pPr>
              <w:pStyle w:val="102"/>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w:t>
            </w:r>
          </w:p>
        </w:tc>
        <w:tc>
          <w:tcPr>
            <w:tcW w:w="1331" w:type="dxa"/>
            <w:vAlign w:val="center"/>
          </w:tcPr>
          <w:p w14:paraId="4CB4A1BE">
            <w:pPr>
              <w:pStyle w:val="102"/>
              <w:jc w:val="center"/>
              <w:rPr>
                <w:rFonts w:hint="eastAsia" w:ascii="宋体" w:hAnsi="宋体" w:cs="宋体"/>
                <w:color w:val="auto"/>
                <w:sz w:val="21"/>
                <w:szCs w:val="21"/>
                <w:highlight w:val="none"/>
              </w:rPr>
            </w:pPr>
          </w:p>
        </w:tc>
      </w:tr>
      <w:tr w14:paraId="6E7175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748" w:type="dxa"/>
            <w:vAlign w:val="center"/>
          </w:tcPr>
          <w:p w14:paraId="18C3B6D5">
            <w:pPr>
              <w:pStyle w:val="102"/>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2</w:t>
            </w:r>
          </w:p>
        </w:tc>
        <w:tc>
          <w:tcPr>
            <w:tcW w:w="2280" w:type="dxa"/>
            <w:shd w:val="clear" w:color="auto" w:fill="auto"/>
            <w:vAlign w:val="center"/>
          </w:tcPr>
          <w:p w14:paraId="215E2855">
            <w:pPr>
              <w:pStyle w:val="102"/>
              <w:jc w:val="center"/>
              <w:rPr>
                <w:rFonts w:hint="eastAsia" w:ascii="宋体" w:hAnsi="宋体" w:eastAsia="宋体" w:cs="宋体"/>
                <w:color w:val="auto"/>
                <w:kern w:val="0"/>
                <w:sz w:val="21"/>
                <w:szCs w:val="21"/>
                <w:highlight w:val="none"/>
                <w:lang w:val="en-US" w:eastAsia="en-US" w:bidi="ar-SA"/>
              </w:rPr>
            </w:pPr>
            <w:r>
              <w:rPr>
                <w:rFonts w:hint="eastAsia" w:ascii="宋体" w:hAnsi="宋体" w:cs="宋体"/>
                <w:color w:val="auto"/>
                <w:sz w:val="21"/>
                <w:szCs w:val="21"/>
                <w:highlight w:val="none"/>
              </w:rPr>
              <w:t>裂缝综合测试仪</w:t>
            </w:r>
          </w:p>
        </w:tc>
        <w:tc>
          <w:tcPr>
            <w:tcW w:w="1905" w:type="dxa"/>
            <w:shd w:val="clear" w:color="auto" w:fill="auto"/>
            <w:vAlign w:val="center"/>
          </w:tcPr>
          <w:p w14:paraId="3A0ECBC3">
            <w:pPr>
              <w:pStyle w:val="102"/>
              <w:jc w:val="center"/>
              <w:rPr>
                <w:rFonts w:hint="eastAsia" w:ascii="宋体" w:hAnsi="宋体" w:eastAsia="宋体" w:cs="宋体"/>
                <w:color w:val="auto"/>
                <w:kern w:val="0"/>
                <w:sz w:val="21"/>
                <w:szCs w:val="21"/>
                <w:highlight w:val="none"/>
                <w:lang w:val="en-US" w:eastAsia="en-US" w:bidi="ar-SA"/>
              </w:rPr>
            </w:pPr>
            <w:r>
              <w:rPr>
                <w:rFonts w:hint="eastAsia" w:ascii="宋体" w:hAnsi="宋体" w:cs="宋体"/>
                <w:color w:val="auto"/>
                <w:sz w:val="21"/>
                <w:szCs w:val="21"/>
                <w:highlight w:val="none"/>
              </w:rPr>
              <w:t>自有或</w:t>
            </w:r>
            <w:r>
              <w:rPr>
                <w:rFonts w:hint="eastAsia" w:ascii="宋体" w:hAnsi="宋体" w:cs="宋体"/>
                <w:color w:val="auto"/>
                <w:sz w:val="21"/>
                <w:szCs w:val="21"/>
                <w:highlight w:val="none"/>
                <w:lang w:eastAsia="zh-CN"/>
              </w:rPr>
              <w:t>租赁</w:t>
            </w:r>
          </w:p>
        </w:tc>
        <w:tc>
          <w:tcPr>
            <w:tcW w:w="1042" w:type="dxa"/>
            <w:shd w:val="clear" w:color="auto" w:fill="auto"/>
            <w:vAlign w:val="center"/>
          </w:tcPr>
          <w:p w14:paraId="3DF36769">
            <w:pPr>
              <w:pStyle w:val="102"/>
              <w:jc w:val="center"/>
              <w:rPr>
                <w:rFonts w:hint="eastAsia" w:ascii="宋体" w:hAnsi="宋体" w:eastAsia="宋体" w:cs="宋体"/>
                <w:color w:val="auto"/>
                <w:kern w:val="0"/>
                <w:sz w:val="21"/>
                <w:szCs w:val="21"/>
                <w:highlight w:val="none"/>
                <w:lang w:val="en-US" w:eastAsia="en-US" w:bidi="ar-SA"/>
              </w:rPr>
            </w:pPr>
            <w:r>
              <w:rPr>
                <w:rFonts w:hint="eastAsia" w:ascii="宋体" w:hAnsi="宋体" w:cs="宋体"/>
                <w:color w:val="auto"/>
                <w:sz w:val="21"/>
                <w:szCs w:val="21"/>
                <w:highlight w:val="none"/>
              </w:rPr>
              <w:t>台</w:t>
            </w:r>
          </w:p>
        </w:tc>
        <w:tc>
          <w:tcPr>
            <w:tcW w:w="982" w:type="dxa"/>
            <w:vAlign w:val="center"/>
          </w:tcPr>
          <w:p w14:paraId="48447127">
            <w:pPr>
              <w:pStyle w:val="102"/>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p>
        </w:tc>
        <w:tc>
          <w:tcPr>
            <w:tcW w:w="1331" w:type="dxa"/>
            <w:vAlign w:val="center"/>
          </w:tcPr>
          <w:p w14:paraId="30C60DF4">
            <w:pPr>
              <w:pStyle w:val="102"/>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或能满足测宽、测深项目的其它仪器</w:t>
            </w:r>
          </w:p>
        </w:tc>
      </w:tr>
      <w:tr w14:paraId="588914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748" w:type="dxa"/>
            <w:vAlign w:val="center"/>
          </w:tcPr>
          <w:p w14:paraId="7C477D85">
            <w:pPr>
              <w:pStyle w:val="102"/>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3</w:t>
            </w:r>
          </w:p>
        </w:tc>
        <w:tc>
          <w:tcPr>
            <w:tcW w:w="2280" w:type="dxa"/>
            <w:vAlign w:val="center"/>
          </w:tcPr>
          <w:p w14:paraId="03C83FB6">
            <w:pPr>
              <w:pStyle w:val="102"/>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数码相机</w:t>
            </w:r>
          </w:p>
        </w:tc>
        <w:tc>
          <w:tcPr>
            <w:tcW w:w="1905" w:type="dxa"/>
            <w:vAlign w:val="center"/>
          </w:tcPr>
          <w:p w14:paraId="40B3832D">
            <w:pPr>
              <w:pStyle w:val="102"/>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自有或</w:t>
            </w:r>
            <w:r>
              <w:rPr>
                <w:rFonts w:hint="eastAsia" w:ascii="宋体" w:hAnsi="宋体" w:cs="宋体"/>
                <w:color w:val="auto"/>
                <w:sz w:val="21"/>
                <w:szCs w:val="21"/>
                <w:highlight w:val="none"/>
                <w:lang w:eastAsia="zh-CN"/>
              </w:rPr>
              <w:t>租赁</w:t>
            </w:r>
          </w:p>
        </w:tc>
        <w:tc>
          <w:tcPr>
            <w:tcW w:w="1042" w:type="dxa"/>
            <w:vAlign w:val="center"/>
          </w:tcPr>
          <w:p w14:paraId="224806A3">
            <w:pPr>
              <w:pStyle w:val="102"/>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套</w:t>
            </w:r>
          </w:p>
        </w:tc>
        <w:tc>
          <w:tcPr>
            <w:tcW w:w="982" w:type="dxa"/>
            <w:vAlign w:val="center"/>
          </w:tcPr>
          <w:p w14:paraId="0A47C313">
            <w:pPr>
              <w:pStyle w:val="102"/>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w:t>
            </w:r>
          </w:p>
        </w:tc>
        <w:tc>
          <w:tcPr>
            <w:tcW w:w="1331" w:type="dxa"/>
            <w:vAlign w:val="center"/>
          </w:tcPr>
          <w:p w14:paraId="6FD1CEC4">
            <w:pPr>
              <w:pStyle w:val="102"/>
              <w:jc w:val="center"/>
              <w:rPr>
                <w:rFonts w:hint="eastAsia" w:ascii="宋体" w:hAnsi="宋体" w:cs="宋体"/>
                <w:color w:val="auto"/>
                <w:sz w:val="21"/>
                <w:szCs w:val="21"/>
                <w:highlight w:val="none"/>
              </w:rPr>
            </w:pPr>
          </w:p>
        </w:tc>
      </w:tr>
      <w:tr w14:paraId="226FF8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748" w:type="dxa"/>
            <w:vAlign w:val="center"/>
          </w:tcPr>
          <w:p w14:paraId="4C702781">
            <w:pPr>
              <w:pStyle w:val="102"/>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4</w:t>
            </w:r>
          </w:p>
        </w:tc>
        <w:tc>
          <w:tcPr>
            <w:tcW w:w="2280" w:type="dxa"/>
            <w:vAlign w:val="center"/>
          </w:tcPr>
          <w:p w14:paraId="4D9742B2">
            <w:pPr>
              <w:pStyle w:val="102"/>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手持式激光测距仪</w:t>
            </w:r>
          </w:p>
        </w:tc>
        <w:tc>
          <w:tcPr>
            <w:tcW w:w="1905" w:type="dxa"/>
            <w:vAlign w:val="center"/>
          </w:tcPr>
          <w:p w14:paraId="5063FEB6">
            <w:pPr>
              <w:pStyle w:val="102"/>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自有或</w:t>
            </w:r>
            <w:r>
              <w:rPr>
                <w:rFonts w:hint="eastAsia" w:ascii="宋体" w:hAnsi="宋体" w:cs="宋体"/>
                <w:color w:val="auto"/>
                <w:sz w:val="21"/>
                <w:szCs w:val="21"/>
                <w:highlight w:val="none"/>
                <w:lang w:eastAsia="zh-CN"/>
              </w:rPr>
              <w:t>租赁</w:t>
            </w:r>
          </w:p>
        </w:tc>
        <w:tc>
          <w:tcPr>
            <w:tcW w:w="1042" w:type="dxa"/>
            <w:vAlign w:val="center"/>
          </w:tcPr>
          <w:p w14:paraId="2BA8A9ED">
            <w:pPr>
              <w:pStyle w:val="102"/>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台</w:t>
            </w:r>
          </w:p>
        </w:tc>
        <w:tc>
          <w:tcPr>
            <w:tcW w:w="982" w:type="dxa"/>
            <w:vAlign w:val="center"/>
          </w:tcPr>
          <w:p w14:paraId="48A91410">
            <w:pPr>
              <w:pStyle w:val="102"/>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w:t>
            </w:r>
          </w:p>
        </w:tc>
        <w:tc>
          <w:tcPr>
            <w:tcW w:w="1331" w:type="dxa"/>
            <w:vAlign w:val="center"/>
          </w:tcPr>
          <w:p w14:paraId="39525CCD">
            <w:pPr>
              <w:pStyle w:val="102"/>
              <w:jc w:val="center"/>
              <w:rPr>
                <w:rFonts w:hint="eastAsia" w:ascii="宋体" w:hAnsi="宋体" w:cs="宋体"/>
                <w:color w:val="auto"/>
                <w:sz w:val="21"/>
                <w:szCs w:val="21"/>
                <w:highlight w:val="none"/>
              </w:rPr>
            </w:pPr>
          </w:p>
        </w:tc>
      </w:tr>
      <w:tr w14:paraId="17B3E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748" w:type="dxa"/>
            <w:vAlign w:val="center"/>
          </w:tcPr>
          <w:p w14:paraId="6CE86A03">
            <w:pPr>
              <w:pStyle w:val="102"/>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5</w:t>
            </w:r>
          </w:p>
        </w:tc>
        <w:tc>
          <w:tcPr>
            <w:tcW w:w="2280" w:type="dxa"/>
            <w:vAlign w:val="center"/>
          </w:tcPr>
          <w:p w14:paraId="429A92B5">
            <w:pPr>
              <w:pStyle w:val="102"/>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全站仪</w:t>
            </w:r>
          </w:p>
        </w:tc>
        <w:tc>
          <w:tcPr>
            <w:tcW w:w="1905" w:type="dxa"/>
            <w:vAlign w:val="center"/>
          </w:tcPr>
          <w:p w14:paraId="7D98EA45">
            <w:pPr>
              <w:pStyle w:val="102"/>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自有或</w:t>
            </w:r>
            <w:r>
              <w:rPr>
                <w:rFonts w:hint="eastAsia" w:ascii="宋体" w:hAnsi="宋体" w:cs="宋体"/>
                <w:color w:val="auto"/>
                <w:sz w:val="21"/>
                <w:szCs w:val="21"/>
                <w:highlight w:val="none"/>
                <w:lang w:eastAsia="zh-CN"/>
              </w:rPr>
              <w:t>租赁</w:t>
            </w:r>
          </w:p>
        </w:tc>
        <w:tc>
          <w:tcPr>
            <w:tcW w:w="1042" w:type="dxa"/>
            <w:vAlign w:val="center"/>
          </w:tcPr>
          <w:p w14:paraId="31584020">
            <w:pPr>
              <w:pStyle w:val="102"/>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台</w:t>
            </w:r>
          </w:p>
        </w:tc>
        <w:tc>
          <w:tcPr>
            <w:tcW w:w="982" w:type="dxa"/>
            <w:vAlign w:val="center"/>
          </w:tcPr>
          <w:p w14:paraId="320F47D8">
            <w:pPr>
              <w:pStyle w:val="102"/>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w:t>
            </w:r>
          </w:p>
        </w:tc>
        <w:tc>
          <w:tcPr>
            <w:tcW w:w="1331" w:type="dxa"/>
            <w:vAlign w:val="center"/>
          </w:tcPr>
          <w:p w14:paraId="2EC28923">
            <w:pPr>
              <w:pStyle w:val="102"/>
              <w:jc w:val="center"/>
              <w:rPr>
                <w:rFonts w:hint="eastAsia" w:ascii="宋体" w:hAnsi="宋体" w:cs="宋体"/>
                <w:color w:val="auto"/>
                <w:sz w:val="21"/>
                <w:szCs w:val="21"/>
                <w:highlight w:val="none"/>
              </w:rPr>
            </w:pPr>
          </w:p>
        </w:tc>
      </w:tr>
      <w:tr w14:paraId="05984E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748" w:type="dxa"/>
            <w:vAlign w:val="center"/>
          </w:tcPr>
          <w:p w14:paraId="6025BF9B">
            <w:pPr>
              <w:pStyle w:val="102"/>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6</w:t>
            </w:r>
          </w:p>
        </w:tc>
        <w:tc>
          <w:tcPr>
            <w:tcW w:w="2280" w:type="dxa"/>
            <w:vAlign w:val="center"/>
          </w:tcPr>
          <w:p w14:paraId="40D4BD08">
            <w:pPr>
              <w:pStyle w:val="102"/>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水准仪</w:t>
            </w:r>
          </w:p>
        </w:tc>
        <w:tc>
          <w:tcPr>
            <w:tcW w:w="1905" w:type="dxa"/>
            <w:vAlign w:val="center"/>
          </w:tcPr>
          <w:p w14:paraId="6CF93ACC">
            <w:pPr>
              <w:pStyle w:val="102"/>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自有或</w:t>
            </w:r>
            <w:r>
              <w:rPr>
                <w:rFonts w:hint="eastAsia" w:ascii="宋体" w:hAnsi="宋体" w:cs="宋体"/>
                <w:color w:val="auto"/>
                <w:sz w:val="21"/>
                <w:szCs w:val="21"/>
                <w:highlight w:val="none"/>
                <w:lang w:eastAsia="zh-CN"/>
              </w:rPr>
              <w:t>租赁</w:t>
            </w:r>
          </w:p>
        </w:tc>
        <w:tc>
          <w:tcPr>
            <w:tcW w:w="1042" w:type="dxa"/>
            <w:vAlign w:val="center"/>
          </w:tcPr>
          <w:p w14:paraId="53B44CF6">
            <w:pPr>
              <w:pStyle w:val="102"/>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台</w:t>
            </w:r>
          </w:p>
        </w:tc>
        <w:tc>
          <w:tcPr>
            <w:tcW w:w="982" w:type="dxa"/>
            <w:vAlign w:val="center"/>
          </w:tcPr>
          <w:p w14:paraId="495B6680">
            <w:pPr>
              <w:pStyle w:val="102"/>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w:t>
            </w:r>
          </w:p>
        </w:tc>
        <w:tc>
          <w:tcPr>
            <w:tcW w:w="1331" w:type="dxa"/>
            <w:vAlign w:val="center"/>
          </w:tcPr>
          <w:p w14:paraId="3B3DDC11">
            <w:pPr>
              <w:pStyle w:val="102"/>
              <w:jc w:val="center"/>
              <w:rPr>
                <w:rFonts w:hint="eastAsia" w:ascii="宋体" w:hAnsi="宋体" w:cs="宋体"/>
                <w:color w:val="auto"/>
                <w:sz w:val="21"/>
                <w:szCs w:val="21"/>
                <w:highlight w:val="none"/>
              </w:rPr>
            </w:pPr>
          </w:p>
        </w:tc>
      </w:tr>
      <w:tr w14:paraId="5964CE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748" w:type="dxa"/>
            <w:shd w:val="clear" w:color="auto" w:fill="auto"/>
            <w:vAlign w:val="center"/>
          </w:tcPr>
          <w:p w14:paraId="58C7C6AE">
            <w:pPr>
              <w:pStyle w:val="102"/>
              <w:jc w:val="center"/>
              <w:rPr>
                <w:rFonts w:hint="eastAsia" w:ascii="宋体" w:hAnsi="宋体" w:eastAsia="宋体" w:cs="宋体"/>
                <w:color w:val="auto"/>
                <w:kern w:val="0"/>
                <w:sz w:val="21"/>
                <w:szCs w:val="21"/>
                <w:highlight w:val="none"/>
                <w:lang w:val="en-US" w:eastAsia="en-US" w:bidi="ar-SA"/>
              </w:rPr>
            </w:pPr>
            <w:r>
              <w:rPr>
                <w:rFonts w:hint="eastAsia" w:ascii="宋体" w:hAnsi="宋体" w:cs="宋体"/>
                <w:color w:val="auto"/>
                <w:sz w:val="21"/>
                <w:szCs w:val="21"/>
                <w:highlight w:val="none"/>
              </w:rPr>
              <w:t>7</w:t>
            </w:r>
          </w:p>
        </w:tc>
        <w:tc>
          <w:tcPr>
            <w:tcW w:w="2280" w:type="dxa"/>
            <w:vAlign w:val="center"/>
          </w:tcPr>
          <w:p w14:paraId="53EAEF25">
            <w:pPr>
              <w:pStyle w:val="102"/>
              <w:jc w:val="center"/>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定位系统（GPS、</w:t>
            </w:r>
            <w:r>
              <w:rPr>
                <w:rFonts w:hint="eastAsia" w:ascii="宋体" w:hAnsi="宋体" w:cs="宋体"/>
                <w:color w:val="auto"/>
                <w:sz w:val="21"/>
                <w:szCs w:val="21"/>
                <w:highlight w:val="none"/>
              </w:rPr>
              <w:t>GNSS</w:t>
            </w:r>
            <w:r>
              <w:rPr>
                <w:rFonts w:hint="eastAsia" w:ascii="宋体" w:hAnsi="宋体" w:cs="宋体"/>
                <w:color w:val="auto"/>
                <w:sz w:val="21"/>
                <w:szCs w:val="21"/>
                <w:highlight w:val="none"/>
                <w:lang w:eastAsia="zh-CN"/>
              </w:rPr>
              <w:t>）</w:t>
            </w:r>
          </w:p>
        </w:tc>
        <w:tc>
          <w:tcPr>
            <w:tcW w:w="1905" w:type="dxa"/>
            <w:vAlign w:val="center"/>
          </w:tcPr>
          <w:p w14:paraId="2673CE45">
            <w:pPr>
              <w:pStyle w:val="102"/>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自有或</w:t>
            </w:r>
            <w:r>
              <w:rPr>
                <w:rFonts w:hint="eastAsia" w:ascii="宋体" w:hAnsi="宋体" w:cs="宋体"/>
                <w:color w:val="auto"/>
                <w:sz w:val="21"/>
                <w:szCs w:val="21"/>
                <w:highlight w:val="none"/>
                <w:lang w:eastAsia="zh-CN"/>
              </w:rPr>
              <w:t>租赁</w:t>
            </w:r>
          </w:p>
        </w:tc>
        <w:tc>
          <w:tcPr>
            <w:tcW w:w="1042" w:type="dxa"/>
            <w:vAlign w:val="center"/>
          </w:tcPr>
          <w:p w14:paraId="36E36C32">
            <w:pPr>
              <w:pStyle w:val="102"/>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台</w:t>
            </w:r>
          </w:p>
        </w:tc>
        <w:tc>
          <w:tcPr>
            <w:tcW w:w="982" w:type="dxa"/>
            <w:vAlign w:val="center"/>
          </w:tcPr>
          <w:p w14:paraId="59A924F5">
            <w:pPr>
              <w:pStyle w:val="102"/>
              <w:jc w:val="center"/>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1</w:t>
            </w:r>
          </w:p>
        </w:tc>
        <w:tc>
          <w:tcPr>
            <w:tcW w:w="1331" w:type="dxa"/>
            <w:vAlign w:val="center"/>
          </w:tcPr>
          <w:p w14:paraId="251E6F37">
            <w:pPr>
              <w:pStyle w:val="102"/>
              <w:jc w:val="center"/>
              <w:rPr>
                <w:rFonts w:hint="eastAsia" w:ascii="宋体" w:hAnsi="宋体" w:cs="宋体"/>
                <w:color w:val="auto"/>
                <w:sz w:val="21"/>
                <w:szCs w:val="21"/>
                <w:highlight w:val="none"/>
              </w:rPr>
            </w:pPr>
          </w:p>
        </w:tc>
      </w:tr>
      <w:tr w14:paraId="254387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748" w:type="dxa"/>
            <w:shd w:val="clear" w:color="auto" w:fill="auto"/>
            <w:vAlign w:val="center"/>
          </w:tcPr>
          <w:p w14:paraId="1D4DA8B0">
            <w:pPr>
              <w:pStyle w:val="102"/>
              <w:jc w:val="center"/>
              <w:rPr>
                <w:rFonts w:hint="eastAsia" w:ascii="宋体" w:hAnsi="宋体" w:eastAsia="宋体" w:cs="宋体"/>
                <w:color w:val="auto"/>
                <w:kern w:val="0"/>
                <w:sz w:val="21"/>
                <w:szCs w:val="21"/>
                <w:highlight w:val="none"/>
                <w:lang w:val="en-US" w:eastAsia="en-US" w:bidi="ar-SA"/>
              </w:rPr>
            </w:pPr>
            <w:r>
              <w:rPr>
                <w:rFonts w:hint="eastAsia" w:ascii="宋体" w:hAnsi="宋体" w:cs="宋体"/>
                <w:color w:val="auto"/>
                <w:sz w:val="21"/>
                <w:szCs w:val="21"/>
                <w:highlight w:val="none"/>
              </w:rPr>
              <w:t>8</w:t>
            </w:r>
          </w:p>
        </w:tc>
        <w:tc>
          <w:tcPr>
            <w:tcW w:w="2280" w:type="dxa"/>
            <w:vAlign w:val="center"/>
          </w:tcPr>
          <w:p w14:paraId="711AC1CF">
            <w:pPr>
              <w:pStyle w:val="102"/>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接地电阻测试仪</w:t>
            </w:r>
          </w:p>
        </w:tc>
        <w:tc>
          <w:tcPr>
            <w:tcW w:w="1905" w:type="dxa"/>
            <w:vAlign w:val="center"/>
          </w:tcPr>
          <w:p w14:paraId="050B5BA3">
            <w:pPr>
              <w:pStyle w:val="102"/>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自有或</w:t>
            </w:r>
            <w:r>
              <w:rPr>
                <w:rFonts w:hint="eastAsia" w:ascii="宋体" w:hAnsi="宋体" w:cs="宋体"/>
                <w:color w:val="auto"/>
                <w:sz w:val="21"/>
                <w:szCs w:val="21"/>
                <w:highlight w:val="none"/>
                <w:lang w:eastAsia="zh-CN"/>
              </w:rPr>
              <w:t>租赁</w:t>
            </w:r>
          </w:p>
        </w:tc>
        <w:tc>
          <w:tcPr>
            <w:tcW w:w="1042" w:type="dxa"/>
            <w:vAlign w:val="center"/>
          </w:tcPr>
          <w:p w14:paraId="0F2826A3">
            <w:pPr>
              <w:pStyle w:val="102"/>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台</w:t>
            </w:r>
          </w:p>
        </w:tc>
        <w:tc>
          <w:tcPr>
            <w:tcW w:w="982" w:type="dxa"/>
            <w:vAlign w:val="center"/>
          </w:tcPr>
          <w:p w14:paraId="59B517E4">
            <w:pPr>
              <w:pStyle w:val="102"/>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w:t>
            </w:r>
          </w:p>
        </w:tc>
        <w:tc>
          <w:tcPr>
            <w:tcW w:w="1331" w:type="dxa"/>
            <w:vAlign w:val="center"/>
          </w:tcPr>
          <w:p w14:paraId="2A9099A3">
            <w:pPr>
              <w:pStyle w:val="102"/>
              <w:jc w:val="center"/>
              <w:rPr>
                <w:rFonts w:hint="eastAsia" w:ascii="宋体" w:hAnsi="宋体" w:cs="宋体"/>
                <w:color w:val="auto"/>
                <w:sz w:val="21"/>
                <w:szCs w:val="21"/>
                <w:highlight w:val="none"/>
              </w:rPr>
            </w:pPr>
          </w:p>
        </w:tc>
      </w:tr>
      <w:tr w14:paraId="7893C5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748" w:type="dxa"/>
            <w:shd w:val="clear" w:color="auto" w:fill="auto"/>
            <w:vAlign w:val="center"/>
          </w:tcPr>
          <w:p w14:paraId="0809CD5C">
            <w:pPr>
              <w:pStyle w:val="102"/>
              <w:jc w:val="center"/>
              <w:rPr>
                <w:rFonts w:hint="eastAsia" w:ascii="宋体" w:hAnsi="宋体" w:eastAsia="宋体" w:cs="宋体"/>
                <w:color w:val="auto"/>
                <w:kern w:val="0"/>
                <w:sz w:val="21"/>
                <w:szCs w:val="21"/>
                <w:highlight w:val="none"/>
                <w:lang w:val="en-US" w:eastAsia="en-US" w:bidi="ar-SA"/>
              </w:rPr>
            </w:pPr>
            <w:r>
              <w:rPr>
                <w:rFonts w:hint="eastAsia" w:ascii="宋体" w:hAnsi="宋体" w:cs="宋体"/>
                <w:color w:val="auto"/>
                <w:sz w:val="21"/>
                <w:szCs w:val="21"/>
                <w:highlight w:val="none"/>
              </w:rPr>
              <w:t>9</w:t>
            </w:r>
          </w:p>
        </w:tc>
        <w:tc>
          <w:tcPr>
            <w:tcW w:w="2280" w:type="dxa"/>
            <w:vAlign w:val="center"/>
          </w:tcPr>
          <w:p w14:paraId="0359572C">
            <w:pPr>
              <w:pStyle w:val="102"/>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绝缘电阻测试仪</w:t>
            </w:r>
          </w:p>
        </w:tc>
        <w:tc>
          <w:tcPr>
            <w:tcW w:w="1905" w:type="dxa"/>
            <w:vAlign w:val="center"/>
          </w:tcPr>
          <w:p w14:paraId="3776ACF1">
            <w:pPr>
              <w:pStyle w:val="102"/>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自有或</w:t>
            </w:r>
            <w:r>
              <w:rPr>
                <w:rFonts w:hint="eastAsia" w:ascii="宋体" w:hAnsi="宋体" w:cs="宋体"/>
                <w:color w:val="auto"/>
                <w:sz w:val="21"/>
                <w:szCs w:val="21"/>
                <w:highlight w:val="none"/>
                <w:lang w:eastAsia="zh-CN"/>
              </w:rPr>
              <w:t>租赁</w:t>
            </w:r>
          </w:p>
        </w:tc>
        <w:tc>
          <w:tcPr>
            <w:tcW w:w="1042" w:type="dxa"/>
            <w:vAlign w:val="center"/>
          </w:tcPr>
          <w:p w14:paraId="015840EF">
            <w:pPr>
              <w:pStyle w:val="102"/>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台</w:t>
            </w:r>
          </w:p>
        </w:tc>
        <w:tc>
          <w:tcPr>
            <w:tcW w:w="982" w:type="dxa"/>
            <w:vAlign w:val="center"/>
          </w:tcPr>
          <w:p w14:paraId="4A479BB3">
            <w:pPr>
              <w:pStyle w:val="102"/>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w:t>
            </w:r>
          </w:p>
        </w:tc>
        <w:tc>
          <w:tcPr>
            <w:tcW w:w="1331" w:type="dxa"/>
            <w:vAlign w:val="center"/>
          </w:tcPr>
          <w:p w14:paraId="64D63336">
            <w:pPr>
              <w:pStyle w:val="102"/>
              <w:jc w:val="center"/>
              <w:rPr>
                <w:rFonts w:hint="eastAsia" w:ascii="宋体" w:hAnsi="宋体" w:cs="宋体"/>
                <w:color w:val="auto"/>
                <w:sz w:val="21"/>
                <w:szCs w:val="21"/>
                <w:highlight w:val="none"/>
              </w:rPr>
            </w:pPr>
          </w:p>
        </w:tc>
      </w:tr>
      <w:tr w14:paraId="0A5CD5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748" w:type="dxa"/>
            <w:shd w:val="clear" w:color="auto" w:fill="auto"/>
            <w:vAlign w:val="center"/>
          </w:tcPr>
          <w:p w14:paraId="162C5C11">
            <w:pPr>
              <w:pStyle w:val="102"/>
              <w:jc w:val="center"/>
              <w:rPr>
                <w:rFonts w:hint="eastAsia" w:ascii="宋体" w:hAnsi="宋体" w:eastAsia="宋体" w:cs="宋体"/>
                <w:color w:val="auto"/>
                <w:kern w:val="0"/>
                <w:sz w:val="21"/>
                <w:szCs w:val="21"/>
                <w:highlight w:val="none"/>
                <w:lang w:val="en-US" w:eastAsia="zh-CN" w:bidi="zh-CN"/>
              </w:rPr>
            </w:pPr>
            <w:r>
              <w:rPr>
                <w:rFonts w:hint="eastAsia" w:ascii="宋体" w:hAnsi="宋体" w:cs="宋体"/>
                <w:color w:val="auto"/>
                <w:sz w:val="21"/>
                <w:szCs w:val="21"/>
                <w:highlight w:val="none"/>
              </w:rPr>
              <w:t>10</w:t>
            </w:r>
          </w:p>
        </w:tc>
        <w:tc>
          <w:tcPr>
            <w:tcW w:w="2280" w:type="dxa"/>
            <w:vAlign w:val="center"/>
          </w:tcPr>
          <w:p w14:paraId="00F7F130">
            <w:pPr>
              <w:pStyle w:val="102"/>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数字万用表</w:t>
            </w:r>
          </w:p>
        </w:tc>
        <w:tc>
          <w:tcPr>
            <w:tcW w:w="1905" w:type="dxa"/>
            <w:vAlign w:val="center"/>
          </w:tcPr>
          <w:p w14:paraId="197B756C">
            <w:pPr>
              <w:pStyle w:val="102"/>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自有或</w:t>
            </w:r>
            <w:r>
              <w:rPr>
                <w:rFonts w:hint="eastAsia" w:ascii="宋体" w:hAnsi="宋体" w:cs="宋体"/>
                <w:color w:val="auto"/>
                <w:sz w:val="21"/>
                <w:szCs w:val="21"/>
                <w:highlight w:val="none"/>
                <w:lang w:eastAsia="zh-CN"/>
              </w:rPr>
              <w:t>租赁</w:t>
            </w:r>
          </w:p>
        </w:tc>
        <w:tc>
          <w:tcPr>
            <w:tcW w:w="1042" w:type="dxa"/>
            <w:vAlign w:val="center"/>
          </w:tcPr>
          <w:p w14:paraId="3500209C">
            <w:pPr>
              <w:pStyle w:val="102"/>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台</w:t>
            </w:r>
          </w:p>
        </w:tc>
        <w:tc>
          <w:tcPr>
            <w:tcW w:w="982" w:type="dxa"/>
            <w:vAlign w:val="center"/>
          </w:tcPr>
          <w:p w14:paraId="2622C6FE">
            <w:pPr>
              <w:pStyle w:val="102"/>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w:t>
            </w:r>
          </w:p>
        </w:tc>
        <w:tc>
          <w:tcPr>
            <w:tcW w:w="1331" w:type="dxa"/>
            <w:vAlign w:val="center"/>
          </w:tcPr>
          <w:p w14:paraId="7FE78C77">
            <w:pPr>
              <w:pStyle w:val="102"/>
              <w:jc w:val="center"/>
              <w:rPr>
                <w:rFonts w:hint="eastAsia" w:ascii="宋体" w:hAnsi="宋体" w:cs="宋体"/>
                <w:color w:val="auto"/>
                <w:sz w:val="21"/>
                <w:szCs w:val="21"/>
                <w:highlight w:val="none"/>
              </w:rPr>
            </w:pPr>
          </w:p>
        </w:tc>
      </w:tr>
      <w:tr w14:paraId="2BCB27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748" w:type="dxa"/>
            <w:vAlign w:val="center"/>
          </w:tcPr>
          <w:p w14:paraId="47655756">
            <w:pPr>
              <w:pStyle w:val="102"/>
              <w:jc w:val="center"/>
              <w:rPr>
                <w:rFonts w:hint="default" w:ascii="宋体" w:hAnsi="宋体" w:eastAsia="宋体" w:cs="宋体"/>
                <w:color w:val="auto"/>
                <w:sz w:val="21"/>
                <w:szCs w:val="21"/>
                <w:highlight w:val="none"/>
                <w:lang w:val="en-US" w:eastAsia="zh-CN" w:bidi="zh-CN"/>
              </w:rPr>
            </w:pPr>
            <w:r>
              <w:rPr>
                <w:rFonts w:hint="eastAsia" w:ascii="宋体" w:hAnsi="宋体" w:cs="宋体"/>
                <w:color w:val="auto"/>
                <w:sz w:val="21"/>
                <w:szCs w:val="21"/>
                <w:highlight w:val="none"/>
                <w:lang w:val="en-US" w:eastAsia="zh-CN" w:bidi="zh-CN"/>
              </w:rPr>
              <w:t>11</w:t>
            </w:r>
          </w:p>
        </w:tc>
        <w:tc>
          <w:tcPr>
            <w:tcW w:w="2280" w:type="dxa"/>
            <w:vAlign w:val="center"/>
          </w:tcPr>
          <w:p w14:paraId="26F02497">
            <w:pPr>
              <w:pStyle w:val="102"/>
              <w:jc w:val="center"/>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照度计</w:t>
            </w:r>
          </w:p>
        </w:tc>
        <w:tc>
          <w:tcPr>
            <w:tcW w:w="1905" w:type="dxa"/>
            <w:vAlign w:val="center"/>
          </w:tcPr>
          <w:p w14:paraId="794872AC">
            <w:pPr>
              <w:pStyle w:val="102"/>
              <w:jc w:val="center"/>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rPr>
              <w:t>自有或</w:t>
            </w:r>
            <w:r>
              <w:rPr>
                <w:rFonts w:hint="eastAsia" w:ascii="宋体" w:hAnsi="宋体" w:cs="宋体"/>
                <w:color w:val="auto"/>
                <w:sz w:val="21"/>
                <w:szCs w:val="21"/>
                <w:highlight w:val="none"/>
                <w:lang w:eastAsia="zh-CN"/>
              </w:rPr>
              <w:t>租赁</w:t>
            </w:r>
          </w:p>
        </w:tc>
        <w:tc>
          <w:tcPr>
            <w:tcW w:w="1042" w:type="dxa"/>
            <w:vAlign w:val="center"/>
          </w:tcPr>
          <w:p w14:paraId="453B66B3">
            <w:pPr>
              <w:pStyle w:val="102"/>
              <w:jc w:val="center"/>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台</w:t>
            </w:r>
          </w:p>
        </w:tc>
        <w:tc>
          <w:tcPr>
            <w:tcW w:w="982" w:type="dxa"/>
            <w:vAlign w:val="center"/>
          </w:tcPr>
          <w:p w14:paraId="11868513">
            <w:pPr>
              <w:pStyle w:val="102"/>
              <w:jc w:val="center"/>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1</w:t>
            </w:r>
          </w:p>
        </w:tc>
        <w:tc>
          <w:tcPr>
            <w:tcW w:w="1331" w:type="dxa"/>
            <w:vAlign w:val="center"/>
          </w:tcPr>
          <w:p w14:paraId="034F909D">
            <w:pPr>
              <w:pStyle w:val="102"/>
              <w:jc w:val="center"/>
              <w:rPr>
                <w:rFonts w:hint="eastAsia" w:ascii="宋体" w:hAnsi="宋体" w:cs="宋体"/>
                <w:color w:val="auto"/>
                <w:sz w:val="21"/>
                <w:szCs w:val="21"/>
                <w:highlight w:val="none"/>
              </w:rPr>
            </w:pPr>
          </w:p>
        </w:tc>
      </w:tr>
    </w:tbl>
    <w:p w14:paraId="03FE1E1B">
      <w:pPr>
        <w:spacing w:line="360" w:lineRule="auto"/>
        <w:contextualSpacing/>
        <w:jc w:val="left"/>
        <w:rPr>
          <w:rFonts w:hint="eastAsia" w:ascii="宋体" w:hAnsi="宋体"/>
          <w:color w:val="auto"/>
          <w:sz w:val="24"/>
          <w:szCs w:val="20"/>
          <w:highlight w:val="none"/>
        </w:rPr>
      </w:pPr>
    </w:p>
    <w:p w14:paraId="2CC8DFC2">
      <w:pPr>
        <w:spacing w:line="360" w:lineRule="auto"/>
        <w:contextualSpacing/>
        <w:jc w:val="left"/>
        <w:rPr>
          <w:rFonts w:hint="eastAsia" w:ascii="宋体" w:hAnsi="宋体"/>
          <w:color w:val="auto"/>
          <w:sz w:val="24"/>
          <w:szCs w:val="20"/>
          <w:highlight w:val="none"/>
        </w:rPr>
      </w:pPr>
      <w:r>
        <w:rPr>
          <w:rFonts w:hint="eastAsia" w:ascii="宋体" w:hAnsi="宋体"/>
          <w:color w:val="auto"/>
          <w:sz w:val="24"/>
          <w:szCs w:val="20"/>
          <w:highlight w:val="none"/>
        </w:rPr>
        <w:t>注：</w:t>
      </w:r>
    </w:p>
    <w:p w14:paraId="313CF0D1">
      <w:pPr>
        <w:spacing w:line="360" w:lineRule="auto"/>
        <w:contextualSpacing/>
        <w:jc w:val="left"/>
        <w:rPr>
          <w:rFonts w:hint="eastAsia" w:ascii="宋体" w:hAnsi="宋体"/>
          <w:color w:val="auto"/>
          <w:sz w:val="24"/>
          <w:szCs w:val="20"/>
          <w:highlight w:val="none"/>
        </w:rPr>
      </w:pPr>
      <w:r>
        <w:rPr>
          <w:rFonts w:hint="eastAsia" w:ascii="宋体" w:hAnsi="宋体"/>
          <w:color w:val="auto"/>
          <w:sz w:val="24"/>
          <w:szCs w:val="20"/>
          <w:highlight w:val="none"/>
        </w:rPr>
        <w:t>1.在填写时，如本表格不适合投标单位的实际情况，可根据本表格式自行制表填写。</w:t>
      </w:r>
    </w:p>
    <w:p w14:paraId="09EF4584">
      <w:pPr>
        <w:spacing w:line="360" w:lineRule="auto"/>
        <w:contextualSpacing/>
        <w:jc w:val="left"/>
        <w:rPr>
          <w:rFonts w:hint="eastAsia" w:ascii="宋体" w:hAnsi="宋体"/>
          <w:color w:val="auto"/>
          <w:sz w:val="24"/>
          <w:szCs w:val="20"/>
          <w:highlight w:val="none"/>
        </w:rPr>
      </w:pPr>
      <w:r>
        <w:rPr>
          <w:rFonts w:hint="eastAsia" w:ascii="宋体" w:hAnsi="宋体"/>
          <w:color w:val="auto"/>
          <w:sz w:val="24"/>
          <w:szCs w:val="20"/>
          <w:highlight w:val="none"/>
        </w:rPr>
        <w:t>2.投标人应当按采购需求要求附本表所列设备的相关证明材料复印件并加盖投标人电子签章。</w:t>
      </w:r>
    </w:p>
    <w:p w14:paraId="3B4A8649">
      <w:pPr>
        <w:spacing w:line="360" w:lineRule="auto"/>
        <w:contextualSpacing/>
        <w:jc w:val="left"/>
        <w:rPr>
          <w:rFonts w:hint="eastAsia" w:ascii="宋体" w:hAnsi="宋体"/>
          <w:color w:val="auto"/>
          <w:sz w:val="24"/>
          <w:szCs w:val="20"/>
          <w:highlight w:val="none"/>
        </w:rPr>
      </w:pPr>
    </w:p>
    <w:p w14:paraId="350E743D">
      <w:pPr>
        <w:spacing w:line="360" w:lineRule="auto"/>
        <w:contextualSpacing/>
        <w:rPr>
          <w:rFonts w:hint="eastAsia" w:ascii="宋体" w:hAnsi="宋体"/>
          <w:color w:val="auto"/>
          <w:spacing w:val="20"/>
          <w:sz w:val="24"/>
          <w:szCs w:val="20"/>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（签字或者电子签名）：</w:t>
      </w:r>
      <w:r>
        <w:rPr>
          <w:rFonts w:hint="eastAsia" w:ascii="宋体" w:hAnsi="宋体"/>
          <w:color w:val="auto"/>
          <w:spacing w:val="20"/>
          <w:sz w:val="24"/>
          <w:highlight w:val="none"/>
          <w:u w:val="single"/>
        </w:rPr>
        <w:t xml:space="preserve">        </w:t>
      </w:r>
    </w:p>
    <w:p w14:paraId="068E1A36">
      <w:pPr>
        <w:spacing w:line="360" w:lineRule="auto"/>
        <w:contextualSpacing/>
        <w:jc w:val="left"/>
        <w:rPr>
          <w:rFonts w:hint="eastAsia" w:ascii="宋体" w:hAnsi="宋体"/>
          <w:color w:val="auto"/>
          <w:spacing w:val="20"/>
          <w:sz w:val="24"/>
          <w:highlight w:val="none"/>
        </w:rPr>
      </w:pPr>
      <w:r>
        <w:rPr>
          <w:rFonts w:hint="eastAsia" w:ascii="宋体" w:hAnsi="宋体"/>
          <w:color w:val="auto"/>
          <w:spacing w:val="20"/>
          <w:sz w:val="24"/>
          <w:highlight w:val="none"/>
        </w:rPr>
        <w:t>投标人名称（电子签章）：</w:t>
      </w:r>
      <w:r>
        <w:rPr>
          <w:rFonts w:hint="eastAsia" w:ascii="宋体" w:hAnsi="宋体"/>
          <w:color w:val="auto"/>
          <w:spacing w:val="20"/>
          <w:sz w:val="24"/>
          <w:highlight w:val="none"/>
          <w:u w:val="single"/>
        </w:rPr>
        <w:t xml:space="preserve">            </w:t>
      </w:r>
      <w:r>
        <w:rPr>
          <w:rFonts w:hint="eastAsia" w:ascii="宋体" w:hAnsi="宋体"/>
          <w:color w:val="auto"/>
          <w:spacing w:val="20"/>
          <w:sz w:val="24"/>
          <w:highlight w:val="none"/>
        </w:rPr>
        <w:t xml:space="preserve">              </w:t>
      </w:r>
    </w:p>
    <w:p w14:paraId="14903920">
      <w:pPr>
        <w:spacing w:line="360" w:lineRule="auto"/>
        <w:contextualSpacing/>
        <w:jc w:val="left"/>
        <w:rPr>
          <w:rFonts w:hint="eastAsia" w:ascii="宋体" w:hAnsi="宋体"/>
          <w:color w:val="auto"/>
          <w:sz w:val="24"/>
          <w:szCs w:val="20"/>
          <w:highlight w:val="none"/>
        </w:rPr>
      </w:pPr>
      <w:r>
        <w:rPr>
          <w:rFonts w:hint="eastAsia" w:ascii="宋体" w:hAnsi="宋体"/>
          <w:color w:val="auto"/>
          <w:spacing w:val="20"/>
          <w:sz w:val="24"/>
          <w:highlight w:val="none"/>
        </w:rPr>
        <w:t>日 期：</w:t>
      </w:r>
      <w:r>
        <w:rPr>
          <w:rFonts w:hint="eastAsia" w:ascii="宋体" w:hAnsi="宋体"/>
          <w:color w:val="auto"/>
          <w:spacing w:val="20"/>
          <w:sz w:val="24"/>
          <w:highlight w:val="none"/>
          <w:u w:val="single"/>
        </w:rPr>
        <w:t xml:space="preserve">         </w:t>
      </w:r>
    </w:p>
    <w:p w14:paraId="7BEC3A3E">
      <w:pPr>
        <w:rPr>
          <w:rFonts w:hint="eastAsia" w:ascii="宋体" w:hAnsi="宋体"/>
          <w:b/>
          <w:color w:val="auto"/>
          <w:sz w:val="24"/>
          <w:highlight w:val="none"/>
        </w:rPr>
      </w:pPr>
      <w:r>
        <w:rPr>
          <w:rFonts w:hint="eastAsia" w:ascii="宋体" w:hAnsi="宋体"/>
          <w:b/>
          <w:color w:val="auto"/>
          <w:sz w:val="24"/>
          <w:highlight w:val="none"/>
        </w:rPr>
        <w:br w:type="page"/>
      </w:r>
    </w:p>
    <w:p w14:paraId="30835084">
      <w:pPr>
        <w:outlineLvl w:val="2"/>
        <w:rPr>
          <w:rFonts w:hint="eastAsia" w:ascii="方正小标宋简体" w:hAnsi="方正小标宋简体" w:eastAsia="方正小标宋简体" w:cs="方正小标宋简体"/>
          <w:bCs/>
          <w:color w:val="auto"/>
          <w:szCs w:val="21"/>
          <w:highlight w:val="none"/>
        </w:rPr>
      </w:pPr>
      <w:r>
        <w:rPr>
          <w:rFonts w:hint="eastAsia" w:ascii="宋体" w:hAnsi="宋体"/>
          <w:b/>
          <w:color w:val="auto"/>
          <w:sz w:val="24"/>
          <w:highlight w:val="none"/>
        </w:rPr>
        <w:t>10.代理服务费承诺书</w:t>
      </w:r>
    </w:p>
    <w:p w14:paraId="38B49253">
      <w:pPr>
        <w:snapToGrid w:val="0"/>
        <w:spacing w:before="120" w:beforeLines="50" w:after="50"/>
        <w:jc w:val="left"/>
        <w:rPr>
          <w:rFonts w:hint="eastAsia" w:ascii="方正小标宋简体" w:hAnsi="方正小标宋简体" w:eastAsia="方正小标宋简体" w:cs="方正小标宋简体"/>
          <w:bCs/>
          <w:color w:val="auto"/>
          <w:szCs w:val="21"/>
          <w:highlight w:val="none"/>
        </w:rPr>
      </w:pPr>
    </w:p>
    <w:p w14:paraId="025E40BD">
      <w:pPr>
        <w:snapToGrid w:val="0"/>
        <w:spacing w:before="120"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宋体" w:hAnsi="宋体" w:cs="宋体"/>
          <w:bCs/>
          <w:color w:val="auto"/>
          <w:sz w:val="44"/>
          <w:szCs w:val="44"/>
          <w:highlight w:val="none"/>
        </w:rPr>
        <w:t>代理服务费承诺书</w:t>
      </w:r>
    </w:p>
    <w:p w14:paraId="74E64A2E">
      <w:pPr>
        <w:snapToGrid w:val="0"/>
        <w:spacing w:before="120" w:beforeLines="50" w:after="50"/>
        <w:jc w:val="center"/>
        <w:rPr>
          <w:rFonts w:hint="eastAsia" w:ascii="宋体" w:hAnsi="宋体"/>
          <w:b/>
          <w:color w:val="auto"/>
          <w:sz w:val="24"/>
          <w:highlight w:val="none"/>
        </w:rPr>
      </w:pPr>
    </w:p>
    <w:p w14:paraId="41B8B768">
      <w:pPr>
        <w:spacing w:line="360" w:lineRule="auto"/>
        <w:rPr>
          <w:rFonts w:hint="eastAsia" w:ascii="宋体" w:hAnsi="宋体"/>
          <w:b/>
          <w:bCs/>
          <w:color w:val="auto"/>
          <w:sz w:val="24"/>
          <w:highlight w:val="none"/>
        </w:rPr>
      </w:pPr>
      <w:r>
        <w:rPr>
          <w:rFonts w:hint="eastAsia" w:ascii="宋体" w:hAnsi="宋体"/>
          <w:bCs/>
          <w:color w:val="auto"/>
          <w:sz w:val="24"/>
          <w:highlight w:val="none"/>
        </w:rPr>
        <w:t>致：</w:t>
      </w:r>
      <w:r>
        <w:rPr>
          <w:rFonts w:hint="eastAsia" w:ascii="宋体" w:hAnsi="宋体"/>
          <w:color w:val="auto"/>
          <w:sz w:val="24"/>
          <w:highlight w:val="none"/>
          <w:u w:val="single"/>
        </w:rPr>
        <w:t>招标代理机构名称</w:t>
      </w:r>
      <w:r>
        <w:rPr>
          <w:rFonts w:hint="eastAsia" w:ascii="宋体" w:hAnsi="宋体"/>
          <w:color w:val="auto"/>
          <w:sz w:val="24"/>
          <w:highlight w:val="none"/>
        </w:rPr>
        <w:t>：</w:t>
      </w:r>
    </w:p>
    <w:p w14:paraId="6660E287">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本单位参加了贵方组织的</w:t>
      </w:r>
      <w:r>
        <w:rPr>
          <w:rFonts w:hint="eastAsia" w:ascii="宋体" w:hAnsi="宋体"/>
          <w:color w:val="auto"/>
          <w:sz w:val="24"/>
          <w:highlight w:val="none"/>
          <w:u w:val="single"/>
        </w:rPr>
        <w:t xml:space="preserve">  项目名称（项目编号）  </w:t>
      </w:r>
      <w:r>
        <w:rPr>
          <w:rFonts w:hint="eastAsia" w:ascii="宋体" w:hAnsi="宋体"/>
          <w:color w:val="auto"/>
          <w:sz w:val="24"/>
          <w:highlight w:val="none"/>
        </w:rPr>
        <w:t>项目，在此说明如下：</w:t>
      </w:r>
    </w:p>
    <w:p w14:paraId="2DDF3567">
      <w:pPr>
        <w:spacing w:line="440" w:lineRule="exact"/>
        <w:ind w:firstLine="360" w:firstLineChars="150"/>
        <w:rPr>
          <w:rFonts w:hint="eastAsia" w:ascii="宋体" w:hAnsi="宋体"/>
          <w:color w:val="auto"/>
          <w:sz w:val="24"/>
          <w:highlight w:val="none"/>
        </w:rPr>
      </w:pPr>
      <w:r>
        <w:rPr>
          <w:rFonts w:hint="eastAsia" w:ascii="宋体" w:hAnsi="宋体"/>
          <w:color w:val="auto"/>
          <w:sz w:val="24"/>
          <w:highlight w:val="none"/>
        </w:rPr>
        <w:t>1.我方承诺，若本单位中标，保证在发出中标通知书之后，按本项目招标文件的规定标准向贵单位一次性足额支付代理服务费。</w:t>
      </w:r>
    </w:p>
    <w:p w14:paraId="67107A85">
      <w:pPr>
        <w:spacing w:line="440" w:lineRule="exact"/>
        <w:ind w:firstLine="360" w:firstLineChars="150"/>
        <w:rPr>
          <w:rFonts w:hint="eastAsia" w:ascii="宋体" w:hAnsi="宋体"/>
          <w:color w:val="auto"/>
          <w:sz w:val="24"/>
          <w:highlight w:val="none"/>
        </w:rPr>
      </w:pPr>
      <w:r>
        <w:rPr>
          <w:rFonts w:hint="eastAsia" w:ascii="宋体" w:hAnsi="宋体"/>
          <w:color w:val="auto"/>
          <w:sz w:val="24"/>
          <w:highlight w:val="none"/>
        </w:rPr>
        <w:t>2.本单位选择第</w:t>
      </w:r>
      <w:r>
        <w:rPr>
          <w:rFonts w:hint="eastAsia" w:ascii="宋体" w:hAnsi="宋体"/>
          <w:color w:val="auto"/>
          <w:sz w:val="24"/>
          <w:highlight w:val="none"/>
          <w:u w:val="single"/>
        </w:rPr>
        <w:t xml:space="preserve">     </w:t>
      </w:r>
      <w:r>
        <w:rPr>
          <w:rFonts w:hint="eastAsia" w:ascii="宋体" w:hAnsi="宋体"/>
          <w:color w:val="auto"/>
          <w:sz w:val="24"/>
          <w:highlight w:val="none"/>
        </w:rPr>
        <w:t>种方式作为代理服务费开票类型：</w:t>
      </w:r>
    </w:p>
    <w:p w14:paraId="7E3932CE">
      <w:pPr>
        <w:spacing w:line="440" w:lineRule="exact"/>
        <w:ind w:firstLine="360" w:firstLineChars="150"/>
        <w:rPr>
          <w:rFonts w:hint="eastAsia" w:ascii="宋体" w:hAnsi="宋体"/>
          <w:color w:val="auto"/>
          <w:sz w:val="24"/>
          <w:highlight w:val="none"/>
        </w:rPr>
      </w:pPr>
      <w:r>
        <w:rPr>
          <w:rFonts w:hint="eastAsia" w:ascii="宋体" w:hAnsi="宋体"/>
          <w:color w:val="auto"/>
          <w:sz w:val="24"/>
          <w:highlight w:val="none"/>
        </w:rPr>
        <w:t>第一种方式：开具增值税普通发票。开票信息如下：</w:t>
      </w:r>
    </w:p>
    <w:p w14:paraId="735EF7A7">
      <w:pPr>
        <w:spacing w:line="440" w:lineRule="exact"/>
        <w:ind w:firstLine="360" w:firstLineChars="150"/>
        <w:rPr>
          <w:rFonts w:hint="eastAsia" w:ascii="宋体" w:hAnsi="宋体"/>
          <w:color w:val="auto"/>
          <w:sz w:val="24"/>
          <w:highlight w:val="none"/>
        </w:rPr>
      </w:pPr>
      <w:r>
        <w:rPr>
          <w:rFonts w:hint="eastAsia" w:ascii="宋体" w:hAnsi="宋体"/>
          <w:color w:val="auto"/>
          <w:sz w:val="24"/>
          <w:highlight w:val="none"/>
        </w:rPr>
        <w:t>（1）公司名称</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1D4FB463">
      <w:pPr>
        <w:spacing w:line="440" w:lineRule="exact"/>
        <w:ind w:firstLine="360" w:firstLineChars="150"/>
        <w:rPr>
          <w:rFonts w:hint="eastAsia" w:ascii="宋体" w:hAnsi="宋体"/>
          <w:color w:val="auto"/>
          <w:sz w:val="24"/>
          <w:highlight w:val="none"/>
        </w:rPr>
      </w:pPr>
      <w:r>
        <w:rPr>
          <w:rFonts w:hint="eastAsia" w:ascii="宋体" w:hAnsi="宋体"/>
          <w:color w:val="auto"/>
          <w:sz w:val="24"/>
          <w:highlight w:val="none"/>
        </w:rPr>
        <w:t>（2）纳税人识别号</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15C7F10A">
      <w:pPr>
        <w:spacing w:line="440" w:lineRule="exact"/>
        <w:ind w:firstLine="360" w:firstLineChars="150"/>
        <w:rPr>
          <w:rFonts w:hint="eastAsia" w:ascii="宋体" w:hAnsi="宋体"/>
          <w:color w:val="auto"/>
          <w:sz w:val="24"/>
          <w:highlight w:val="none"/>
        </w:rPr>
      </w:pPr>
      <w:r>
        <w:rPr>
          <w:rFonts w:hint="eastAsia" w:ascii="宋体" w:hAnsi="宋体"/>
          <w:color w:val="auto"/>
          <w:sz w:val="24"/>
          <w:highlight w:val="none"/>
        </w:rPr>
        <w:t>第二种方式：开具增值税专用发票，开票信息如下：</w:t>
      </w:r>
    </w:p>
    <w:p w14:paraId="3276D384">
      <w:pPr>
        <w:spacing w:line="440" w:lineRule="exact"/>
        <w:ind w:firstLine="360" w:firstLineChars="150"/>
        <w:rPr>
          <w:rFonts w:hint="eastAsia" w:ascii="宋体" w:hAnsi="宋体"/>
          <w:color w:val="auto"/>
          <w:sz w:val="24"/>
          <w:highlight w:val="none"/>
        </w:rPr>
      </w:pPr>
      <w:r>
        <w:rPr>
          <w:rFonts w:hint="eastAsia" w:ascii="宋体" w:hAnsi="宋体"/>
          <w:color w:val="auto"/>
          <w:sz w:val="24"/>
          <w:highlight w:val="none"/>
        </w:rPr>
        <w:t>（1）公司名称</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139D425A">
      <w:pPr>
        <w:spacing w:line="440" w:lineRule="exact"/>
        <w:ind w:firstLine="360" w:firstLineChars="150"/>
        <w:rPr>
          <w:rFonts w:hint="eastAsia" w:ascii="宋体" w:hAnsi="宋体"/>
          <w:color w:val="auto"/>
          <w:sz w:val="24"/>
          <w:highlight w:val="none"/>
        </w:rPr>
      </w:pPr>
      <w:r>
        <w:rPr>
          <w:rFonts w:hint="eastAsia" w:ascii="宋体" w:hAnsi="宋体"/>
          <w:color w:val="auto"/>
          <w:sz w:val="24"/>
          <w:highlight w:val="none"/>
        </w:rPr>
        <w:t>（2）纳税人识别号</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1307308B">
      <w:pPr>
        <w:spacing w:line="440" w:lineRule="exact"/>
        <w:ind w:firstLine="360" w:firstLineChars="150"/>
        <w:rPr>
          <w:rFonts w:hint="eastAsia" w:ascii="宋体" w:hAnsi="宋体"/>
          <w:color w:val="auto"/>
          <w:sz w:val="24"/>
          <w:highlight w:val="none"/>
        </w:rPr>
      </w:pPr>
      <w:r>
        <w:rPr>
          <w:rFonts w:hint="eastAsia" w:ascii="宋体" w:hAnsi="宋体"/>
          <w:color w:val="auto"/>
          <w:sz w:val="24"/>
          <w:highlight w:val="none"/>
        </w:rPr>
        <w:t>（3）在税局登记的地址</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15DE00AB">
      <w:pPr>
        <w:spacing w:line="440" w:lineRule="exact"/>
        <w:ind w:firstLine="360" w:firstLineChars="150"/>
        <w:rPr>
          <w:rFonts w:hint="eastAsia" w:ascii="宋体" w:hAnsi="宋体"/>
          <w:color w:val="auto"/>
          <w:sz w:val="24"/>
          <w:highlight w:val="none"/>
        </w:rPr>
      </w:pPr>
      <w:r>
        <w:rPr>
          <w:rFonts w:hint="eastAsia" w:ascii="宋体" w:hAnsi="宋体"/>
          <w:color w:val="auto"/>
          <w:sz w:val="24"/>
          <w:highlight w:val="none"/>
        </w:rPr>
        <w:t>（4）在税局登记的电话</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00CC4E22">
      <w:pPr>
        <w:spacing w:line="440" w:lineRule="exact"/>
        <w:ind w:firstLine="360" w:firstLineChars="150"/>
        <w:rPr>
          <w:rFonts w:hint="eastAsia" w:ascii="宋体" w:hAnsi="宋体"/>
          <w:color w:val="auto"/>
          <w:sz w:val="24"/>
          <w:highlight w:val="none"/>
        </w:rPr>
      </w:pPr>
      <w:r>
        <w:rPr>
          <w:rFonts w:hint="eastAsia" w:ascii="宋体" w:hAnsi="宋体"/>
          <w:color w:val="auto"/>
          <w:sz w:val="24"/>
          <w:highlight w:val="none"/>
        </w:rPr>
        <w:t>（5）开户银行</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38DE0FB2">
      <w:pPr>
        <w:spacing w:line="440" w:lineRule="exact"/>
        <w:ind w:firstLine="360" w:firstLineChars="150"/>
        <w:rPr>
          <w:rFonts w:hint="eastAsia" w:ascii="宋体" w:hAnsi="宋体"/>
          <w:color w:val="auto"/>
          <w:sz w:val="24"/>
          <w:highlight w:val="none"/>
        </w:rPr>
      </w:pPr>
      <w:r>
        <w:rPr>
          <w:rFonts w:hint="eastAsia" w:ascii="宋体" w:hAnsi="宋体"/>
          <w:color w:val="auto"/>
          <w:sz w:val="24"/>
          <w:highlight w:val="none"/>
        </w:rPr>
        <w:t>（6）银行账户</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3A0CF2FC">
      <w:pPr>
        <w:spacing w:line="440" w:lineRule="exact"/>
        <w:rPr>
          <w:rFonts w:hint="eastAsia" w:ascii="宋体" w:hAnsi="宋体"/>
          <w:color w:val="auto"/>
          <w:sz w:val="24"/>
          <w:highlight w:val="none"/>
        </w:rPr>
      </w:pPr>
    </w:p>
    <w:p w14:paraId="1DD29241">
      <w:pPr>
        <w:spacing w:line="440" w:lineRule="exact"/>
        <w:rPr>
          <w:rFonts w:hint="eastAsia" w:ascii="宋体" w:hAnsi="宋体"/>
          <w:color w:val="auto"/>
          <w:sz w:val="24"/>
          <w:highlight w:val="none"/>
        </w:rPr>
      </w:pPr>
    </w:p>
    <w:p w14:paraId="32417FE3">
      <w:pPr>
        <w:spacing w:line="440" w:lineRule="exact"/>
        <w:rPr>
          <w:rFonts w:hint="eastAsia" w:ascii="宋体" w:hAnsi="宋体"/>
          <w:color w:val="auto"/>
          <w:sz w:val="24"/>
          <w:highlight w:val="none"/>
        </w:rPr>
      </w:pPr>
    </w:p>
    <w:p w14:paraId="15D3EAC1">
      <w:pPr>
        <w:snapToGrid w:val="0"/>
        <w:spacing w:line="360" w:lineRule="auto"/>
        <w:ind w:left="-2" w:leftChars="-1" w:right="-817" w:rightChars="-389" w:firstLine="1920" w:firstLineChars="800"/>
        <w:rPr>
          <w:rFonts w:hint="eastAsia" w:ascii="宋体" w:hAnsi="宋体"/>
          <w:color w:val="auto"/>
          <w:sz w:val="24"/>
          <w:highlight w:val="none"/>
          <w:u w:val="single"/>
        </w:rPr>
      </w:pPr>
      <w:r>
        <w:rPr>
          <w:rFonts w:hint="eastAsia" w:ascii="宋体" w:hAnsi="宋体"/>
          <w:color w:val="auto"/>
          <w:sz w:val="24"/>
          <w:highlight w:val="none"/>
        </w:rPr>
        <w:t>法定代表人或者委托代理人（签字或者电子签名）：</w:t>
      </w:r>
      <w:r>
        <w:rPr>
          <w:rFonts w:hint="eastAsia" w:ascii="宋体" w:hAnsi="宋体"/>
          <w:color w:val="auto"/>
          <w:sz w:val="24"/>
          <w:highlight w:val="none"/>
          <w:u w:val="single"/>
        </w:rPr>
        <w:t xml:space="preserve">     </w:t>
      </w:r>
    </w:p>
    <w:p w14:paraId="7DE1A5EE">
      <w:pPr>
        <w:snapToGrid w:val="0"/>
        <w:spacing w:line="360" w:lineRule="auto"/>
        <w:ind w:left="-3" w:leftChars="-15" w:right="-817" w:rightChars="-389" w:hanging="28" w:hangingChars="12"/>
        <w:rPr>
          <w:rFonts w:hint="eastAsia" w:ascii="宋体" w:hAnsi="宋体"/>
          <w:color w:val="auto"/>
          <w:sz w:val="24"/>
          <w:highlight w:val="none"/>
          <w:u w:val="single"/>
        </w:rPr>
      </w:pPr>
      <w:r>
        <w:rPr>
          <w:rFonts w:hint="eastAsia" w:ascii="宋体" w:hAnsi="宋体"/>
          <w:color w:val="auto"/>
          <w:sz w:val="24"/>
          <w:highlight w:val="none"/>
        </w:rPr>
        <w:t xml:space="preserve">                                      供应商公章（电子签章）：</w:t>
      </w:r>
      <w:r>
        <w:rPr>
          <w:rFonts w:hint="eastAsia" w:ascii="宋体" w:hAnsi="宋体"/>
          <w:color w:val="auto"/>
          <w:sz w:val="24"/>
          <w:highlight w:val="none"/>
          <w:u w:val="single"/>
        </w:rPr>
        <w:t xml:space="preserve">     </w:t>
      </w:r>
    </w:p>
    <w:p w14:paraId="54A7A807">
      <w:pPr>
        <w:snapToGrid w:val="0"/>
        <w:spacing w:line="360" w:lineRule="auto"/>
        <w:ind w:right="480" w:firstLine="240" w:firstLineChars="100"/>
        <w:jc w:val="left"/>
        <w:rPr>
          <w:rFonts w:hint="eastAsia" w:ascii="宋体" w:hAnsi="宋体"/>
          <w:color w:val="auto"/>
          <w:szCs w:val="21"/>
          <w:highlight w:val="none"/>
        </w:rPr>
      </w:pPr>
      <w:r>
        <w:rPr>
          <w:rFonts w:hint="eastAsia" w:ascii="宋体" w:hAnsi="宋体"/>
          <w:color w:val="auto"/>
          <w:sz w:val="24"/>
          <w:highlight w:val="none"/>
        </w:rPr>
        <w:t xml:space="preserve">                                    日期：</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年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月 </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3EE5E517">
      <w:pPr>
        <w:snapToGrid w:val="0"/>
        <w:spacing w:before="120" w:beforeLines="50"/>
        <w:rPr>
          <w:rFonts w:hint="eastAsia" w:ascii="宋体" w:hAnsi="宋体"/>
          <w:color w:val="auto"/>
          <w:sz w:val="24"/>
          <w:szCs w:val="20"/>
          <w:highlight w:val="none"/>
        </w:rPr>
        <w:sectPr>
          <w:pgSz w:w="11906" w:h="16838"/>
          <w:pgMar w:top="1440" w:right="1797" w:bottom="1440" w:left="1797" w:header="851" w:footer="992" w:gutter="0"/>
          <w:cols w:space="720" w:num="1"/>
          <w:docGrid w:linePitch="312" w:charSpace="0"/>
        </w:sectPr>
      </w:pPr>
    </w:p>
    <w:p w14:paraId="14928750">
      <w:pPr>
        <w:snapToGrid w:val="0"/>
        <w:spacing w:before="120" w:beforeLines="50" w:after="50"/>
        <w:jc w:val="left"/>
        <w:outlineLvl w:val="2"/>
        <w:rPr>
          <w:rFonts w:hint="eastAsia" w:ascii="宋体" w:hAnsi="宋体"/>
          <w:b/>
          <w:color w:val="auto"/>
          <w:sz w:val="24"/>
          <w:highlight w:val="none"/>
        </w:rPr>
      </w:pPr>
      <w:r>
        <w:rPr>
          <w:rFonts w:hint="eastAsia" w:ascii="宋体" w:hAnsi="宋体"/>
          <w:b/>
          <w:color w:val="auto"/>
          <w:sz w:val="24"/>
          <w:highlight w:val="none"/>
        </w:rPr>
        <w:t>11.投标人业绩证明材料</w:t>
      </w:r>
    </w:p>
    <w:p w14:paraId="545DC760">
      <w:pPr>
        <w:pStyle w:val="34"/>
        <w:snapToGrid w:val="0"/>
        <w:ind w:left="480" w:hanging="480"/>
        <w:rPr>
          <w:rFonts w:hint="eastAsia" w:ascii="宋体" w:hAnsi="宋体"/>
          <w:color w:val="auto"/>
          <w:sz w:val="24"/>
          <w:highlight w:val="none"/>
        </w:rPr>
      </w:pPr>
    </w:p>
    <w:p w14:paraId="2CB69A5F">
      <w:pPr>
        <w:pStyle w:val="34"/>
        <w:snapToGrid w:val="0"/>
        <w:ind w:left="480" w:hanging="480"/>
        <w:rPr>
          <w:rFonts w:hint="eastAsia" w:ascii="宋体" w:hAnsi="宋体"/>
          <w:color w:val="auto"/>
          <w:sz w:val="24"/>
          <w:highlight w:val="none"/>
        </w:rPr>
      </w:pPr>
      <w:r>
        <w:rPr>
          <w:rFonts w:hint="eastAsia" w:ascii="宋体" w:hAnsi="宋体"/>
          <w:color w:val="auto"/>
          <w:sz w:val="24"/>
          <w:highlight w:val="none"/>
        </w:rPr>
        <w:t xml:space="preserve">投标人业绩情况一览表格式： </w:t>
      </w:r>
    </w:p>
    <w:tbl>
      <w:tblPr>
        <w:tblStyle w:val="47"/>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35"/>
        <w:gridCol w:w="1856"/>
        <w:gridCol w:w="1856"/>
        <w:gridCol w:w="2994"/>
      </w:tblGrid>
      <w:tr w14:paraId="6F5B5C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250" w:type="pct"/>
            <w:vMerge w:val="restart"/>
            <w:tcBorders>
              <w:top w:val="single" w:color="auto" w:sz="4" w:space="0"/>
              <w:left w:val="single" w:color="auto" w:sz="4" w:space="0"/>
              <w:bottom w:val="single" w:color="auto" w:sz="4" w:space="0"/>
              <w:right w:val="single" w:color="auto" w:sz="4" w:space="0"/>
            </w:tcBorders>
            <w:vAlign w:val="center"/>
          </w:tcPr>
          <w:p w14:paraId="744D08F3">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采购人名称</w:t>
            </w:r>
          </w:p>
        </w:tc>
        <w:tc>
          <w:tcPr>
            <w:tcW w:w="1038" w:type="pct"/>
            <w:vMerge w:val="restart"/>
            <w:tcBorders>
              <w:top w:val="single" w:color="auto" w:sz="4" w:space="0"/>
              <w:left w:val="single" w:color="auto" w:sz="4" w:space="0"/>
              <w:bottom w:val="single" w:color="auto" w:sz="4" w:space="0"/>
              <w:right w:val="single" w:color="auto" w:sz="4" w:space="0"/>
            </w:tcBorders>
            <w:vAlign w:val="center"/>
          </w:tcPr>
          <w:p w14:paraId="4A5D3555">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项目名称</w:t>
            </w:r>
          </w:p>
        </w:tc>
        <w:tc>
          <w:tcPr>
            <w:tcW w:w="1038" w:type="pct"/>
            <w:vMerge w:val="restart"/>
            <w:tcBorders>
              <w:top w:val="single" w:color="auto" w:sz="4" w:space="0"/>
              <w:left w:val="single" w:color="auto" w:sz="4" w:space="0"/>
              <w:bottom w:val="single" w:color="auto" w:sz="4" w:space="0"/>
              <w:right w:val="single" w:color="auto" w:sz="4" w:space="0"/>
            </w:tcBorders>
            <w:vAlign w:val="center"/>
          </w:tcPr>
          <w:p w14:paraId="74D3DCCF">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合同金额</w:t>
            </w:r>
          </w:p>
          <w:p w14:paraId="7ECAF6B8">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（万元）</w:t>
            </w:r>
          </w:p>
        </w:tc>
        <w:tc>
          <w:tcPr>
            <w:tcW w:w="1674" w:type="pct"/>
            <w:vMerge w:val="restart"/>
            <w:tcBorders>
              <w:top w:val="single" w:color="auto" w:sz="4" w:space="0"/>
              <w:left w:val="single" w:color="auto" w:sz="4" w:space="0"/>
              <w:bottom w:val="single" w:color="auto" w:sz="4" w:space="0"/>
              <w:right w:val="single" w:color="auto" w:sz="4" w:space="0"/>
            </w:tcBorders>
            <w:vAlign w:val="center"/>
          </w:tcPr>
          <w:p w14:paraId="4B67E50F">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采购人联系人及</w:t>
            </w:r>
          </w:p>
          <w:p w14:paraId="6BCB3FCC">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联系电话</w:t>
            </w:r>
          </w:p>
        </w:tc>
      </w:tr>
      <w:tr w14:paraId="30B052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1250" w:type="pct"/>
            <w:vMerge w:val="continue"/>
            <w:tcBorders>
              <w:top w:val="single" w:color="auto" w:sz="4" w:space="0"/>
              <w:left w:val="single" w:color="auto" w:sz="4" w:space="0"/>
              <w:bottom w:val="single" w:color="auto" w:sz="4" w:space="0"/>
              <w:right w:val="single" w:color="auto" w:sz="4" w:space="0"/>
            </w:tcBorders>
            <w:vAlign w:val="center"/>
          </w:tcPr>
          <w:p w14:paraId="1EFE9A6F">
            <w:pPr>
              <w:jc w:val="left"/>
              <w:rPr>
                <w:rFonts w:hint="eastAsia" w:ascii="宋体" w:hAnsi="宋体"/>
                <w:color w:val="auto"/>
                <w:sz w:val="24"/>
                <w:highlight w:val="none"/>
              </w:rPr>
            </w:pPr>
          </w:p>
        </w:tc>
        <w:tc>
          <w:tcPr>
            <w:tcW w:w="1038" w:type="pct"/>
            <w:vMerge w:val="continue"/>
            <w:tcBorders>
              <w:top w:val="single" w:color="auto" w:sz="4" w:space="0"/>
              <w:left w:val="single" w:color="auto" w:sz="4" w:space="0"/>
              <w:bottom w:val="single" w:color="auto" w:sz="4" w:space="0"/>
              <w:right w:val="single" w:color="auto" w:sz="4" w:space="0"/>
            </w:tcBorders>
            <w:vAlign w:val="center"/>
          </w:tcPr>
          <w:p w14:paraId="2877627A">
            <w:pPr>
              <w:jc w:val="left"/>
              <w:rPr>
                <w:rFonts w:hint="eastAsia" w:ascii="宋体" w:hAnsi="宋体"/>
                <w:color w:val="auto"/>
                <w:sz w:val="24"/>
                <w:highlight w:val="none"/>
              </w:rPr>
            </w:pPr>
          </w:p>
        </w:tc>
        <w:tc>
          <w:tcPr>
            <w:tcW w:w="1038" w:type="pct"/>
            <w:vMerge w:val="continue"/>
            <w:tcBorders>
              <w:top w:val="single" w:color="auto" w:sz="4" w:space="0"/>
              <w:left w:val="single" w:color="auto" w:sz="4" w:space="0"/>
              <w:bottom w:val="single" w:color="auto" w:sz="4" w:space="0"/>
              <w:right w:val="single" w:color="auto" w:sz="4" w:space="0"/>
            </w:tcBorders>
            <w:vAlign w:val="center"/>
          </w:tcPr>
          <w:p w14:paraId="0709A71C">
            <w:pPr>
              <w:jc w:val="left"/>
              <w:rPr>
                <w:rFonts w:hint="eastAsia" w:ascii="宋体" w:hAnsi="宋体"/>
                <w:color w:val="auto"/>
                <w:sz w:val="24"/>
                <w:highlight w:val="none"/>
              </w:rPr>
            </w:pPr>
          </w:p>
        </w:tc>
        <w:tc>
          <w:tcPr>
            <w:tcW w:w="1674" w:type="pct"/>
            <w:vMerge w:val="continue"/>
            <w:tcBorders>
              <w:top w:val="single" w:color="auto" w:sz="4" w:space="0"/>
              <w:left w:val="single" w:color="auto" w:sz="4" w:space="0"/>
              <w:bottom w:val="single" w:color="auto" w:sz="4" w:space="0"/>
              <w:right w:val="single" w:color="auto" w:sz="4" w:space="0"/>
            </w:tcBorders>
            <w:vAlign w:val="center"/>
          </w:tcPr>
          <w:p w14:paraId="185C86E9">
            <w:pPr>
              <w:jc w:val="left"/>
              <w:rPr>
                <w:rFonts w:hint="eastAsia" w:ascii="宋体" w:hAnsi="宋体"/>
                <w:color w:val="auto"/>
                <w:sz w:val="24"/>
                <w:highlight w:val="none"/>
              </w:rPr>
            </w:pPr>
          </w:p>
        </w:tc>
      </w:tr>
      <w:tr w14:paraId="0CA828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250" w:type="pct"/>
            <w:tcBorders>
              <w:top w:val="single" w:color="auto" w:sz="4" w:space="0"/>
              <w:left w:val="single" w:color="auto" w:sz="4" w:space="0"/>
              <w:bottom w:val="single" w:color="auto" w:sz="4" w:space="0"/>
              <w:right w:val="single" w:color="auto" w:sz="4" w:space="0"/>
            </w:tcBorders>
          </w:tcPr>
          <w:p w14:paraId="7764E76C">
            <w:pPr>
              <w:snapToGrid w:val="0"/>
              <w:spacing w:line="24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750F047B">
            <w:pPr>
              <w:snapToGrid w:val="0"/>
              <w:spacing w:line="24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5C2BD266">
            <w:pPr>
              <w:snapToGrid w:val="0"/>
              <w:spacing w:line="240" w:lineRule="exact"/>
              <w:jc w:val="left"/>
              <w:rPr>
                <w:rFonts w:hint="eastAsia" w:ascii="宋体" w:hAnsi="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tcPr>
          <w:p w14:paraId="18338CAB">
            <w:pPr>
              <w:snapToGrid w:val="0"/>
              <w:spacing w:line="240" w:lineRule="exact"/>
              <w:jc w:val="left"/>
              <w:rPr>
                <w:rFonts w:hint="eastAsia" w:ascii="宋体" w:hAnsi="宋体"/>
                <w:color w:val="auto"/>
                <w:sz w:val="24"/>
                <w:highlight w:val="none"/>
              </w:rPr>
            </w:pPr>
          </w:p>
        </w:tc>
      </w:tr>
      <w:tr w14:paraId="3AACDB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tcPr>
          <w:p w14:paraId="2A147F51">
            <w:pPr>
              <w:snapToGrid w:val="0"/>
              <w:spacing w:before="50" w:after="120" w:afterLines="50" w:line="40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6F651A0B">
            <w:pPr>
              <w:snapToGrid w:val="0"/>
              <w:spacing w:before="50" w:after="120" w:afterLines="50" w:line="40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14A50D1D">
            <w:pPr>
              <w:snapToGrid w:val="0"/>
              <w:spacing w:before="50" w:after="120" w:afterLines="50" w:line="400" w:lineRule="exact"/>
              <w:jc w:val="left"/>
              <w:rPr>
                <w:rFonts w:hint="eastAsia" w:ascii="宋体" w:hAnsi="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tcPr>
          <w:p w14:paraId="1AF4C16B">
            <w:pPr>
              <w:snapToGrid w:val="0"/>
              <w:spacing w:before="50" w:after="120" w:afterLines="50" w:line="400" w:lineRule="exact"/>
              <w:jc w:val="left"/>
              <w:rPr>
                <w:rFonts w:hint="eastAsia" w:ascii="宋体" w:hAnsi="宋体"/>
                <w:color w:val="auto"/>
                <w:sz w:val="24"/>
                <w:highlight w:val="none"/>
              </w:rPr>
            </w:pPr>
          </w:p>
        </w:tc>
      </w:tr>
      <w:tr w14:paraId="587A8D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250" w:type="pct"/>
            <w:tcBorders>
              <w:top w:val="single" w:color="auto" w:sz="4" w:space="0"/>
              <w:left w:val="single" w:color="auto" w:sz="4" w:space="0"/>
              <w:bottom w:val="single" w:color="auto" w:sz="4" w:space="0"/>
              <w:right w:val="single" w:color="auto" w:sz="4" w:space="0"/>
            </w:tcBorders>
          </w:tcPr>
          <w:p w14:paraId="147F987B">
            <w:pPr>
              <w:snapToGrid w:val="0"/>
              <w:spacing w:before="50" w:after="120" w:afterLines="50" w:line="40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7E0962EC">
            <w:pPr>
              <w:snapToGrid w:val="0"/>
              <w:spacing w:before="50" w:after="120" w:afterLines="50" w:line="40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4924F96F">
            <w:pPr>
              <w:snapToGrid w:val="0"/>
              <w:spacing w:before="50" w:after="120" w:afterLines="50" w:line="400" w:lineRule="exact"/>
              <w:jc w:val="left"/>
              <w:rPr>
                <w:rFonts w:hint="eastAsia" w:ascii="宋体" w:hAnsi="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tcPr>
          <w:p w14:paraId="2A820159">
            <w:pPr>
              <w:snapToGrid w:val="0"/>
              <w:spacing w:before="50" w:after="120" w:afterLines="50" w:line="400" w:lineRule="exact"/>
              <w:jc w:val="left"/>
              <w:rPr>
                <w:rFonts w:hint="eastAsia" w:ascii="宋体" w:hAnsi="宋体"/>
                <w:color w:val="auto"/>
                <w:sz w:val="24"/>
                <w:highlight w:val="none"/>
              </w:rPr>
            </w:pPr>
          </w:p>
        </w:tc>
      </w:tr>
      <w:tr w14:paraId="02C9D6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tcPr>
          <w:p w14:paraId="70A6413B">
            <w:pPr>
              <w:snapToGrid w:val="0"/>
              <w:spacing w:before="50" w:after="120" w:afterLines="50" w:line="40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35216D38">
            <w:pPr>
              <w:snapToGrid w:val="0"/>
              <w:spacing w:before="50" w:after="120" w:afterLines="50" w:line="40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5E67CFB0">
            <w:pPr>
              <w:snapToGrid w:val="0"/>
              <w:spacing w:before="50" w:after="120" w:afterLines="50" w:line="400" w:lineRule="exact"/>
              <w:jc w:val="left"/>
              <w:rPr>
                <w:rFonts w:hint="eastAsia" w:ascii="宋体" w:hAnsi="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tcPr>
          <w:p w14:paraId="4F9784AE">
            <w:pPr>
              <w:snapToGrid w:val="0"/>
              <w:spacing w:before="50" w:after="120" w:afterLines="50" w:line="400" w:lineRule="exact"/>
              <w:jc w:val="left"/>
              <w:rPr>
                <w:rFonts w:hint="eastAsia" w:ascii="宋体" w:hAnsi="宋体"/>
                <w:color w:val="auto"/>
                <w:sz w:val="24"/>
                <w:highlight w:val="none"/>
              </w:rPr>
            </w:pPr>
          </w:p>
        </w:tc>
      </w:tr>
      <w:tr w14:paraId="2EADC5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tcPr>
          <w:p w14:paraId="143ED33F">
            <w:pPr>
              <w:snapToGrid w:val="0"/>
              <w:spacing w:before="50" w:after="120" w:afterLines="50" w:line="40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493AC42C">
            <w:pPr>
              <w:snapToGrid w:val="0"/>
              <w:spacing w:before="50" w:after="120" w:afterLines="50" w:line="40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6E84A3DF">
            <w:pPr>
              <w:snapToGrid w:val="0"/>
              <w:spacing w:before="50" w:after="120" w:afterLines="50" w:line="400" w:lineRule="exact"/>
              <w:jc w:val="left"/>
              <w:rPr>
                <w:rFonts w:hint="eastAsia" w:ascii="宋体" w:hAnsi="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tcPr>
          <w:p w14:paraId="718FA4AF">
            <w:pPr>
              <w:snapToGrid w:val="0"/>
              <w:spacing w:before="50" w:after="120" w:afterLines="50" w:line="400" w:lineRule="exact"/>
              <w:jc w:val="left"/>
              <w:rPr>
                <w:rFonts w:hint="eastAsia" w:ascii="宋体" w:hAnsi="宋体"/>
                <w:color w:val="auto"/>
                <w:sz w:val="24"/>
                <w:highlight w:val="none"/>
              </w:rPr>
            </w:pPr>
          </w:p>
        </w:tc>
      </w:tr>
    </w:tbl>
    <w:p w14:paraId="5B7A2B86">
      <w:pPr>
        <w:pStyle w:val="15"/>
        <w:spacing w:before="0" w:after="0" w:line="360" w:lineRule="auto"/>
        <w:contextualSpacing/>
        <w:rPr>
          <w:rFonts w:hint="eastAsia" w:ascii="宋体" w:hAnsi="宋体" w:eastAsia="宋体"/>
          <w:color w:val="auto"/>
          <w:sz w:val="24"/>
          <w:szCs w:val="24"/>
          <w:highlight w:val="none"/>
        </w:rPr>
      </w:pPr>
    </w:p>
    <w:p w14:paraId="78E4953C">
      <w:pPr>
        <w:pStyle w:val="15"/>
        <w:spacing w:before="0" w:after="0" w:line="360" w:lineRule="auto"/>
        <w:contextualSpacing/>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注：</w:t>
      </w:r>
      <w:r>
        <w:rPr>
          <w:rFonts w:hint="eastAsia" w:ascii="宋体" w:hAnsi="宋体"/>
          <w:color w:val="auto"/>
          <w:sz w:val="24"/>
          <w:highlight w:val="none"/>
        </w:rPr>
        <w:t>投标人根据评标标准具体要求附业绩证明材料。</w:t>
      </w:r>
    </w:p>
    <w:p w14:paraId="743E0BAA">
      <w:pPr>
        <w:pStyle w:val="15"/>
        <w:spacing w:before="0" w:after="0" w:line="360" w:lineRule="auto"/>
        <w:contextualSpacing/>
        <w:jc w:val="left"/>
        <w:rPr>
          <w:rFonts w:hint="eastAsia" w:ascii="宋体" w:hAnsi="宋体" w:eastAsia="宋体"/>
          <w:color w:val="auto"/>
          <w:sz w:val="24"/>
          <w:szCs w:val="24"/>
          <w:highlight w:val="none"/>
          <w:u w:val="single"/>
        </w:rPr>
      </w:pPr>
      <w:r>
        <w:rPr>
          <w:rFonts w:hint="eastAsia" w:ascii="宋体" w:hAnsi="宋体" w:eastAsia="宋体"/>
          <w:color w:val="auto"/>
          <w:sz w:val="24"/>
          <w:szCs w:val="24"/>
          <w:highlight w:val="none"/>
        </w:rPr>
        <w:t>法定代表人或者委托代理人（签字或者电子签名）：</w:t>
      </w:r>
      <w:r>
        <w:rPr>
          <w:rFonts w:hint="eastAsia" w:ascii="宋体" w:hAnsi="宋体" w:eastAsia="宋体"/>
          <w:color w:val="auto"/>
          <w:sz w:val="24"/>
          <w:szCs w:val="24"/>
          <w:highlight w:val="none"/>
          <w:u w:val="single"/>
        </w:rPr>
        <w:t>　　　　　</w:t>
      </w:r>
    </w:p>
    <w:p w14:paraId="5D675386">
      <w:pPr>
        <w:spacing w:line="360" w:lineRule="auto"/>
        <w:ind w:left="5280" w:right="480" w:hanging="5280" w:hangingChars="2200"/>
        <w:contextualSpacing/>
        <w:jc w:val="left"/>
        <w:rPr>
          <w:rFonts w:hint="eastAsia" w:ascii="宋体" w:hAnsi="宋体"/>
          <w:color w:val="auto"/>
          <w:sz w:val="24"/>
          <w:highlight w:val="none"/>
        </w:rPr>
      </w:pPr>
      <w:r>
        <w:rPr>
          <w:rFonts w:hint="eastAsia" w:ascii="宋体" w:hAnsi="宋体" w:cs="Arial"/>
          <w:color w:val="auto"/>
          <w:sz w:val="24"/>
          <w:highlight w:val="none"/>
        </w:rPr>
        <w:t xml:space="preserve">投标人名称（电子签章）：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14:paraId="0B52761E">
      <w:pPr>
        <w:spacing w:line="360" w:lineRule="auto"/>
        <w:ind w:left="5280" w:right="480" w:hanging="5280" w:hangingChars="2200"/>
        <w:contextualSpacing/>
        <w:jc w:val="right"/>
        <w:rPr>
          <w:rFonts w:hint="eastAsia" w:ascii="宋体" w:hAnsi="宋体"/>
          <w:color w:val="auto"/>
          <w:sz w:val="24"/>
          <w:szCs w:val="20"/>
          <w:highlight w:val="none"/>
        </w:rPr>
      </w:pPr>
      <w:r>
        <w:rPr>
          <w:rFonts w:hint="eastAsia" w:ascii="宋体" w:hAnsi="宋体"/>
          <w:color w:val="auto"/>
          <w:sz w:val="24"/>
          <w:highlight w:val="none"/>
        </w:rPr>
        <w:t xml:space="preserve">   年    月    日</w:t>
      </w:r>
    </w:p>
    <w:p w14:paraId="758A0C07">
      <w:pPr>
        <w:snapToGrid w:val="0"/>
        <w:spacing w:before="120" w:beforeLines="50" w:after="50"/>
        <w:jc w:val="left"/>
        <w:outlineLvl w:val="1"/>
        <w:rPr>
          <w:b/>
          <w:color w:val="auto"/>
          <w:sz w:val="28"/>
          <w:szCs w:val="28"/>
          <w:highlight w:val="none"/>
        </w:rPr>
      </w:pPr>
      <w:r>
        <w:rPr>
          <w:rFonts w:ascii="宋体" w:hAnsi="宋体"/>
          <w:b/>
          <w:color w:val="auto"/>
          <w:sz w:val="24"/>
          <w:highlight w:val="none"/>
        </w:rPr>
        <w:br w:type="page"/>
      </w:r>
      <w:bookmarkStart w:id="161" w:name="_Toc19686840"/>
      <w:r>
        <w:rPr>
          <w:rFonts w:hint="eastAsia"/>
          <w:b/>
          <w:color w:val="auto"/>
          <w:sz w:val="28"/>
          <w:szCs w:val="28"/>
          <w:highlight w:val="none"/>
        </w:rPr>
        <w:t>四、其他文书、文件格式</w:t>
      </w:r>
      <w:bookmarkEnd w:id="161"/>
    </w:p>
    <w:p w14:paraId="4BFC4C0C">
      <w:pPr>
        <w:snapToGrid w:val="0"/>
        <w:spacing w:before="120" w:beforeLines="50" w:after="50"/>
        <w:jc w:val="left"/>
        <w:outlineLvl w:val="2"/>
        <w:rPr>
          <w:color w:val="auto"/>
          <w:highlight w:val="none"/>
        </w:rPr>
      </w:pPr>
      <w:r>
        <w:rPr>
          <w:rFonts w:hint="eastAsia" w:ascii="宋体" w:hAnsi="宋体"/>
          <w:b/>
          <w:color w:val="auto"/>
          <w:sz w:val="24"/>
          <w:highlight w:val="none"/>
        </w:rPr>
        <w:t>1.中小企业声明函格式</w:t>
      </w:r>
    </w:p>
    <w:p w14:paraId="28FE4A98">
      <w:pPr>
        <w:rPr>
          <w:color w:val="auto"/>
          <w:highlight w:val="none"/>
        </w:rPr>
      </w:pPr>
    </w:p>
    <w:p w14:paraId="3E8061B7">
      <w:pPr>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中小企业声明函（</w:t>
      </w:r>
      <w:r>
        <w:rPr>
          <w:rFonts w:hint="eastAsia" w:ascii="宋体" w:hAnsi="宋体" w:cs="宋体"/>
          <w:color w:val="auto"/>
          <w:sz w:val="44"/>
          <w:szCs w:val="44"/>
          <w:highlight w:val="none"/>
        </w:rPr>
        <w:t>服务</w:t>
      </w:r>
      <w:r>
        <w:rPr>
          <w:rFonts w:hint="eastAsia" w:ascii="方正小标宋简体" w:hAnsi="方正小标宋简体" w:eastAsia="方正小标宋简体" w:cs="方正小标宋简体"/>
          <w:color w:val="auto"/>
          <w:sz w:val="44"/>
          <w:szCs w:val="44"/>
          <w:highlight w:val="none"/>
        </w:rPr>
        <w:t>）</w:t>
      </w:r>
    </w:p>
    <w:p w14:paraId="5E3181AB">
      <w:pPr>
        <w:spacing w:before="2" w:line="500" w:lineRule="exact"/>
        <w:rPr>
          <w:rFonts w:hint="eastAsia" w:ascii="宋体" w:hAnsi="宋体" w:cs="宋体"/>
          <w:b/>
          <w:bCs/>
          <w:color w:val="auto"/>
          <w:sz w:val="24"/>
          <w:highlight w:val="none"/>
        </w:rPr>
      </w:pPr>
    </w:p>
    <w:p w14:paraId="2C48754F">
      <w:pPr>
        <w:pStyle w:val="2"/>
        <w:spacing w:line="500" w:lineRule="exact"/>
        <w:ind w:right="142" w:firstLine="480" w:firstLineChars="200"/>
        <w:rPr>
          <w:rFonts w:hint="eastAsia" w:ascii="宋体" w:hAnsi="宋体"/>
          <w:color w:val="auto"/>
          <w:highlight w:val="none"/>
        </w:rPr>
      </w:pPr>
      <w:r>
        <w:rPr>
          <w:rFonts w:ascii="宋体" w:hAnsi="宋体"/>
          <w:color w:val="auto"/>
          <w:highlight w:val="none"/>
        </w:rPr>
        <w:t>本公司（联合体）郑重声明，根据《政府采购促进中小企业发展管理办法》（财库﹝2020﹞46号）的规定，本公司（联合体）参加</w:t>
      </w:r>
      <w:r>
        <w:rPr>
          <w:rFonts w:ascii="宋体" w:hAnsi="宋体"/>
          <w:color w:val="auto"/>
          <w:highlight w:val="none"/>
          <w:u w:val="single"/>
        </w:rPr>
        <w:t>（单位名称）</w:t>
      </w:r>
      <w:r>
        <w:rPr>
          <w:rFonts w:ascii="宋体" w:hAnsi="宋体"/>
          <w:color w:val="auto"/>
          <w:highlight w:val="none"/>
        </w:rPr>
        <w:t>的</w:t>
      </w:r>
      <w:r>
        <w:rPr>
          <w:rFonts w:ascii="宋体" w:hAnsi="宋体"/>
          <w:color w:val="auto"/>
          <w:highlight w:val="none"/>
          <w:u w:val="single"/>
        </w:rPr>
        <w:t>（项目名称）</w:t>
      </w:r>
      <w:r>
        <w:rPr>
          <w:rFonts w:ascii="宋体" w:hAnsi="宋体"/>
          <w:color w:val="auto"/>
          <w:highlight w:val="none"/>
        </w:rPr>
        <w:t>采购活动，</w:t>
      </w:r>
      <w:r>
        <w:rPr>
          <w:rFonts w:hint="eastAsia" w:ascii="宋体" w:hAnsi="宋体"/>
          <w:color w:val="auto"/>
          <w:highlight w:val="none"/>
        </w:rPr>
        <w:t>服务全部由符合政策要求的中小企业承接。相关企业（含联合体中的中小企业、签订分包意向协议的中小企业）的具体情况如下：</w:t>
      </w:r>
    </w:p>
    <w:p w14:paraId="72C918A9">
      <w:pPr>
        <w:tabs>
          <w:tab w:val="left" w:pos="1384"/>
          <w:tab w:val="left" w:pos="4562"/>
          <w:tab w:val="left" w:pos="6803"/>
        </w:tabs>
        <w:spacing w:before="13" w:line="500" w:lineRule="exact"/>
        <w:ind w:right="142" w:firstLine="686" w:firstLineChars="286"/>
        <w:rPr>
          <w:rFonts w:hint="eastAsia" w:ascii="宋体" w:hAnsi="宋体"/>
          <w:color w:val="auto"/>
          <w:sz w:val="24"/>
          <w:highlight w:val="none"/>
        </w:rPr>
      </w:pPr>
      <w:r>
        <w:rPr>
          <w:rFonts w:ascii="宋体" w:hAnsi="宋体"/>
          <w:color w:val="auto"/>
          <w:sz w:val="24"/>
          <w:highlight w:val="none"/>
        </w:rPr>
        <w:t>1.</w:t>
      </w: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（采购文件中明确的所属</w:t>
      </w:r>
      <w:r>
        <w:rPr>
          <w:rFonts w:hint="eastAsia" w:ascii="宋体" w:hAnsi="宋体"/>
          <w:color w:val="auto"/>
          <w:sz w:val="24"/>
          <w:highlight w:val="none"/>
          <w:u w:val="single"/>
        </w:rPr>
        <w:t>行</w:t>
      </w:r>
      <w:r>
        <w:rPr>
          <w:rFonts w:ascii="宋体" w:hAnsi="宋体"/>
          <w:color w:val="auto"/>
          <w:sz w:val="24"/>
          <w:highlight w:val="none"/>
          <w:u w:val="single"/>
        </w:rPr>
        <w:t>业）</w:t>
      </w:r>
      <w:r>
        <w:rPr>
          <w:rFonts w:ascii="宋体" w:hAnsi="宋体"/>
          <w:color w:val="auto"/>
          <w:sz w:val="24"/>
          <w:highlight w:val="none"/>
        </w:rPr>
        <w:t>；</w:t>
      </w:r>
      <w:r>
        <w:rPr>
          <w:rFonts w:hint="eastAsia" w:ascii="宋体" w:hAnsi="宋体"/>
          <w:color w:val="auto"/>
          <w:sz w:val="24"/>
          <w:highlight w:val="none"/>
        </w:rPr>
        <w:t>承接企业为</w:t>
      </w:r>
      <w:r>
        <w:rPr>
          <w:rFonts w:hint="eastAsia" w:ascii="宋体" w:hAnsi="宋体"/>
          <w:color w:val="auto"/>
          <w:sz w:val="24"/>
          <w:highlight w:val="none"/>
          <w:u w:val="single"/>
        </w:rPr>
        <w:t>（企业名称）</w:t>
      </w:r>
      <w:r>
        <w:rPr>
          <w:rFonts w:hint="eastAsia" w:ascii="宋体" w:hAnsi="宋体"/>
          <w:color w:val="auto"/>
          <w:sz w:val="24"/>
          <w:highlight w:val="none"/>
        </w:rPr>
        <w:t>，从业人员</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人，营业收入为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万元，资产总额为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w:t>
      </w:r>
      <w:r>
        <w:rPr>
          <w:rFonts w:ascii="宋体" w:hAnsi="宋体"/>
          <w:color w:val="auto"/>
          <w:sz w:val="24"/>
          <w:highlight w:val="none"/>
        </w:rPr>
        <w:t>，属于</w:t>
      </w:r>
      <w:r>
        <w:rPr>
          <w:rFonts w:ascii="宋体" w:hAnsi="宋体"/>
          <w:color w:val="auto"/>
          <w:sz w:val="24"/>
          <w:highlight w:val="none"/>
          <w:u w:val="single"/>
        </w:rPr>
        <w:t>（中型企业、</w:t>
      </w:r>
      <w:r>
        <w:rPr>
          <w:rFonts w:hint="eastAsia" w:ascii="宋体" w:hAnsi="宋体"/>
          <w:color w:val="auto"/>
          <w:sz w:val="24"/>
          <w:highlight w:val="none"/>
          <w:u w:val="single"/>
        </w:rPr>
        <w:t>小型企业、微型企业）</w:t>
      </w:r>
      <w:r>
        <w:rPr>
          <w:rFonts w:hint="eastAsia" w:ascii="宋体" w:hAnsi="宋体"/>
          <w:color w:val="auto"/>
          <w:sz w:val="24"/>
          <w:highlight w:val="none"/>
        </w:rPr>
        <w:t>；</w:t>
      </w:r>
    </w:p>
    <w:p w14:paraId="27C3F7BE">
      <w:pPr>
        <w:tabs>
          <w:tab w:val="left" w:pos="1065"/>
          <w:tab w:val="left" w:pos="4262"/>
          <w:tab w:val="left" w:pos="6477"/>
        </w:tabs>
        <w:spacing w:before="20" w:line="500" w:lineRule="exact"/>
        <w:ind w:right="84" w:firstLine="686" w:firstLineChars="286"/>
        <w:rPr>
          <w:rFonts w:hint="eastAsia" w:ascii="宋体" w:hAnsi="宋体"/>
          <w:color w:val="auto"/>
          <w:sz w:val="24"/>
          <w:highlight w:val="none"/>
          <w:u w:val="single"/>
        </w:rPr>
      </w:pPr>
      <w:r>
        <w:rPr>
          <w:rFonts w:ascii="宋体" w:hAnsi="宋体"/>
          <w:color w:val="auto"/>
          <w:sz w:val="24"/>
          <w:highlight w:val="none"/>
        </w:rPr>
        <w:t>2.</w:t>
      </w: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（采购文件中明确的所属</w:t>
      </w:r>
      <w:r>
        <w:rPr>
          <w:rFonts w:hint="eastAsia" w:ascii="宋体" w:hAnsi="宋体"/>
          <w:color w:val="auto"/>
          <w:sz w:val="24"/>
          <w:highlight w:val="none"/>
          <w:u w:val="single"/>
        </w:rPr>
        <w:t>行业</w:t>
      </w:r>
      <w:r>
        <w:rPr>
          <w:rFonts w:ascii="宋体" w:hAnsi="宋体"/>
          <w:color w:val="auto"/>
          <w:sz w:val="24"/>
          <w:highlight w:val="none"/>
          <w:u w:val="single"/>
        </w:rPr>
        <w:t>）</w:t>
      </w:r>
      <w:r>
        <w:rPr>
          <w:rFonts w:ascii="宋体" w:hAnsi="宋体"/>
          <w:color w:val="auto"/>
          <w:sz w:val="24"/>
          <w:highlight w:val="none"/>
        </w:rPr>
        <w:t>；</w:t>
      </w:r>
      <w:r>
        <w:rPr>
          <w:rFonts w:hint="eastAsia" w:ascii="宋体" w:hAnsi="宋体"/>
          <w:color w:val="auto"/>
          <w:sz w:val="24"/>
          <w:highlight w:val="none"/>
        </w:rPr>
        <w:t>承接企业为</w:t>
      </w:r>
      <w:r>
        <w:rPr>
          <w:rFonts w:hint="eastAsia" w:ascii="宋体" w:hAnsi="宋体"/>
          <w:color w:val="auto"/>
          <w:sz w:val="24"/>
          <w:highlight w:val="none"/>
          <w:u w:val="single"/>
        </w:rPr>
        <w:t>（企业名称）</w:t>
      </w:r>
      <w:r>
        <w:rPr>
          <w:rFonts w:hint="eastAsia" w:ascii="宋体" w:hAnsi="宋体"/>
          <w:color w:val="auto"/>
          <w:sz w:val="24"/>
          <w:highlight w:val="none"/>
        </w:rPr>
        <w:t>，从业人员</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人，营业收入为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万元，资产总额为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w:t>
      </w:r>
      <w:r>
        <w:rPr>
          <w:rFonts w:ascii="宋体" w:hAnsi="宋体"/>
          <w:color w:val="auto"/>
          <w:sz w:val="24"/>
          <w:highlight w:val="none"/>
        </w:rPr>
        <w:t>，属于</w:t>
      </w:r>
      <w:r>
        <w:rPr>
          <w:rFonts w:ascii="宋体" w:hAnsi="宋体"/>
          <w:color w:val="auto"/>
          <w:sz w:val="24"/>
          <w:highlight w:val="none"/>
          <w:u w:val="single"/>
        </w:rPr>
        <w:t>（中型企业、</w:t>
      </w:r>
      <w:r>
        <w:rPr>
          <w:rFonts w:hint="eastAsia" w:ascii="宋体" w:hAnsi="宋体"/>
          <w:color w:val="auto"/>
          <w:sz w:val="24"/>
          <w:highlight w:val="none"/>
          <w:u w:val="single"/>
        </w:rPr>
        <w:t>小型企业、微型企业）</w:t>
      </w:r>
      <w:r>
        <w:rPr>
          <w:rFonts w:hint="eastAsia" w:ascii="宋体" w:hAnsi="宋体"/>
          <w:color w:val="auto"/>
          <w:sz w:val="24"/>
          <w:highlight w:val="none"/>
        </w:rPr>
        <w:t>；</w:t>
      </w:r>
    </w:p>
    <w:p w14:paraId="240400AD">
      <w:pPr>
        <w:pStyle w:val="2"/>
        <w:spacing w:before="34" w:line="500" w:lineRule="exact"/>
        <w:ind w:left="765" w:right="142" w:hanging="5"/>
        <w:rPr>
          <w:rFonts w:hint="eastAsia" w:ascii="宋体" w:hAnsi="宋体"/>
          <w:color w:val="auto"/>
          <w:highlight w:val="none"/>
        </w:rPr>
      </w:pPr>
      <w:r>
        <w:rPr>
          <w:rFonts w:ascii="宋体" w:hAnsi="宋体"/>
          <w:color w:val="auto"/>
          <w:highlight w:val="none"/>
        </w:rPr>
        <w:t xml:space="preserve">…… </w:t>
      </w:r>
    </w:p>
    <w:p w14:paraId="489ABFB8">
      <w:pPr>
        <w:pStyle w:val="2"/>
        <w:spacing w:before="34" w:line="500" w:lineRule="exact"/>
        <w:ind w:right="142" w:firstLine="480" w:firstLineChars="200"/>
        <w:rPr>
          <w:rFonts w:hint="eastAsia" w:ascii="宋体" w:hAnsi="宋体"/>
          <w:color w:val="auto"/>
          <w:highlight w:val="none"/>
        </w:rPr>
      </w:pPr>
      <w:r>
        <w:rPr>
          <w:rFonts w:ascii="宋体" w:hAnsi="宋体"/>
          <w:color w:val="auto"/>
          <w:highlight w:val="none"/>
        </w:rPr>
        <w:t>以上企业，不属于大企业的分支机构，不存在控股股东为大企业的情形，也不存在与大企业的负责人为同一人的情形。</w:t>
      </w:r>
    </w:p>
    <w:p w14:paraId="73B9CBA2">
      <w:pPr>
        <w:pStyle w:val="2"/>
        <w:spacing w:before="34" w:line="500" w:lineRule="exact"/>
        <w:ind w:right="142" w:firstLine="480" w:firstLineChars="200"/>
        <w:rPr>
          <w:rFonts w:hint="eastAsia" w:ascii="宋体" w:hAnsi="宋体"/>
          <w:color w:val="auto"/>
          <w:highlight w:val="none"/>
        </w:rPr>
      </w:pPr>
      <w:r>
        <w:rPr>
          <w:rFonts w:ascii="宋体" w:hAnsi="宋体"/>
          <w:color w:val="auto"/>
          <w:highlight w:val="none"/>
        </w:rPr>
        <w:t>本企业对上述声明内容的真实性负责。如有虚假，将依法承担相应责任。</w:t>
      </w:r>
    </w:p>
    <w:p w14:paraId="39C6053B">
      <w:pPr>
        <w:pStyle w:val="2"/>
        <w:spacing w:before="56" w:line="500" w:lineRule="exact"/>
        <w:ind w:left="3960" w:right="1808"/>
        <w:rPr>
          <w:rFonts w:hint="eastAsia" w:ascii="宋体" w:hAnsi="宋体"/>
          <w:color w:val="auto"/>
          <w:highlight w:val="none"/>
        </w:rPr>
      </w:pPr>
      <w:r>
        <w:rPr>
          <w:rFonts w:ascii="宋体" w:hAnsi="宋体"/>
          <w:color w:val="auto"/>
          <w:kern w:val="24"/>
          <w:highlight w:val="none"/>
        </w:rPr>
        <w:t>企业名称（</w:t>
      </w:r>
      <w:r>
        <w:rPr>
          <w:rFonts w:hint="eastAsia" w:ascii="宋体" w:hAnsi="宋体"/>
          <w:color w:val="auto"/>
          <w:kern w:val="24"/>
          <w:highlight w:val="none"/>
        </w:rPr>
        <w:t>电子签章</w:t>
      </w:r>
      <w:r>
        <w:rPr>
          <w:rFonts w:ascii="宋体" w:hAnsi="宋体"/>
          <w:color w:val="auto"/>
          <w:kern w:val="24"/>
          <w:highlight w:val="none"/>
        </w:rPr>
        <w:t>）：</w:t>
      </w:r>
      <w:r>
        <w:rPr>
          <w:rFonts w:ascii="宋体" w:hAnsi="宋体"/>
          <w:color w:val="auto"/>
          <w:highlight w:val="none"/>
        </w:rPr>
        <w:t xml:space="preserve"> </w:t>
      </w:r>
    </w:p>
    <w:p w14:paraId="7CC37A2D">
      <w:pPr>
        <w:pStyle w:val="2"/>
        <w:spacing w:before="56" w:line="500" w:lineRule="exact"/>
        <w:ind w:left="3960" w:right="1808"/>
        <w:rPr>
          <w:rFonts w:hint="eastAsia" w:ascii="宋体" w:hAnsi="宋体"/>
          <w:color w:val="auto"/>
          <w:highlight w:val="none"/>
        </w:rPr>
      </w:pPr>
      <w:r>
        <w:rPr>
          <w:rFonts w:ascii="宋体" w:hAnsi="宋体"/>
          <w:color w:val="auto"/>
          <w:highlight w:val="none"/>
        </w:rPr>
        <w:t>日 期：</w:t>
      </w:r>
    </w:p>
    <w:p w14:paraId="72331711">
      <w:pPr>
        <w:rPr>
          <w:rFonts w:hint="eastAsia" w:ascii="宋体" w:hAnsi="宋体"/>
          <w:color w:val="auto"/>
          <w:sz w:val="24"/>
          <w:highlight w:val="none"/>
        </w:rPr>
      </w:pPr>
      <w:r>
        <w:rPr>
          <w:rFonts w:hint="eastAsia" w:ascii="宋体" w:hAnsi="宋体"/>
          <w:color w:val="auto"/>
          <w:spacing w:val="6"/>
          <w:sz w:val="24"/>
          <w:highlight w:val="none"/>
        </w:rPr>
        <w:t xml:space="preserve"> </w:t>
      </w:r>
    </w:p>
    <w:p w14:paraId="33034853">
      <w:pPr>
        <w:ind w:firstLine="480" w:firstLineChars="200"/>
        <w:rPr>
          <w:rFonts w:hint="eastAsia" w:ascii="宋体" w:hAnsi="宋体"/>
          <w:color w:val="auto"/>
          <w:kern w:val="0"/>
          <w:sz w:val="24"/>
          <w:highlight w:val="none"/>
        </w:rPr>
      </w:pPr>
      <w:r>
        <w:rPr>
          <w:rFonts w:hint="eastAsia" w:ascii="宋体" w:hAnsi="宋体"/>
          <w:color w:val="auto"/>
          <w:kern w:val="0"/>
          <w:sz w:val="24"/>
          <w:highlight w:val="none"/>
        </w:rPr>
        <w:t>注：享受《政府采购促进中小企业发展管理办法》（财库〔2020〕46号）规定的中小企业扶持政策的，采购人、采购代理机构应当随中标结果公开中标供应商的《中小企业声明函》。从业人员、营业收入、资产总额填报上一年度数据，无上一年度数据的新成立企业可不填报。</w:t>
      </w:r>
    </w:p>
    <w:p w14:paraId="382B74CC">
      <w:pPr>
        <w:rPr>
          <w:rFonts w:hint="eastAsia" w:ascii="宋体" w:hAnsi="宋体"/>
          <w:color w:val="auto"/>
          <w:kern w:val="0"/>
          <w:sz w:val="24"/>
          <w:highlight w:val="none"/>
        </w:rPr>
      </w:pPr>
      <w:r>
        <w:rPr>
          <w:rFonts w:hint="eastAsia" w:ascii="宋体" w:hAnsi="宋体"/>
          <w:color w:val="auto"/>
          <w:kern w:val="0"/>
          <w:sz w:val="24"/>
          <w:highlight w:val="none"/>
        </w:rPr>
        <w:br w:type="page"/>
      </w:r>
    </w:p>
    <w:p w14:paraId="2D08D7CB">
      <w:pPr>
        <w:outlineLvl w:val="2"/>
        <w:rPr>
          <w:rFonts w:hint="eastAsia" w:ascii="宋体" w:hAnsi="宋体"/>
          <w:b/>
          <w:color w:val="auto"/>
          <w:sz w:val="24"/>
          <w:highlight w:val="none"/>
        </w:rPr>
      </w:pPr>
      <w:r>
        <w:rPr>
          <w:rFonts w:hint="eastAsia" w:ascii="宋体" w:hAnsi="宋体"/>
          <w:b/>
          <w:color w:val="auto"/>
          <w:sz w:val="24"/>
          <w:highlight w:val="none"/>
        </w:rPr>
        <w:t>2.残疾人福利性单位声明函格式</w:t>
      </w:r>
    </w:p>
    <w:p w14:paraId="474B60E2">
      <w:pPr>
        <w:spacing w:line="588" w:lineRule="exact"/>
        <w:jc w:val="center"/>
        <w:rPr>
          <w:rFonts w:ascii="仿宋_GB2312" w:eastAsia="仿宋_GB2312"/>
          <w:b/>
          <w:color w:val="auto"/>
          <w:spacing w:val="6"/>
          <w:sz w:val="32"/>
          <w:szCs w:val="32"/>
          <w:highlight w:val="none"/>
        </w:rPr>
      </w:pPr>
      <w:bookmarkStart w:id="162" w:name="OLE_LINK13"/>
      <w:bookmarkStart w:id="163" w:name="OLE_LINK14"/>
    </w:p>
    <w:p w14:paraId="31D0ABA6">
      <w:pPr>
        <w:spacing w:line="588" w:lineRule="exact"/>
        <w:jc w:val="center"/>
        <w:rPr>
          <w:rFonts w:hint="eastAsia" w:ascii="方正小标宋简体" w:hAnsi="方正小标宋简体" w:eastAsia="方正小标宋简体" w:cs="方正小标宋简体"/>
          <w:bCs/>
          <w:color w:val="auto"/>
          <w:spacing w:val="6"/>
          <w:sz w:val="44"/>
          <w:szCs w:val="44"/>
          <w:highlight w:val="none"/>
        </w:rPr>
      </w:pPr>
      <w:r>
        <w:rPr>
          <w:rFonts w:hint="eastAsia" w:ascii="方正小标宋简体" w:hAnsi="方正小标宋简体" w:eastAsia="方正小标宋简体" w:cs="方正小标宋简体"/>
          <w:bCs/>
          <w:color w:val="auto"/>
          <w:spacing w:val="6"/>
          <w:sz w:val="44"/>
          <w:szCs w:val="44"/>
          <w:highlight w:val="none"/>
        </w:rPr>
        <w:t>残疾人福利性单位声明函</w:t>
      </w:r>
    </w:p>
    <w:bookmarkEnd w:id="162"/>
    <w:bookmarkEnd w:id="163"/>
    <w:p w14:paraId="2D55C836">
      <w:pPr>
        <w:spacing w:line="588" w:lineRule="exact"/>
        <w:rPr>
          <w:rFonts w:ascii="仿宋_GB2312" w:eastAsia="仿宋_GB2312"/>
          <w:b/>
          <w:color w:val="auto"/>
          <w:spacing w:val="6"/>
          <w:sz w:val="30"/>
          <w:szCs w:val="30"/>
          <w:highlight w:val="none"/>
        </w:rPr>
      </w:pPr>
    </w:p>
    <w:p w14:paraId="4EEE8F57">
      <w:pPr>
        <w:spacing w:line="360" w:lineRule="auto"/>
        <w:ind w:firstLine="504" w:firstLineChars="200"/>
        <w:contextualSpacing/>
        <w:rPr>
          <w:rFonts w:hint="eastAsia" w:ascii="宋体" w:hAnsi="宋体"/>
          <w:color w:val="auto"/>
          <w:spacing w:val="6"/>
          <w:sz w:val="24"/>
          <w:highlight w:val="none"/>
        </w:rPr>
      </w:pPr>
      <w:r>
        <w:rPr>
          <w:rFonts w:hint="eastAsia" w:ascii="宋体" w:hAnsi="宋体"/>
          <w:color w:val="auto"/>
          <w:spacing w:val="6"/>
          <w:sz w:val="24"/>
          <w:highlight w:val="none"/>
        </w:rPr>
        <w:t>本单位郑重声明，根据《财政部 民政部 中国残疾人联合会关于促进残疾人就业政府采购政策的通知》（财库</w:t>
      </w:r>
      <w:r>
        <w:rPr>
          <w:rFonts w:hint="eastAsia" w:ascii="宋体" w:hAnsi="宋体"/>
          <w:color w:val="auto"/>
          <w:spacing w:val="6"/>
          <w:sz w:val="24"/>
          <w:highlight w:val="none"/>
          <w:lang w:eastAsia="zh-CN"/>
        </w:rPr>
        <w:t>〔2017〕141号</w:t>
      </w:r>
      <w:r>
        <w:rPr>
          <w:rFonts w:hint="eastAsia" w:ascii="宋体" w:hAnsi="宋体"/>
          <w:color w:val="auto"/>
          <w:spacing w:val="6"/>
          <w:sz w:val="24"/>
          <w:highlight w:val="none"/>
        </w:rPr>
        <w:t>）的规定，本单位为符合条件的残疾人福利性单位，且本单位参加______单位的______项目采购活动提供本单位制造的货物（由本单位承担工程/提供服务），或者提供其他残</w:t>
      </w:r>
      <w:r>
        <w:rPr>
          <w:rFonts w:hint="eastAsia" w:ascii="宋体" w:hAnsi="宋体"/>
          <w:color w:val="auto"/>
          <w:spacing w:val="-6"/>
          <w:sz w:val="24"/>
          <w:highlight w:val="none"/>
        </w:rPr>
        <w:t>疾人福利性单位制造的货物（不包括使用非残疾人福利性单位注册商标的货物）。</w:t>
      </w:r>
    </w:p>
    <w:p w14:paraId="30FDE0A3">
      <w:pPr>
        <w:spacing w:line="360" w:lineRule="auto"/>
        <w:ind w:firstLine="504" w:firstLineChars="200"/>
        <w:contextualSpacing/>
        <w:rPr>
          <w:rFonts w:hint="eastAsia" w:ascii="宋体" w:hAnsi="宋体"/>
          <w:color w:val="auto"/>
          <w:spacing w:val="6"/>
          <w:sz w:val="24"/>
          <w:highlight w:val="none"/>
        </w:rPr>
      </w:pPr>
      <w:r>
        <w:rPr>
          <w:rFonts w:hint="eastAsia" w:ascii="宋体" w:hAnsi="宋体"/>
          <w:color w:val="auto"/>
          <w:spacing w:val="6"/>
          <w:sz w:val="24"/>
          <w:highlight w:val="none"/>
        </w:rPr>
        <w:t>本单位对上述声明的真实性负责。如有虚假，将依法承担相应责任。</w:t>
      </w:r>
    </w:p>
    <w:p w14:paraId="169F9380">
      <w:pPr>
        <w:spacing w:line="360" w:lineRule="auto"/>
        <w:ind w:firstLine="504" w:firstLineChars="200"/>
        <w:contextualSpacing/>
        <w:rPr>
          <w:rFonts w:hint="eastAsia" w:ascii="宋体" w:hAnsi="宋体"/>
          <w:color w:val="auto"/>
          <w:spacing w:val="6"/>
          <w:sz w:val="24"/>
          <w:highlight w:val="none"/>
        </w:rPr>
      </w:pPr>
    </w:p>
    <w:p w14:paraId="02EA5784">
      <w:pPr>
        <w:spacing w:line="360" w:lineRule="auto"/>
        <w:ind w:firstLine="504" w:firstLineChars="200"/>
        <w:contextualSpacing/>
        <w:rPr>
          <w:rFonts w:hint="eastAsia" w:ascii="宋体" w:hAnsi="宋体"/>
          <w:color w:val="auto"/>
          <w:spacing w:val="6"/>
          <w:sz w:val="24"/>
          <w:highlight w:val="none"/>
        </w:rPr>
      </w:pPr>
    </w:p>
    <w:p w14:paraId="732C1766">
      <w:pPr>
        <w:tabs>
          <w:tab w:val="left" w:pos="4860"/>
        </w:tabs>
        <w:spacing w:line="360" w:lineRule="auto"/>
        <w:ind w:right="1560" w:firstLine="504" w:firstLineChars="200"/>
        <w:contextualSpacing/>
        <w:jc w:val="center"/>
        <w:rPr>
          <w:rFonts w:hint="eastAsia" w:ascii="宋体" w:hAnsi="宋体"/>
          <w:color w:val="auto"/>
          <w:spacing w:val="6"/>
          <w:sz w:val="24"/>
          <w:highlight w:val="none"/>
        </w:rPr>
      </w:pPr>
      <w:r>
        <w:rPr>
          <w:rFonts w:hint="eastAsia" w:ascii="宋体" w:hAnsi="宋体"/>
          <w:color w:val="auto"/>
          <w:spacing w:val="6"/>
          <w:sz w:val="24"/>
          <w:highlight w:val="none"/>
        </w:rPr>
        <w:t>单位名称（电子签章）：</w:t>
      </w:r>
    </w:p>
    <w:p w14:paraId="7D8AA9F3">
      <w:pPr>
        <w:tabs>
          <w:tab w:val="left" w:pos="4860"/>
        </w:tabs>
        <w:spacing w:line="360" w:lineRule="auto"/>
        <w:ind w:right="1560" w:firstLine="504" w:firstLineChars="200"/>
        <w:contextualSpacing/>
        <w:jc w:val="center"/>
        <w:rPr>
          <w:rFonts w:hint="eastAsia" w:ascii="宋体" w:hAnsi="宋体"/>
          <w:color w:val="auto"/>
          <w:spacing w:val="6"/>
          <w:sz w:val="24"/>
          <w:highlight w:val="none"/>
        </w:rPr>
      </w:pPr>
      <w:r>
        <w:rPr>
          <w:rFonts w:hint="eastAsia" w:ascii="宋体" w:hAnsi="宋体"/>
          <w:color w:val="auto"/>
          <w:spacing w:val="6"/>
          <w:sz w:val="24"/>
          <w:highlight w:val="none"/>
        </w:rPr>
        <w:t>日  期：</w:t>
      </w:r>
    </w:p>
    <w:p w14:paraId="4BA6D6D2">
      <w:pPr>
        <w:spacing w:line="360" w:lineRule="auto"/>
        <w:contextualSpacing/>
        <w:rPr>
          <w:rFonts w:hint="eastAsia" w:ascii="宋体" w:hAnsi="宋体"/>
          <w:color w:val="auto"/>
          <w:sz w:val="24"/>
          <w:highlight w:val="none"/>
        </w:rPr>
      </w:pPr>
    </w:p>
    <w:p w14:paraId="5A8C26C1">
      <w:pPr>
        <w:spacing w:line="360" w:lineRule="auto"/>
        <w:contextualSpacing/>
        <w:rPr>
          <w:rFonts w:hint="eastAsia" w:ascii="宋体" w:hAnsi="宋体"/>
          <w:color w:val="auto"/>
          <w:sz w:val="24"/>
          <w:highlight w:val="none"/>
        </w:rPr>
      </w:pPr>
    </w:p>
    <w:p w14:paraId="4DB7AC9A">
      <w:pPr>
        <w:spacing w:line="360" w:lineRule="auto"/>
        <w:contextualSpacing/>
        <w:rPr>
          <w:rFonts w:hint="eastAsia" w:ascii="宋体" w:hAnsi="宋体"/>
          <w:color w:val="auto"/>
          <w:sz w:val="24"/>
          <w:highlight w:val="none"/>
        </w:rPr>
      </w:pPr>
    </w:p>
    <w:p w14:paraId="1A657EC4">
      <w:pPr>
        <w:spacing w:line="360" w:lineRule="auto"/>
        <w:contextualSpacing/>
        <w:rPr>
          <w:rFonts w:hint="eastAsia" w:ascii="宋体" w:hAnsi="宋体"/>
          <w:color w:val="auto"/>
          <w:sz w:val="24"/>
          <w:highlight w:val="none"/>
        </w:rPr>
      </w:pPr>
      <w:r>
        <w:rPr>
          <w:rFonts w:hint="eastAsia" w:ascii="宋体" w:hAnsi="宋体"/>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42BCF17B">
      <w:pPr>
        <w:rPr>
          <w:rFonts w:hint="eastAsia" w:ascii="宋体" w:hAnsi="宋体"/>
          <w:color w:val="auto"/>
          <w:sz w:val="24"/>
          <w:highlight w:val="none"/>
        </w:rPr>
      </w:pPr>
      <w:r>
        <w:rPr>
          <w:rFonts w:ascii="宋体" w:hAnsi="宋体"/>
          <w:color w:val="auto"/>
          <w:sz w:val="24"/>
          <w:highlight w:val="none"/>
        </w:rPr>
        <w:br w:type="page"/>
      </w:r>
    </w:p>
    <w:p w14:paraId="6588D213">
      <w:pPr>
        <w:spacing w:line="360" w:lineRule="auto"/>
        <w:jc w:val="left"/>
        <w:outlineLvl w:val="2"/>
        <w:rPr>
          <w:rFonts w:hint="eastAsia" w:ascii="宋体" w:hAnsi="宋体"/>
          <w:b/>
          <w:bCs/>
          <w:color w:val="auto"/>
          <w:sz w:val="32"/>
          <w:szCs w:val="32"/>
          <w:highlight w:val="none"/>
        </w:rPr>
      </w:pPr>
      <w:r>
        <w:rPr>
          <w:rFonts w:hint="eastAsia" w:ascii="宋体" w:hAnsi="宋体"/>
          <w:b/>
          <w:color w:val="auto"/>
          <w:sz w:val="24"/>
          <w:highlight w:val="none"/>
        </w:rPr>
        <w:t>3.质疑函（格式）</w:t>
      </w:r>
    </w:p>
    <w:p w14:paraId="4CF00D4D">
      <w:pPr>
        <w:spacing w:line="360" w:lineRule="auto"/>
        <w:jc w:val="center"/>
        <w:rPr>
          <w:rFonts w:hint="eastAsia" w:ascii="方正小标宋简体" w:hAnsi="方正小标宋简体" w:eastAsia="方正小标宋简体" w:cs="方正小标宋简体"/>
          <w:color w:val="auto"/>
          <w:sz w:val="44"/>
          <w:szCs w:val="44"/>
          <w:highlight w:val="none"/>
        </w:rPr>
      </w:pPr>
      <w:r>
        <w:rPr>
          <w:rFonts w:hint="eastAsia" w:ascii="宋体" w:hAnsi="宋体" w:cs="宋体"/>
          <w:color w:val="auto"/>
          <w:sz w:val="44"/>
          <w:szCs w:val="44"/>
          <w:highlight w:val="none"/>
        </w:rPr>
        <w:t>质疑函</w:t>
      </w:r>
      <w:r>
        <w:rPr>
          <w:rFonts w:hint="eastAsia" w:ascii="方正小标宋简体" w:hAnsi="方正小标宋简体" w:eastAsia="方正小标宋简体" w:cs="方正小标宋简体"/>
          <w:color w:val="auto"/>
          <w:sz w:val="44"/>
          <w:szCs w:val="44"/>
          <w:highlight w:val="none"/>
        </w:rPr>
        <w:t>（</w:t>
      </w:r>
      <w:r>
        <w:rPr>
          <w:rFonts w:hint="eastAsia" w:ascii="宋体" w:hAnsi="宋体" w:cs="宋体"/>
          <w:color w:val="auto"/>
          <w:sz w:val="44"/>
          <w:szCs w:val="44"/>
          <w:highlight w:val="none"/>
        </w:rPr>
        <w:t>格式</w:t>
      </w:r>
      <w:r>
        <w:rPr>
          <w:rFonts w:hint="eastAsia" w:ascii="方正小标宋简体" w:hAnsi="方正小标宋简体" w:eastAsia="方正小标宋简体" w:cs="方正小标宋简体"/>
          <w:color w:val="auto"/>
          <w:sz w:val="44"/>
          <w:szCs w:val="44"/>
          <w:highlight w:val="none"/>
        </w:rPr>
        <w:t>）</w:t>
      </w:r>
    </w:p>
    <w:p w14:paraId="303B1A1E">
      <w:pPr>
        <w:pStyle w:val="24"/>
        <w:snapToGrid w:val="0"/>
        <w:spacing w:line="360" w:lineRule="auto"/>
        <w:ind w:firstLine="482" w:firstLineChars="200"/>
        <w:rPr>
          <w:rFonts w:hint="eastAsia" w:hAnsi="宋体"/>
          <w:b/>
          <w:bCs/>
          <w:color w:val="auto"/>
          <w:sz w:val="24"/>
          <w:szCs w:val="24"/>
          <w:highlight w:val="none"/>
        </w:rPr>
      </w:pPr>
      <w:r>
        <w:rPr>
          <w:rFonts w:hint="eastAsia" w:hAnsi="宋体"/>
          <w:b/>
          <w:bCs/>
          <w:color w:val="auto"/>
          <w:sz w:val="24"/>
          <w:szCs w:val="24"/>
          <w:highlight w:val="none"/>
        </w:rPr>
        <w:t>一、质疑供应商基本信息：</w:t>
      </w:r>
    </w:p>
    <w:p w14:paraId="6665ADE3">
      <w:pPr>
        <w:pStyle w:val="24"/>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质疑供应商：</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65CCD81F">
      <w:pPr>
        <w:pStyle w:val="24"/>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7E8C045C">
      <w:pPr>
        <w:pStyle w:val="24"/>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联系人</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联系电话</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5C903B3A">
      <w:pPr>
        <w:pStyle w:val="24"/>
        <w:snapToGrid w:val="0"/>
        <w:spacing w:line="360" w:lineRule="auto"/>
        <w:ind w:firstLine="480" w:firstLineChars="200"/>
        <w:rPr>
          <w:rFonts w:hint="eastAsia" w:hAnsi="宋体"/>
          <w:bCs/>
          <w:color w:val="auto"/>
          <w:sz w:val="24"/>
          <w:szCs w:val="24"/>
          <w:highlight w:val="none"/>
        </w:rPr>
      </w:pPr>
      <w:r>
        <w:rPr>
          <w:rFonts w:hint="eastAsia" w:hAnsi="宋体"/>
          <w:bCs/>
          <w:color w:val="auto"/>
          <w:sz w:val="24"/>
          <w:szCs w:val="24"/>
          <w:highlight w:val="none"/>
        </w:rPr>
        <w:t>授权代表：</w:t>
      </w:r>
      <w:r>
        <w:rPr>
          <w:rFonts w:hint="eastAsia" w:hAnsi="宋体"/>
          <w:bCs/>
          <w:color w:val="auto"/>
          <w:sz w:val="24"/>
          <w:szCs w:val="24"/>
          <w:highlight w:val="none"/>
          <w:u w:val="single"/>
        </w:rPr>
        <w:t xml:space="preserve">                      </w:t>
      </w:r>
    </w:p>
    <w:p w14:paraId="243CF903">
      <w:pPr>
        <w:pStyle w:val="24"/>
        <w:snapToGrid w:val="0"/>
        <w:spacing w:line="360" w:lineRule="auto"/>
        <w:ind w:firstLine="480" w:firstLineChars="200"/>
        <w:rPr>
          <w:rFonts w:hint="eastAsia" w:hAnsi="宋体"/>
          <w:bCs/>
          <w:color w:val="auto"/>
          <w:sz w:val="24"/>
          <w:szCs w:val="24"/>
          <w:highlight w:val="none"/>
          <w:u w:val="single"/>
        </w:rPr>
      </w:pP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5229B2DE">
      <w:pPr>
        <w:pStyle w:val="24"/>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24BFD321">
      <w:pPr>
        <w:pStyle w:val="24"/>
        <w:snapToGrid w:val="0"/>
        <w:spacing w:line="360" w:lineRule="auto"/>
        <w:ind w:firstLine="482" w:firstLineChars="200"/>
        <w:rPr>
          <w:rFonts w:hint="eastAsia" w:hAnsi="宋体"/>
          <w:b/>
          <w:bCs/>
          <w:color w:val="auto"/>
          <w:sz w:val="24"/>
          <w:szCs w:val="24"/>
          <w:highlight w:val="none"/>
        </w:rPr>
      </w:pPr>
      <w:r>
        <w:rPr>
          <w:rFonts w:hint="eastAsia" w:hAnsi="宋体"/>
          <w:b/>
          <w:bCs/>
          <w:color w:val="auto"/>
          <w:sz w:val="24"/>
          <w:szCs w:val="24"/>
          <w:highlight w:val="none"/>
        </w:rPr>
        <w:t>二、质疑项目基本情况：</w:t>
      </w:r>
    </w:p>
    <w:p w14:paraId="6E1362B7">
      <w:pPr>
        <w:pStyle w:val="24"/>
        <w:spacing w:line="360" w:lineRule="auto"/>
        <w:ind w:left="25" w:leftChars="12" w:firstLine="472" w:firstLineChars="197"/>
        <w:rPr>
          <w:rFonts w:hint="eastAsia"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项目的名称：</w:t>
      </w:r>
      <w:r>
        <w:rPr>
          <w:rFonts w:hint="eastAsia" w:hAnsi="宋体"/>
          <w:bCs/>
          <w:color w:val="auto"/>
          <w:sz w:val="24"/>
          <w:szCs w:val="24"/>
          <w:highlight w:val="none"/>
          <w:u w:val="single"/>
        </w:rPr>
        <w:t xml:space="preserve">                                     </w:t>
      </w:r>
    </w:p>
    <w:p w14:paraId="78BEFC7D">
      <w:pPr>
        <w:pStyle w:val="24"/>
        <w:spacing w:line="360" w:lineRule="auto"/>
        <w:ind w:left="25" w:leftChars="12" w:firstLine="472" w:firstLineChars="197"/>
        <w:rPr>
          <w:rFonts w:hint="eastAsia"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项目的编号：</w:t>
      </w:r>
      <w:r>
        <w:rPr>
          <w:rFonts w:hint="eastAsia" w:hAnsi="宋体"/>
          <w:bCs/>
          <w:color w:val="auto"/>
          <w:sz w:val="24"/>
          <w:szCs w:val="24"/>
          <w:highlight w:val="none"/>
          <w:u w:val="single"/>
        </w:rPr>
        <w:t xml:space="preserve">                                     </w:t>
      </w:r>
    </w:p>
    <w:p w14:paraId="51E94AE9">
      <w:pPr>
        <w:pStyle w:val="24"/>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采购人名称：</w:t>
      </w:r>
      <w:r>
        <w:rPr>
          <w:rFonts w:hint="eastAsia" w:hAnsi="宋体"/>
          <w:bCs/>
          <w:color w:val="auto"/>
          <w:sz w:val="24"/>
          <w:szCs w:val="24"/>
          <w:highlight w:val="none"/>
          <w:u w:val="single"/>
        </w:rPr>
        <w:t xml:space="preserve">                                         </w:t>
      </w:r>
    </w:p>
    <w:p w14:paraId="7DEB9E17">
      <w:pPr>
        <w:pStyle w:val="24"/>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质疑事项：</w:t>
      </w:r>
    </w:p>
    <w:p w14:paraId="531CC334">
      <w:pPr>
        <w:pStyle w:val="24"/>
        <w:spacing w:line="360" w:lineRule="auto"/>
        <w:ind w:left="25" w:leftChars="12" w:firstLine="352" w:firstLineChars="147"/>
        <w:rPr>
          <w:rFonts w:hint="eastAsia" w:hAnsi="宋体"/>
          <w:color w:val="auto"/>
          <w:sz w:val="24"/>
          <w:szCs w:val="24"/>
          <w:highlight w:val="none"/>
        </w:rPr>
      </w:pPr>
      <w:r>
        <w:rPr>
          <w:rFonts w:hint="eastAsia" w:hAnsi="宋体"/>
          <w:color w:val="auto"/>
          <w:sz w:val="24"/>
          <w:szCs w:val="24"/>
          <w:highlight w:val="none"/>
        </w:rPr>
        <w:t>□招标文件   招标文件获取日期：</w:t>
      </w:r>
      <w:r>
        <w:rPr>
          <w:rFonts w:hint="eastAsia" w:hAnsi="宋体"/>
          <w:bCs/>
          <w:color w:val="auto"/>
          <w:sz w:val="24"/>
          <w:szCs w:val="24"/>
          <w:highlight w:val="none"/>
          <w:u w:val="single"/>
        </w:rPr>
        <w:t xml:space="preserve">                                   </w:t>
      </w:r>
    </w:p>
    <w:p w14:paraId="11797CA2">
      <w:pPr>
        <w:pStyle w:val="24"/>
        <w:spacing w:line="360" w:lineRule="auto"/>
        <w:ind w:left="25" w:leftChars="12" w:firstLine="352" w:firstLineChars="147"/>
        <w:rPr>
          <w:rFonts w:hint="eastAsia" w:hAnsi="宋体"/>
          <w:color w:val="auto"/>
          <w:sz w:val="24"/>
          <w:szCs w:val="24"/>
          <w:highlight w:val="none"/>
        </w:rPr>
      </w:pPr>
      <w:r>
        <w:rPr>
          <w:rFonts w:hint="eastAsia" w:hAnsi="宋体"/>
          <w:color w:val="auto"/>
          <w:sz w:val="24"/>
          <w:szCs w:val="24"/>
          <w:highlight w:val="none"/>
        </w:rPr>
        <w:t xml:space="preserve">□招标过程   </w:t>
      </w:r>
    </w:p>
    <w:p w14:paraId="7CAF050D">
      <w:pPr>
        <w:pStyle w:val="24"/>
        <w:spacing w:line="360" w:lineRule="auto"/>
        <w:ind w:left="25" w:leftChars="12" w:firstLine="352" w:firstLineChars="147"/>
        <w:rPr>
          <w:rFonts w:hint="eastAsia" w:hAnsi="宋体"/>
          <w:bCs/>
          <w:color w:val="auto"/>
          <w:sz w:val="24"/>
          <w:szCs w:val="24"/>
          <w:highlight w:val="none"/>
          <w:u w:val="single"/>
        </w:rPr>
      </w:pPr>
      <w:r>
        <w:rPr>
          <w:rFonts w:hint="eastAsia" w:hAnsi="宋体"/>
          <w:color w:val="auto"/>
          <w:sz w:val="24"/>
          <w:szCs w:val="24"/>
          <w:highlight w:val="none"/>
        </w:rPr>
        <w:t xml:space="preserve">□招标结果   </w:t>
      </w:r>
    </w:p>
    <w:p w14:paraId="6161B862">
      <w:pPr>
        <w:pStyle w:val="24"/>
        <w:spacing w:line="360" w:lineRule="auto"/>
        <w:ind w:left="25" w:leftChars="12" w:firstLine="472" w:firstLineChars="196"/>
        <w:rPr>
          <w:rFonts w:hint="eastAsia" w:hAnsi="宋体"/>
          <w:b/>
          <w:color w:val="auto"/>
          <w:sz w:val="24"/>
          <w:szCs w:val="24"/>
          <w:highlight w:val="none"/>
        </w:rPr>
      </w:pPr>
      <w:r>
        <w:rPr>
          <w:rFonts w:hint="eastAsia" w:hAnsi="宋体"/>
          <w:b/>
          <w:color w:val="auto"/>
          <w:sz w:val="24"/>
          <w:szCs w:val="24"/>
          <w:highlight w:val="none"/>
        </w:rPr>
        <w:t>三、质疑事项具体内容</w:t>
      </w:r>
    </w:p>
    <w:p w14:paraId="7CEB80C2">
      <w:pPr>
        <w:pStyle w:val="24"/>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质疑事项1：</w:t>
      </w:r>
      <w:r>
        <w:rPr>
          <w:rFonts w:hint="eastAsia" w:hAnsi="宋体"/>
          <w:bCs/>
          <w:color w:val="auto"/>
          <w:sz w:val="24"/>
          <w:szCs w:val="24"/>
          <w:highlight w:val="none"/>
          <w:u w:val="single"/>
        </w:rPr>
        <w:t xml:space="preserve">                                                                    </w:t>
      </w:r>
    </w:p>
    <w:p w14:paraId="71B787A9">
      <w:pPr>
        <w:pStyle w:val="24"/>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事实依据：</w:t>
      </w:r>
      <w:r>
        <w:rPr>
          <w:rFonts w:hint="eastAsia" w:hAnsi="宋体"/>
          <w:bCs/>
          <w:color w:val="auto"/>
          <w:sz w:val="24"/>
          <w:szCs w:val="24"/>
          <w:highlight w:val="none"/>
          <w:u w:val="single"/>
        </w:rPr>
        <w:t xml:space="preserve">                                                                      </w:t>
      </w:r>
    </w:p>
    <w:p w14:paraId="28DC61E5">
      <w:pPr>
        <w:pStyle w:val="24"/>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法律依据：</w:t>
      </w:r>
      <w:r>
        <w:rPr>
          <w:rFonts w:hint="eastAsia" w:hAnsi="宋体"/>
          <w:color w:val="auto"/>
          <w:sz w:val="24"/>
          <w:szCs w:val="24"/>
          <w:highlight w:val="none"/>
          <w:u w:val="single"/>
        </w:rPr>
        <w:t xml:space="preserve">                                                        </w:t>
      </w:r>
      <w:r>
        <w:rPr>
          <w:rFonts w:hint="eastAsia" w:hAnsi="宋体"/>
          <w:bCs/>
          <w:color w:val="auto"/>
          <w:sz w:val="24"/>
          <w:szCs w:val="24"/>
          <w:highlight w:val="none"/>
          <w:u w:val="single"/>
        </w:rPr>
        <w:t xml:space="preserve">               </w:t>
      </w:r>
    </w:p>
    <w:p w14:paraId="29A45FA4">
      <w:pPr>
        <w:pStyle w:val="24"/>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质疑事项2</w:t>
      </w:r>
    </w:p>
    <w:p w14:paraId="21F5DB11">
      <w:pPr>
        <w:pStyle w:val="24"/>
        <w:spacing w:line="360" w:lineRule="auto"/>
        <w:ind w:left="25" w:leftChars="12" w:firstLine="472" w:firstLineChars="197"/>
        <w:rPr>
          <w:rFonts w:hint="eastAsia" w:hAnsi="宋体"/>
          <w:color w:val="auto"/>
          <w:sz w:val="24"/>
          <w:szCs w:val="24"/>
          <w:highlight w:val="none"/>
        </w:rPr>
      </w:pPr>
      <w:r>
        <w:rPr>
          <w:rFonts w:hAnsi="宋体"/>
          <w:color w:val="auto"/>
          <w:sz w:val="24"/>
          <w:szCs w:val="24"/>
          <w:highlight w:val="none"/>
        </w:rPr>
        <w:t>……</w:t>
      </w:r>
    </w:p>
    <w:p w14:paraId="6FE1CF66">
      <w:pPr>
        <w:pStyle w:val="24"/>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四、与质疑事项相关的质疑请求：</w:t>
      </w:r>
    </w:p>
    <w:p w14:paraId="44DE6D0C">
      <w:pPr>
        <w:pStyle w:val="24"/>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请求：</w:t>
      </w:r>
      <w:r>
        <w:rPr>
          <w:rFonts w:hint="eastAsia" w:hAnsi="宋体"/>
          <w:bCs/>
          <w:color w:val="auto"/>
          <w:sz w:val="24"/>
          <w:szCs w:val="24"/>
          <w:highlight w:val="none"/>
          <w:u w:val="single"/>
        </w:rPr>
        <w:t xml:space="preserve">                                                                </w:t>
      </w:r>
    </w:p>
    <w:p w14:paraId="240A3BE7">
      <w:pPr>
        <w:pStyle w:val="24"/>
        <w:spacing w:line="360" w:lineRule="auto"/>
        <w:ind w:left="25" w:leftChars="12" w:firstLine="352" w:firstLineChars="147"/>
        <w:rPr>
          <w:rFonts w:hint="eastAsia" w:hAnsi="宋体"/>
          <w:color w:val="auto"/>
          <w:sz w:val="24"/>
          <w:szCs w:val="24"/>
          <w:highlight w:val="none"/>
        </w:rPr>
      </w:pPr>
    </w:p>
    <w:p w14:paraId="37A8DEE4">
      <w:pPr>
        <w:pStyle w:val="24"/>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签字（签章）：                                       公章：</w:t>
      </w:r>
    </w:p>
    <w:p w14:paraId="647B9FBA">
      <w:pPr>
        <w:pStyle w:val="24"/>
        <w:spacing w:line="360" w:lineRule="auto"/>
        <w:ind w:left="25" w:leftChars="12" w:firstLine="352" w:firstLineChars="147"/>
        <w:rPr>
          <w:rFonts w:hint="eastAsia" w:hAnsi="宋体"/>
          <w:color w:val="auto"/>
          <w:sz w:val="24"/>
          <w:szCs w:val="24"/>
          <w:highlight w:val="none"/>
        </w:rPr>
      </w:pPr>
    </w:p>
    <w:p w14:paraId="75AB86AC">
      <w:pPr>
        <w:pStyle w:val="24"/>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日期：</w:t>
      </w:r>
    </w:p>
    <w:p w14:paraId="505A6819">
      <w:pPr>
        <w:pStyle w:val="24"/>
        <w:snapToGrid w:val="0"/>
        <w:spacing w:line="360" w:lineRule="auto"/>
        <w:rPr>
          <w:rFonts w:hint="eastAsia" w:hAnsi="宋体"/>
          <w:b/>
          <w:color w:val="auto"/>
          <w:sz w:val="24"/>
          <w:szCs w:val="24"/>
          <w:highlight w:val="none"/>
        </w:rPr>
      </w:pPr>
    </w:p>
    <w:p w14:paraId="37586B69">
      <w:pPr>
        <w:pStyle w:val="24"/>
        <w:snapToGrid w:val="0"/>
        <w:spacing w:line="360" w:lineRule="auto"/>
        <w:rPr>
          <w:rFonts w:hint="eastAsia" w:hAnsi="宋体"/>
          <w:b/>
          <w:color w:val="auto"/>
          <w:sz w:val="24"/>
          <w:szCs w:val="24"/>
          <w:highlight w:val="none"/>
        </w:rPr>
      </w:pPr>
      <w:r>
        <w:rPr>
          <w:rFonts w:hint="eastAsia" w:hAnsi="宋体"/>
          <w:b/>
          <w:color w:val="auto"/>
          <w:sz w:val="24"/>
          <w:szCs w:val="24"/>
          <w:highlight w:val="none"/>
        </w:rPr>
        <w:t>说明：</w:t>
      </w:r>
    </w:p>
    <w:p w14:paraId="561D7D4D">
      <w:pPr>
        <w:pStyle w:val="24"/>
        <w:spacing w:line="360" w:lineRule="auto"/>
        <w:ind w:left="25" w:leftChars="12" w:firstLine="354" w:firstLineChars="147"/>
        <w:rPr>
          <w:rFonts w:hint="eastAsia" w:hAnsi="宋体"/>
          <w:b/>
          <w:bCs/>
          <w:color w:val="auto"/>
          <w:sz w:val="24"/>
          <w:szCs w:val="24"/>
          <w:highlight w:val="none"/>
        </w:rPr>
      </w:pPr>
      <w:r>
        <w:rPr>
          <w:rFonts w:hint="eastAsia" w:hAnsi="宋体"/>
          <w:b/>
          <w:color w:val="auto"/>
          <w:sz w:val="24"/>
          <w:szCs w:val="24"/>
          <w:highlight w:val="none"/>
        </w:rPr>
        <w:t>1.供应商提出质疑时，应提交质疑函和必要的证明材料</w:t>
      </w:r>
      <w:r>
        <w:rPr>
          <w:rFonts w:hint="eastAsia" w:hAnsi="宋体"/>
          <w:b/>
          <w:bCs/>
          <w:color w:val="auto"/>
          <w:sz w:val="24"/>
          <w:szCs w:val="24"/>
          <w:highlight w:val="none"/>
        </w:rPr>
        <w:t>。</w:t>
      </w:r>
    </w:p>
    <w:p w14:paraId="445CCADD">
      <w:pPr>
        <w:pStyle w:val="24"/>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36DF5C99">
      <w:pPr>
        <w:pStyle w:val="24"/>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3.质疑函的质疑事项应具体、明确，并有必要的事实依据和法律依据。</w:t>
      </w:r>
    </w:p>
    <w:p w14:paraId="31F02B08">
      <w:pPr>
        <w:pStyle w:val="24"/>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4.质疑函的质疑请求应与质疑事项相关。</w:t>
      </w:r>
    </w:p>
    <w:p w14:paraId="65AF9664">
      <w:pPr>
        <w:pStyle w:val="24"/>
        <w:spacing w:line="360" w:lineRule="auto"/>
        <w:ind w:left="25" w:leftChars="12" w:firstLine="354" w:firstLineChars="147"/>
        <w:rPr>
          <w:rFonts w:hint="eastAsia" w:hAnsi="宋体"/>
          <w:b/>
          <w:color w:val="auto"/>
          <w:highlight w:val="none"/>
        </w:rPr>
      </w:pPr>
      <w:r>
        <w:rPr>
          <w:rFonts w:hint="eastAsia" w:hAnsi="宋体"/>
          <w:b/>
          <w:color w:val="auto"/>
          <w:sz w:val="24"/>
          <w:szCs w:val="24"/>
          <w:highlight w:val="none"/>
        </w:rPr>
        <w:t>5.质疑供应商为法人或者其他组织的，质疑函应由法定代表人、主要负责人，或者其授权代表签字或者盖章，并加盖公章。</w:t>
      </w:r>
    </w:p>
    <w:p w14:paraId="1C2954EB">
      <w:pPr>
        <w:spacing w:line="460" w:lineRule="exact"/>
        <w:rPr>
          <w:rFonts w:eastAsia="隶书"/>
          <w:color w:val="auto"/>
          <w:sz w:val="44"/>
          <w:highlight w:val="none"/>
        </w:rPr>
      </w:pPr>
    </w:p>
    <w:p w14:paraId="78AB85FF">
      <w:pPr>
        <w:spacing w:line="360" w:lineRule="auto"/>
        <w:jc w:val="left"/>
        <w:outlineLvl w:val="2"/>
        <w:rPr>
          <w:rFonts w:hint="eastAsia"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4.投诉书（格式）</w:t>
      </w:r>
    </w:p>
    <w:p w14:paraId="6740848A">
      <w:pPr>
        <w:spacing w:line="360" w:lineRule="auto"/>
        <w:jc w:val="center"/>
        <w:rPr>
          <w:rFonts w:hint="eastAsia" w:ascii="方正小标宋简体" w:hAnsi="方正小标宋简体" w:eastAsia="方正小标宋简体" w:cs="方正小标宋简体"/>
          <w:color w:val="auto"/>
          <w:sz w:val="44"/>
          <w:szCs w:val="44"/>
          <w:highlight w:val="none"/>
        </w:rPr>
      </w:pPr>
      <w:r>
        <w:rPr>
          <w:rFonts w:hint="eastAsia" w:ascii="宋体" w:hAnsi="宋体" w:cs="宋体"/>
          <w:color w:val="auto"/>
          <w:sz w:val="44"/>
          <w:szCs w:val="44"/>
          <w:highlight w:val="none"/>
        </w:rPr>
        <w:t>投诉书</w:t>
      </w:r>
      <w:r>
        <w:rPr>
          <w:rFonts w:hint="eastAsia" w:ascii="方正小标宋简体" w:hAnsi="方正小标宋简体" w:eastAsia="方正小标宋简体" w:cs="方正小标宋简体"/>
          <w:color w:val="auto"/>
          <w:sz w:val="44"/>
          <w:szCs w:val="44"/>
          <w:highlight w:val="none"/>
        </w:rPr>
        <w:t>（</w:t>
      </w:r>
      <w:r>
        <w:rPr>
          <w:rFonts w:hint="eastAsia" w:ascii="宋体" w:hAnsi="宋体" w:cs="宋体"/>
          <w:color w:val="auto"/>
          <w:sz w:val="44"/>
          <w:szCs w:val="44"/>
          <w:highlight w:val="none"/>
        </w:rPr>
        <w:t>格式</w:t>
      </w:r>
      <w:r>
        <w:rPr>
          <w:rFonts w:hint="eastAsia" w:ascii="方正小标宋简体" w:hAnsi="方正小标宋简体" w:eastAsia="方正小标宋简体" w:cs="方正小标宋简体"/>
          <w:color w:val="auto"/>
          <w:sz w:val="44"/>
          <w:szCs w:val="44"/>
          <w:highlight w:val="none"/>
        </w:rPr>
        <w:t>）</w:t>
      </w:r>
    </w:p>
    <w:p w14:paraId="31299A8B">
      <w:pPr>
        <w:pStyle w:val="24"/>
        <w:snapToGrid w:val="0"/>
        <w:spacing w:line="360" w:lineRule="auto"/>
        <w:ind w:firstLine="482" w:firstLineChars="200"/>
        <w:rPr>
          <w:rFonts w:hint="eastAsia" w:hAnsi="宋体"/>
          <w:b/>
          <w:bCs/>
          <w:color w:val="auto"/>
          <w:sz w:val="24"/>
          <w:szCs w:val="24"/>
          <w:highlight w:val="none"/>
        </w:rPr>
      </w:pPr>
      <w:r>
        <w:rPr>
          <w:rFonts w:hint="eastAsia" w:hAnsi="宋体"/>
          <w:b/>
          <w:bCs/>
          <w:color w:val="auto"/>
          <w:sz w:val="24"/>
          <w:szCs w:val="24"/>
          <w:highlight w:val="none"/>
        </w:rPr>
        <w:t>一、投诉相关主体基本情况：</w:t>
      </w:r>
    </w:p>
    <w:p w14:paraId="241A9C5E">
      <w:pPr>
        <w:pStyle w:val="24"/>
        <w:snapToGrid w:val="0"/>
        <w:spacing w:line="360" w:lineRule="auto"/>
        <w:ind w:firstLine="480" w:firstLineChars="200"/>
        <w:jc w:val="left"/>
        <w:rPr>
          <w:rFonts w:hint="eastAsia" w:hAnsi="宋体"/>
          <w:bCs/>
          <w:color w:val="auto"/>
          <w:sz w:val="24"/>
          <w:szCs w:val="24"/>
          <w:highlight w:val="none"/>
          <w:u w:val="single"/>
        </w:rPr>
      </w:pPr>
      <w:r>
        <w:rPr>
          <w:rFonts w:hint="eastAsia" w:hAnsi="宋体"/>
          <w:bCs/>
          <w:color w:val="auto"/>
          <w:sz w:val="24"/>
          <w:szCs w:val="24"/>
          <w:highlight w:val="none"/>
        </w:rPr>
        <w:t>投标人：</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2BED7BC5">
      <w:pPr>
        <w:pStyle w:val="24"/>
        <w:snapToGrid w:val="0"/>
        <w:spacing w:line="360" w:lineRule="auto"/>
        <w:ind w:firstLine="480" w:firstLineChars="200"/>
        <w:jc w:val="left"/>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50B20231">
      <w:pPr>
        <w:pStyle w:val="24"/>
        <w:snapToGrid w:val="0"/>
        <w:spacing w:line="360" w:lineRule="auto"/>
        <w:ind w:firstLine="480" w:firstLineChars="200"/>
        <w:jc w:val="left"/>
        <w:rPr>
          <w:rFonts w:hint="eastAsia" w:hAnsi="宋体"/>
          <w:bCs/>
          <w:color w:val="auto"/>
          <w:sz w:val="24"/>
          <w:szCs w:val="24"/>
          <w:highlight w:val="none"/>
          <w:u w:val="single"/>
        </w:rPr>
      </w:pPr>
      <w:r>
        <w:rPr>
          <w:rFonts w:hint="eastAsia" w:hAnsi="宋体"/>
          <w:bCs/>
          <w:color w:val="auto"/>
          <w:sz w:val="24"/>
          <w:szCs w:val="24"/>
          <w:highlight w:val="none"/>
        </w:rPr>
        <w:t>法定代表人/主要负责人：</w:t>
      </w:r>
      <w:r>
        <w:rPr>
          <w:rFonts w:hint="eastAsia" w:hAnsi="宋体"/>
          <w:bCs/>
          <w:color w:val="auto"/>
          <w:sz w:val="24"/>
          <w:szCs w:val="24"/>
          <w:highlight w:val="none"/>
          <w:u w:val="single"/>
        </w:rPr>
        <w:t xml:space="preserve">                                                         </w:t>
      </w:r>
    </w:p>
    <w:p w14:paraId="580AF288">
      <w:pPr>
        <w:pStyle w:val="24"/>
        <w:snapToGrid w:val="0"/>
        <w:spacing w:line="360" w:lineRule="auto"/>
        <w:ind w:firstLine="480" w:firstLineChars="200"/>
        <w:jc w:val="left"/>
        <w:rPr>
          <w:rFonts w:hint="eastAsia" w:hAnsi="宋体"/>
          <w:bCs/>
          <w:color w:val="auto"/>
          <w:sz w:val="24"/>
          <w:szCs w:val="24"/>
          <w:highlight w:val="none"/>
        </w:rPr>
      </w:pPr>
      <w:r>
        <w:rPr>
          <w:rFonts w:hAnsi="宋体"/>
          <w:bCs/>
          <w:color w:val="auto"/>
          <w:sz w:val="24"/>
          <w:szCs w:val="24"/>
          <w:highlight w:val="none"/>
        </w:rPr>
        <w:t>联系电话</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3707385A">
      <w:pPr>
        <w:pStyle w:val="24"/>
        <w:snapToGrid w:val="0"/>
        <w:spacing w:line="360" w:lineRule="auto"/>
        <w:ind w:firstLine="480" w:firstLineChars="200"/>
        <w:jc w:val="left"/>
        <w:rPr>
          <w:rFonts w:hint="eastAsia" w:hAnsi="宋体"/>
          <w:bCs/>
          <w:color w:val="auto"/>
          <w:sz w:val="24"/>
          <w:szCs w:val="24"/>
          <w:highlight w:val="none"/>
          <w:u w:val="single"/>
        </w:rPr>
      </w:pPr>
      <w:r>
        <w:rPr>
          <w:rFonts w:hint="eastAsia" w:hAnsi="宋体"/>
          <w:bCs/>
          <w:color w:val="auto"/>
          <w:sz w:val="24"/>
          <w:szCs w:val="24"/>
          <w:highlight w:val="none"/>
        </w:rPr>
        <w:t>授权代表：</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2B09B295">
      <w:pPr>
        <w:pStyle w:val="24"/>
        <w:snapToGrid w:val="0"/>
        <w:spacing w:line="360" w:lineRule="auto"/>
        <w:ind w:firstLine="480" w:firstLineChars="200"/>
        <w:jc w:val="left"/>
        <w:rPr>
          <w:rFonts w:hint="eastAsia"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2E14C876">
      <w:pPr>
        <w:pStyle w:val="24"/>
        <w:snapToGrid w:val="0"/>
        <w:spacing w:line="360" w:lineRule="auto"/>
        <w:ind w:firstLine="480" w:firstLineChars="200"/>
        <w:jc w:val="left"/>
        <w:rPr>
          <w:rFonts w:hint="eastAsia"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6E5B1189">
      <w:pPr>
        <w:pStyle w:val="24"/>
        <w:snapToGrid w:val="0"/>
        <w:spacing w:line="360" w:lineRule="auto"/>
        <w:ind w:firstLine="480" w:firstLineChars="200"/>
        <w:jc w:val="left"/>
        <w:rPr>
          <w:rFonts w:hint="eastAsia" w:hAnsi="宋体"/>
          <w:bCs/>
          <w:color w:val="auto"/>
          <w:sz w:val="24"/>
          <w:szCs w:val="24"/>
          <w:highlight w:val="none"/>
        </w:rPr>
      </w:pPr>
      <w:r>
        <w:rPr>
          <w:rFonts w:hint="eastAsia" w:hAnsi="宋体"/>
          <w:bCs/>
          <w:color w:val="auto"/>
          <w:sz w:val="24"/>
          <w:szCs w:val="24"/>
          <w:highlight w:val="none"/>
        </w:rPr>
        <w:t>被投诉人1：</w:t>
      </w:r>
    </w:p>
    <w:p w14:paraId="36BC973A">
      <w:pPr>
        <w:pStyle w:val="24"/>
        <w:snapToGrid w:val="0"/>
        <w:spacing w:line="360" w:lineRule="auto"/>
        <w:ind w:firstLine="480" w:firstLineChars="200"/>
        <w:jc w:val="left"/>
        <w:rPr>
          <w:rFonts w:hint="eastAsia" w:hAnsi="宋体"/>
          <w:bCs/>
          <w:color w:val="auto"/>
          <w:sz w:val="24"/>
          <w:szCs w:val="24"/>
          <w:highlight w:val="none"/>
          <w:u w:val="single"/>
        </w:rPr>
      </w:pPr>
      <w:r>
        <w:rPr>
          <w:rFonts w:hint="eastAsia" w:hAnsi="宋体"/>
          <w:bCs/>
          <w:color w:val="auto"/>
          <w:sz w:val="24"/>
          <w:szCs w:val="24"/>
          <w:highlight w:val="none"/>
        </w:rPr>
        <w:t>地址：</w:t>
      </w:r>
      <w:r>
        <w:rPr>
          <w:rFonts w:hint="eastAsia" w:hAnsi="宋体"/>
          <w:bCs/>
          <w:color w:val="auto"/>
          <w:sz w:val="24"/>
          <w:szCs w:val="24"/>
          <w:highlight w:val="none"/>
          <w:u w:val="single"/>
        </w:rPr>
        <w:t xml:space="preserve">                                                            </w:t>
      </w:r>
    </w:p>
    <w:p w14:paraId="7C02599E">
      <w:pPr>
        <w:pStyle w:val="24"/>
        <w:snapToGrid w:val="0"/>
        <w:spacing w:line="360" w:lineRule="auto"/>
        <w:ind w:firstLine="480" w:firstLineChars="200"/>
        <w:jc w:val="left"/>
        <w:rPr>
          <w:rFonts w:hint="eastAsia"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01350288">
      <w:pPr>
        <w:pStyle w:val="24"/>
        <w:snapToGrid w:val="0"/>
        <w:spacing w:line="360" w:lineRule="auto"/>
        <w:ind w:firstLine="480" w:firstLineChars="200"/>
        <w:jc w:val="left"/>
        <w:rPr>
          <w:rFonts w:hint="eastAsia" w:hAnsi="宋体"/>
          <w:bCs/>
          <w:color w:val="auto"/>
          <w:sz w:val="24"/>
          <w:szCs w:val="24"/>
          <w:highlight w:val="none"/>
          <w:u w:val="singl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69AEBFE5">
      <w:pPr>
        <w:pStyle w:val="24"/>
        <w:snapToGrid w:val="0"/>
        <w:spacing w:line="360" w:lineRule="auto"/>
        <w:ind w:firstLine="480" w:firstLineChars="200"/>
        <w:jc w:val="left"/>
        <w:rPr>
          <w:rFonts w:hint="eastAsia" w:hAnsi="宋体"/>
          <w:bCs/>
          <w:color w:val="auto"/>
          <w:sz w:val="24"/>
          <w:szCs w:val="24"/>
          <w:highlight w:val="none"/>
        </w:rPr>
      </w:pPr>
      <w:r>
        <w:rPr>
          <w:rFonts w:hint="eastAsia" w:hAnsi="宋体"/>
          <w:bCs/>
          <w:color w:val="auto"/>
          <w:sz w:val="24"/>
          <w:szCs w:val="24"/>
          <w:highlight w:val="none"/>
        </w:rPr>
        <w:t>被投诉人2：</w:t>
      </w:r>
    </w:p>
    <w:p w14:paraId="70049FA3">
      <w:pPr>
        <w:pStyle w:val="24"/>
        <w:snapToGrid w:val="0"/>
        <w:spacing w:line="360" w:lineRule="auto"/>
        <w:ind w:firstLine="480" w:firstLineChars="200"/>
        <w:jc w:val="left"/>
        <w:rPr>
          <w:rFonts w:hint="eastAsia" w:hAnsi="宋体"/>
          <w:bCs/>
          <w:color w:val="auto"/>
          <w:sz w:val="24"/>
          <w:szCs w:val="24"/>
          <w:highlight w:val="none"/>
        </w:rPr>
      </w:pPr>
      <w:r>
        <w:rPr>
          <w:rFonts w:hAnsi="宋体"/>
          <w:bCs/>
          <w:color w:val="auto"/>
          <w:sz w:val="24"/>
          <w:szCs w:val="24"/>
          <w:highlight w:val="none"/>
        </w:rPr>
        <w:t>……</w:t>
      </w:r>
    </w:p>
    <w:p w14:paraId="7C6D27A6">
      <w:pPr>
        <w:pStyle w:val="24"/>
        <w:snapToGrid w:val="0"/>
        <w:spacing w:line="360" w:lineRule="auto"/>
        <w:ind w:firstLine="480" w:firstLineChars="200"/>
        <w:jc w:val="left"/>
        <w:rPr>
          <w:rFonts w:hint="eastAsia" w:hAnsi="宋体"/>
          <w:bCs/>
          <w:color w:val="auto"/>
          <w:sz w:val="24"/>
          <w:szCs w:val="24"/>
          <w:highlight w:val="none"/>
          <w:u w:val="single"/>
        </w:rPr>
      </w:pPr>
      <w:r>
        <w:rPr>
          <w:rFonts w:hint="eastAsia" w:hAnsi="宋体"/>
          <w:bCs/>
          <w:color w:val="auto"/>
          <w:sz w:val="24"/>
          <w:szCs w:val="24"/>
          <w:highlight w:val="none"/>
        </w:rPr>
        <w:t>相关供应商：</w:t>
      </w:r>
      <w:r>
        <w:rPr>
          <w:rFonts w:hint="eastAsia" w:hAnsi="宋体"/>
          <w:bCs/>
          <w:color w:val="auto"/>
          <w:sz w:val="24"/>
          <w:szCs w:val="24"/>
          <w:highlight w:val="none"/>
          <w:u w:val="single"/>
        </w:rPr>
        <w:t xml:space="preserve">                                                                       </w:t>
      </w:r>
    </w:p>
    <w:p w14:paraId="0296F9D4">
      <w:pPr>
        <w:pStyle w:val="24"/>
        <w:snapToGrid w:val="0"/>
        <w:spacing w:line="360" w:lineRule="auto"/>
        <w:ind w:firstLine="480" w:firstLineChars="200"/>
        <w:jc w:val="left"/>
        <w:rPr>
          <w:rFonts w:hint="eastAsia"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74FAEA7E">
      <w:pPr>
        <w:pStyle w:val="24"/>
        <w:snapToGrid w:val="0"/>
        <w:spacing w:line="360" w:lineRule="auto"/>
        <w:ind w:firstLine="480" w:firstLineChars="200"/>
        <w:jc w:val="left"/>
        <w:rPr>
          <w:rFonts w:hint="eastAsia" w:hAnsi="宋体"/>
          <w:bCs/>
          <w:color w:val="auto"/>
          <w:sz w:val="24"/>
          <w:szCs w:val="24"/>
          <w:highlight w:val="non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5902D19F">
      <w:pPr>
        <w:pStyle w:val="24"/>
        <w:snapToGrid w:val="0"/>
        <w:spacing w:line="360" w:lineRule="auto"/>
        <w:ind w:firstLine="482" w:firstLineChars="200"/>
        <w:rPr>
          <w:rFonts w:hint="eastAsia" w:hAnsi="宋体"/>
          <w:b/>
          <w:bCs/>
          <w:color w:val="auto"/>
          <w:sz w:val="24"/>
          <w:szCs w:val="24"/>
          <w:highlight w:val="none"/>
        </w:rPr>
      </w:pPr>
      <w:r>
        <w:rPr>
          <w:rFonts w:hint="eastAsia" w:hAnsi="宋体"/>
          <w:b/>
          <w:bCs/>
          <w:color w:val="auto"/>
          <w:sz w:val="24"/>
          <w:szCs w:val="24"/>
          <w:highlight w:val="none"/>
        </w:rPr>
        <w:t>二、投诉项目基本情况：</w:t>
      </w:r>
    </w:p>
    <w:p w14:paraId="5C309641">
      <w:pPr>
        <w:pStyle w:val="24"/>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招标项目的名称：</w:t>
      </w:r>
      <w:r>
        <w:rPr>
          <w:rFonts w:hint="eastAsia" w:hAnsi="宋体"/>
          <w:bCs/>
          <w:color w:val="auto"/>
          <w:sz w:val="24"/>
          <w:szCs w:val="24"/>
          <w:highlight w:val="none"/>
          <w:u w:val="single"/>
        </w:rPr>
        <w:t xml:space="preserve">                                                                   </w:t>
      </w:r>
    </w:p>
    <w:p w14:paraId="4F011F1E">
      <w:pPr>
        <w:pStyle w:val="24"/>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招标项目的编号：</w:t>
      </w:r>
      <w:r>
        <w:rPr>
          <w:rFonts w:hint="eastAsia" w:hAnsi="宋体"/>
          <w:bCs/>
          <w:color w:val="auto"/>
          <w:sz w:val="24"/>
          <w:szCs w:val="24"/>
          <w:highlight w:val="none"/>
          <w:u w:val="single"/>
        </w:rPr>
        <w:t xml:space="preserve">                                          </w:t>
      </w:r>
    </w:p>
    <w:p w14:paraId="7913A420">
      <w:pPr>
        <w:pStyle w:val="24"/>
        <w:spacing w:line="360" w:lineRule="auto"/>
        <w:ind w:left="25" w:leftChars="12" w:firstLine="472" w:firstLineChars="197"/>
        <w:rPr>
          <w:rFonts w:hint="eastAsia" w:hAnsi="宋体"/>
          <w:bCs/>
          <w:color w:val="auto"/>
          <w:sz w:val="24"/>
          <w:szCs w:val="24"/>
          <w:highlight w:val="none"/>
          <w:u w:val="single"/>
        </w:rPr>
      </w:pPr>
      <w:r>
        <w:rPr>
          <w:rFonts w:hint="eastAsia" w:hAnsi="宋体"/>
          <w:color w:val="auto"/>
          <w:sz w:val="24"/>
          <w:szCs w:val="24"/>
          <w:highlight w:val="none"/>
        </w:rPr>
        <w:t>采购人名称：</w:t>
      </w:r>
      <w:r>
        <w:rPr>
          <w:rFonts w:hint="eastAsia" w:hAnsi="宋体"/>
          <w:bCs/>
          <w:color w:val="auto"/>
          <w:sz w:val="24"/>
          <w:szCs w:val="24"/>
          <w:highlight w:val="none"/>
          <w:u w:val="single"/>
        </w:rPr>
        <w:t xml:space="preserve">                                                                        </w:t>
      </w:r>
    </w:p>
    <w:p w14:paraId="018C64DA">
      <w:pPr>
        <w:pStyle w:val="24"/>
        <w:spacing w:line="360" w:lineRule="auto"/>
        <w:ind w:left="25" w:leftChars="12" w:firstLine="472" w:firstLineChars="197"/>
        <w:rPr>
          <w:rFonts w:hint="eastAsia" w:hAnsi="宋体"/>
          <w:bCs/>
          <w:color w:val="auto"/>
          <w:sz w:val="24"/>
          <w:szCs w:val="24"/>
          <w:highlight w:val="none"/>
          <w:u w:val="single"/>
        </w:rPr>
      </w:pPr>
      <w:r>
        <w:rPr>
          <w:rFonts w:hint="eastAsia" w:hAnsi="宋体"/>
          <w:color w:val="auto"/>
          <w:sz w:val="24"/>
          <w:szCs w:val="24"/>
          <w:highlight w:val="none"/>
        </w:rPr>
        <w:t>代理机构名称：</w:t>
      </w:r>
      <w:r>
        <w:rPr>
          <w:rFonts w:hint="eastAsia" w:hAnsi="宋体"/>
          <w:bCs/>
          <w:color w:val="auto"/>
          <w:sz w:val="24"/>
          <w:szCs w:val="24"/>
          <w:highlight w:val="none"/>
          <w:u w:val="single"/>
        </w:rPr>
        <w:t xml:space="preserve">                                                                      </w:t>
      </w:r>
    </w:p>
    <w:p w14:paraId="0205B12D">
      <w:pPr>
        <w:pStyle w:val="24"/>
        <w:spacing w:line="360" w:lineRule="auto"/>
        <w:ind w:left="25" w:leftChars="12" w:firstLine="472" w:firstLineChars="197"/>
        <w:rPr>
          <w:rFonts w:hint="eastAsia" w:hAnsi="宋体"/>
          <w:bCs/>
          <w:color w:val="auto"/>
          <w:sz w:val="24"/>
          <w:szCs w:val="24"/>
          <w:highlight w:val="none"/>
          <w:u w:val="single"/>
        </w:rPr>
      </w:pPr>
      <w:r>
        <w:rPr>
          <w:rFonts w:hint="eastAsia" w:hAnsi="宋体"/>
          <w:color w:val="auto"/>
          <w:sz w:val="24"/>
          <w:szCs w:val="24"/>
          <w:highlight w:val="none"/>
        </w:rPr>
        <w:t>招标</w:t>
      </w:r>
      <w:r>
        <w:rPr>
          <w:rFonts w:hint="eastAsia" w:hAnsi="宋体"/>
          <w:bCs/>
          <w:color w:val="auto"/>
          <w:sz w:val="24"/>
          <w:szCs w:val="24"/>
          <w:highlight w:val="none"/>
        </w:rPr>
        <w:t>文件公告：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r>
        <w:rPr>
          <w:rFonts w:hint="eastAsia" w:hAnsi="宋体"/>
          <w:bCs/>
          <w:color w:val="auto"/>
          <w:sz w:val="24"/>
          <w:szCs w:val="24"/>
          <w:highlight w:val="none"/>
          <w:u w:val="single"/>
        </w:rPr>
        <w:t xml:space="preserve">                                                       </w:t>
      </w:r>
    </w:p>
    <w:p w14:paraId="2F6AC4BF">
      <w:pPr>
        <w:pStyle w:val="24"/>
        <w:spacing w:line="360" w:lineRule="auto"/>
        <w:ind w:left="25" w:leftChars="12" w:firstLine="472" w:firstLineChars="197"/>
        <w:rPr>
          <w:rFonts w:hint="eastAsia" w:hAnsi="宋体"/>
          <w:b/>
          <w:color w:val="auto"/>
          <w:sz w:val="24"/>
          <w:szCs w:val="24"/>
          <w:highlight w:val="none"/>
        </w:rPr>
      </w:pPr>
      <w:r>
        <w:rPr>
          <w:rFonts w:hint="eastAsia" w:hAnsi="宋体"/>
          <w:color w:val="auto"/>
          <w:sz w:val="24"/>
          <w:highlight w:val="none"/>
        </w:rPr>
        <w:t>招标</w:t>
      </w:r>
      <w:r>
        <w:rPr>
          <w:rFonts w:hint="eastAsia" w:hAnsi="宋体"/>
          <w:bCs/>
          <w:color w:val="auto"/>
          <w:sz w:val="24"/>
          <w:highlight w:val="none"/>
        </w:rPr>
        <w:t>结果公告：</w:t>
      </w:r>
      <w:r>
        <w:rPr>
          <w:rFonts w:hint="eastAsia" w:hAnsi="宋体"/>
          <w:bCs/>
          <w:color w:val="auto"/>
          <w:sz w:val="24"/>
          <w:highlight w:val="none"/>
          <w:u w:val="single"/>
        </w:rPr>
        <w:t>是</w:t>
      </w:r>
      <w:r>
        <w:rPr>
          <w:rFonts w:hAnsi="宋体"/>
          <w:bCs/>
          <w:color w:val="auto"/>
          <w:sz w:val="24"/>
          <w:highlight w:val="none"/>
          <w:u w:val="single"/>
        </w:rPr>
        <w:t>/</w:t>
      </w:r>
      <w:r>
        <w:rPr>
          <w:rFonts w:hint="eastAsia" w:hAnsi="宋体"/>
          <w:bCs/>
          <w:color w:val="auto"/>
          <w:sz w:val="24"/>
          <w:highlight w:val="none"/>
          <w:u w:val="single"/>
        </w:rPr>
        <w:t>否</w:t>
      </w:r>
      <w:r>
        <w:rPr>
          <w:rFonts w:hint="eastAsia" w:hAnsi="宋体"/>
          <w:bCs/>
          <w:color w:val="auto"/>
          <w:sz w:val="24"/>
          <w:highlight w:val="none"/>
        </w:rPr>
        <w:t>公告期限：</w:t>
      </w:r>
      <w:r>
        <w:rPr>
          <w:rFonts w:hAnsi="宋体"/>
          <w:bCs/>
          <w:color w:val="auto"/>
          <w:sz w:val="24"/>
          <w:highlight w:val="none"/>
          <w:u w:val="single"/>
        </w:rPr>
        <w:t xml:space="preserve">                                      </w:t>
      </w:r>
      <w:r>
        <w:rPr>
          <w:rFonts w:hint="eastAsia" w:hAnsi="宋体"/>
          <w:bCs/>
          <w:color w:val="auto"/>
          <w:sz w:val="24"/>
          <w:szCs w:val="24"/>
          <w:highlight w:val="none"/>
          <w:u w:val="single"/>
        </w:rPr>
        <w:t xml:space="preserve">              </w:t>
      </w:r>
    </w:p>
    <w:p w14:paraId="2E0A979C">
      <w:pPr>
        <w:pStyle w:val="24"/>
        <w:spacing w:line="360" w:lineRule="auto"/>
        <w:ind w:left="25" w:leftChars="12" w:firstLine="472" w:firstLineChars="196"/>
        <w:rPr>
          <w:rFonts w:hint="eastAsia" w:hAnsi="宋体"/>
          <w:b/>
          <w:color w:val="auto"/>
          <w:sz w:val="24"/>
          <w:szCs w:val="24"/>
          <w:highlight w:val="none"/>
        </w:rPr>
      </w:pPr>
      <w:r>
        <w:rPr>
          <w:rFonts w:hint="eastAsia" w:hAnsi="宋体"/>
          <w:b/>
          <w:color w:val="auto"/>
          <w:sz w:val="24"/>
          <w:szCs w:val="24"/>
          <w:highlight w:val="none"/>
        </w:rPr>
        <w:t>三、质疑基本情况</w:t>
      </w:r>
    </w:p>
    <w:p w14:paraId="6766FA0C">
      <w:pPr>
        <w:pStyle w:val="24"/>
        <w:spacing w:line="360" w:lineRule="auto"/>
        <w:ind w:left="25" w:leftChars="12" w:firstLine="480" w:firstLineChars="200"/>
        <w:rPr>
          <w:rFonts w:hint="eastAsia" w:hAnsi="宋体"/>
          <w:color w:val="auto"/>
          <w:sz w:val="24"/>
          <w:szCs w:val="24"/>
          <w:highlight w:val="none"/>
        </w:rPr>
      </w:pPr>
      <w:r>
        <w:rPr>
          <w:rFonts w:hint="eastAsia" w:hAnsi="宋体"/>
          <w:color w:val="auto"/>
          <w:sz w:val="24"/>
          <w:szCs w:val="24"/>
          <w:highlight w:val="none"/>
        </w:rPr>
        <w:t>投诉人于</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日，向</w:t>
      </w:r>
      <w:r>
        <w:rPr>
          <w:rFonts w:hint="eastAsia" w:hAnsi="宋体"/>
          <w:color w:val="auto"/>
          <w:sz w:val="24"/>
          <w:szCs w:val="24"/>
          <w:highlight w:val="none"/>
          <w:u w:val="single"/>
        </w:rPr>
        <w:t xml:space="preserve">                                </w:t>
      </w:r>
      <w:r>
        <w:rPr>
          <w:rFonts w:hint="eastAsia" w:hAnsi="宋体"/>
          <w:color w:val="auto"/>
          <w:sz w:val="24"/>
          <w:szCs w:val="24"/>
          <w:highlight w:val="none"/>
        </w:rPr>
        <w:t>提出质疑，质疑事项为：</w:t>
      </w:r>
    </w:p>
    <w:p w14:paraId="749393A8">
      <w:pPr>
        <w:pStyle w:val="24"/>
        <w:spacing w:line="360" w:lineRule="auto"/>
        <w:ind w:firstLine="241"/>
        <w:rPr>
          <w:rFonts w:hint="eastAsia" w:hAnsi="宋体"/>
          <w:bCs/>
          <w:color w:val="auto"/>
          <w:sz w:val="24"/>
          <w:szCs w:val="24"/>
          <w:highlight w:val="none"/>
          <w:u w:val="single"/>
        </w:rPr>
      </w:pP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5C948EC3">
      <w:pPr>
        <w:pStyle w:val="24"/>
        <w:spacing w:line="360" w:lineRule="auto"/>
        <w:ind w:firstLine="241"/>
        <w:rPr>
          <w:rFonts w:hint="eastAsia" w:hAnsi="宋体"/>
          <w:bCs/>
          <w:color w:val="auto"/>
          <w:sz w:val="24"/>
          <w:szCs w:val="24"/>
          <w:highlight w:val="none"/>
          <w:u w:val="single"/>
        </w:rPr>
      </w:pPr>
      <w:r>
        <w:rPr>
          <w:rFonts w:hint="eastAsia" w:hAnsi="宋体"/>
          <w:bCs/>
          <w:color w:val="auto"/>
          <w:sz w:val="24"/>
          <w:szCs w:val="24"/>
          <w:highlight w:val="none"/>
        </w:rPr>
        <w:t xml:space="preserve">    </w:t>
      </w:r>
      <w:r>
        <w:rPr>
          <w:rFonts w:hint="eastAsia" w:hAnsi="宋体"/>
          <w:bCs/>
          <w:color w:val="auto"/>
          <w:sz w:val="24"/>
          <w:szCs w:val="24"/>
          <w:highlight w:val="none"/>
          <w:u w:val="single"/>
        </w:rPr>
        <w:t xml:space="preserve">                                                                                      </w:t>
      </w:r>
    </w:p>
    <w:p w14:paraId="4A35BD0F">
      <w:pPr>
        <w:pStyle w:val="24"/>
        <w:spacing w:line="360" w:lineRule="auto"/>
        <w:ind w:firstLine="480" w:firstLineChars="200"/>
        <w:rPr>
          <w:rFonts w:hint="eastAsia" w:hAnsi="宋体"/>
          <w:color w:val="auto"/>
          <w:sz w:val="24"/>
          <w:szCs w:val="24"/>
          <w:highlight w:val="none"/>
        </w:rPr>
      </w:pPr>
      <w:r>
        <w:rPr>
          <w:rFonts w:hint="eastAsia" w:hAnsi="宋体"/>
          <w:bCs/>
          <w:color w:val="auto"/>
          <w:sz w:val="24"/>
          <w:szCs w:val="24"/>
          <w:highlight w:val="none"/>
          <w:u w:val="single"/>
        </w:rPr>
        <w:t>采购人/代理机构</w:t>
      </w:r>
      <w:r>
        <w:rPr>
          <w:rFonts w:hint="eastAsia" w:hAnsi="宋体"/>
          <w:bCs/>
          <w:color w:val="auto"/>
          <w:sz w:val="24"/>
          <w:szCs w:val="24"/>
          <w:highlight w:val="none"/>
        </w:rPr>
        <w:t>于</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w:t>
      </w:r>
      <w:r>
        <w:rPr>
          <w:rFonts w:hint="eastAsia" w:hAnsi="宋体"/>
          <w:bCs/>
          <w:color w:val="auto"/>
          <w:sz w:val="24"/>
          <w:szCs w:val="24"/>
          <w:highlight w:val="none"/>
        </w:rPr>
        <w:t xml:space="preserve">就质疑事项作出了答复/没有在法定期限内作出答复。                                                                                             </w:t>
      </w:r>
    </w:p>
    <w:p w14:paraId="0AA2C9B6">
      <w:pPr>
        <w:pStyle w:val="24"/>
        <w:spacing w:line="360" w:lineRule="auto"/>
        <w:ind w:left="25" w:leftChars="12" w:firstLine="472" w:firstLineChars="196"/>
        <w:rPr>
          <w:rFonts w:hint="eastAsia" w:hAnsi="宋体"/>
          <w:b/>
          <w:color w:val="auto"/>
          <w:sz w:val="24"/>
          <w:szCs w:val="24"/>
          <w:highlight w:val="none"/>
        </w:rPr>
      </w:pPr>
      <w:r>
        <w:rPr>
          <w:rFonts w:hint="eastAsia" w:hAnsi="宋体"/>
          <w:b/>
          <w:color w:val="auto"/>
          <w:sz w:val="24"/>
          <w:szCs w:val="24"/>
          <w:highlight w:val="none"/>
        </w:rPr>
        <w:t>四、投诉事项具体内容</w:t>
      </w:r>
    </w:p>
    <w:p w14:paraId="2220F5C1">
      <w:pPr>
        <w:pStyle w:val="24"/>
        <w:spacing w:line="360" w:lineRule="auto"/>
        <w:ind w:left="25" w:leftChars="12" w:firstLine="472" w:firstLineChars="197"/>
        <w:rPr>
          <w:rFonts w:hint="eastAsia" w:hAnsi="宋体"/>
          <w:bCs/>
          <w:color w:val="auto"/>
          <w:sz w:val="24"/>
          <w:szCs w:val="24"/>
          <w:highlight w:val="none"/>
          <w:u w:val="single"/>
        </w:rPr>
      </w:pPr>
      <w:r>
        <w:rPr>
          <w:rFonts w:hint="eastAsia" w:hAnsi="宋体"/>
          <w:color w:val="auto"/>
          <w:sz w:val="24"/>
          <w:szCs w:val="24"/>
          <w:highlight w:val="none"/>
        </w:rPr>
        <w:t>投诉事项1：</w:t>
      </w:r>
      <w:r>
        <w:rPr>
          <w:rFonts w:hint="eastAsia" w:hAnsi="宋体"/>
          <w:bCs/>
          <w:color w:val="auto"/>
          <w:sz w:val="24"/>
          <w:szCs w:val="24"/>
          <w:highlight w:val="none"/>
          <w:u w:val="single"/>
        </w:rPr>
        <w:t xml:space="preserve">                                                                           </w:t>
      </w:r>
    </w:p>
    <w:p w14:paraId="6580AE26">
      <w:pPr>
        <w:pStyle w:val="24"/>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事实依据：</w:t>
      </w: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14A5DB1F">
      <w:pPr>
        <w:pStyle w:val="24"/>
        <w:spacing w:line="360" w:lineRule="auto"/>
        <w:ind w:left="25" w:leftChars="12" w:firstLine="472" w:firstLineChars="197"/>
        <w:rPr>
          <w:rFonts w:hint="eastAsia" w:hAnsi="宋体"/>
          <w:color w:val="auto"/>
          <w:sz w:val="24"/>
          <w:szCs w:val="24"/>
          <w:highlight w:val="none"/>
        </w:rPr>
      </w:pPr>
      <w:r>
        <w:rPr>
          <w:rFonts w:hint="eastAsia" w:hAnsi="宋体"/>
          <w:bCs/>
          <w:color w:val="auto"/>
          <w:sz w:val="24"/>
          <w:szCs w:val="24"/>
          <w:highlight w:val="none"/>
          <w:u w:val="single"/>
        </w:rPr>
        <w:t xml:space="preserve">                                                                                        </w:t>
      </w:r>
    </w:p>
    <w:p w14:paraId="39D3FCA5">
      <w:pPr>
        <w:pStyle w:val="24"/>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法律依据：</w:t>
      </w: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14900B41">
      <w:pPr>
        <w:pStyle w:val="24"/>
        <w:spacing w:line="360" w:lineRule="auto"/>
        <w:ind w:left="25" w:leftChars="12" w:firstLine="352" w:firstLineChars="147"/>
        <w:rPr>
          <w:rFonts w:hint="eastAsia" w:hAnsi="宋体"/>
          <w:bCs/>
          <w:color w:val="auto"/>
          <w:sz w:val="24"/>
          <w:szCs w:val="24"/>
          <w:highlight w:val="none"/>
          <w:u w:val="single"/>
        </w:rPr>
      </w:pPr>
      <w:r>
        <w:rPr>
          <w:rFonts w:hint="eastAsia" w:hAnsi="宋体"/>
          <w:bCs/>
          <w:color w:val="auto"/>
          <w:sz w:val="24"/>
          <w:szCs w:val="24"/>
          <w:highlight w:val="none"/>
        </w:rPr>
        <w:t xml:space="preserve"> </w:t>
      </w:r>
      <w:r>
        <w:rPr>
          <w:rFonts w:hint="eastAsia" w:hAnsi="宋体"/>
          <w:bCs/>
          <w:color w:val="auto"/>
          <w:sz w:val="24"/>
          <w:szCs w:val="24"/>
          <w:highlight w:val="none"/>
          <w:u w:val="single"/>
        </w:rPr>
        <w:t xml:space="preserve">                                                                                        </w:t>
      </w:r>
    </w:p>
    <w:p w14:paraId="750C70C3">
      <w:pPr>
        <w:pStyle w:val="24"/>
        <w:spacing w:line="360" w:lineRule="auto"/>
        <w:ind w:left="25" w:leftChars="12" w:firstLine="472" w:firstLineChars="197"/>
        <w:rPr>
          <w:rFonts w:hint="eastAsia" w:hAnsi="宋体"/>
          <w:bCs/>
          <w:color w:val="auto"/>
          <w:sz w:val="24"/>
          <w:szCs w:val="24"/>
          <w:highlight w:val="none"/>
        </w:rPr>
      </w:pPr>
      <w:r>
        <w:rPr>
          <w:rFonts w:hint="eastAsia" w:hAnsi="宋体"/>
          <w:color w:val="auto"/>
          <w:sz w:val="24"/>
          <w:szCs w:val="24"/>
          <w:highlight w:val="none"/>
        </w:rPr>
        <w:t xml:space="preserve">投诉事项2  </w:t>
      </w:r>
      <w:r>
        <w:rPr>
          <w:rFonts w:hint="eastAsia" w:hAnsi="宋体"/>
          <w:bCs/>
          <w:color w:val="auto"/>
          <w:sz w:val="24"/>
          <w:szCs w:val="24"/>
          <w:highlight w:val="none"/>
        </w:rPr>
        <w:t xml:space="preserve">   </w:t>
      </w:r>
    </w:p>
    <w:p w14:paraId="794ED2DC">
      <w:pPr>
        <w:pStyle w:val="24"/>
        <w:spacing w:line="360" w:lineRule="auto"/>
        <w:ind w:left="25" w:leftChars="12" w:firstLine="472" w:firstLineChars="197"/>
        <w:rPr>
          <w:rFonts w:hint="eastAsia" w:hAnsi="宋体"/>
          <w:bCs/>
          <w:color w:val="auto"/>
          <w:sz w:val="24"/>
          <w:szCs w:val="24"/>
          <w:highlight w:val="none"/>
        </w:rPr>
      </w:pPr>
      <w:r>
        <w:rPr>
          <w:rFonts w:hAnsi="宋体"/>
          <w:bCs/>
          <w:color w:val="auto"/>
          <w:sz w:val="24"/>
          <w:szCs w:val="24"/>
          <w:highlight w:val="none"/>
        </w:rPr>
        <w:t>……</w:t>
      </w:r>
    </w:p>
    <w:p w14:paraId="5FFC4306">
      <w:pPr>
        <w:pStyle w:val="24"/>
        <w:spacing w:line="360" w:lineRule="auto"/>
        <w:ind w:left="25" w:leftChars="12" w:firstLine="472" w:firstLineChars="196"/>
        <w:rPr>
          <w:rFonts w:hint="eastAsia" w:hAnsi="宋体"/>
          <w:b/>
          <w:color w:val="auto"/>
          <w:sz w:val="24"/>
          <w:szCs w:val="24"/>
          <w:highlight w:val="none"/>
        </w:rPr>
      </w:pPr>
      <w:r>
        <w:rPr>
          <w:rFonts w:hint="eastAsia" w:hAnsi="宋体"/>
          <w:b/>
          <w:color w:val="auto"/>
          <w:sz w:val="24"/>
          <w:szCs w:val="24"/>
          <w:highlight w:val="none"/>
        </w:rPr>
        <w:t>五、与投诉事项相关的投诉请求：</w:t>
      </w:r>
    </w:p>
    <w:p w14:paraId="6BA415D1">
      <w:pPr>
        <w:pStyle w:val="24"/>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请求：</w:t>
      </w:r>
      <w:r>
        <w:rPr>
          <w:rFonts w:hint="eastAsia" w:hAnsi="宋体"/>
          <w:bCs/>
          <w:color w:val="auto"/>
          <w:sz w:val="24"/>
          <w:szCs w:val="24"/>
          <w:highlight w:val="none"/>
          <w:u w:val="single"/>
        </w:rPr>
        <w:t xml:space="preserve">                                                                                 </w:t>
      </w:r>
    </w:p>
    <w:p w14:paraId="10E5EE90">
      <w:pPr>
        <w:pStyle w:val="24"/>
        <w:spacing w:line="360" w:lineRule="auto"/>
        <w:ind w:left="25" w:leftChars="12" w:firstLine="352" w:firstLineChars="147"/>
        <w:rPr>
          <w:rFonts w:hint="eastAsia" w:hAnsi="宋体"/>
          <w:color w:val="auto"/>
          <w:sz w:val="24"/>
          <w:szCs w:val="24"/>
          <w:highlight w:val="none"/>
        </w:rPr>
      </w:pPr>
    </w:p>
    <w:p w14:paraId="5FFDB2B2">
      <w:pPr>
        <w:pStyle w:val="24"/>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签字（签章）：                                       公章：</w:t>
      </w:r>
    </w:p>
    <w:p w14:paraId="22BD5332">
      <w:pPr>
        <w:pStyle w:val="24"/>
        <w:spacing w:line="360" w:lineRule="auto"/>
        <w:ind w:left="25" w:leftChars="12" w:firstLine="352" w:firstLineChars="147"/>
        <w:rPr>
          <w:rFonts w:hint="eastAsia" w:hAnsi="宋体"/>
          <w:color w:val="auto"/>
          <w:sz w:val="24"/>
          <w:szCs w:val="24"/>
          <w:highlight w:val="none"/>
        </w:rPr>
      </w:pPr>
    </w:p>
    <w:p w14:paraId="542D7AA8">
      <w:pPr>
        <w:pStyle w:val="24"/>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日期：</w:t>
      </w:r>
    </w:p>
    <w:p w14:paraId="6FC76289">
      <w:pPr>
        <w:pStyle w:val="24"/>
        <w:spacing w:line="360" w:lineRule="auto"/>
        <w:ind w:left="25" w:leftChars="12" w:firstLine="472" w:firstLineChars="197"/>
        <w:rPr>
          <w:rFonts w:hint="eastAsia" w:hAnsi="宋体"/>
          <w:b/>
          <w:color w:val="auto"/>
          <w:sz w:val="24"/>
          <w:szCs w:val="24"/>
          <w:highlight w:val="none"/>
        </w:rPr>
      </w:pPr>
      <w:r>
        <w:rPr>
          <w:rFonts w:hint="eastAsia" w:hAnsi="宋体"/>
          <w:bCs/>
          <w:color w:val="auto"/>
          <w:sz w:val="24"/>
          <w:szCs w:val="24"/>
          <w:highlight w:val="none"/>
        </w:rPr>
        <w:t xml:space="preserve">                                                                                </w:t>
      </w:r>
      <w:r>
        <w:rPr>
          <w:rFonts w:hint="eastAsia" w:hAnsi="宋体"/>
          <w:b/>
          <w:color w:val="auto"/>
          <w:sz w:val="24"/>
          <w:szCs w:val="24"/>
          <w:highlight w:val="none"/>
        </w:rPr>
        <w:t>说明：</w:t>
      </w:r>
    </w:p>
    <w:p w14:paraId="4F1C0400">
      <w:pPr>
        <w:pStyle w:val="24"/>
        <w:spacing w:line="360" w:lineRule="auto"/>
        <w:ind w:left="25" w:leftChars="12" w:firstLine="354" w:firstLineChars="147"/>
        <w:rPr>
          <w:rFonts w:hint="eastAsia" w:hAnsi="宋体"/>
          <w:b/>
          <w:bCs/>
          <w:color w:val="auto"/>
          <w:sz w:val="24"/>
          <w:szCs w:val="24"/>
          <w:highlight w:val="none"/>
        </w:rPr>
      </w:pPr>
      <w:r>
        <w:rPr>
          <w:rFonts w:hint="eastAsia" w:hAnsi="宋体"/>
          <w:b/>
          <w:color w:val="auto"/>
          <w:sz w:val="24"/>
          <w:szCs w:val="24"/>
          <w:highlight w:val="none"/>
        </w:rPr>
        <w:t>1.投诉人提起投诉时，应当提交投诉书和必要的证明材料，并按照被投诉人和与投诉事项有关的供应商数量提供投诉书副本</w:t>
      </w:r>
      <w:r>
        <w:rPr>
          <w:rFonts w:hint="eastAsia" w:hAnsi="宋体"/>
          <w:b/>
          <w:bCs/>
          <w:color w:val="auto"/>
          <w:sz w:val="24"/>
          <w:szCs w:val="24"/>
          <w:highlight w:val="none"/>
        </w:rPr>
        <w:t>。</w:t>
      </w:r>
    </w:p>
    <w:p w14:paraId="00D252F0">
      <w:pPr>
        <w:pStyle w:val="24"/>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1FC479FC">
      <w:pPr>
        <w:pStyle w:val="24"/>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3.投诉书应简要列明质疑事项，质疑函、质疑答复等作为附件材料提供。</w:t>
      </w:r>
    </w:p>
    <w:p w14:paraId="4F888640">
      <w:pPr>
        <w:pStyle w:val="24"/>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4.投诉书的投诉事项应具体、明确，并有必要的事实依据和法律依据。</w:t>
      </w:r>
    </w:p>
    <w:p w14:paraId="43931217">
      <w:pPr>
        <w:pStyle w:val="24"/>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5.投诉书的投诉请求应与投诉事项相关。</w:t>
      </w:r>
    </w:p>
    <w:p w14:paraId="1974E4F6">
      <w:pPr>
        <w:pStyle w:val="24"/>
        <w:spacing w:line="360" w:lineRule="auto"/>
        <w:ind w:left="25" w:leftChars="12" w:firstLine="354" w:firstLineChars="147"/>
        <w:rPr>
          <w:color w:val="auto"/>
          <w:highlight w:val="none"/>
        </w:rPr>
      </w:pPr>
      <w:r>
        <w:rPr>
          <w:rFonts w:hint="eastAsia" w:hAnsi="宋体"/>
          <w:b/>
          <w:color w:val="auto"/>
          <w:sz w:val="24"/>
          <w:szCs w:val="24"/>
          <w:highlight w:val="none"/>
        </w:rPr>
        <w:t>6.投诉人为法人或者其他组织的，投诉书应由法定代表人、主要负责人，或者其授权代表签字或者盖章，并加盖公章。</w:t>
      </w:r>
    </w:p>
    <w:sectPr>
      <w:footerReference r:id="rId21" w:type="first"/>
      <w:headerReference r:id="rId18" w:type="default"/>
      <w:footerReference r:id="rId19" w:type="default"/>
      <w:footerReference r:id="rId20" w:type="even"/>
      <w:pgSz w:w="11906" w:h="16838"/>
      <w:pgMar w:top="1134" w:right="1503" w:bottom="1559" w:left="167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009FC289-C191-4868-9958-FCAA4F530486}"/>
  </w:font>
  <w:font w:name="黑体">
    <w:panose1 w:val="02010609060101010101"/>
    <w:charset w:val="86"/>
    <w:family w:val="auto"/>
    <w:pitch w:val="default"/>
    <w:sig w:usb0="800002BF" w:usb1="38CF7CFA" w:usb2="00000016" w:usb3="00000000" w:csb0="00040001" w:csb1="00000000"/>
    <w:embedRegular r:id="rId2" w:fontKey="{08066227-068E-489D-B6DA-F957102CA7BB}"/>
  </w:font>
  <w:font w:name="Courier New">
    <w:panose1 w:val="02070309020205020404"/>
    <w:charset w:val="01"/>
    <w:family w:val="modern"/>
    <w:pitch w:val="default"/>
    <w:sig w:usb0="E0002EFF" w:usb1="C0007843" w:usb2="00000009" w:usb3="00000000" w:csb0="400001FF" w:csb1="FFFF0000"/>
    <w:embedRegular r:id="rId3" w:fontKey="{F6A4E979-5C52-45A0-876E-2E6CA3B76F96}"/>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4" w:fontKey="{F807D73F-E0BB-4FB7-A757-BDA225C81EBA}"/>
  </w:font>
  <w:font w:name="Cambria">
    <w:panose1 w:val="02040503050406030204"/>
    <w:charset w:val="00"/>
    <w:family w:val="roman"/>
    <w:pitch w:val="default"/>
    <w:sig w:usb0="E00006FF" w:usb1="420024FF" w:usb2="02000000" w:usb3="00000000" w:csb0="2000019F" w:csb1="00000000"/>
  </w:font>
  <w:font w:name="_x000B__x000C_">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embedRegular r:id="rId5" w:fontKey="{977DF75C-6103-4CA4-AFF3-910A2843C4CF}"/>
  </w:font>
  <w:font w:name="Arial Unicode MS">
    <w:altName w:val="宋体"/>
    <w:panose1 w:val="020B0604020202020204"/>
    <w:charset w:val="86"/>
    <w:family w:val="roman"/>
    <w:pitch w:val="default"/>
    <w:sig w:usb0="00000000" w:usb1="00000000" w:usb2="0000003F" w:usb3="00000000" w:csb0="603F01FF" w:csb1="FFFF0000"/>
  </w:font>
  <w:font w:name="Century">
    <w:altName w:val="Times New Roman"/>
    <w:panose1 w:val="02040604050505020304"/>
    <w:charset w:val="00"/>
    <w:family w:val="roman"/>
    <w:pitch w:val="default"/>
    <w:sig w:usb0="00000000" w:usb1="00000000" w:usb2="00000000" w:usb3="00000000" w:csb0="2000009F" w:csb1="DFD70000"/>
  </w:font>
  <w:font w:name="Helvetica">
    <w:panose1 w:val="020B0504020202030204"/>
    <w:charset w:val="00"/>
    <w:family w:val="swiss"/>
    <w:pitch w:val="default"/>
    <w:sig w:usb0="00000007" w:usb1="00000000" w:usb2="00000000" w:usb3="00000000" w:csb0="00000093" w:csb1="00000000"/>
  </w:font>
  <w:font w:name="方正小标宋简体">
    <w:panose1 w:val="02010600010101010101"/>
    <w:charset w:val="86"/>
    <w:family w:val="script"/>
    <w:pitch w:val="default"/>
    <w:sig w:usb0="00000001" w:usb1="080E0000" w:usb2="00000000" w:usb3="00000000" w:csb0="00040000" w:csb1="00000000"/>
    <w:embedRegular r:id="rId6" w:fontKey="{F01C4A07-D634-4394-B11F-9866E96C38BA}"/>
  </w:font>
  <w:font w:name="华文新魏">
    <w:panose1 w:val="02010800040101010101"/>
    <w:charset w:val="86"/>
    <w:family w:val="auto"/>
    <w:pitch w:val="default"/>
    <w:sig w:usb0="00000001" w:usb1="080F0000" w:usb2="00000000" w:usb3="00000000" w:csb0="00040000" w:csb1="00000000"/>
    <w:embedRegular r:id="rId7" w:fontKey="{63DE42AD-A0DB-441F-BC41-3C643AB6C561}"/>
  </w:font>
  <w:font w:name="微软雅黑">
    <w:panose1 w:val="020B0503020204020204"/>
    <w:charset w:val="86"/>
    <w:family w:val="swiss"/>
    <w:pitch w:val="default"/>
    <w:sig w:usb0="80000287" w:usb1="2ACF3C50" w:usb2="00000016" w:usb3="00000000" w:csb0="0004001F" w:csb1="00000000"/>
    <w:embedRegular r:id="rId8" w:fontKey="{B3ABF27C-0224-432C-BCC3-46B0BCF68AB3}"/>
  </w:font>
  <w:font w:name="WPSEMBED6">
    <w:panose1 w:val="02010800040101010101"/>
    <w:charset w:val="86"/>
    <w:family w:val="auto"/>
    <w:pitch w:val="default"/>
    <w:sig w:usb0="00000001" w:usb1="080F0000" w:usb2="00000000" w:usb3="00000000" w:csb0="00040000" w:csb1="00000000"/>
  </w:font>
  <w:font w:name="WPSEMBED5">
    <w:panose1 w:val="02010609030101010101"/>
    <w:charset w:val="86"/>
    <w:family w:val="auto"/>
    <w:pitch w:val="default"/>
    <w:sig w:usb0="00000001" w:usb1="080E0000" w:usb2="00000000" w:usb3="00000000" w:csb0="00040000" w:csb1="00000000"/>
  </w:font>
  <w:font w:name="隶书">
    <w:panose1 w:val="02010509060101010101"/>
    <w:charset w:val="86"/>
    <w:family w:val="modern"/>
    <w:pitch w:val="default"/>
    <w:sig w:usb0="00000001" w:usb1="080E0000" w:usb2="00000000" w:usb3="00000000" w:csb0="00040000" w:csb1="00000000"/>
    <w:embedRegular r:id="rId9" w:fontKey="{84A37B59-A6FC-45C3-AF37-B98A5FDF171D}"/>
  </w:font>
  <w:font w:name="WPSEMBED7">
    <w:panose1 w:val="0201050906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2D36D">
    <w:pPr>
      <w:pStyle w:val="3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C7B91BE">
                          <w:pPr>
                            <w:pStyle w:val="30"/>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Na8P8XFAQAAkAMAAA4AAAAAAAAAAQAgAAAAHgEAAGRycy9lMm9Eb2MueG1s&#10;UEsFBgAAAAAGAAYAWQEAAFUFAAAAAA==&#10;">
              <v:fill on="f" focussize="0,0"/>
              <v:stroke on="f"/>
              <v:imagedata o:title=""/>
              <o:lock v:ext="edit" aspectratio="f"/>
              <v:textbox inset="0mm,0mm,0mm,0mm" style="mso-fit-shape-to-text:t;">
                <w:txbxContent>
                  <w:p w14:paraId="3C7B91BE">
                    <w:pPr>
                      <w:pStyle w:val="30"/>
                    </w:pPr>
                    <w:r>
                      <w:fldChar w:fldCharType="begin"/>
                    </w:r>
                    <w:r>
                      <w:instrText xml:space="preserve"> PAGE  \* MERGEFORMAT </w:instrText>
                    </w:r>
                    <w:r>
                      <w:fldChar w:fldCharType="separate"/>
                    </w:r>
                    <w:r>
                      <w:t>1</w:t>
                    </w:r>
                    <w:r>
                      <w:fldChar w:fldCharType="end"/>
                    </w:r>
                  </w:p>
                </w:txbxContent>
              </v:textbox>
            </v:shape>
          </w:pict>
        </mc:Fallback>
      </mc:AlternateContent>
    </w:r>
  </w:p>
  <w:p w14:paraId="7C65C0EE">
    <w:pPr>
      <w:pStyle w:val="3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67D366">
    <w:pPr>
      <w:pStyle w:val="30"/>
      <w:jc w:val="cente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5A9C0D">
                          <w:pPr>
                            <w:pStyle w:val="30"/>
                            <w:rPr>
                              <w:sz w:val="16"/>
                              <w:szCs w:val="16"/>
                            </w:rPr>
                          </w:pPr>
                          <w:r>
                            <w:rPr>
                              <w:sz w:val="16"/>
                              <w:szCs w:val="16"/>
                            </w:rPr>
                            <w:fldChar w:fldCharType="begin"/>
                          </w:r>
                          <w:r>
                            <w:rPr>
                              <w:sz w:val="16"/>
                              <w:szCs w:val="16"/>
                            </w:rPr>
                            <w:instrText xml:space="preserve"> PAGE  \* MERGEFORMAT </w:instrText>
                          </w:r>
                          <w:r>
                            <w:rPr>
                              <w:sz w:val="16"/>
                              <w:szCs w:val="16"/>
                            </w:rPr>
                            <w:fldChar w:fldCharType="separate"/>
                          </w:r>
                          <w:r>
                            <w:rPr>
                              <w:sz w:val="16"/>
                              <w:szCs w:val="16"/>
                            </w:rPr>
                            <w:t>102</w:t>
                          </w:r>
                          <w:r>
                            <w:rPr>
                              <w:sz w:val="16"/>
                              <w:szCs w:val="16"/>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165A9C0D">
                    <w:pPr>
                      <w:pStyle w:val="30"/>
                      <w:rPr>
                        <w:sz w:val="16"/>
                        <w:szCs w:val="16"/>
                      </w:rPr>
                    </w:pPr>
                    <w:r>
                      <w:rPr>
                        <w:sz w:val="16"/>
                        <w:szCs w:val="16"/>
                      </w:rPr>
                      <w:fldChar w:fldCharType="begin"/>
                    </w:r>
                    <w:r>
                      <w:rPr>
                        <w:sz w:val="16"/>
                        <w:szCs w:val="16"/>
                      </w:rPr>
                      <w:instrText xml:space="preserve"> PAGE  \* MERGEFORMAT </w:instrText>
                    </w:r>
                    <w:r>
                      <w:rPr>
                        <w:sz w:val="16"/>
                        <w:szCs w:val="16"/>
                      </w:rPr>
                      <w:fldChar w:fldCharType="separate"/>
                    </w:r>
                    <w:r>
                      <w:rPr>
                        <w:sz w:val="16"/>
                        <w:szCs w:val="16"/>
                      </w:rPr>
                      <w:t>102</w:t>
                    </w:r>
                    <w:r>
                      <w:rPr>
                        <w:sz w:val="16"/>
                        <w:szCs w:val="16"/>
                      </w:rPr>
                      <w:fldChar w:fldCharType="end"/>
                    </w:r>
                  </w:p>
                </w:txbxContent>
              </v:textbox>
            </v:shape>
          </w:pict>
        </mc:Fallback>
      </mc:AlternateContent>
    </w:r>
  </w:p>
  <w:p w14:paraId="4B25C001">
    <w:pPr>
      <w:pStyle w:val="3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06EFE2">
    <w:pPr>
      <w:pStyle w:val="30"/>
      <w:framePr w:wrap="around" w:vAnchor="text" w:hAnchor="margin" w:xAlign="center" w:y="1"/>
      <w:rPr>
        <w:rStyle w:val="52"/>
      </w:rPr>
    </w:pPr>
    <w:r>
      <w:fldChar w:fldCharType="begin"/>
    </w:r>
    <w:r>
      <w:rPr>
        <w:rStyle w:val="52"/>
      </w:rPr>
      <w:instrText xml:space="preserve">PAGE  </w:instrText>
    </w:r>
    <w:r>
      <w:fldChar w:fldCharType="end"/>
    </w:r>
  </w:p>
  <w:p w14:paraId="562D92F5">
    <w:pPr>
      <w:pStyle w:val="3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1A891B">
    <w:pPr>
      <w:pStyle w:val="30"/>
      <w:ind w:right="360"/>
      <w:jc w:val="both"/>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518A6D2">
                          <w:pPr>
                            <w:pStyle w:val="30"/>
                          </w:pPr>
                          <w:r>
                            <w:fldChar w:fldCharType="begin"/>
                          </w:r>
                          <w:r>
                            <w:instrText xml:space="preserve"> PAGE  \* MERGEFORMAT </w:instrText>
                          </w:r>
                          <w:r>
                            <w:fldChar w:fldCharType="separate"/>
                          </w:r>
                          <w:r>
                            <w:t>70</w:t>
                          </w:r>
                          <w:r>
                            <w:fldChar w:fldCharType="end"/>
                          </w:r>
                        </w:p>
                      </w:txbxContent>
                    </wps:txbx>
                    <wps:bodyPr wrap="none" lIns="0" tIns="0" rIns="0" bIns="0">
                      <a:spAutoFit/>
                    </wps:bodyPr>
                  </wps:wsp>
                </a:graphicData>
              </a:graphic>
            </wp:anchor>
          </w:drawing>
        </mc:Choice>
        <mc:Fallback>
          <w:pict>
            <v:shape id="文本框 1030"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BwSj9iwwEAAJADAAAOAAAAAAAAAAEAIAAAAB4BAABkcnMvZTJvRG9jLnhtbFBL&#10;BQYAAAAABgAGAFkBAABTBQAAAAA=&#10;">
              <v:fill on="f" focussize="0,0"/>
              <v:stroke on="f"/>
              <v:imagedata o:title=""/>
              <o:lock v:ext="edit" aspectratio="f"/>
              <v:textbox inset="0mm,0mm,0mm,0mm" style="mso-fit-shape-to-text:t;">
                <w:txbxContent>
                  <w:p w14:paraId="0518A6D2">
                    <w:pPr>
                      <w:pStyle w:val="30"/>
                    </w:pPr>
                    <w:r>
                      <w:fldChar w:fldCharType="begin"/>
                    </w:r>
                    <w:r>
                      <w:instrText xml:space="preserve"> PAGE  \* MERGEFORMAT </w:instrText>
                    </w:r>
                    <w:r>
                      <w:fldChar w:fldCharType="separate"/>
                    </w:r>
                    <w:r>
                      <w:t>70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46720">
    <w:pPr>
      <w:pStyle w:val="30"/>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B3A5FC">
                          <w:pPr>
                            <w:pStyle w:val="30"/>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70B3A5FC">
                    <w:pPr>
                      <w:pStyle w:val="30"/>
                    </w:pPr>
                    <w:r>
                      <w:fldChar w:fldCharType="begin"/>
                    </w:r>
                    <w:r>
                      <w:instrText xml:space="preserve"> PAGE  \* MERGEFORMAT </w:instrText>
                    </w:r>
                    <w:r>
                      <w:fldChar w:fldCharType="separate"/>
                    </w:r>
                    <w:r>
                      <w:t>0</w:t>
                    </w:r>
                    <w:r>
                      <w:fldChar w:fldCharType="end"/>
                    </w:r>
                  </w:p>
                </w:txbxContent>
              </v:textbox>
            </v:shape>
          </w:pict>
        </mc:Fallback>
      </mc:AlternateContent>
    </w:r>
  </w:p>
  <w:p w14:paraId="59E508BF">
    <w:pPr>
      <w:pStyle w:val="3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4ABA92">
    <w:pPr>
      <w:pStyle w:val="3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2260E2A">
                          <w:pPr>
                            <w:pStyle w:val="30"/>
                          </w:pPr>
                          <w:r>
                            <w:fldChar w:fldCharType="begin"/>
                          </w:r>
                          <w:r>
                            <w:instrText xml:space="preserve"> PAGE  \* MERGEFORMAT </w:instrText>
                          </w:r>
                          <w:r>
                            <w:fldChar w:fldCharType="separate"/>
                          </w:r>
                          <w:r>
                            <w:t>9</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32260E2A">
                    <w:pPr>
                      <w:pStyle w:val="30"/>
                    </w:pPr>
                    <w:r>
                      <w:fldChar w:fldCharType="begin"/>
                    </w:r>
                    <w:r>
                      <w:instrText xml:space="preserve"> PAGE  \* MERGEFORMAT </w:instrText>
                    </w:r>
                    <w:r>
                      <w:fldChar w:fldCharType="separate"/>
                    </w:r>
                    <w:r>
                      <w:t>9</w:t>
                    </w:r>
                    <w:r>
                      <w:fldChar w:fldCharType="end"/>
                    </w:r>
                  </w:p>
                </w:txbxContent>
              </v:textbox>
            </v:shape>
          </w:pict>
        </mc:Fallback>
      </mc:AlternateContent>
    </w:r>
  </w:p>
  <w:p w14:paraId="5EE4410A">
    <w:pPr>
      <w:pStyle w:val="3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038CF6">
    <w:pPr>
      <w:pStyle w:val="30"/>
      <w:jc w:val="cente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664A5D">
                          <w:pPr>
                            <w:pStyle w:val="3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7F664A5D">
                    <w:pPr>
                      <w:pStyle w:val="30"/>
                    </w:pPr>
                    <w:r>
                      <w:fldChar w:fldCharType="begin"/>
                    </w:r>
                    <w:r>
                      <w:instrText xml:space="preserve"> PAGE  \* MERGEFORMAT </w:instrText>
                    </w:r>
                    <w:r>
                      <w:fldChar w:fldCharType="separate"/>
                    </w:r>
                    <w:r>
                      <w:t>1</w:t>
                    </w:r>
                    <w:r>
                      <w:fldChar w:fldCharType="end"/>
                    </w:r>
                  </w:p>
                </w:txbxContent>
              </v:textbox>
            </v:shape>
          </w:pict>
        </mc:Fallback>
      </mc:AlternateContent>
    </w:r>
  </w:p>
  <w:p w14:paraId="00437C22">
    <w:pPr>
      <w:pStyle w:val="3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B89EC8">
    <w:pPr>
      <w:pStyle w:val="30"/>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ED48CA2">
                          <w:pPr>
                            <w:pStyle w:val="30"/>
                            <w:rPr>
                              <w:rStyle w:val="52"/>
                            </w:rPr>
                          </w:pPr>
                          <w:r>
                            <w:fldChar w:fldCharType="begin"/>
                          </w:r>
                          <w:r>
                            <w:rPr>
                              <w:rStyle w:val="52"/>
                            </w:rPr>
                            <w:instrText xml:space="preserve">PAGE  </w:instrText>
                          </w:r>
                          <w:r>
                            <w:fldChar w:fldCharType="separate"/>
                          </w:r>
                          <w:r>
                            <w:rPr>
                              <w:rStyle w:val="52"/>
                            </w:rPr>
                            <w:t>51</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14:paraId="2ED48CA2">
                    <w:pPr>
                      <w:pStyle w:val="30"/>
                      <w:rPr>
                        <w:rStyle w:val="52"/>
                      </w:rPr>
                    </w:pPr>
                    <w:r>
                      <w:fldChar w:fldCharType="begin"/>
                    </w:r>
                    <w:r>
                      <w:rPr>
                        <w:rStyle w:val="52"/>
                      </w:rPr>
                      <w:instrText xml:space="preserve">PAGE  </w:instrText>
                    </w:r>
                    <w:r>
                      <w:fldChar w:fldCharType="separate"/>
                    </w:r>
                    <w:r>
                      <w:rPr>
                        <w:rStyle w:val="52"/>
                      </w:rPr>
                      <w:t>51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8B6342">
    <w:pPr>
      <w:pStyle w:val="30"/>
      <w:framePr w:wrap="around" w:vAnchor="text" w:hAnchor="margin" w:xAlign="center" w:y="1"/>
      <w:rPr>
        <w:rStyle w:val="52"/>
      </w:rPr>
    </w:pPr>
    <w:r>
      <w:fldChar w:fldCharType="begin"/>
    </w:r>
    <w:r>
      <w:rPr>
        <w:rStyle w:val="52"/>
      </w:rPr>
      <w:instrText xml:space="preserve">PAGE  </w:instrText>
    </w:r>
    <w:r>
      <w:fldChar w:fldCharType="separate"/>
    </w:r>
    <w:r>
      <w:fldChar w:fldCharType="end"/>
    </w:r>
  </w:p>
  <w:p w14:paraId="356BB185">
    <w:pPr>
      <w:pStyle w:val="3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2DD28F">
    <w:pPr>
      <w:pStyle w:val="3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A69149A">
                          <w:pPr>
                            <w:pStyle w:val="30"/>
                          </w:pPr>
                          <w:r>
                            <w:fldChar w:fldCharType="begin"/>
                          </w:r>
                          <w:r>
                            <w:instrText xml:space="preserve"> PAGE  \* MERGEFORMAT </w:instrText>
                          </w:r>
                          <w:r>
                            <w:fldChar w:fldCharType="separate"/>
                          </w:r>
                          <w:r>
                            <w:t>15</w:t>
                          </w:r>
                          <w:r>
                            <w:fldChar w:fldCharType="end"/>
                          </w:r>
                        </w:p>
                      </w:txbxContent>
                    </wps:txbx>
                    <wps:bodyPr wrap="none" lIns="0" tIns="0" rIns="0" bIns="0">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DixA+bwwEAAJADAAAOAAAAAAAAAAEAIAAAAB4BAABkcnMvZTJvRG9jLnhtbFBL&#10;BQYAAAAABgAGAFkBAABTBQAAAAA=&#10;">
              <v:fill on="f" focussize="0,0"/>
              <v:stroke on="f"/>
              <v:imagedata o:title=""/>
              <o:lock v:ext="edit" aspectratio="f"/>
              <v:textbox inset="0mm,0mm,0mm,0mm" style="mso-fit-shape-to-text:t;">
                <w:txbxContent>
                  <w:p w14:paraId="1A69149A">
                    <w:pPr>
                      <w:pStyle w:val="30"/>
                    </w:pPr>
                    <w:r>
                      <w:fldChar w:fldCharType="begin"/>
                    </w:r>
                    <w:r>
                      <w:instrText xml:space="preserve"> PAGE  \* MERGEFORMAT </w:instrText>
                    </w:r>
                    <w:r>
                      <w:fldChar w:fldCharType="separate"/>
                    </w:r>
                    <w:r>
                      <w:t>15</w:t>
                    </w:r>
                    <w:r>
                      <w:fldChar w:fldCharType="end"/>
                    </w:r>
                  </w:p>
                </w:txbxContent>
              </v:textbox>
            </v:shape>
          </w:pict>
        </mc:Fallback>
      </mc:AlternateContent>
    </w:r>
  </w:p>
  <w:p w14:paraId="2EF370E5">
    <w:pPr>
      <w:pStyle w:val="3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73836">
    <w:pPr>
      <w:pStyle w:val="30"/>
      <w:framePr w:wrap="around" w:vAnchor="text" w:hAnchor="margin" w:xAlign="center" w:y="1"/>
      <w:rPr>
        <w:rStyle w:val="52"/>
      </w:rPr>
    </w:pPr>
    <w:r>
      <w:fldChar w:fldCharType="begin"/>
    </w:r>
    <w:r>
      <w:rPr>
        <w:rStyle w:val="52"/>
      </w:rPr>
      <w:instrText xml:space="preserve">PAGE  </w:instrText>
    </w:r>
    <w:r>
      <w:fldChar w:fldCharType="end"/>
    </w:r>
  </w:p>
  <w:p w14:paraId="1CC4548C">
    <w:pPr>
      <w:pStyle w:val="3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AA907A">
    <w:pPr>
      <w:pStyle w:val="30"/>
      <w:framePr w:wrap="around" w:vAnchor="text" w:hAnchor="margin" w:xAlign="right" w:y="1"/>
      <w:rPr>
        <w:rStyle w:val="52"/>
      </w:rPr>
    </w:pPr>
    <w:r>
      <w:fldChar w:fldCharType="begin"/>
    </w:r>
    <w:r>
      <w:rPr>
        <w:rStyle w:val="52"/>
      </w:rPr>
      <w:instrText xml:space="preserve">PAGE  </w:instrText>
    </w:r>
    <w:r>
      <w:fldChar w:fldCharType="separate"/>
    </w:r>
    <w:r>
      <w:rPr>
        <w:rStyle w:val="52"/>
      </w:rPr>
      <w:t>122</w:t>
    </w:r>
    <w:r>
      <w:fldChar w:fldCharType="end"/>
    </w:r>
  </w:p>
  <w:p w14:paraId="04755B89">
    <w:pPr>
      <w:pStyle w:val="30"/>
      <w:ind w:right="360"/>
      <w:jc w:val="both"/>
    </w:pPr>
    <w:r>
      <w:rPr>
        <w:rFonts w:hint="eastAsia"/>
      </w:rPr>
      <w:t>121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B9E444">
    <w:pPr>
      <w:pStyle w:val="3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40ABD0">
    <w:pPr>
      <w:pStyle w:val="31"/>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4E7AA"/>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00DFF7"/>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91CA10"/>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6F97AB">
    <w:pPr>
      <w:pStyle w:val="31"/>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D98915">
    <w:pPr>
      <w:pStyle w:val="3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E2B6B0"/>
    <w:multiLevelType w:val="singleLevel"/>
    <w:tmpl w:val="90E2B6B0"/>
    <w:lvl w:ilvl="0" w:tentative="0">
      <w:start w:val="2"/>
      <w:numFmt w:val="decimal"/>
      <w:suff w:val="nothing"/>
      <w:lvlText w:val="（%1）"/>
      <w:lvlJc w:val="left"/>
    </w:lvl>
  </w:abstractNum>
  <w:abstractNum w:abstractNumId="1">
    <w:nsid w:val="FFFFFF7E"/>
    <w:multiLevelType w:val="singleLevel"/>
    <w:tmpl w:val="FFFFFF7E"/>
    <w:lvl w:ilvl="0" w:tentative="0">
      <w:start w:val="1"/>
      <w:numFmt w:val="decimal"/>
      <w:pStyle w:val="20"/>
      <w:lvlText w:val="%1."/>
      <w:lvlJc w:val="left"/>
      <w:pPr>
        <w:tabs>
          <w:tab w:val="left" w:pos="1200"/>
        </w:tabs>
        <w:ind w:left="1200" w:hanging="360"/>
      </w:pPr>
    </w:lvl>
  </w:abstractNum>
  <w:abstractNum w:abstractNumId="2">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7"/>
      <w:suff w:val="nothing"/>
      <w:lvlText w:val=""/>
      <w:lvlJc w:val="left"/>
      <w:pPr>
        <w:ind w:left="0" w:firstLine="0"/>
      </w:pPr>
      <w:rPr>
        <w:rFonts w:hint="eastAsia"/>
      </w:rPr>
    </w:lvl>
    <w:lvl w:ilvl="5" w:tentative="0">
      <w:start w:val="1"/>
      <w:numFmt w:val="none"/>
      <w:pStyle w:val="9"/>
      <w:suff w:val="nothing"/>
      <w:lvlText w:val=""/>
      <w:lvlJc w:val="left"/>
      <w:pPr>
        <w:ind w:left="0" w:firstLine="0"/>
      </w:pPr>
      <w:rPr>
        <w:rFonts w:hint="eastAsia"/>
      </w:rPr>
    </w:lvl>
    <w:lvl w:ilvl="6" w:tentative="0">
      <w:start w:val="1"/>
      <w:numFmt w:val="none"/>
      <w:pStyle w:val="10"/>
      <w:suff w:val="nothing"/>
      <w:lvlText w:val=""/>
      <w:lvlJc w:val="left"/>
      <w:pPr>
        <w:ind w:left="0" w:firstLine="0"/>
      </w:pPr>
      <w:rPr>
        <w:rFonts w:hint="eastAsia"/>
      </w:rPr>
    </w:lvl>
    <w:lvl w:ilvl="7" w:tentative="0">
      <w:start w:val="1"/>
      <w:numFmt w:val="none"/>
      <w:pStyle w:val="11"/>
      <w:suff w:val="nothing"/>
      <w:lvlText w:val=""/>
      <w:lvlJc w:val="left"/>
      <w:pPr>
        <w:ind w:left="0" w:firstLine="0"/>
      </w:pPr>
      <w:rPr>
        <w:rFonts w:hint="eastAsia"/>
      </w:rPr>
    </w:lvl>
    <w:lvl w:ilvl="8" w:tentative="0">
      <w:start w:val="1"/>
      <w:numFmt w:val="none"/>
      <w:pStyle w:val="12"/>
      <w:suff w:val="nothing"/>
      <w:lvlText w:val=""/>
      <w:lvlJc w:val="left"/>
      <w:pPr>
        <w:ind w:left="0" w:firstLine="0"/>
      </w:pPr>
      <w:rPr>
        <w:rFonts w:hint="eastAsia"/>
      </w:rPr>
    </w:lvl>
  </w:abstractNum>
  <w:abstractNum w:abstractNumId="3">
    <w:nsid w:val="49B00F68"/>
    <w:multiLevelType w:val="singleLevel"/>
    <w:tmpl w:val="49B00F68"/>
    <w:lvl w:ilvl="0" w:tentative="0">
      <w:start w:val="5"/>
      <w:numFmt w:val="decimal"/>
      <w:suff w:val="space"/>
      <w:lvlText w:val="%1."/>
      <w:lvlJc w:val="left"/>
    </w:lvl>
  </w:abstractNum>
  <w:abstractNum w:abstractNumId="4">
    <w:nsid w:val="4C601917"/>
    <w:multiLevelType w:val="singleLevel"/>
    <w:tmpl w:val="4C601917"/>
    <w:lvl w:ilvl="0" w:tentative="0">
      <w:start w:val="1"/>
      <w:numFmt w:val="decimal"/>
      <w:suff w:val="nothing"/>
      <w:lvlText w:val="（%1）"/>
      <w:lvlJc w:val="left"/>
    </w:lvl>
  </w:abstractNum>
  <w:abstractNum w:abstractNumId="5">
    <w:nsid w:val="5FABD14B"/>
    <w:multiLevelType w:val="singleLevel"/>
    <w:tmpl w:val="5FABD14B"/>
    <w:lvl w:ilvl="0" w:tentative="0">
      <w:start w:val="1"/>
      <w:numFmt w:val="decimal"/>
      <w:suff w:val="nothing"/>
      <w:lvlText w:val="（%1）"/>
      <w:lvlJc w:val="left"/>
    </w:lvl>
  </w:abstractNum>
  <w:num w:numId="1">
    <w:abstractNumId w:val="2"/>
  </w:num>
  <w:num w:numId="2">
    <w:abstractNumId w:val="1"/>
  </w:num>
  <w:num w:numId="3">
    <w:abstractNumId w:val="0"/>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stylePaneFormatFilter w:val="3D01" w:allStyles="1" w:customStyles="0" w:latentStyles="0" w:stylesInUse="0" w:headingStyles="0" w:numberingStyles="0" w:tableStyles="0" w:directFormattingOnRuns="1" w:directFormattingOnParagraphs="0"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ZiZjUyYTc5YzM4OTI2MGM5Mzg0NzRlMzgyMzk0ODEifQ=="/>
  </w:docVars>
  <w:rsids>
    <w:rsidRoot w:val="00F9008B"/>
    <w:rsid w:val="0000010C"/>
    <w:rsid w:val="00000D21"/>
    <w:rsid w:val="00000FE0"/>
    <w:rsid w:val="00001068"/>
    <w:rsid w:val="0000114A"/>
    <w:rsid w:val="00001731"/>
    <w:rsid w:val="00001C2D"/>
    <w:rsid w:val="00001C55"/>
    <w:rsid w:val="00001CA8"/>
    <w:rsid w:val="00001FAE"/>
    <w:rsid w:val="00002291"/>
    <w:rsid w:val="00002644"/>
    <w:rsid w:val="00002DBF"/>
    <w:rsid w:val="00002EC0"/>
    <w:rsid w:val="00003224"/>
    <w:rsid w:val="000033F5"/>
    <w:rsid w:val="000034EA"/>
    <w:rsid w:val="0000358C"/>
    <w:rsid w:val="00003BEF"/>
    <w:rsid w:val="00004130"/>
    <w:rsid w:val="0000431F"/>
    <w:rsid w:val="00004634"/>
    <w:rsid w:val="00004D8B"/>
    <w:rsid w:val="000059E2"/>
    <w:rsid w:val="00006AE7"/>
    <w:rsid w:val="00006B9B"/>
    <w:rsid w:val="00006C35"/>
    <w:rsid w:val="000072B1"/>
    <w:rsid w:val="00007329"/>
    <w:rsid w:val="00007E28"/>
    <w:rsid w:val="00007E84"/>
    <w:rsid w:val="00010401"/>
    <w:rsid w:val="000105A1"/>
    <w:rsid w:val="000107AD"/>
    <w:rsid w:val="00010835"/>
    <w:rsid w:val="00011842"/>
    <w:rsid w:val="00012137"/>
    <w:rsid w:val="000121EE"/>
    <w:rsid w:val="000121FF"/>
    <w:rsid w:val="000125B8"/>
    <w:rsid w:val="00012692"/>
    <w:rsid w:val="00013446"/>
    <w:rsid w:val="00013509"/>
    <w:rsid w:val="000135BC"/>
    <w:rsid w:val="000135DC"/>
    <w:rsid w:val="000136D6"/>
    <w:rsid w:val="00013979"/>
    <w:rsid w:val="00014085"/>
    <w:rsid w:val="00014B4C"/>
    <w:rsid w:val="00014DD9"/>
    <w:rsid w:val="000151E4"/>
    <w:rsid w:val="000153D8"/>
    <w:rsid w:val="00015577"/>
    <w:rsid w:val="000156E4"/>
    <w:rsid w:val="000159A7"/>
    <w:rsid w:val="00015FB8"/>
    <w:rsid w:val="0001609F"/>
    <w:rsid w:val="0001635B"/>
    <w:rsid w:val="00016549"/>
    <w:rsid w:val="00016BF7"/>
    <w:rsid w:val="00016D20"/>
    <w:rsid w:val="0001767E"/>
    <w:rsid w:val="0001776D"/>
    <w:rsid w:val="00017C00"/>
    <w:rsid w:val="00017F31"/>
    <w:rsid w:val="00020607"/>
    <w:rsid w:val="0002103A"/>
    <w:rsid w:val="000217E4"/>
    <w:rsid w:val="00021852"/>
    <w:rsid w:val="00021A12"/>
    <w:rsid w:val="00022622"/>
    <w:rsid w:val="00023363"/>
    <w:rsid w:val="000235F3"/>
    <w:rsid w:val="00023644"/>
    <w:rsid w:val="00023712"/>
    <w:rsid w:val="0002476C"/>
    <w:rsid w:val="00024E3C"/>
    <w:rsid w:val="00024EB0"/>
    <w:rsid w:val="00025A93"/>
    <w:rsid w:val="0002646A"/>
    <w:rsid w:val="0002651D"/>
    <w:rsid w:val="00026CFD"/>
    <w:rsid w:val="000279F9"/>
    <w:rsid w:val="00027A11"/>
    <w:rsid w:val="00027C8B"/>
    <w:rsid w:val="00027CD9"/>
    <w:rsid w:val="00030242"/>
    <w:rsid w:val="00030B06"/>
    <w:rsid w:val="0003169D"/>
    <w:rsid w:val="0003183A"/>
    <w:rsid w:val="00031CDC"/>
    <w:rsid w:val="00031DC8"/>
    <w:rsid w:val="0003263B"/>
    <w:rsid w:val="0003282C"/>
    <w:rsid w:val="0003304A"/>
    <w:rsid w:val="0003317E"/>
    <w:rsid w:val="00033413"/>
    <w:rsid w:val="000337F3"/>
    <w:rsid w:val="00034C27"/>
    <w:rsid w:val="00034E2A"/>
    <w:rsid w:val="0003577F"/>
    <w:rsid w:val="000361E7"/>
    <w:rsid w:val="00036466"/>
    <w:rsid w:val="0003675E"/>
    <w:rsid w:val="00037633"/>
    <w:rsid w:val="00037E9E"/>
    <w:rsid w:val="00037F87"/>
    <w:rsid w:val="00037FA2"/>
    <w:rsid w:val="000400D0"/>
    <w:rsid w:val="0004044E"/>
    <w:rsid w:val="000425AC"/>
    <w:rsid w:val="00042F4A"/>
    <w:rsid w:val="00043BE5"/>
    <w:rsid w:val="00044003"/>
    <w:rsid w:val="00044527"/>
    <w:rsid w:val="0004469E"/>
    <w:rsid w:val="00044897"/>
    <w:rsid w:val="00044ACF"/>
    <w:rsid w:val="00044D83"/>
    <w:rsid w:val="00044E06"/>
    <w:rsid w:val="000454F4"/>
    <w:rsid w:val="00045670"/>
    <w:rsid w:val="00045D1E"/>
    <w:rsid w:val="00045E69"/>
    <w:rsid w:val="00045EF4"/>
    <w:rsid w:val="00046547"/>
    <w:rsid w:val="000466D7"/>
    <w:rsid w:val="00046753"/>
    <w:rsid w:val="00047254"/>
    <w:rsid w:val="000472FD"/>
    <w:rsid w:val="0005022B"/>
    <w:rsid w:val="00050771"/>
    <w:rsid w:val="000513F3"/>
    <w:rsid w:val="00052287"/>
    <w:rsid w:val="000522E0"/>
    <w:rsid w:val="00052609"/>
    <w:rsid w:val="000532F4"/>
    <w:rsid w:val="000536AE"/>
    <w:rsid w:val="00054CD5"/>
    <w:rsid w:val="00054D03"/>
    <w:rsid w:val="000550AC"/>
    <w:rsid w:val="0005580E"/>
    <w:rsid w:val="0005584D"/>
    <w:rsid w:val="00055CC3"/>
    <w:rsid w:val="00055CEE"/>
    <w:rsid w:val="000566FA"/>
    <w:rsid w:val="00056A2B"/>
    <w:rsid w:val="00056E37"/>
    <w:rsid w:val="00056EE2"/>
    <w:rsid w:val="00056FE2"/>
    <w:rsid w:val="000570FB"/>
    <w:rsid w:val="000575B8"/>
    <w:rsid w:val="00060131"/>
    <w:rsid w:val="0006026B"/>
    <w:rsid w:val="00060293"/>
    <w:rsid w:val="00061BDA"/>
    <w:rsid w:val="000621FE"/>
    <w:rsid w:val="00062B90"/>
    <w:rsid w:val="00062C70"/>
    <w:rsid w:val="00062DD0"/>
    <w:rsid w:val="00062E6F"/>
    <w:rsid w:val="000630C7"/>
    <w:rsid w:val="0006400F"/>
    <w:rsid w:val="000643DA"/>
    <w:rsid w:val="000645DD"/>
    <w:rsid w:val="00064D7E"/>
    <w:rsid w:val="00064F65"/>
    <w:rsid w:val="00064FD0"/>
    <w:rsid w:val="0006534A"/>
    <w:rsid w:val="00065A5D"/>
    <w:rsid w:val="00065BA2"/>
    <w:rsid w:val="000661CA"/>
    <w:rsid w:val="0006668D"/>
    <w:rsid w:val="00066F2B"/>
    <w:rsid w:val="00067002"/>
    <w:rsid w:val="0006710A"/>
    <w:rsid w:val="00067993"/>
    <w:rsid w:val="00067B1C"/>
    <w:rsid w:val="00067CED"/>
    <w:rsid w:val="00067D39"/>
    <w:rsid w:val="00067F66"/>
    <w:rsid w:val="0007041A"/>
    <w:rsid w:val="00070634"/>
    <w:rsid w:val="00070883"/>
    <w:rsid w:val="00070C3F"/>
    <w:rsid w:val="0007102C"/>
    <w:rsid w:val="00071D68"/>
    <w:rsid w:val="00071FCE"/>
    <w:rsid w:val="00072661"/>
    <w:rsid w:val="00072CCC"/>
    <w:rsid w:val="00073549"/>
    <w:rsid w:val="00073A58"/>
    <w:rsid w:val="0007483E"/>
    <w:rsid w:val="000751DB"/>
    <w:rsid w:val="0007578F"/>
    <w:rsid w:val="000759A3"/>
    <w:rsid w:val="00075E43"/>
    <w:rsid w:val="00077706"/>
    <w:rsid w:val="00077878"/>
    <w:rsid w:val="00077DE2"/>
    <w:rsid w:val="000804EF"/>
    <w:rsid w:val="00080558"/>
    <w:rsid w:val="00081230"/>
    <w:rsid w:val="000814E2"/>
    <w:rsid w:val="000818C9"/>
    <w:rsid w:val="00081CBB"/>
    <w:rsid w:val="00081D42"/>
    <w:rsid w:val="000822EF"/>
    <w:rsid w:val="0008241E"/>
    <w:rsid w:val="000826F5"/>
    <w:rsid w:val="000829B1"/>
    <w:rsid w:val="00082AAB"/>
    <w:rsid w:val="0008307D"/>
    <w:rsid w:val="000831E9"/>
    <w:rsid w:val="00083288"/>
    <w:rsid w:val="000833BB"/>
    <w:rsid w:val="0008452D"/>
    <w:rsid w:val="0008467B"/>
    <w:rsid w:val="000846E2"/>
    <w:rsid w:val="000850FA"/>
    <w:rsid w:val="00085C12"/>
    <w:rsid w:val="00085DA0"/>
    <w:rsid w:val="00085F82"/>
    <w:rsid w:val="00086506"/>
    <w:rsid w:val="00086B6E"/>
    <w:rsid w:val="00086C64"/>
    <w:rsid w:val="0008781A"/>
    <w:rsid w:val="00090951"/>
    <w:rsid w:val="00090A61"/>
    <w:rsid w:val="000918F5"/>
    <w:rsid w:val="000919B5"/>
    <w:rsid w:val="00091C1D"/>
    <w:rsid w:val="00091E08"/>
    <w:rsid w:val="00091E29"/>
    <w:rsid w:val="000922D8"/>
    <w:rsid w:val="000932E7"/>
    <w:rsid w:val="0009333A"/>
    <w:rsid w:val="00093459"/>
    <w:rsid w:val="00093B8B"/>
    <w:rsid w:val="000951E7"/>
    <w:rsid w:val="00095B82"/>
    <w:rsid w:val="00096098"/>
    <w:rsid w:val="000961C5"/>
    <w:rsid w:val="000968AF"/>
    <w:rsid w:val="000969D9"/>
    <w:rsid w:val="00096F37"/>
    <w:rsid w:val="00097A79"/>
    <w:rsid w:val="00097FE5"/>
    <w:rsid w:val="000A0354"/>
    <w:rsid w:val="000A091F"/>
    <w:rsid w:val="000A0958"/>
    <w:rsid w:val="000A0FCC"/>
    <w:rsid w:val="000A1033"/>
    <w:rsid w:val="000A2712"/>
    <w:rsid w:val="000A2877"/>
    <w:rsid w:val="000A2D31"/>
    <w:rsid w:val="000A355D"/>
    <w:rsid w:val="000A35DA"/>
    <w:rsid w:val="000A371E"/>
    <w:rsid w:val="000A3DE5"/>
    <w:rsid w:val="000A4011"/>
    <w:rsid w:val="000A4397"/>
    <w:rsid w:val="000A45D5"/>
    <w:rsid w:val="000A490E"/>
    <w:rsid w:val="000A5B49"/>
    <w:rsid w:val="000A5FE5"/>
    <w:rsid w:val="000A688F"/>
    <w:rsid w:val="000A7218"/>
    <w:rsid w:val="000A740A"/>
    <w:rsid w:val="000A7446"/>
    <w:rsid w:val="000A7A56"/>
    <w:rsid w:val="000A7E7F"/>
    <w:rsid w:val="000A7ECD"/>
    <w:rsid w:val="000B04DD"/>
    <w:rsid w:val="000B0F01"/>
    <w:rsid w:val="000B1346"/>
    <w:rsid w:val="000B1795"/>
    <w:rsid w:val="000B1914"/>
    <w:rsid w:val="000B19DC"/>
    <w:rsid w:val="000B1CA2"/>
    <w:rsid w:val="000B202E"/>
    <w:rsid w:val="000B2293"/>
    <w:rsid w:val="000B24A4"/>
    <w:rsid w:val="000B255A"/>
    <w:rsid w:val="000B255C"/>
    <w:rsid w:val="000B292B"/>
    <w:rsid w:val="000B395E"/>
    <w:rsid w:val="000B39C3"/>
    <w:rsid w:val="000B3A00"/>
    <w:rsid w:val="000B3BFD"/>
    <w:rsid w:val="000B4840"/>
    <w:rsid w:val="000B4D79"/>
    <w:rsid w:val="000B5627"/>
    <w:rsid w:val="000B5671"/>
    <w:rsid w:val="000B6BF0"/>
    <w:rsid w:val="000B6CE8"/>
    <w:rsid w:val="000B7DAF"/>
    <w:rsid w:val="000C01A9"/>
    <w:rsid w:val="000C071C"/>
    <w:rsid w:val="000C0BB4"/>
    <w:rsid w:val="000C0BEE"/>
    <w:rsid w:val="000C1CB9"/>
    <w:rsid w:val="000C2159"/>
    <w:rsid w:val="000C21BB"/>
    <w:rsid w:val="000C289B"/>
    <w:rsid w:val="000C34B8"/>
    <w:rsid w:val="000C3F01"/>
    <w:rsid w:val="000C420D"/>
    <w:rsid w:val="000C4773"/>
    <w:rsid w:val="000C4944"/>
    <w:rsid w:val="000C4E24"/>
    <w:rsid w:val="000C5C4A"/>
    <w:rsid w:val="000C5F01"/>
    <w:rsid w:val="000C63C4"/>
    <w:rsid w:val="000C66C1"/>
    <w:rsid w:val="000C6F0B"/>
    <w:rsid w:val="000C6F32"/>
    <w:rsid w:val="000C708E"/>
    <w:rsid w:val="000C778C"/>
    <w:rsid w:val="000C7833"/>
    <w:rsid w:val="000C7DFB"/>
    <w:rsid w:val="000C7E1B"/>
    <w:rsid w:val="000C7E73"/>
    <w:rsid w:val="000D001B"/>
    <w:rsid w:val="000D0A45"/>
    <w:rsid w:val="000D136E"/>
    <w:rsid w:val="000D14AC"/>
    <w:rsid w:val="000D15BA"/>
    <w:rsid w:val="000D2C9B"/>
    <w:rsid w:val="000D35FD"/>
    <w:rsid w:val="000D388F"/>
    <w:rsid w:val="000D3D2D"/>
    <w:rsid w:val="000D3D99"/>
    <w:rsid w:val="000D4653"/>
    <w:rsid w:val="000D4696"/>
    <w:rsid w:val="000D4817"/>
    <w:rsid w:val="000D4FB9"/>
    <w:rsid w:val="000D54B4"/>
    <w:rsid w:val="000D54F8"/>
    <w:rsid w:val="000D584B"/>
    <w:rsid w:val="000D5F55"/>
    <w:rsid w:val="000D6372"/>
    <w:rsid w:val="000D6979"/>
    <w:rsid w:val="000D6CE7"/>
    <w:rsid w:val="000D6E38"/>
    <w:rsid w:val="000D6E63"/>
    <w:rsid w:val="000D711C"/>
    <w:rsid w:val="000D7B6E"/>
    <w:rsid w:val="000E042A"/>
    <w:rsid w:val="000E0644"/>
    <w:rsid w:val="000E076D"/>
    <w:rsid w:val="000E0CD2"/>
    <w:rsid w:val="000E187C"/>
    <w:rsid w:val="000E1B28"/>
    <w:rsid w:val="000E1E8D"/>
    <w:rsid w:val="000E1EBC"/>
    <w:rsid w:val="000E2173"/>
    <w:rsid w:val="000E220B"/>
    <w:rsid w:val="000E2A50"/>
    <w:rsid w:val="000E30F2"/>
    <w:rsid w:val="000E316B"/>
    <w:rsid w:val="000E3D08"/>
    <w:rsid w:val="000E4728"/>
    <w:rsid w:val="000E4D1F"/>
    <w:rsid w:val="000E5658"/>
    <w:rsid w:val="000E5698"/>
    <w:rsid w:val="000E5723"/>
    <w:rsid w:val="000E581B"/>
    <w:rsid w:val="000E58B4"/>
    <w:rsid w:val="000E65D2"/>
    <w:rsid w:val="000E6919"/>
    <w:rsid w:val="000E6B1B"/>
    <w:rsid w:val="000E6F0C"/>
    <w:rsid w:val="000E732D"/>
    <w:rsid w:val="000F07ED"/>
    <w:rsid w:val="000F0CF2"/>
    <w:rsid w:val="000F14F6"/>
    <w:rsid w:val="000F1A32"/>
    <w:rsid w:val="000F1CC2"/>
    <w:rsid w:val="000F1D15"/>
    <w:rsid w:val="000F270A"/>
    <w:rsid w:val="000F34C8"/>
    <w:rsid w:val="000F38BC"/>
    <w:rsid w:val="000F3E2A"/>
    <w:rsid w:val="000F4D26"/>
    <w:rsid w:val="000F5639"/>
    <w:rsid w:val="000F58A4"/>
    <w:rsid w:val="000F6833"/>
    <w:rsid w:val="000F6A24"/>
    <w:rsid w:val="000F7616"/>
    <w:rsid w:val="000F7DE9"/>
    <w:rsid w:val="000F7F7A"/>
    <w:rsid w:val="0010004B"/>
    <w:rsid w:val="001002F4"/>
    <w:rsid w:val="001005B4"/>
    <w:rsid w:val="001011FC"/>
    <w:rsid w:val="0010165F"/>
    <w:rsid w:val="001018C1"/>
    <w:rsid w:val="00101E7C"/>
    <w:rsid w:val="00102260"/>
    <w:rsid w:val="001023DC"/>
    <w:rsid w:val="0010256D"/>
    <w:rsid w:val="00102572"/>
    <w:rsid w:val="00102946"/>
    <w:rsid w:val="00102FBF"/>
    <w:rsid w:val="0010333D"/>
    <w:rsid w:val="0010372A"/>
    <w:rsid w:val="00103F41"/>
    <w:rsid w:val="00104E77"/>
    <w:rsid w:val="00104F34"/>
    <w:rsid w:val="00104F3E"/>
    <w:rsid w:val="001053C5"/>
    <w:rsid w:val="001055AD"/>
    <w:rsid w:val="00105C14"/>
    <w:rsid w:val="001065A3"/>
    <w:rsid w:val="0010691D"/>
    <w:rsid w:val="00106B33"/>
    <w:rsid w:val="00106E69"/>
    <w:rsid w:val="00110AC5"/>
    <w:rsid w:val="00110F0B"/>
    <w:rsid w:val="0011108B"/>
    <w:rsid w:val="00111136"/>
    <w:rsid w:val="00111164"/>
    <w:rsid w:val="00111761"/>
    <w:rsid w:val="00112164"/>
    <w:rsid w:val="0011241F"/>
    <w:rsid w:val="001128BF"/>
    <w:rsid w:val="00112D09"/>
    <w:rsid w:val="00112F03"/>
    <w:rsid w:val="00112F38"/>
    <w:rsid w:val="00113821"/>
    <w:rsid w:val="0011394B"/>
    <w:rsid w:val="00113CEE"/>
    <w:rsid w:val="00114058"/>
    <w:rsid w:val="00114342"/>
    <w:rsid w:val="0011449E"/>
    <w:rsid w:val="001153EF"/>
    <w:rsid w:val="00115D55"/>
    <w:rsid w:val="00115E45"/>
    <w:rsid w:val="00115F85"/>
    <w:rsid w:val="00115FD1"/>
    <w:rsid w:val="001165CC"/>
    <w:rsid w:val="0011688E"/>
    <w:rsid w:val="00116ACD"/>
    <w:rsid w:val="00117B7D"/>
    <w:rsid w:val="001205A8"/>
    <w:rsid w:val="00120948"/>
    <w:rsid w:val="0012180B"/>
    <w:rsid w:val="00122A64"/>
    <w:rsid w:val="00123641"/>
    <w:rsid w:val="0012388A"/>
    <w:rsid w:val="0012388C"/>
    <w:rsid w:val="00123AFA"/>
    <w:rsid w:val="00123C8C"/>
    <w:rsid w:val="00123D68"/>
    <w:rsid w:val="00123E8B"/>
    <w:rsid w:val="00124B43"/>
    <w:rsid w:val="00124DF8"/>
    <w:rsid w:val="001253EA"/>
    <w:rsid w:val="00125B99"/>
    <w:rsid w:val="00126160"/>
    <w:rsid w:val="00126DB5"/>
    <w:rsid w:val="00127178"/>
    <w:rsid w:val="00127D2B"/>
    <w:rsid w:val="00127F09"/>
    <w:rsid w:val="0013002A"/>
    <w:rsid w:val="0013085D"/>
    <w:rsid w:val="0013089C"/>
    <w:rsid w:val="00130A2D"/>
    <w:rsid w:val="00130F54"/>
    <w:rsid w:val="001315D9"/>
    <w:rsid w:val="00131888"/>
    <w:rsid w:val="00131F17"/>
    <w:rsid w:val="001323F9"/>
    <w:rsid w:val="0013251F"/>
    <w:rsid w:val="00132FA3"/>
    <w:rsid w:val="00133088"/>
    <w:rsid w:val="00133346"/>
    <w:rsid w:val="001335B1"/>
    <w:rsid w:val="0013372D"/>
    <w:rsid w:val="00133733"/>
    <w:rsid w:val="00133B4E"/>
    <w:rsid w:val="00133D47"/>
    <w:rsid w:val="001346AF"/>
    <w:rsid w:val="00134990"/>
    <w:rsid w:val="00134AD9"/>
    <w:rsid w:val="00135416"/>
    <w:rsid w:val="001354D1"/>
    <w:rsid w:val="001355E7"/>
    <w:rsid w:val="00135A0A"/>
    <w:rsid w:val="00135BB9"/>
    <w:rsid w:val="0013621D"/>
    <w:rsid w:val="00136354"/>
    <w:rsid w:val="00136674"/>
    <w:rsid w:val="00136B0E"/>
    <w:rsid w:val="00136C3B"/>
    <w:rsid w:val="00137103"/>
    <w:rsid w:val="001376AB"/>
    <w:rsid w:val="0013777C"/>
    <w:rsid w:val="00137D5F"/>
    <w:rsid w:val="00140082"/>
    <w:rsid w:val="00140175"/>
    <w:rsid w:val="00140757"/>
    <w:rsid w:val="00140B62"/>
    <w:rsid w:val="00140D07"/>
    <w:rsid w:val="00141A3A"/>
    <w:rsid w:val="001422F4"/>
    <w:rsid w:val="001423FA"/>
    <w:rsid w:val="001427B5"/>
    <w:rsid w:val="001428CF"/>
    <w:rsid w:val="00142D0C"/>
    <w:rsid w:val="00142E3C"/>
    <w:rsid w:val="00144013"/>
    <w:rsid w:val="001454B8"/>
    <w:rsid w:val="00145A17"/>
    <w:rsid w:val="00145BBE"/>
    <w:rsid w:val="00145D7F"/>
    <w:rsid w:val="001460B5"/>
    <w:rsid w:val="0014641F"/>
    <w:rsid w:val="001464A8"/>
    <w:rsid w:val="00146618"/>
    <w:rsid w:val="001467BB"/>
    <w:rsid w:val="00146AB3"/>
    <w:rsid w:val="00146CA8"/>
    <w:rsid w:val="001472A5"/>
    <w:rsid w:val="00147884"/>
    <w:rsid w:val="00150669"/>
    <w:rsid w:val="00150827"/>
    <w:rsid w:val="00150B0D"/>
    <w:rsid w:val="00151E31"/>
    <w:rsid w:val="00151F9B"/>
    <w:rsid w:val="00152095"/>
    <w:rsid w:val="00152289"/>
    <w:rsid w:val="00152425"/>
    <w:rsid w:val="00152BAD"/>
    <w:rsid w:val="00152CE3"/>
    <w:rsid w:val="00153652"/>
    <w:rsid w:val="00153697"/>
    <w:rsid w:val="00153956"/>
    <w:rsid w:val="00153B95"/>
    <w:rsid w:val="00154146"/>
    <w:rsid w:val="00154190"/>
    <w:rsid w:val="001545EA"/>
    <w:rsid w:val="001549BA"/>
    <w:rsid w:val="00154FFC"/>
    <w:rsid w:val="00155099"/>
    <w:rsid w:val="001553F5"/>
    <w:rsid w:val="00155C85"/>
    <w:rsid w:val="00156A6C"/>
    <w:rsid w:val="00156B10"/>
    <w:rsid w:val="00157823"/>
    <w:rsid w:val="0015790D"/>
    <w:rsid w:val="00157C5E"/>
    <w:rsid w:val="0016015A"/>
    <w:rsid w:val="0016020E"/>
    <w:rsid w:val="00160503"/>
    <w:rsid w:val="00160701"/>
    <w:rsid w:val="00160D7C"/>
    <w:rsid w:val="00160E30"/>
    <w:rsid w:val="0016106D"/>
    <w:rsid w:val="001612E1"/>
    <w:rsid w:val="001614DB"/>
    <w:rsid w:val="0016194E"/>
    <w:rsid w:val="0016236C"/>
    <w:rsid w:val="00162625"/>
    <w:rsid w:val="001630A8"/>
    <w:rsid w:val="001634C7"/>
    <w:rsid w:val="00163826"/>
    <w:rsid w:val="00163943"/>
    <w:rsid w:val="00163BA1"/>
    <w:rsid w:val="00163F22"/>
    <w:rsid w:val="0016417B"/>
    <w:rsid w:val="0016470E"/>
    <w:rsid w:val="00164E0A"/>
    <w:rsid w:val="0016520F"/>
    <w:rsid w:val="001652D7"/>
    <w:rsid w:val="0016596E"/>
    <w:rsid w:val="00165A5F"/>
    <w:rsid w:val="00166223"/>
    <w:rsid w:val="00166492"/>
    <w:rsid w:val="001670D8"/>
    <w:rsid w:val="0016793E"/>
    <w:rsid w:val="00167D4D"/>
    <w:rsid w:val="00170635"/>
    <w:rsid w:val="0017070D"/>
    <w:rsid w:val="00170837"/>
    <w:rsid w:val="00171035"/>
    <w:rsid w:val="001713B7"/>
    <w:rsid w:val="00171ADB"/>
    <w:rsid w:val="00172029"/>
    <w:rsid w:val="001733A4"/>
    <w:rsid w:val="00173AB9"/>
    <w:rsid w:val="00173EED"/>
    <w:rsid w:val="00174368"/>
    <w:rsid w:val="001744EA"/>
    <w:rsid w:val="00174789"/>
    <w:rsid w:val="00174D82"/>
    <w:rsid w:val="00174E44"/>
    <w:rsid w:val="00175053"/>
    <w:rsid w:val="001753B7"/>
    <w:rsid w:val="001757E7"/>
    <w:rsid w:val="00175873"/>
    <w:rsid w:val="0017592E"/>
    <w:rsid w:val="00175C59"/>
    <w:rsid w:val="001760BC"/>
    <w:rsid w:val="00176674"/>
    <w:rsid w:val="00176818"/>
    <w:rsid w:val="00176B82"/>
    <w:rsid w:val="00176E3B"/>
    <w:rsid w:val="00176ECB"/>
    <w:rsid w:val="0017716E"/>
    <w:rsid w:val="0017752D"/>
    <w:rsid w:val="0017759F"/>
    <w:rsid w:val="00177832"/>
    <w:rsid w:val="00177D48"/>
    <w:rsid w:val="00181178"/>
    <w:rsid w:val="0018119E"/>
    <w:rsid w:val="00181EEF"/>
    <w:rsid w:val="00181F3E"/>
    <w:rsid w:val="00182FE0"/>
    <w:rsid w:val="00183911"/>
    <w:rsid w:val="001845FB"/>
    <w:rsid w:val="00184CDD"/>
    <w:rsid w:val="00184DAB"/>
    <w:rsid w:val="00185490"/>
    <w:rsid w:val="00185DA6"/>
    <w:rsid w:val="00185F64"/>
    <w:rsid w:val="00186096"/>
    <w:rsid w:val="00186F7C"/>
    <w:rsid w:val="0018772E"/>
    <w:rsid w:val="00187A94"/>
    <w:rsid w:val="0019029E"/>
    <w:rsid w:val="00190329"/>
    <w:rsid w:val="00190804"/>
    <w:rsid w:val="0019088F"/>
    <w:rsid w:val="00190C51"/>
    <w:rsid w:val="00192FA5"/>
    <w:rsid w:val="0019336B"/>
    <w:rsid w:val="001939A6"/>
    <w:rsid w:val="00193ACC"/>
    <w:rsid w:val="00193BFE"/>
    <w:rsid w:val="00194E7E"/>
    <w:rsid w:val="00195322"/>
    <w:rsid w:val="0019560E"/>
    <w:rsid w:val="00195702"/>
    <w:rsid w:val="001958E3"/>
    <w:rsid w:val="0019601B"/>
    <w:rsid w:val="00196048"/>
    <w:rsid w:val="00196A82"/>
    <w:rsid w:val="0019769B"/>
    <w:rsid w:val="00197FFE"/>
    <w:rsid w:val="001A0D25"/>
    <w:rsid w:val="001A1570"/>
    <w:rsid w:val="001A1917"/>
    <w:rsid w:val="001A1C64"/>
    <w:rsid w:val="001A1E7F"/>
    <w:rsid w:val="001A228D"/>
    <w:rsid w:val="001A2918"/>
    <w:rsid w:val="001A2D02"/>
    <w:rsid w:val="001A2DFE"/>
    <w:rsid w:val="001A3076"/>
    <w:rsid w:val="001A3120"/>
    <w:rsid w:val="001A31A5"/>
    <w:rsid w:val="001A389C"/>
    <w:rsid w:val="001A3B75"/>
    <w:rsid w:val="001A46FB"/>
    <w:rsid w:val="001A5944"/>
    <w:rsid w:val="001A5FB1"/>
    <w:rsid w:val="001A698A"/>
    <w:rsid w:val="001A6CCC"/>
    <w:rsid w:val="001A70C8"/>
    <w:rsid w:val="001A71C9"/>
    <w:rsid w:val="001A7429"/>
    <w:rsid w:val="001A760C"/>
    <w:rsid w:val="001A799B"/>
    <w:rsid w:val="001A7AC7"/>
    <w:rsid w:val="001A7C38"/>
    <w:rsid w:val="001B02F8"/>
    <w:rsid w:val="001B2104"/>
    <w:rsid w:val="001B2279"/>
    <w:rsid w:val="001B2729"/>
    <w:rsid w:val="001B2866"/>
    <w:rsid w:val="001B2881"/>
    <w:rsid w:val="001B34A3"/>
    <w:rsid w:val="001B3675"/>
    <w:rsid w:val="001B37C8"/>
    <w:rsid w:val="001B4B2C"/>
    <w:rsid w:val="001B4F10"/>
    <w:rsid w:val="001B5026"/>
    <w:rsid w:val="001B5154"/>
    <w:rsid w:val="001B5B75"/>
    <w:rsid w:val="001B6E30"/>
    <w:rsid w:val="001B7C83"/>
    <w:rsid w:val="001B7F9E"/>
    <w:rsid w:val="001C0206"/>
    <w:rsid w:val="001C0246"/>
    <w:rsid w:val="001C04D4"/>
    <w:rsid w:val="001C0B34"/>
    <w:rsid w:val="001C12A3"/>
    <w:rsid w:val="001C17BB"/>
    <w:rsid w:val="001C187E"/>
    <w:rsid w:val="001C1A37"/>
    <w:rsid w:val="001C1C49"/>
    <w:rsid w:val="001C286F"/>
    <w:rsid w:val="001C2B86"/>
    <w:rsid w:val="001C2F54"/>
    <w:rsid w:val="001C2FBE"/>
    <w:rsid w:val="001C3308"/>
    <w:rsid w:val="001C3BBB"/>
    <w:rsid w:val="001C40B7"/>
    <w:rsid w:val="001C40D1"/>
    <w:rsid w:val="001C468A"/>
    <w:rsid w:val="001C4A38"/>
    <w:rsid w:val="001C4A9E"/>
    <w:rsid w:val="001C5001"/>
    <w:rsid w:val="001C5103"/>
    <w:rsid w:val="001C52A8"/>
    <w:rsid w:val="001C5ADF"/>
    <w:rsid w:val="001C5E8E"/>
    <w:rsid w:val="001C6120"/>
    <w:rsid w:val="001C6516"/>
    <w:rsid w:val="001C6B5C"/>
    <w:rsid w:val="001C7155"/>
    <w:rsid w:val="001C71D9"/>
    <w:rsid w:val="001C7E48"/>
    <w:rsid w:val="001D039B"/>
    <w:rsid w:val="001D1258"/>
    <w:rsid w:val="001D14AB"/>
    <w:rsid w:val="001D1AB8"/>
    <w:rsid w:val="001D286F"/>
    <w:rsid w:val="001D2C94"/>
    <w:rsid w:val="001D33D9"/>
    <w:rsid w:val="001D36F6"/>
    <w:rsid w:val="001D3D5F"/>
    <w:rsid w:val="001D4303"/>
    <w:rsid w:val="001D45E5"/>
    <w:rsid w:val="001D461A"/>
    <w:rsid w:val="001D4A9D"/>
    <w:rsid w:val="001D4AAD"/>
    <w:rsid w:val="001D5AFA"/>
    <w:rsid w:val="001D7177"/>
    <w:rsid w:val="001D756E"/>
    <w:rsid w:val="001D784A"/>
    <w:rsid w:val="001E04A4"/>
    <w:rsid w:val="001E04EE"/>
    <w:rsid w:val="001E07C5"/>
    <w:rsid w:val="001E176D"/>
    <w:rsid w:val="001E1BCE"/>
    <w:rsid w:val="001E1E05"/>
    <w:rsid w:val="001E2086"/>
    <w:rsid w:val="001E339F"/>
    <w:rsid w:val="001E3629"/>
    <w:rsid w:val="001E3B2C"/>
    <w:rsid w:val="001E40F0"/>
    <w:rsid w:val="001E4172"/>
    <w:rsid w:val="001E4AC7"/>
    <w:rsid w:val="001E5490"/>
    <w:rsid w:val="001E5513"/>
    <w:rsid w:val="001E5730"/>
    <w:rsid w:val="001E5E2E"/>
    <w:rsid w:val="001E6352"/>
    <w:rsid w:val="001E70AD"/>
    <w:rsid w:val="001E7237"/>
    <w:rsid w:val="001E7AF6"/>
    <w:rsid w:val="001E7FBF"/>
    <w:rsid w:val="001F01B8"/>
    <w:rsid w:val="001F0FC3"/>
    <w:rsid w:val="001F1188"/>
    <w:rsid w:val="001F1B8D"/>
    <w:rsid w:val="001F274F"/>
    <w:rsid w:val="001F289C"/>
    <w:rsid w:val="001F2BF9"/>
    <w:rsid w:val="001F3AF2"/>
    <w:rsid w:val="001F6008"/>
    <w:rsid w:val="001F641B"/>
    <w:rsid w:val="001F6C19"/>
    <w:rsid w:val="001F6D4D"/>
    <w:rsid w:val="001F7C00"/>
    <w:rsid w:val="0020042C"/>
    <w:rsid w:val="002009A3"/>
    <w:rsid w:val="00200F1A"/>
    <w:rsid w:val="0020130D"/>
    <w:rsid w:val="00201D06"/>
    <w:rsid w:val="00201E9F"/>
    <w:rsid w:val="00202790"/>
    <w:rsid w:val="00202F25"/>
    <w:rsid w:val="002035B3"/>
    <w:rsid w:val="00203929"/>
    <w:rsid w:val="00203CD6"/>
    <w:rsid w:val="00203F0A"/>
    <w:rsid w:val="00204460"/>
    <w:rsid w:val="002051EA"/>
    <w:rsid w:val="00205CBC"/>
    <w:rsid w:val="00205E9E"/>
    <w:rsid w:val="00206259"/>
    <w:rsid w:val="00206CE5"/>
    <w:rsid w:val="002074B7"/>
    <w:rsid w:val="0020758D"/>
    <w:rsid w:val="00207C7B"/>
    <w:rsid w:val="00211470"/>
    <w:rsid w:val="00211922"/>
    <w:rsid w:val="0021213A"/>
    <w:rsid w:val="0021265F"/>
    <w:rsid w:val="00213817"/>
    <w:rsid w:val="00214428"/>
    <w:rsid w:val="002145EB"/>
    <w:rsid w:val="00215834"/>
    <w:rsid w:val="00215CC2"/>
    <w:rsid w:val="00215ED8"/>
    <w:rsid w:val="00217700"/>
    <w:rsid w:val="002177E2"/>
    <w:rsid w:val="002205F3"/>
    <w:rsid w:val="0022085B"/>
    <w:rsid w:val="00220E53"/>
    <w:rsid w:val="0022176C"/>
    <w:rsid w:val="002225D1"/>
    <w:rsid w:val="002230FA"/>
    <w:rsid w:val="002235D9"/>
    <w:rsid w:val="00223AB9"/>
    <w:rsid w:val="00223DF2"/>
    <w:rsid w:val="00224737"/>
    <w:rsid w:val="00224C0C"/>
    <w:rsid w:val="00225323"/>
    <w:rsid w:val="002256C2"/>
    <w:rsid w:val="002256D0"/>
    <w:rsid w:val="00225C8E"/>
    <w:rsid w:val="00226428"/>
    <w:rsid w:val="002265A9"/>
    <w:rsid w:val="002266CB"/>
    <w:rsid w:val="00226777"/>
    <w:rsid w:val="0022701E"/>
    <w:rsid w:val="00227052"/>
    <w:rsid w:val="002272D5"/>
    <w:rsid w:val="0022738E"/>
    <w:rsid w:val="00227906"/>
    <w:rsid w:val="00227934"/>
    <w:rsid w:val="00227E21"/>
    <w:rsid w:val="00230178"/>
    <w:rsid w:val="00231D05"/>
    <w:rsid w:val="002336E2"/>
    <w:rsid w:val="00233AC2"/>
    <w:rsid w:val="00233BAF"/>
    <w:rsid w:val="00235420"/>
    <w:rsid w:val="002356A5"/>
    <w:rsid w:val="00235DAA"/>
    <w:rsid w:val="0024065B"/>
    <w:rsid w:val="002409A6"/>
    <w:rsid w:val="00240EA5"/>
    <w:rsid w:val="00241132"/>
    <w:rsid w:val="00241205"/>
    <w:rsid w:val="002418C5"/>
    <w:rsid w:val="002419ED"/>
    <w:rsid w:val="0024261D"/>
    <w:rsid w:val="00242DFB"/>
    <w:rsid w:val="00243807"/>
    <w:rsid w:val="002440AC"/>
    <w:rsid w:val="00244365"/>
    <w:rsid w:val="0024459A"/>
    <w:rsid w:val="00244771"/>
    <w:rsid w:val="00244903"/>
    <w:rsid w:val="00244AFB"/>
    <w:rsid w:val="002453DF"/>
    <w:rsid w:val="00245A81"/>
    <w:rsid w:val="00246B86"/>
    <w:rsid w:val="00247335"/>
    <w:rsid w:val="002473EF"/>
    <w:rsid w:val="002477B9"/>
    <w:rsid w:val="00247CBE"/>
    <w:rsid w:val="00250100"/>
    <w:rsid w:val="00250A1F"/>
    <w:rsid w:val="00250ADA"/>
    <w:rsid w:val="00250F1D"/>
    <w:rsid w:val="0025194E"/>
    <w:rsid w:val="00251FF1"/>
    <w:rsid w:val="002520BA"/>
    <w:rsid w:val="00252234"/>
    <w:rsid w:val="002527AF"/>
    <w:rsid w:val="002528E3"/>
    <w:rsid w:val="00252944"/>
    <w:rsid w:val="00252D55"/>
    <w:rsid w:val="00252D82"/>
    <w:rsid w:val="00253006"/>
    <w:rsid w:val="002533F5"/>
    <w:rsid w:val="002538CE"/>
    <w:rsid w:val="00253C60"/>
    <w:rsid w:val="00253F21"/>
    <w:rsid w:val="0025429D"/>
    <w:rsid w:val="002549E9"/>
    <w:rsid w:val="00254FF6"/>
    <w:rsid w:val="00255099"/>
    <w:rsid w:val="002555C6"/>
    <w:rsid w:val="00255E14"/>
    <w:rsid w:val="0025615C"/>
    <w:rsid w:val="00257059"/>
    <w:rsid w:val="0025712F"/>
    <w:rsid w:val="00257395"/>
    <w:rsid w:val="00257857"/>
    <w:rsid w:val="002578DA"/>
    <w:rsid w:val="00257CBC"/>
    <w:rsid w:val="002602C2"/>
    <w:rsid w:val="002602DA"/>
    <w:rsid w:val="0026040B"/>
    <w:rsid w:val="00260802"/>
    <w:rsid w:val="002609E3"/>
    <w:rsid w:val="00261223"/>
    <w:rsid w:val="002617AB"/>
    <w:rsid w:val="00261D08"/>
    <w:rsid w:val="00261DCC"/>
    <w:rsid w:val="002624D0"/>
    <w:rsid w:val="00263AE7"/>
    <w:rsid w:val="00263EC7"/>
    <w:rsid w:val="00264441"/>
    <w:rsid w:val="0026491B"/>
    <w:rsid w:val="00264A36"/>
    <w:rsid w:val="00264B06"/>
    <w:rsid w:val="00264C1B"/>
    <w:rsid w:val="00265E2E"/>
    <w:rsid w:val="002661AB"/>
    <w:rsid w:val="002668DB"/>
    <w:rsid w:val="0026742B"/>
    <w:rsid w:val="002674FE"/>
    <w:rsid w:val="00270748"/>
    <w:rsid w:val="0027105A"/>
    <w:rsid w:val="0027117F"/>
    <w:rsid w:val="00271283"/>
    <w:rsid w:val="002712DC"/>
    <w:rsid w:val="00271875"/>
    <w:rsid w:val="002718FF"/>
    <w:rsid w:val="00271955"/>
    <w:rsid w:val="00272278"/>
    <w:rsid w:val="00272432"/>
    <w:rsid w:val="00272633"/>
    <w:rsid w:val="00272CAB"/>
    <w:rsid w:val="00272FBF"/>
    <w:rsid w:val="00273A10"/>
    <w:rsid w:val="00273A58"/>
    <w:rsid w:val="00273FBB"/>
    <w:rsid w:val="00274CAB"/>
    <w:rsid w:val="00274E8A"/>
    <w:rsid w:val="0027507D"/>
    <w:rsid w:val="00275FCE"/>
    <w:rsid w:val="002766B8"/>
    <w:rsid w:val="0027680F"/>
    <w:rsid w:val="00281006"/>
    <w:rsid w:val="002815B1"/>
    <w:rsid w:val="00281A3D"/>
    <w:rsid w:val="00281C1F"/>
    <w:rsid w:val="00281EEA"/>
    <w:rsid w:val="00281F88"/>
    <w:rsid w:val="0028288D"/>
    <w:rsid w:val="002829B7"/>
    <w:rsid w:val="00282B82"/>
    <w:rsid w:val="00282C74"/>
    <w:rsid w:val="00282E5B"/>
    <w:rsid w:val="00282F51"/>
    <w:rsid w:val="00283995"/>
    <w:rsid w:val="00283B11"/>
    <w:rsid w:val="002841A9"/>
    <w:rsid w:val="00284313"/>
    <w:rsid w:val="002848AD"/>
    <w:rsid w:val="00284A5E"/>
    <w:rsid w:val="00285154"/>
    <w:rsid w:val="00285BF2"/>
    <w:rsid w:val="00285C78"/>
    <w:rsid w:val="002863CE"/>
    <w:rsid w:val="002868CF"/>
    <w:rsid w:val="0028702A"/>
    <w:rsid w:val="0028732A"/>
    <w:rsid w:val="00290F01"/>
    <w:rsid w:val="00291035"/>
    <w:rsid w:val="00291492"/>
    <w:rsid w:val="00291527"/>
    <w:rsid w:val="0029199A"/>
    <w:rsid w:val="00291BBE"/>
    <w:rsid w:val="00291FEB"/>
    <w:rsid w:val="002920B3"/>
    <w:rsid w:val="00293146"/>
    <w:rsid w:val="0029361E"/>
    <w:rsid w:val="00293D68"/>
    <w:rsid w:val="0029431E"/>
    <w:rsid w:val="00294352"/>
    <w:rsid w:val="002944A0"/>
    <w:rsid w:val="002946E4"/>
    <w:rsid w:val="0029495C"/>
    <w:rsid w:val="00294CEE"/>
    <w:rsid w:val="002957D9"/>
    <w:rsid w:val="00295B52"/>
    <w:rsid w:val="00296024"/>
    <w:rsid w:val="00296293"/>
    <w:rsid w:val="0029686F"/>
    <w:rsid w:val="00296AF7"/>
    <w:rsid w:val="002972F9"/>
    <w:rsid w:val="002977CA"/>
    <w:rsid w:val="00297DC9"/>
    <w:rsid w:val="00297ED7"/>
    <w:rsid w:val="002A0007"/>
    <w:rsid w:val="002A03AA"/>
    <w:rsid w:val="002A056D"/>
    <w:rsid w:val="002A0649"/>
    <w:rsid w:val="002A07FE"/>
    <w:rsid w:val="002A094D"/>
    <w:rsid w:val="002A0CAF"/>
    <w:rsid w:val="002A1565"/>
    <w:rsid w:val="002A16A9"/>
    <w:rsid w:val="002A2941"/>
    <w:rsid w:val="002A2DC4"/>
    <w:rsid w:val="002A3E69"/>
    <w:rsid w:val="002A41F7"/>
    <w:rsid w:val="002A44F9"/>
    <w:rsid w:val="002A46D1"/>
    <w:rsid w:val="002A49EF"/>
    <w:rsid w:val="002A4B8B"/>
    <w:rsid w:val="002A4C3D"/>
    <w:rsid w:val="002A5107"/>
    <w:rsid w:val="002A535E"/>
    <w:rsid w:val="002A6406"/>
    <w:rsid w:val="002A6739"/>
    <w:rsid w:val="002A6AD0"/>
    <w:rsid w:val="002A6CF0"/>
    <w:rsid w:val="002A6FFC"/>
    <w:rsid w:val="002A7010"/>
    <w:rsid w:val="002A70BA"/>
    <w:rsid w:val="002A7A57"/>
    <w:rsid w:val="002A7BB2"/>
    <w:rsid w:val="002A7DCB"/>
    <w:rsid w:val="002B0B53"/>
    <w:rsid w:val="002B1617"/>
    <w:rsid w:val="002B194B"/>
    <w:rsid w:val="002B1D11"/>
    <w:rsid w:val="002B273B"/>
    <w:rsid w:val="002B29AA"/>
    <w:rsid w:val="002B2A7E"/>
    <w:rsid w:val="002B2F1B"/>
    <w:rsid w:val="002B4A32"/>
    <w:rsid w:val="002B4C6B"/>
    <w:rsid w:val="002B5AFB"/>
    <w:rsid w:val="002B6320"/>
    <w:rsid w:val="002B66AC"/>
    <w:rsid w:val="002B6852"/>
    <w:rsid w:val="002B77E1"/>
    <w:rsid w:val="002C0714"/>
    <w:rsid w:val="002C0A96"/>
    <w:rsid w:val="002C10A8"/>
    <w:rsid w:val="002C1BF4"/>
    <w:rsid w:val="002C1E0D"/>
    <w:rsid w:val="002C2266"/>
    <w:rsid w:val="002C2309"/>
    <w:rsid w:val="002C24D1"/>
    <w:rsid w:val="002C28EB"/>
    <w:rsid w:val="002C3265"/>
    <w:rsid w:val="002C3666"/>
    <w:rsid w:val="002C3AED"/>
    <w:rsid w:val="002C3E56"/>
    <w:rsid w:val="002C414C"/>
    <w:rsid w:val="002C4C2F"/>
    <w:rsid w:val="002C5776"/>
    <w:rsid w:val="002C5CD6"/>
    <w:rsid w:val="002C5EED"/>
    <w:rsid w:val="002C66DE"/>
    <w:rsid w:val="002C7193"/>
    <w:rsid w:val="002C7699"/>
    <w:rsid w:val="002C7A49"/>
    <w:rsid w:val="002C7B1A"/>
    <w:rsid w:val="002D0128"/>
    <w:rsid w:val="002D0E85"/>
    <w:rsid w:val="002D0FA7"/>
    <w:rsid w:val="002D12FB"/>
    <w:rsid w:val="002D1306"/>
    <w:rsid w:val="002D19D1"/>
    <w:rsid w:val="002D1F35"/>
    <w:rsid w:val="002D1FA3"/>
    <w:rsid w:val="002D20CD"/>
    <w:rsid w:val="002D23C6"/>
    <w:rsid w:val="002D24F0"/>
    <w:rsid w:val="002D25EB"/>
    <w:rsid w:val="002D29F3"/>
    <w:rsid w:val="002D3126"/>
    <w:rsid w:val="002D3529"/>
    <w:rsid w:val="002D3D0A"/>
    <w:rsid w:val="002D478E"/>
    <w:rsid w:val="002D47AE"/>
    <w:rsid w:val="002D4A94"/>
    <w:rsid w:val="002D5CBF"/>
    <w:rsid w:val="002D65FF"/>
    <w:rsid w:val="002D6D10"/>
    <w:rsid w:val="002D71E2"/>
    <w:rsid w:val="002D7367"/>
    <w:rsid w:val="002D7961"/>
    <w:rsid w:val="002D7B6A"/>
    <w:rsid w:val="002D7E36"/>
    <w:rsid w:val="002E0026"/>
    <w:rsid w:val="002E08E8"/>
    <w:rsid w:val="002E0918"/>
    <w:rsid w:val="002E0BAA"/>
    <w:rsid w:val="002E0D96"/>
    <w:rsid w:val="002E0EA5"/>
    <w:rsid w:val="002E1E19"/>
    <w:rsid w:val="002E283F"/>
    <w:rsid w:val="002E2854"/>
    <w:rsid w:val="002E2E74"/>
    <w:rsid w:val="002E32D2"/>
    <w:rsid w:val="002E361B"/>
    <w:rsid w:val="002E37AB"/>
    <w:rsid w:val="002E3A80"/>
    <w:rsid w:val="002E41C7"/>
    <w:rsid w:val="002E51DF"/>
    <w:rsid w:val="002E555B"/>
    <w:rsid w:val="002E57B9"/>
    <w:rsid w:val="002E6127"/>
    <w:rsid w:val="002E6885"/>
    <w:rsid w:val="002E6E81"/>
    <w:rsid w:val="002E72E4"/>
    <w:rsid w:val="002E739D"/>
    <w:rsid w:val="002F0F36"/>
    <w:rsid w:val="002F1276"/>
    <w:rsid w:val="002F1986"/>
    <w:rsid w:val="002F1E5F"/>
    <w:rsid w:val="002F2A49"/>
    <w:rsid w:val="002F3550"/>
    <w:rsid w:val="002F3B63"/>
    <w:rsid w:val="002F3C56"/>
    <w:rsid w:val="002F46B0"/>
    <w:rsid w:val="002F4B17"/>
    <w:rsid w:val="002F5150"/>
    <w:rsid w:val="002F5463"/>
    <w:rsid w:val="002F58C2"/>
    <w:rsid w:val="002F5932"/>
    <w:rsid w:val="002F5C85"/>
    <w:rsid w:val="002F603B"/>
    <w:rsid w:val="002F6201"/>
    <w:rsid w:val="002F6884"/>
    <w:rsid w:val="002F6A2B"/>
    <w:rsid w:val="002F6CB1"/>
    <w:rsid w:val="002F724B"/>
    <w:rsid w:val="002F72BA"/>
    <w:rsid w:val="00300267"/>
    <w:rsid w:val="003004D2"/>
    <w:rsid w:val="00300674"/>
    <w:rsid w:val="00300C88"/>
    <w:rsid w:val="00300D6B"/>
    <w:rsid w:val="00301380"/>
    <w:rsid w:val="00301E89"/>
    <w:rsid w:val="00302052"/>
    <w:rsid w:val="00302142"/>
    <w:rsid w:val="00302169"/>
    <w:rsid w:val="00302612"/>
    <w:rsid w:val="00303254"/>
    <w:rsid w:val="00303B08"/>
    <w:rsid w:val="0030408D"/>
    <w:rsid w:val="003044D9"/>
    <w:rsid w:val="00304D8A"/>
    <w:rsid w:val="00305216"/>
    <w:rsid w:val="0030555B"/>
    <w:rsid w:val="00305BFD"/>
    <w:rsid w:val="003061F5"/>
    <w:rsid w:val="00306D27"/>
    <w:rsid w:val="0030739C"/>
    <w:rsid w:val="003106DA"/>
    <w:rsid w:val="00310D51"/>
    <w:rsid w:val="00311B36"/>
    <w:rsid w:val="00311C92"/>
    <w:rsid w:val="003133AE"/>
    <w:rsid w:val="00313414"/>
    <w:rsid w:val="0031371B"/>
    <w:rsid w:val="00313F2D"/>
    <w:rsid w:val="00314156"/>
    <w:rsid w:val="00315081"/>
    <w:rsid w:val="0031535B"/>
    <w:rsid w:val="003170F4"/>
    <w:rsid w:val="0031750F"/>
    <w:rsid w:val="0032035D"/>
    <w:rsid w:val="003205E9"/>
    <w:rsid w:val="00320B28"/>
    <w:rsid w:val="0032123E"/>
    <w:rsid w:val="003216D5"/>
    <w:rsid w:val="003216FF"/>
    <w:rsid w:val="00321866"/>
    <w:rsid w:val="00321A83"/>
    <w:rsid w:val="00321C1A"/>
    <w:rsid w:val="00321F6B"/>
    <w:rsid w:val="00322389"/>
    <w:rsid w:val="00322BE5"/>
    <w:rsid w:val="00322E87"/>
    <w:rsid w:val="0032312D"/>
    <w:rsid w:val="00323AA5"/>
    <w:rsid w:val="003242E4"/>
    <w:rsid w:val="0032468D"/>
    <w:rsid w:val="00324926"/>
    <w:rsid w:val="00324B25"/>
    <w:rsid w:val="0032522F"/>
    <w:rsid w:val="003253C4"/>
    <w:rsid w:val="0032550F"/>
    <w:rsid w:val="00325992"/>
    <w:rsid w:val="00325B74"/>
    <w:rsid w:val="0032638F"/>
    <w:rsid w:val="003268F3"/>
    <w:rsid w:val="00326B59"/>
    <w:rsid w:val="003272C6"/>
    <w:rsid w:val="0032746C"/>
    <w:rsid w:val="00327752"/>
    <w:rsid w:val="00327C7C"/>
    <w:rsid w:val="00330009"/>
    <w:rsid w:val="003301E6"/>
    <w:rsid w:val="003310AB"/>
    <w:rsid w:val="003314D2"/>
    <w:rsid w:val="00331712"/>
    <w:rsid w:val="00331A3F"/>
    <w:rsid w:val="00332191"/>
    <w:rsid w:val="00332720"/>
    <w:rsid w:val="00332EED"/>
    <w:rsid w:val="003334A7"/>
    <w:rsid w:val="003337E8"/>
    <w:rsid w:val="00333A14"/>
    <w:rsid w:val="00333B2A"/>
    <w:rsid w:val="00333FD5"/>
    <w:rsid w:val="003350E9"/>
    <w:rsid w:val="003351BA"/>
    <w:rsid w:val="0033520F"/>
    <w:rsid w:val="00335519"/>
    <w:rsid w:val="0033596B"/>
    <w:rsid w:val="00335A93"/>
    <w:rsid w:val="0033650E"/>
    <w:rsid w:val="003366EF"/>
    <w:rsid w:val="00336907"/>
    <w:rsid w:val="003369DF"/>
    <w:rsid w:val="00336C71"/>
    <w:rsid w:val="00336D96"/>
    <w:rsid w:val="00336DFC"/>
    <w:rsid w:val="00337230"/>
    <w:rsid w:val="00337588"/>
    <w:rsid w:val="003377D0"/>
    <w:rsid w:val="00337D75"/>
    <w:rsid w:val="00340020"/>
    <w:rsid w:val="0034081A"/>
    <w:rsid w:val="00341162"/>
    <w:rsid w:val="00341866"/>
    <w:rsid w:val="00341DAF"/>
    <w:rsid w:val="00342181"/>
    <w:rsid w:val="0034339B"/>
    <w:rsid w:val="00343560"/>
    <w:rsid w:val="00343A20"/>
    <w:rsid w:val="0034402B"/>
    <w:rsid w:val="0034449E"/>
    <w:rsid w:val="00344D46"/>
    <w:rsid w:val="0034621B"/>
    <w:rsid w:val="003465A5"/>
    <w:rsid w:val="00346817"/>
    <w:rsid w:val="00347440"/>
    <w:rsid w:val="003475EA"/>
    <w:rsid w:val="0034792D"/>
    <w:rsid w:val="00347A27"/>
    <w:rsid w:val="00347CD4"/>
    <w:rsid w:val="00350A55"/>
    <w:rsid w:val="00350DF8"/>
    <w:rsid w:val="00351A8A"/>
    <w:rsid w:val="00352541"/>
    <w:rsid w:val="0035266A"/>
    <w:rsid w:val="0035279C"/>
    <w:rsid w:val="00352B23"/>
    <w:rsid w:val="00352C49"/>
    <w:rsid w:val="003534D3"/>
    <w:rsid w:val="003535D2"/>
    <w:rsid w:val="0035384D"/>
    <w:rsid w:val="00353BF0"/>
    <w:rsid w:val="00353C0B"/>
    <w:rsid w:val="00354AE4"/>
    <w:rsid w:val="00354B0A"/>
    <w:rsid w:val="0035551B"/>
    <w:rsid w:val="003555ED"/>
    <w:rsid w:val="00355911"/>
    <w:rsid w:val="0035636B"/>
    <w:rsid w:val="00356714"/>
    <w:rsid w:val="00357424"/>
    <w:rsid w:val="00361789"/>
    <w:rsid w:val="0036196D"/>
    <w:rsid w:val="00361EEC"/>
    <w:rsid w:val="0036208F"/>
    <w:rsid w:val="003627BD"/>
    <w:rsid w:val="00362997"/>
    <w:rsid w:val="003629B5"/>
    <w:rsid w:val="00362C59"/>
    <w:rsid w:val="00363040"/>
    <w:rsid w:val="003630B7"/>
    <w:rsid w:val="00363275"/>
    <w:rsid w:val="00363786"/>
    <w:rsid w:val="003638A4"/>
    <w:rsid w:val="003639BF"/>
    <w:rsid w:val="00363DDC"/>
    <w:rsid w:val="00363E41"/>
    <w:rsid w:val="00363EAF"/>
    <w:rsid w:val="00363ED8"/>
    <w:rsid w:val="00363FD2"/>
    <w:rsid w:val="003644D0"/>
    <w:rsid w:val="003651F5"/>
    <w:rsid w:val="0036572E"/>
    <w:rsid w:val="003663D9"/>
    <w:rsid w:val="003666BF"/>
    <w:rsid w:val="00366707"/>
    <w:rsid w:val="00366FA9"/>
    <w:rsid w:val="00367E49"/>
    <w:rsid w:val="003700E6"/>
    <w:rsid w:val="00371C86"/>
    <w:rsid w:val="0037236C"/>
    <w:rsid w:val="003729DE"/>
    <w:rsid w:val="003735D3"/>
    <w:rsid w:val="0037386D"/>
    <w:rsid w:val="00373956"/>
    <w:rsid w:val="00374153"/>
    <w:rsid w:val="003750E0"/>
    <w:rsid w:val="00375AF1"/>
    <w:rsid w:val="00375C2F"/>
    <w:rsid w:val="00375FC5"/>
    <w:rsid w:val="003769BA"/>
    <w:rsid w:val="00377871"/>
    <w:rsid w:val="003778B2"/>
    <w:rsid w:val="00377E58"/>
    <w:rsid w:val="003805E3"/>
    <w:rsid w:val="00380618"/>
    <w:rsid w:val="0038062E"/>
    <w:rsid w:val="003807F7"/>
    <w:rsid w:val="00381610"/>
    <w:rsid w:val="00382106"/>
    <w:rsid w:val="00382657"/>
    <w:rsid w:val="00382B82"/>
    <w:rsid w:val="00383E73"/>
    <w:rsid w:val="003844BF"/>
    <w:rsid w:val="003852BA"/>
    <w:rsid w:val="003854D5"/>
    <w:rsid w:val="0038552A"/>
    <w:rsid w:val="003859EA"/>
    <w:rsid w:val="0038709E"/>
    <w:rsid w:val="00387D30"/>
    <w:rsid w:val="00390A4D"/>
    <w:rsid w:val="00391753"/>
    <w:rsid w:val="00391C7F"/>
    <w:rsid w:val="00392454"/>
    <w:rsid w:val="00392A6C"/>
    <w:rsid w:val="00392C85"/>
    <w:rsid w:val="00392FD8"/>
    <w:rsid w:val="00393E11"/>
    <w:rsid w:val="00394475"/>
    <w:rsid w:val="00394C48"/>
    <w:rsid w:val="0039517A"/>
    <w:rsid w:val="00395B51"/>
    <w:rsid w:val="00396796"/>
    <w:rsid w:val="00396EC6"/>
    <w:rsid w:val="00396F3C"/>
    <w:rsid w:val="003970BA"/>
    <w:rsid w:val="0039746C"/>
    <w:rsid w:val="00397DC6"/>
    <w:rsid w:val="003A0E82"/>
    <w:rsid w:val="003A0FAC"/>
    <w:rsid w:val="003A184D"/>
    <w:rsid w:val="003A1C35"/>
    <w:rsid w:val="003A1FB7"/>
    <w:rsid w:val="003A2962"/>
    <w:rsid w:val="003A371E"/>
    <w:rsid w:val="003A462A"/>
    <w:rsid w:val="003A4CE8"/>
    <w:rsid w:val="003A595F"/>
    <w:rsid w:val="003A5EEC"/>
    <w:rsid w:val="003A79AE"/>
    <w:rsid w:val="003A7CA3"/>
    <w:rsid w:val="003B00B6"/>
    <w:rsid w:val="003B01C4"/>
    <w:rsid w:val="003B0BB0"/>
    <w:rsid w:val="003B11EE"/>
    <w:rsid w:val="003B1332"/>
    <w:rsid w:val="003B15F8"/>
    <w:rsid w:val="003B18EB"/>
    <w:rsid w:val="003B230B"/>
    <w:rsid w:val="003B23BC"/>
    <w:rsid w:val="003B2DB5"/>
    <w:rsid w:val="003B2F05"/>
    <w:rsid w:val="003B3966"/>
    <w:rsid w:val="003B39B7"/>
    <w:rsid w:val="003B3B64"/>
    <w:rsid w:val="003B4EB0"/>
    <w:rsid w:val="003B5F6A"/>
    <w:rsid w:val="003B6B7F"/>
    <w:rsid w:val="003B7820"/>
    <w:rsid w:val="003C01A4"/>
    <w:rsid w:val="003C0219"/>
    <w:rsid w:val="003C07FE"/>
    <w:rsid w:val="003C0C12"/>
    <w:rsid w:val="003C16EE"/>
    <w:rsid w:val="003C1C87"/>
    <w:rsid w:val="003C2C85"/>
    <w:rsid w:val="003C2F61"/>
    <w:rsid w:val="003C345E"/>
    <w:rsid w:val="003C4409"/>
    <w:rsid w:val="003C4997"/>
    <w:rsid w:val="003C4DA5"/>
    <w:rsid w:val="003C5666"/>
    <w:rsid w:val="003C6304"/>
    <w:rsid w:val="003C64F4"/>
    <w:rsid w:val="003C6DE1"/>
    <w:rsid w:val="003C724B"/>
    <w:rsid w:val="003C73DB"/>
    <w:rsid w:val="003D0185"/>
    <w:rsid w:val="003D02CB"/>
    <w:rsid w:val="003D0382"/>
    <w:rsid w:val="003D057A"/>
    <w:rsid w:val="003D069C"/>
    <w:rsid w:val="003D0BC2"/>
    <w:rsid w:val="003D191E"/>
    <w:rsid w:val="003D22A5"/>
    <w:rsid w:val="003D22C7"/>
    <w:rsid w:val="003D23A4"/>
    <w:rsid w:val="003D3414"/>
    <w:rsid w:val="003D3426"/>
    <w:rsid w:val="003D3721"/>
    <w:rsid w:val="003D46BA"/>
    <w:rsid w:val="003D590A"/>
    <w:rsid w:val="003D6722"/>
    <w:rsid w:val="003D7428"/>
    <w:rsid w:val="003D77F2"/>
    <w:rsid w:val="003D78CC"/>
    <w:rsid w:val="003D7901"/>
    <w:rsid w:val="003D7D01"/>
    <w:rsid w:val="003D7ED8"/>
    <w:rsid w:val="003E0003"/>
    <w:rsid w:val="003E0099"/>
    <w:rsid w:val="003E08C7"/>
    <w:rsid w:val="003E0992"/>
    <w:rsid w:val="003E1A72"/>
    <w:rsid w:val="003E2880"/>
    <w:rsid w:val="003E28FB"/>
    <w:rsid w:val="003E2A00"/>
    <w:rsid w:val="003E382C"/>
    <w:rsid w:val="003E3D00"/>
    <w:rsid w:val="003E3FD6"/>
    <w:rsid w:val="003E4531"/>
    <w:rsid w:val="003E4771"/>
    <w:rsid w:val="003E54A8"/>
    <w:rsid w:val="003E5833"/>
    <w:rsid w:val="003E5DA8"/>
    <w:rsid w:val="003E7109"/>
    <w:rsid w:val="003E77DC"/>
    <w:rsid w:val="003E7BC1"/>
    <w:rsid w:val="003F0453"/>
    <w:rsid w:val="003F097D"/>
    <w:rsid w:val="003F0C9F"/>
    <w:rsid w:val="003F144A"/>
    <w:rsid w:val="003F1B02"/>
    <w:rsid w:val="003F1EFE"/>
    <w:rsid w:val="003F2212"/>
    <w:rsid w:val="003F2240"/>
    <w:rsid w:val="003F2460"/>
    <w:rsid w:val="003F2BD1"/>
    <w:rsid w:val="003F2E7B"/>
    <w:rsid w:val="003F3932"/>
    <w:rsid w:val="003F39C7"/>
    <w:rsid w:val="003F3CD5"/>
    <w:rsid w:val="003F4473"/>
    <w:rsid w:val="003F4CF5"/>
    <w:rsid w:val="003F4E31"/>
    <w:rsid w:val="003F51EE"/>
    <w:rsid w:val="003F574E"/>
    <w:rsid w:val="003F60D6"/>
    <w:rsid w:val="003F68E9"/>
    <w:rsid w:val="003F73EA"/>
    <w:rsid w:val="003F7E15"/>
    <w:rsid w:val="003F7FDA"/>
    <w:rsid w:val="00400DE4"/>
    <w:rsid w:val="004013AD"/>
    <w:rsid w:val="004021C0"/>
    <w:rsid w:val="004028CE"/>
    <w:rsid w:val="0040313D"/>
    <w:rsid w:val="004043FA"/>
    <w:rsid w:val="00404970"/>
    <w:rsid w:val="00405181"/>
    <w:rsid w:val="0040567F"/>
    <w:rsid w:val="00405873"/>
    <w:rsid w:val="00405F09"/>
    <w:rsid w:val="004066F4"/>
    <w:rsid w:val="00406A32"/>
    <w:rsid w:val="0040760B"/>
    <w:rsid w:val="00410117"/>
    <w:rsid w:val="00410C32"/>
    <w:rsid w:val="004111FB"/>
    <w:rsid w:val="00411237"/>
    <w:rsid w:val="00411557"/>
    <w:rsid w:val="00411994"/>
    <w:rsid w:val="00411D74"/>
    <w:rsid w:val="00411DDE"/>
    <w:rsid w:val="00411F84"/>
    <w:rsid w:val="00412069"/>
    <w:rsid w:val="004121A1"/>
    <w:rsid w:val="00412477"/>
    <w:rsid w:val="00412570"/>
    <w:rsid w:val="004127A2"/>
    <w:rsid w:val="0041280A"/>
    <w:rsid w:val="00412A9D"/>
    <w:rsid w:val="00412CB1"/>
    <w:rsid w:val="004133A5"/>
    <w:rsid w:val="00413B02"/>
    <w:rsid w:val="00413D45"/>
    <w:rsid w:val="00414197"/>
    <w:rsid w:val="00414D68"/>
    <w:rsid w:val="00414FD9"/>
    <w:rsid w:val="00415773"/>
    <w:rsid w:val="00415CAE"/>
    <w:rsid w:val="00415EE7"/>
    <w:rsid w:val="004160FA"/>
    <w:rsid w:val="004164AE"/>
    <w:rsid w:val="0041669E"/>
    <w:rsid w:val="00416ACA"/>
    <w:rsid w:val="00416C56"/>
    <w:rsid w:val="00417294"/>
    <w:rsid w:val="004176B8"/>
    <w:rsid w:val="00417B99"/>
    <w:rsid w:val="00417CE0"/>
    <w:rsid w:val="004209D5"/>
    <w:rsid w:val="00420FAF"/>
    <w:rsid w:val="00421184"/>
    <w:rsid w:val="004212C1"/>
    <w:rsid w:val="004214B7"/>
    <w:rsid w:val="00421988"/>
    <w:rsid w:val="00421DAD"/>
    <w:rsid w:val="00421FB5"/>
    <w:rsid w:val="0042219F"/>
    <w:rsid w:val="004226ED"/>
    <w:rsid w:val="00422AF4"/>
    <w:rsid w:val="004235F4"/>
    <w:rsid w:val="004236C9"/>
    <w:rsid w:val="00423CF3"/>
    <w:rsid w:val="00423E18"/>
    <w:rsid w:val="00424B7C"/>
    <w:rsid w:val="0042500C"/>
    <w:rsid w:val="00425514"/>
    <w:rsid w:val="004256BD"/>
    <w:rsid w:val="00425863"/>
    <w:rsid w:val="00425D02"/>
    <w:rsid w:val="00425EDC"/>
    <w:rsid w:val="00426C3E"/>
    <w:rsid w:val="004275CD"/>
    <w:rsid w:val="00427FEB"/>
    <w:rsid w:val="00427FF2"/>
    <w:rsid w:val="004305C0"/>
    <w:rsid w:val="00430B20"/>
    <w:rsid w:val="00430B6C"/>
    <w:rsid w:val="0043135D"/>
    <w:rsid w:val="00431EBC"/>
    <w:rsid w:val="0043227C"/>
    <w:rsid w:val="004335C0"/>
    <w:rsid w:val="00433AFC"/>
    <w:rsid w:val="00434193"/>
    <w:rsid w:val="00435068"/>
    <w:rsid w:val="00435715"/>
    <w:rsid w:val="0043571B"/>
    <w:rsid w:val="00435EE0"/>
    <w:rsid w:val="00435F29"/>
    <w:rsid w:val="0043610C"/>
    <w:rsid w:val="004366FF"/>
    <w:rsid w:val="004376D3"/>
    <w:rsid w:val="0043777D"/>
    <w:rsid w:val="00437D83"/>
    <w:rsid w:val="004401DD"/>
    <w:rsid w:val="00440344"/>
    <w:rsid w:val="00441264"/>
    <w:rsid w:val="00441B0F"/>
    <w:rsid w:val="004425C6"/>
    <w:rsid w:val="00443512"/>
    <w:rsid w:val="00443A55"/>
    <w:rsid w:val="00443CA6"/>
    <w:rsid w:val="00443D5D"/>
    <w:rsid w:val="00445CBA"/>
    <w:rsid w:val="004463CB"/>
    <w:rsid w:val="004466F7"/>
    <w:rsid w:val="00446858"/>
    <w:rsid w:val="00447304"/>
    <w:rsid w:val="00450127"/>
    <w:rsid w:val="0045075F"/>
    <w:rsid w:val="004516AD"/>
    <w:rsid w:val="00451E84"/>
    <w:rsid w:val="00451EA3"/>
    <w:rsid w:val="00451F01"/>
    <w:rsid w:val="00453349"/>
    <w:rsid w:val="004546A7"/>
    <w:rsid w:val="00454831"/>
    <w:rsid w:val="004548DF"/>
    <w:rsid w:val="00455B98"/>
    <w:rsid w:val="00455E25"/>
    <w:rsid w:val="00456CC0"/>
    <w:rsid w:val="0045755C"/>
    <w:rsid w:val="00457933"/>
    <w:rsid w:val="00457C78"/>
    <w:rsid w:val="00460136"/>
    <w:rsid w:val="00460735"/>
    <w:rsid w:val="00460AD5"/>
    <w:rsid w:val="00460EB8"/>
    <w:rsid w:val="00461090"/>
    <w:rsid w:val="004611D5"/>
    <w:rsid w:val="004617D8"/>
    <w:rsid w:val="00461991"/>
    <w:rsid w:val="00461A6B"/>
    <w:rsid w:val="00461C43"/>
    <w:rsid w:val="00461DD7"/>
    <w:rsid w:val="00462125"/>
    <w:rsid w:val="00463216"/>
    <w:rsid w:val="0046334D"/>
    <w:rsid w:val="00463848"/>
    <w:rsid w:val="00463BBF"/>
    <w:rsid w:val="00463C95"/>
    <w:rsid w:val="00463E1C"/>
    <w:rsid w:val="00464052"/>
    <w:rsid w:val="00464C9C"/>
    <w:rsid w:val="00465153"/>
    <w:rsid w:val="00465602"/>
    <w:rsid w:val="004669A6"/>
    <w:rsid w:val="00466AFD"/>
    <w:rsid w:val="00466E99"/>
    <w:rsid w:val="00470563"/>
    <w:rsid w:val="00470696"/>
    <w:rsid w:val="004724C9"/>
    <w:rsid w:val="00472585"/>
    <w:rsid w:val="00473045"/>
    <w:rsid w:val="00474130"/>
    <w:rsid w:val="004754EE"/>
    <w:rsid w:val="00475A6C"/>
    <w:rsid w:val="004764AF"/>
    <w:rsid w:val="00476D04"/>
    <w:rsid w:val="0047775E"/>
    <w:rsid w:val="00477AAE"/>
    <w:rsid w:val="00477AF6"/>
    <w:rsid w:val="00477B3B"/>
    <w:rsid w:val="00477BCB"/>
    <w:rsid w:val="004801A7"/>
    <w:rsid w:val="00480E47"/>
    <w:rsid w:val="00481666"/>
    <w:rsid w:val="0048181B"/>
    <w:rsid w:val="00481F2B"/>
    <w:rsid w:val="004820C5"/>
    <w:rsid w:val="00482198"/>
    <w:rsid w:val="004823D8"/>
    <w:rsid w:val="0048285B"/>
    <w:rsid w:val="00482F20"/>
    <w:rsid w:val="00483196"/>
    <w:rsid w:val="0048340F"/>
    <w:rsid w:val="0048384A"/>
    <w:rsid w:val="0048423C"/>
    <w:rsid w:val="00484449"/>
    <w:rsid w:val="004845A6"/>
    <w:rsid w:val="00484C71"/>
    <w:rsid w:val="004852CE"/>
    <w:rsid w:val="0048540C"/>
    <w:rsid w:val="0048561D"/>
    <w:rsid w:val="00485EDD"/>
    <w:rsid w:val="00485F92"/>
    <w:rsid w:val="004860BD"/>
    <w:rsid w:val="004866E1"/>
    <w:rsid w:val="00486C72"/>
    <w:rsid w:val="0049030D"/>
    <w:rsid w:val="00490954"/>
    <w:rsid w:val="004921DC"/>
    <w:rsid w:val="0049277A"/>
    <w:rsid w:val="00492B38"/>
    <w:rsid w:val="00492FE4"/>
    <w:rsid w:val="00493035"/>
    <w:rsid w:val="00493321"/>
    <w:rsid w:val="004936DE"/>
    <w:rsid w:val="0049544E"/>
    <w:rsid w:val="00495670"/>
    <w:rsid w:val="0049604B"/>
    <w:rsid w:val="00496AC9"/>
    <w:rsid w:val="004A040E"/>
    <w:rsid w:val="004A042D"/>
    <w:rsid w:val="004A11E0"/>
    <w:rsid w:val="004A1FC5"/>
    <w:rsid w:val="004A2158"/>
    <w:rsid w:val="004A29A5"/>
    <w:rsid w:val="004A3225"/>
    <w:rsid w:val="004A374A"/>
    <w:rsid w:val="004A395B"/>
    <w:rsid w:val="004A39D9"/>
    <w:rsid w:val="004A3C59"/>
    <w:rsid w:val="004A3FE2"/>
    <w:rsid w:val="004A480D"/>
    <w:rsid w:val="004A4D76"/>
    <w:rsid w:val="004A522F"/>
    <w:rsid w:val="004A5851"/>
    <w:rsid w:val="004A5A91"/>
    <w:rsid w:val="004A5B0F"/>
    <w:rsid w:val="004A5CF1"/>
    <w:rsid w:val="004A66E0"/>
    <w:rsid w:val="004A7AAE"/>
    <w:rsid w:val="004A7D49"/>
    <w:rsid w:val="004A7F21"/>
    <w:rsid w:val="004B08DB"/>
    <w:rsid w:val="004B1422"/>
    <w:rsid w:val="004B24EB"/>
    <w:rsid w:val="004B29AC"/>
    <w:rsid w:val="004B3C8B"/>
    <w:rsid w:val="004B44A9"/>
    <w:rsid w:val="004B4509"/>
    <w:rsid w:val="004B452A"/>
    <w:rsid w:val="004B4871"/>
    <w:rsid w:val="004B4ADF"/>
    <w:rsid w:val="004B4C00"/>
    <w:rsid w:val="004B4E06"/>
    <w:rsid w:val="004B5493"/>
    <w:rsid w:val="004B5914"/>
    <w:rsid w:val="004B6C77"/>
    <w:rsid w:val="004B6D0A"/>
    <w:rsid w:val="004B7995"/>
    <w:rsid w:val="004C02B3"/>
    <w:rsid w:val="004C098E"/>
    <w:rsid w:val="004C0BBE"/>
    <w:rsid w:val="004C0E2F"/>
    <w:rsid w:val="004C1194"/>
    <w:rsid w:val="004C222E"/>
    <w:rsid w:val="004C2561"/>
    <w:rsid w:val="004C2806"/>
    <w:rsid w:val="004C3ADD"/>
    <w:rsid w:val="004C428E"/>
    <w:rsid w:val="004C4775"/>
    <w:rsid w:val="004C483D"/>
    <w:rsid w:val="004C48A9"/>
    <w:rsid w:val="004C590B"/>
    <w:rsid w:val="004C6326"/>
    <w:rsid w:val="004C63C7"/>
    <w:rsid w:val="004C6D39"/>
    <w:rsid w:val="004C6D98"/>
    <w:rsid w:val="004C7217"/>
    <w:rsid w:val="004C75B5"/>
    <w:rsid w:val="004C7743"/>
    <w:rsid w:val="004C77A7"/>
    <w:rsid w:val="004C7DBE"/>
    <w:rsid w:val="004C7F57"/>
    <w:rsid w:val="004D032B"/>
    <w:rsid w:val="004D039E"/>
    <w:rsid w:val="004D04A3"/>
    <w:rsid w:val="004D0C9F"/>
    <w:rsid w:val="004D15FD"/>
    <w:rsid w:val="004D2369"/>
    <w:rsid w:val="004D2485"/>
    <w:rsid w:val="004D2998"/>
    <w:rsid w:val="004D3A57"/>
    <w:rsid w:val="004D3B2A"/>
    <w:rsid w:val="004D47FF"/>
    <w:rsid w:val="004D4D35"/>
    <w:rsid w:val="004D518F"/>
    <w:rsid w:val="004D54D7"/>
    <w:rsid w:val="004D5BB7"/>
    <w:rsid w:val="004D6053"/>
    <w:rsid w:val="004D61EF"/>
    <w:rsid w:val="004D6FA4"/>
    <w:rsid w:val="004D7C23"/>
    <w:rsid w:val="004D7EBE"/>
    <w:rsid w:val="004E01C6"/>
    <w:rsid w:val="004E0212"/>
    <w:rsid w:val="004E0ADC"/>
    <w:rsid w:val="004E0FB1"/>
    <w:rsid w:val="004E1043"/>
    <w:rsid w:val="004E1DCA"/>
    <w:rsid w:val="004E1F76"/>
    <w:rsid w:val="004E21B4"/>
    <w:rsid w:val="004E252B"/>
    <w:rsid w:val="004E2861"/>
    <w:rsid w:val="004E2A85"/>
    <w:rsid w:val="004E2C09"/>
    <w:rsid w:val="004E3F72"/>
    <w:rsid w:val="004E4A78"/>
    <w:rsid w:val="004E551E"/>
    <w:rsid w:val="004E58F6"/>
    <w:rsid w:val="004E5E37"/>
    <w:rsid w:val="004E5E4C"/>
    <w:rsid w:val="004E623E"/>
    <w:rsid w:val="004E6CF9"/>
    <w:rsid w:val="004E734E"/>
    <w:rsid w:val="004E7EC0"/>
    <w:rsid w:val="004E7F48"/>
    <w:rsid w:val="004F014E"/>
    <w:rsid w:val="004F0BC6"/>
    <w:rsid w:val="004F1123"/>
    <w:rsid w:val="004F1715"/>
    <w:rsid w:val="004F17DA"/>
    <w:rsid w:val="004F184C"/>
    <w:rsid w:val="004F2927"/>
    <w:rsid w:val="004F3BD2"/>
    <w:rsid w:val="004F4372"/>
    <w:rsid w:val="004F43E0"/>
    <w:rsid w:val="004F45EB"/>
    <w:rsid w:val="004F521B"/>
    <w:rsid w:val="004F52BB"/>
    <w:rsid w:val="004F53BF"/>
    <w:rsid w:val="004F5582"/>
    <w:rsid w:val="004F59B8"/>
    <w:rsid w:val="004F5BD9"/>
    <w:rsid w:val="004F62A7"/>
    <w:rsid w:val="004F62F9"/>
    <w:rsid w:val="004F66B3"/>
    <w:rsid w:val="004F674C"/>
    <w:rsid w:val="004F7352"/>
    <w:rsid w:val="004F7EE2"/>
    <w:rsid w:val="0050015C"/>
    <w:rsid w:val="00500418"/>
    <w:rsid w:val="00500CCF"/>
    <w:rsid w:val="00500E62"/>
    <w:rsid w:val="005010DE"/>
    <w:rsid w:val="005011FD"/>
    <w:rsid w:val="0050164B"/>
    <w:rsid w:val="00502958"/>
    <w:rsid w:val="00502BD2"/>
    <w:rsid w:val="00502DA4"/>
    <w:rsid w:val="00503F83"/>
    <w:rsid w:val="0050421C"/>
    <w:rsid w:val="00504A9B"/>
    <w:rsid w:val="00504E9A"/>
    <w:rsid w:val="00504F83"/>
    <w:rsid w:val="005059B9"/>
    <w:rsid w:val="00505F64"/>
    <w:rsid w:val="00506DCD"/>
    <w:rsid w:val="00507325"/>
    <w:rsid w:val="00507C56"/>
    <w:rsid w:val="00507F13"/>
    <w:rsid w:val="00510809"/>
    <w:rsid w:val="005109D4"/>
    <w:rsid w:val="00510CF4"/>
    <w:rsid w:val="0051160A"/>
    <w:rsid w:val="005118BA"/>
    <w:rsid w:val="00512D87"/>
    <w:rsid w:val="005130DA"/>
    <w:rsid w:val="00513998"/>
    <w:rsid w:val="00513DDA"/>
    <w:rsid w:val="00513E19"/>
    <w:rsid w:val="005148B4"/>
    <w:rsid w:val="00514B29"/>
    <w:rsid w:val="00514C19"/>
    <w:rsid w:val="005152B1"/>
    <w:rsid w:val="005152F0"/>
    <w:rsid w:val="00515856"/>
    <w:rsid w:val="005163E6"/>
    <w:rsid w:val="005167B6"/>
    <w:rsid w:val="005172EC"/>
    <w:rsid w:val="0051740D"/>
    <w:rsid w:val="00517888"/>
    <w:rsid w:val="005178CE"/>
    <w:rsid w:val="00521CAB"/>
    <w:rsid w:val="005224EF"/>
    <w:rsid w:val="00522654"/>
    <w:rsid w:val="00522835"/>
    <w:rsid w:val="0052293D"/>
    <w:rsid w:val="00522AF4"/>
    <w:rsid w:val="00522B93"/>
    <w:rsid w:val="00523499"/>
    <w:rsid w:val="00523BC7"/>
    <w:rsid w:val="00523C08"/>
    <w:rsid w:val="00523C10"/>
    <w:rsid w:val="005245D5"/>
    <w:rsid w:val="00524889"/>
    <w:rsid w:val="0052575D"/>
    <w:rsid w:val="00525A53"/>
    <w:rsid w:val="00525C1F"/>
    <w:rsid w:val="00526569"/>
    <w:rsid w:val="00526726"/>
    <w:rsid w:val="00527256"/>
    <w:rsid w:val="00527B57"/>
    <w:rsid w:val="00527C8D"/>
    <w:rsid w:val="0053021B"/>
    <w:rsid w:val="00530AC4"/>
    <w:rsid w:val="00532115"/>
    <w:rsid w:val="0053265B"/>
    <w:rsid w:val="00533169"/>
    <w:rsid w:val="00533194"/>
    <w:rsid w:val="005332C8"/>
    <w:rsid w:val="0053464E"/>
    <w:rsid w:val="005346C8"/>
    <w:rsid w:val="005352C8"/>
    <w:rsid w:val="005354C1"/>
    <w:rsid w:val="00535F99"/>
    <w:rsid w:val="00536356"/>
    <w:rsid w:val="00536CBB"/>
    <w:rsid w:val="00536DDD"/>
    <w:rsid w:val="00537033"/>
    <w:rsid w:val="00537085"/>
    <w:rsid w:val="00540A37"/>
    <w:rsid w:val="00540B49"/>
    <w:rsid w:val="005418DB"/>
    <w:rsid w:val="005434EA"/>
    <w:rsid w:val="00545D55"/>
    <w:rsid w:val="005461AB"/>
    <w:rsid w:val="00546C6A"/>
    <w:rsid w:val="00546FBA"/>
    <w:rsid w:val="0054782D"/>
    <w:rsid w:val="00547F04"/>
    <w:rsid w:val="00550924"/>
    <w:rsid w:val="00550D63"/>
    <w:rsid w:val="00550EF1"/>
    <w:rsid w:val="00551075"/>
    <w:rsid w:val="005513C8"/>
    <w:rsid w:val="0055248E"/>
    <w:rsid w:val="0055352C"/>
    <w:rsid w:val="00553672"/>
    <w:rsid w:val="005538A6"/>
    <w:rsid w:val="00554F94"/>
    <w:rsid w:val="00555161"/>
    <w:rsid w:val="00555DE6"/>
    <w:rsid w:val="00555EB3"/>
    <w:rsid w:val="005567F6"/>
    <w:rsid w:val="00556E29"/>
    <w:rsid w:val="00557474"/>
    <w:rsid w:val="005575C9"/>
    <w:rsid w:val="00557DAA"/>
    <w:rsid w:val="00557DAD"/>
    <w:rsid w:val="00561138"/>
    <w:rsid w:val="00561699"/>
    <w:rsid w:val="0056194F"/>
    <w:rsid w:val="005619E1"/>
    <w:rsid w:val="00562629"/>
    <w:rsid w:val="005628FE"/>
    <w:rsid w:val="0056330E"/>
    <w:rsid w:val="0056364B"/>
    <w:rsid w:val="00564191"/>
    <w:rsid w:val="00564557"/>
    <w:rsid w:val="0056458C"/>
    <w:rsid w:val="00564628"/>
    <w:rsid w:val="005648B9"/>
    <w:rsid w:val="00564A3C"/>
    <w:rsid w:val="00564F82"/>
    <w:rsid w:val="005653AF"/>
    <w:rsid w:val="00565501"/>
    <w:rsid w:val="00565755"/>
    <w:rsid w:val="0056601E"/>
    <w:rsid w:val="00566406"/>
    <w:rsid w:val="00566538"/>
    <w:rsid w:val="0056725A"/>
    <w:rsid w:val="0056741F"/>
    <w:rsid w:val="00567647"/>
    <w:rsid w:val="0056781B"/>
    <w:rsid w:val="00567BE2"/>
    <w:rsid w:val="00570102"/>
    <w:rsid w:val="00570505"/>
    <w:rsid w:val="005712E6"/>
    <w:rsid w:val="00572942"/>
    <w:rsid w:val="005730DB"/>
    <w:rsid w:val="00573251"/>
    <w:rsid w:val="005733A8"/>
    <w:rsid w:val="00573B5B"/>
    <w:rsid w:val="00573C29"/>
    <w:rsid w:val="00573F55"/>
    <w:rsid w:val="0057540E"/>
    <w:rsid w:val="005757B6"/>
    <w:rsid w:val="00576EB8"/>
    <w:rsid w:val="0058000F"/>
    <w:rsid w:val="00580557"/>
    <w:rsid w:val="0058074F"/>
    <w:rsid w:val="005808F3"/>
    <w:rsid w:val="00580A76"/>
    <w:rsid w:val="00581042"/>
    <w:rsid w:val="00581703"/>
    <w:rsid w:val="00581B15"/>
    <w:rsid w:val="005821DD"/>
    <w:rsid w:val="00582E42"/>
    <w:rsid w:val="00583908"/>
    <w:rsid w:val="005842FB"/>
    <w:rsid w:val="00584757"/>
    <w:rsid w:val="00584E21"/>
    <w:rsid w:val="005856D5"/>
    <w:rsid w:val="0058608B"/>
    <w:rsid w:val="005863C1"/>
    <w:rsid w:val="0058654D"/>
    <w:rsid w:val="00586786"/>
    <w:rsid w:val="00587729"/>
    <w:rsid w:val="00587886"/>
    <w:rsid w:val="00587A66"/>
    <w:rsid w:val="00590147"/>
    <w:rsid w:val="00590BD1"/>
    <w:rsid w:val="00590D26"/>
    <w:rsid w:val="00591276"/>
    <w:rsid w:val="00591490"/>
    <w:rsid w:val="0059151A"/>
    <w:rsid w:val="005916C9"/>
    <w:rsid w:val="00591C7E"/>
    <w:rsid w:val="00591DCF"/>
    <w:rsid w:val="005929B4"/>
    <w:rsid w:val="00592A3C"/>
    <w:rsid w:val="0059367F"/>
    <w:rsid w:val="00593720"/>
    <w:rsid w:val="00593909"/>
    <w:rsid w:val="00593A71"/>
    <w:rsid w:val="005941E1"/>
    <w:rsid w:val="005943E2"/>
    <w:rsid w:val="005946A0"/>
    <w:rsid w:val="00594B8A"/>
    <w:rsid w:val="00595009"/>
    <w:rsid w:val="005954B7"/>
    <w:rsid w:val="00595A05"/>
    <w:rsid w:val="00595F17"/>
    <w:rsid w:val="00595F3D"/>
    <w:rsid w:val="00595F89"/>
    <w:rsid w:val="00596873"/>
    <w:rsid w:val="00596BB3"/>
    <w:rsid w:val="00596BD4"/>
    <w:rsid w:val="00596FA8"/>
    <w:rsid w:val="005971A7"/>
    <w:rsid w:val="00597310"/>
    <w:rsid w:val="005977AB"/>
    <w:rsid w:val="005A01C5"/>
    <w:rsid w:val="005A0201"/>
    <w:rsid w:val="005A0532"/>
    <w:rsid w:val="005A07E7"/>
    <w:rsid w:val="005A0A57"/>
    <w:rsid w:val="005A0B9F"/>
    <w:rsid w:val="005A0DBB"/>
    <w:rsid w:val="005A0EBD"/>
    <w:rsid w:val="005A1270"/>
    <w:rsid w:val="005A1295"/>
    <w:rsid w:val="005A1FBF"/>
    <w:rsid w:val="005A2081"/>
    <w:rsid w:val="005A29B1"/>
    <w:rsid w:val="005A2EBF"/>
    <w:rsid w:val="005A380B"/>
    <w:rsid w:val="005A4890"/>
    <w:rsid w:val="005A49D4"/>
    <w:rsid w:val="005A4D7C"/>
    <w:rsid w:val="005A51C9"/>
    <w:rsid w:val="005A5DC0"/>
    <w:rsid w:val="005A6B6D"/>
    <w:rsid w:val="005A6F0E"/>
    <w:rsid w:val="005A6F57"/>
    <w:rsid w:val="005A7079"/>
    <w:rsid w:val="005A7235"/>
    <w:rsid w:val="005A795B"/>
    <w:rsid w:val="005A7A1A"/>
    <w:rsid w:val="005A7BAF"/>
    <w:rsid w:val="005B0652"/>
    <w:rsid w:val="005B1213"/>
    <w:rsid w:val="005B1329"/>
    <w:rsid w:val="005B1512"/>
    <w:rsid w:val="005B1B55"/>
    <w:rsid w:val="005B1DBD"/>
    <w:rsid w:val="005B2769"/>
    <w:rsid w:val="005B3EBD"/>
    <w:rsid w:val="005B48E8"/>
    <w:rsid w:val="005B56D9"/>
    <w:rsid w:val="005B5BA3"/>
    <w:rsid w:val="005B5E62"/>
    <w:rsid w:val="005B727B"/>
    <w:rsid w:val="005B7341"/>
    <w:rsid w:val="005B778C"/>
    <w:rsid w:val="005B7E97"/>
    <w:rsid w:val="005B7F46"/>
    <w:rsid w:val="005C09A7"/>
    <w:rsid w:val="005C102D"/>
    <w:rsid w:val="005C132C"/>
    <w:rsid w:val="005C17FB"/>
    <w:rsid w:val="005C1833"/>
    <w:rsid w:val="005C1838"/>
    <w:rsid w:val="005C18C2"/>
    <w:rsid w:val="005C1D93"/>
    <w:rsid w:val="005C2063"/>
    <w:rsid w:val="005C244F"/>
    <w:rsid w:val="005C2767"/>
    <w:rsid w:val="005C2922"/>
    <w:rsid w:val="005C2F60"/>
    <w:rsid w:val="005C323D"/>
    <w:rsid w:val="005C3772"/>
    <w:rsid w:val="005C39C3"/>
    <w:rsid w:val="005C4229"/>
    <w:rsid w:val="005C4580"/>
    <w:rsid w:val="005C5065"/>
    <w:rsid w:val="005C52F3"/>
    <w:rsid w:val="005C564C"/>
    <w:rsid w:val="005C6234"/>
    <w:rsid w:val="005C6605"/>
    <w:rsid w:val="005C71A0"/>
    <w:rsid w:val="005C751C"/>
    <w:rsid w:val="005C7802"/>
    <w:rsid w:val="005C7B50"/>
    <w:rsid w:val="005C7E73"/>
    <w:rsid w:val="005D029E"/>
    <w:rsid w:val="005D0427"/>
    <w:rsid w:val="005D0776"/>
    <w:rsid w:val="005D07AE"/>
    <w:rsid w:val="005D0B55"/>
    <w:rsid w:val="005D0C83"/>
    <w:rsid w:val="005D113B"/>
    <w:rsid w:val="005D1732"/>
    <w:rsid w:val="005D1BAC"/>
    <w:rsid w:val="005D2D9A"/>
    <w:rsid w:val="005D3A6E"/>
    <w:rsid w:val="005D3B21"/>
    <w:rsid w:val="005D4019"/>
    <w:rsid w:val="005D41DC"/>
    <w:rsid w:val="005D43C3"/>
    <w:rsid w:val="005D460F"/>
    <w:rsid w:val="005D4638"/>
    <w:rsid w:val="005D4D7D"/>
    <w:rsid w:val="005D4DC5"/>
    <w:rsid w:val="005D5C22"/>
    <w:rsid w:val="005D5E6C"/>
    <w:rsid w:val="005D63A9"/>
    <w:rsid w:val="005D65D5"/>
    <w:rsid w:val="005D6C56"/>
    <w:rsid w:val="005D6F49"/>
    <w:rsid w:val="005D7E8A"/>
    <w:rsid w:val="005E06FA"/>
    <w:rsid w:val="005E11A5"/>
    <w:rsid w:val="005E13D4"/>
    <w:rsid w:val="005E1435"/>
    <w:rsid w:val="005E21F3"/>
    <w:rsid w:val="005E235C"/>
    <w:rsid w:val="005E3078"/>
    <w:rsid w:val="005E34C0"/>
    <w:rsid w:val="005E3D71"/>
    <w:rsid w:val="005E44F1"/>
    <w:rsid w:val="005E49CA"/>
    <w:rsid w:val="005E5427"/>
    <w:rsid w:val="005E5428"/>
    <w:rsid w:val="005E5A7C"/>
    <w:rsid w:val="005E5C33"/>
    <w:rsid w:val="005E5F53"/>
    <w:rsid w:val="005E6976"/>
    <w:rsid w:val="005E6E12"/>
    <w:rsid w:val="005E70CD"/>
    <w:rsid w:val="005E74B3"/>
    <w:rsid w:val="005E74EC"/>
    <w:rsid w:val="005E7AB6"/>
    <w:rsid w:val="005E7B1E"/>
    <w:rsid w:val="005E7CBC"/>
    <w:rsid w:val="005F0A62"/>
    <w:rsid w:val="005F0FA8"/>
    <w:rsid w:val="005F1C5D"/>
    <w:rsid w:val="005F222B"/>
    <w:rsid w:val="005F2317"/>
    <w:rsid w:val="005F2550"/>
    <w:rsid w:val="005F297E"/>
    <w:rsid w:val="005F2B2D"/>
    <w:rsid w:val="005F2D9C"/>
    <w:rsid w:val="005F2FD5"/>
    <w:rsid w:val="005F340A"/>
    <w:rsid w:val="005F3AE8"/>
    <w:rsid w:val="005F3B09"/>
    <w:rsid w:val="005F3B47"/>
    <w:rsid w:val="005F47C1"/>
    <w:rsid w:val="005F4926"/>
    <w:rsid w:val="005F4B6F"/>
    <w:rsid w:val="005F5009"/>
    <w:rsid w:val="005F5054"/>
    <w:rsid w:val="005F530F"/>
    <w:rsid w:val="005F65D9"/>
    <w:rsid w:val="005F6768"/>
    <w:rsid w:val="005F69CF"/>
    <w:rsid w:val="005F6E39"/>
    <w:rsid w:val="005F6E41"/>
    <w:rsid w:val="005F6E58"/>
    <w:rsid w:val="005F704C"/>
    <w:rsid w:val="005F7A22"/>
    <w:rsid w:val="005F7B9D"/>
    <w:rsid w:val="00600501"/>
    <w:rsid w:val="006006CD"/>
    <w:rsid w:val="00600B0C"/>
    <w:rsid w:val="00601078"/>
    <w:rsid w:val="00602543"/>
    <w:rsid w:val="0060254C"/>
    <w:rsid w:val="00602DFA"/>
    <w:rsid w:val="006031D1"/>
    <w:rsid w:val="006033BF"/>
    <w:rsid w:val="00603702"/>
    <w:rsid w:val="00603B4B"/>
    <w:rsid w:val="00603F20"/>
    <w:rsid w:val="006042BD"/>
    <w:rsid w:val="00604A11"/>
    <w:rsid w:val="00604F37"/>
    <w:rsid w:val="0060508A"/>
    <w:rsid w:val="006055AF"/>
    <w:rsid w:val="00605942"/>
    <w:rsid w:val="00605C9F"/>
    <w:rsid w:val="00606814"/>
    <w:rsid w:val="006068E8"/>
    <w:rsid w:val="00606ADB"/>
    <w:rsid w:val="006072DE"/>
    <w:rsid w:val="006075F4"/>
    <w:rsid w:val="006078A8"/>
    <w:rsid w:val="00607BAD"/>
    <w:rsid w:val="00607EC7"/>
    <w:rsid w:val="0061048A"/>
    <w:rsid w:val="006104F8"/>
    <w:rsid w:val="00610AE7"/>
    <w:rsid w:val="00610BEE"/>
    <w:rsid w:val="00611178"/>
    <w:rsid w:val="0061148D"/>
    <w:rsid w:val="00611D01"/>
    <w:rsid w:val="006124B3"/>
    <w:rsid w:val="00612611"/>
    <w:rsid w:val="0061279A"/>
    <w:rsid w:val="00613009"/>
    <w:rsid w:val="006132EA"/>
    <w:rsid w:val="0061401C"/>
    <w:rsid w:val="0061420B"/>
    <w:rsid w:val="00614931"/>
    <w:rsid w:val="00614D33"/>
    <w:rsid w:val="0061537D"/>
    <w:rsid w:val="0061537F"/>
    <w:rsid w:val="00615DEA"/>
    <w:rsid w:val="00616A60"/>
    <w:rsid w:val="00616EE6"/>
    <w:rsid w:val="006171FB"/>
    <w:rsid w:val="00617A2A"/>
    <w:rsid w:val="006207F4"/>
    <w:rsid w:val="00620C67"/>
    <w:rsid w:val="00621646"/>
    <w:rsid w:val="00621803"/>
    <w:rsid w:val="006220F1"/>
    <w:rsid w:val="00623C68"/>
    <w:rsid w:val="00623E46"/>
    <w:rsid w:val="00624604"/>
    <w:rsid w:val="00624D2C"/>
    <w:rsid w:val="00624EF1"/>
    <w:rsid w:val="00625145"/>
    <w:rsid w:val="00627402"/>
    <w:rsid w:val="00630480"/>
    <w:rsid w:val="0063058E"/>
    <w:rsid w:val="006305F8"/>
    <w:rsid w:val="00631DA7"/>
    <w:rsid w:val="00632B9C"/>
    <w:rsid w:val="00632F18"/>
    <w:rsid w:val="006332D7"/>
    <w:rsid w:val="0063333D"/>
    <w:rsid w:val="00634225"/>
    <w:rsid w:val="00635003"/>
    <w:rsid w:val="006351CE"/>
    <w:rsid w:val="006352FD"/>
    <w:rsid w:val="00635B15"/>
    <w:rsid w:val="006362E1"/>
    <w:rsid w:val="006367DA"/>
    <w:rsid w:val="00636FAD"/>
    <w:rsid w:val="006370E1"/>
    <w:rsid w:val="006375B2"/>
    <w:rsid w:val="006375BB"/>
    <w:rsid w:val="006379DE"/>
    <w:rsid w:val="006407FE"/>
    <w:rsid w:val="006409EE"/>
    <w:rsid w:val="00640BF7"/>
    <w:rsid w:val="00640C7D"/>
    <w:rsid w:val="00640E7E"/>
    <w:rsid w:val="00640FFF"/>
    <w:rsid w:val="00641761"/>
    <w:rsid w:val="006421D9"/>
    <w:rsid w:val="006424FE"/>
    <w:rsid w:val="006425FC"/>
    <w:rsid w:val="00642631"/>
    <w:rsid w:val="00642C3C"/>
    <w:rsid w:val="00642DF5"/>
    <w:rsid w:val="0064304A"/>
    <w:rsid w:val="0064329C"/>
    <w:rsid w:val="0064380B"/>
    <w:rsid w:val="00643A4F"/>
    <w:rsid w:val="00643FF5"/>
    <w:rsid w:val="006441FD"/>
    <w:rsid w:val="00644E5A"/>
    <w:rsid w:val="00644F2C"/>
    <w:rsid w:val="00645141"/>
    <w:rsid w:val="00645AEE"/>
    <w:rsid w:val="00646428"/>
    <w:rsid w:val="0064707F"/>
    <w:rsid w:val="006471E8"/>
    <w:rsid w:val="00647E90"/>
    <w:rsid w:val="00647FA3"/>
    <w:rsid w:val="006500F7"/>
    <w:rsid w:val="00650769"/>
    <w:rsid w:val="00650DF8"/>
    <w:rsid w:val="006516B7"/>
    <w:rsid w:val="006518E4"/>
    <w:rsid w:val="00651FB8"/>
    <w:rsid w:val="00652BA0"/>
    <w:rsid w:val="00652DF6"/>
    <w:rsid w:val="00652FCA"/>
    <w:rsid w:val="00653045"/>
    <w:rsid w:val="00653A25"/>
    <w:rsid w:val="00653D93"/>
    <w:rsid w:val="00653FDA"/>
    <w:rsid w:val="006541A0"/>
    <w:rsid w:val="00654E99"/>
    <w:rsid w:val="00655104"/>
    <w:rsid w:val="0065548F"/>
    <w:rsid w:val="0065558B"/>
    <w:rsid w:val="00655633"/>
    <w:rsid w:val="006559BB"/>
    <w:rsid w:val="00655A93"/>
    <w:rsid w:val="00655D93"/>
    <w:rsid w:val="00655E86"/>
    <w:rsid w:val="00656614"/>
    <w:rsid w:val="00656C4D"/>
    <w:rsid w:val="006577CD"/>
    <w:rsid w:val="006578A6"/>
    <w:rsid w:val="00657CCC"/>
    <w:rsid w:val="00660162"/>
    <w:rsid w:val="0066036D"/>
    <w:rsid w:val="006604FA"/>
    <w:rsid w:val="00660879"/>
    <w:rsid w:val="00661639"/>
    <w:rsid w:val="0066174D"/>
    <w:rsid w:val="00661E36"/>
    <w:rsid w:val="00661F03"/>
    <w:rsid w:val="006631D3"/>
    <w:rsid w:val="00663D0F"/>
    <w:rsid w:val="00664525"/>
    <w:rsid w:val="0066465B"/>
    <w:rsid w:val="00664C81"/>
    <w:rsid w:val="0066521A"/>
    <w:rsid w:val="0066540C"/>
    <w:rsid w:val="00665EAE"/>
    <w:rsid w:val="006661EA"/>
    <w:rsid w:val="00666909"/>
    <w:rsid w:val="00666EBC"/>
    <w:rsid w:val="00667034"/>
    <w:rsid w:val="00667189"/>
    <w:rsid w:val="0066749E"/>
    <w:rsid w:val="00667CCB"/>
    <w:rsid w:val="00667EFD"/>
    <w:rsid w:val="00670475"/>
    <w:rsid w:val="00670B8C"/>
    <w:rsid w:val="00670C4A"/>
    <w:rsid w:val="00671F3E"/>
    <w:rsid w:val="00672482"/>
    <w:rsid w:val="00672A18"/>
    <w:rsid w:val="006735D0"/>
    <w:rsid w:val="006739E9"/>
    <w:rsid w:val="00674AF5"/>
    <w:rsid w:val="00674D52"/>
    <w:rsid w:val="00674F93"/>
    <w:rsid w:val="0067546F"/>
    <w:rsid w:val="00675A94"/>
    <w:rsid w:val="00676CE4"/>
    <w:rsid w:val="00676EC2"/>
    <w:rsid w:val="00676FA5"/>
    <w:rsid w:val="006771A4"/>
    <w:rsid w:val="006771AD"/>
    <w:rsid w:val="006774A8"/>
    <w:rsid w:val="00677572"/>
    <w:rsid w:val="00681229"/>
    <w:rsid w:val="0068185E"/>
    <w:rsid w:val="00681BE5"/>
    <w:rsid w:val="00681E30"/>
    <w:rsid w:val="0068379B"/>
    <w:rsid w:val="00683D98"/>
    <w:rsid w:val="00683D99"/>
    <w:rsid w:val="00683E23"/>
    <w:rsid w:val="00684079"/>
    <w:rsid w:val="0068629B"/>
    <w:rsid w:val="00686C12"/>
    <w:rsid w:val="00686D75"/>
    <w:rsid w:val="0068736A"/>
    <w:rsid w:val="00687D17"/>
    <w:rsid w:val="00690024"/>
    <w:rsid w:val="0069017D"/>
    <w:rsid w:val="006903A4"/>
    <w:rsid w:val="00690883"/>
    <w:rsid w:val="00690CAA"/>
    <w:rsid w:val="00690E5A"/>
    <w:rsid w:val="00690EFB"/>
    <w:rsid w:val="006911F9"/>
    <w:rsid w:val="006912CB"/>
    <w:rsid w:val="0069137B"/>
    <w:rsid w:val="006913EC"/>
    <w:rsid w:val="006914B7"/>
    <w:rsid w:val="00691742"/>
    <w:rsid w:val="00691DEE"/>
    <w:rsid w:val="00692147"/>
    <w:rsid w:val="00692242"/>
    <w:rsid w:val="0069236E"/>
    <w:rsid w:val="00692704"/>
    <w:rsid w:val="00692B26"/>
    <w:rsid w:val="00692E67"/>
    <w:rsid w:val="00693ACF"/>
    <w:rsid w:val="00693EE5"/>
    <w:rsid w:val="00693FBC"/>
    <w:rsid w:val="006944C5"/>
    <w:rsid w:val="00694A7E"/>
    <w:rsid w:val="00694B8D"/>
    <w:rsid w:val="0069561C"/>
    <w:rsid w:val="00695634"/>
    <w:rsid w:val="0069600D"/>
    <w:rsid w:val="00696143"/>
    <w:rsid w:val="006963AE"/>
    <w:rsid w:val="0069640F"/>
    <w:rsid w:val="00696B07"/>
    <w:rsid w:val="00697053"/>
    <w:rsid w:val="006A066A"/>
    <w:rsid w:val="006A06CA"/>
    <w:rsid w:val="006A083E"/>
    <w:rsid w:val="006A0FFD"/>
    <w:rsid w:val="006A1170"/>
    <w:rsid w:val="006A14A3"/>
    <w:rsid w:val="006A159D"/>
    <w:rsid w:val="006A18BF"/>
    <w:rsid w:val="006A1F58"/>
    <w:rsid w:val="006A242E"/>
    <w:rsid w:val="006A26AB"/>
    <w:rsid w:val="006A298D"/>
    <w:rsid w:val="006A2F80"/>
    <w:rsid w:val="006A3FD6"/>
    <w:rsid w:val="006A4076"/>
    <w:rsid w:val="006A436F"/>
    <w:rsid w:val="006A4E5B"/>
    <w:rsid w:val="006A59D8"/>
    <w:rsid w:val="006A5A45"/>
    <w:rsid w:val="006A5C13"/>
    <w:rsid w:val="006A608E"/>
    <w:rsid w:val="006A6B7B"/>
    <w:rsid w:val="006A6CE2"/>
    <w:rsid w:val="006A73D2"/>
    <w:rsid w:val="006A78F8"/>
    <w:rsid w:val="006A7991"/>
    <w:rsid w:val="006A7C26"/>
    <w:rsid w:val="006A7E27"/>
    <w:rsid w:val="006B010E"/>
    <w:rsid w:val="006B091F"/>
    <w:rsid w:val="006B0CAF"/>
    <w:rsid w:val="006B0ED0"/>
    <w:rsid w:val="006B0EED"/>
    <w:rsid w:val="006B147E"/>
    <w:rsid w:val="006B1DF6"/>
    <w:rsid w:val="006B233F"/>
    <w:rsid w:val="006B275E"/>
    <w:rsid w:val="006B28EA"/>
    <w:rsid w:val="006B2DA3"/>
    <w:rsid w:val="006B2FBB"/>
    <w:rsid w:val="006B378A"/>
    <w:rsid w:val="006B3BD5"/>
    <w:rsid w:val="006B4185"/>
    <w:rsid w:val="006B4224"/>
    <w:rsid w:val="006B4493"/>
    <w:rsid w:val="006B4B62"/>
    <w:rsid w:val="006B53DC"/>
    <w:rsid w:val="006B5423"/>
    <w:rsid w:val="006B5855"/>
    <w:rsid w:val="006B5AB2"/>
    <w:rsid w:val="006B5C67"/>
    <w:rsid w:val="006B6B5D"/>
    <w:rsid w:val="006B6C0D"/>
    <w:rsid w:val="006B7825"/>
    <w:rsid w:val="006B7D68"/>
    <w:rsid w:val="006C033F"/>
    <w:rsid w:val="006C1818"/>
    <w:rsid w:val="006C1F8B"/>
    <w:rsid w:val="006C2721"/>
    <w:rsid w:val="006C323A"/>
    <w:rsid w:val="006C3868"/>
    <w:rsid w:val="006C38FF"/>
    <w:rsid w:val="006C39EC"/>
    <w:rsid w:val="006C3E6E"/>
    <w:rsid w:val="006C3EEA"/>
    <w:rsid w:val="006C43A6"/>
    <w:rsid w:val="006C44EC"/>
    <w:rsid w:val="006C4A4A"/>
    <w:rsid w:val="006C53EB"/>
    <w:rsid w:val="006C5D29"/>
    <w:rsid w:val="006C650D"/>
    <w:rsid w:val="006C69A5"/>
    <w:rsid w:val="006C6A4D"/>
    <w:rsid w:val="006C6CF3"/>
    <w:rsid w:val="006C7740"/>
    <w:rsid w:val="006D0389"/>
    <w:rsid w:val="006D0848"/>
    <w:rsid w:val="006D0BA5"/>
    <w:rsid w:val="006D0C15"/>
    <w:rsid w:val="006D0D8B"/>
    <w:rsid w:val="006D0FBF"/>
    <w:rsid w:val="006D10DC"/>
    <w:rsid w:val="006D1586"/>
    <w:rsid w:val="006D19C1"/>
    <w:rsid w:val="006D2827"/>
    <w:rsid w:val="006D2848"/>
    <w:rsid w:val="006D2B19"/>
    <w:rsid w:val="006D2EC9"/>
    <w:rsid w:val="006D3A05"/>
    <w:rsid w:val="006D3B62"/>
    <w:rsid w:val="006D3FDF"/>
    <w:rsid w:val="006D4527"/>
    <w:rsid w:val="006D4B05"/>
    <w:rsid w:val="006D4EE5"/>
    <w:rsid w:val="006D4F86"/>
    <w:rsid w:val="006D5F98"/>
    <w:rsid w:val="006D6665"/>
    <w:rsid w:val="006D7098"/>
    <w:rsid w:val="006D740E"/>
    <w:rsid w:val="006D7C8A"/>
    <w:rsid w:val="006D7F72"/>
    <w:rsid w:val="006E00B7"/>
    <w:rsid w:val="006E0CB5"/>
    <w:rsid w:val="006E0E5B"/>
    <w:rsid w:val="006E132F"/>
    <w:rsid w:val="006E2701"/>
    <w:rsid w:val="006E3023"/>
    <w:rsid w:val="006E3369"/>
    <w:rsid w:val="006E3D12"/>
    <w:rsid w:val="006E449C"/>
    <w:rsid w:val="006E4726"/>
    <w:rsid w:val="006E4E72"/>
    <w:rsid w:val="006E4FCD"/>
    <w:rsid w:val="006E50D0"/>
    <w:rsid w:val="006E5B0B"/>
    <w:rsid w:val="006E663E"/>
    <w:rsid w:val="006E6655"/>
    <w:rsid w:val="006E6EDF"/>
    <w:rsid w:val="006E7BA5"/>
    <w:rsid w:val="006F01E8"/>
    <w:rsid w:val="006F02D7"/>
    <w:rsid w:val="006F07FA"/>
    <w:rsid w:val="006F0EBB"/>
    <w:rsid w:val="006F1E96"/>
    <w:rsid w:val="006F2D24"/>
    <w:rsid w:val="006F37F7"/>
    <w:rsid w:val="006F38C3"/>
    <w:rsid w:val="006F3909"/>
    <w:rsid w:val="006F4036"/>
    <w:rsid w:val="006F428E"/>
    <w:rsid w:val="006F48E1"/>
    <w:rsid w:val="006F5160"/>
    <w:rsid w:val="006F5374"/>
    <w:rsid w:val="006F60DF"/>
    <w:rsid w:val="006F68C1"/>
    <w:rsid w:val="006F6B60"/>
    <w:rsid w:val="006F6CE2"/>
    <w:rsid w:val="006F6E10"/>
    <w:rsid w:val="006F7800"/>
    <w:rsid w:val="007014F8"/>
    <w:rsid w:val="0070150D"/>
    <w:rsid w:val="007016D2"/>
    <w:rsid w:val="007018D8"/>
    <w:rsid w:val="007029E8"/>
    <w:rsid w:val="00703107"/>
    <w:rsid w:val="00703138"/>
    <w:rsid w:val="00703277"/>
    <w:rsid w:val="0070356D"/>
    <w:rsid w:val="00703981"/>
    <w:rsid w:val="00703D7E"/>
    <w:rsid w:val="00703DE6"/>
    <w:rsid w:val="007041A7"/>
    <w:rsid w:val="0070495F"/>
    <w:rsid w:val="00704B6E"/>
    <w:rsid w:val="00704F73"/>
    <w:rsid w:val="0070508D"/>
    <w:rsid w:val="0070542E"/>
    <w:rsid w:val="00706096"/>
    <w:rsid w:val="007060D4"/>
    <w:rsid w:val="0070624C"/>
    <w:rsid w:val="00706451"/>
    <w:rsid w:val="00707E0F"/>
    <w:rsid w:val="007100F9"/>
    <w:rsid w:val="0071068A"/>
    <w:rsid w:val="00710E19"/>
    <w:rsid w:val="00710E52"/>
    <w:rsid w:val="0071154B"/>
    <w:rsid w:val="007116B6"/>
    <w:rsid w:val="0071174F"/>
    <w:rsid w:val="0071196A"/>
    <w:rsid w:val="00711C03"/>
    <w:rsid w:val="0071227C"/>
    <w:rsid w:val="007131CF"/>
    <w:rsid w:val="007132CD"/>
    <w:rsid w:val="007133C0"/>
    <w:rsid w:val="00713613"/>
    <w:rsid w:val="007137C6"/>
    <w:rsid w:val="007138FC"/>
    <w:rsid w:val="0071393D"/>
    <w:rsid w:val="00713E79"/>
    <w:rsid w:val="00714245"/>
    <w:rsid w:val="00714C20"/>
    <w:rsid w:val="00715441"/>
    <w:rsid w:val="00715739"/>
    <w:rsid w:val="0071576C"/>
    <w:rsid w:val="00715C94"/>
    <w:rsid w:val="00715EA7"/>
    <w:rsid w:val="00716A09"/>
    <w:rsid w:val="007170DB"/>
    <w:rsid w:val="00717880"/>
    <w:rsid w:val="00717CA8"/>
    <w:rsid w:val="007205E7"/>
    <w:rsid w:val="007209C4"/>
    <w:rsid w:val="00721ACB"/>
    <w:rsid w:val="00721E9E"/>
    <w:rsid w:val="007227FE"/>
    <w:rsid w:val="0072290A"/>
    <w:rsid w:val="007233C3"/>
    <w:rsid w:val="00723C95"/>
    <w:rsid w:val="007244E7"/>
    <w:rsid w:val="0072505F"/>
    <w:rsid w:val="00725B00"/>
    <w:rsid w:val="00725E54"/>
    <w:rsid w:val="0072680C"/>
    <w:rsid w:val="0072698B"/>
    <w:rsid w:val="00726A25"/>
    <w:rsid w:val="00726B3D"/>
    <w:rsid w:val="00726C64"/>
    <w:rsid w:val="007310B7"/>
    <w:rsid w:val="00731237"/>
    <w:rsid w:val="0073207E"/>
    <w:rsid w:val="00732664"/>
    <w:rsid w:val="00732BA7"/>
    <w:rsid w:val="007333EA"/>
    <w:rsid w:val="00733535"/>
    <w:rsid w:val="00733601"/>
    <w:rsid w:val="00733A57"/>
    <w:rsid w:val="00733F36"/>
    <w:rsid w:val="007340CE"/>
    <w:rsid w:val="00734781"/>
    <w:rsid w:val="007349FC"/>
    <w:rsid w:val="00734B6F"/>
    <w:rsid w:val="00735293"/>
    <w:rsid w:val="00735376"/>
    <w:rsid w:val="007363EA"/>
    <w:rsid w:val="00736E06"/>
    <w:rsid w:val="00736E37"/>
    <w:rsid w:val="00737286"/>
    <w:rsid w:val="007373DB"/>
    <w:rsid w:val="00737F27"/>
    <w:rsid w:val="00737FD3"/>
    <w:rsid w:val="007407DB"/>
    <w:rsid w:val="0074085F"/>
    <w:rsid w:val="00740BFC"/>
    <w:rsid w:val="00740F76"/>
    <w:rsid w:val="00741037"/>
    <w:rsid w:val="0074198F"/>
    <w:rsid w:val="007422B3"/>
    <w:rsid w:val="007424BF"/>
    <w:rsid w:val="007434BD"/>
    <w:rsid w:val="007435F1"/>
    <w:rsid w:val="00743DDD"/>
    <w:rsid w:val="00744625"/>
    <w:rsid w:val="007446BB"/>
    <w:rsid w:val="00745882"/>
    <w:rsid w:val="00745A04"/>
    <w:rsid w:val="00745A0F"/>
    <w:rsid w:val="00745DFD"/>
    <w:rsid w:val="00746197"/>
    <w:rsid w:val="0074689C"/>
    <w:rsid w:val="00746B3F"/>
    <w:rsid w:val="00747117"/>
    <w:rsid w:val="007479C2"/>
    <w:rsid w:val="00747B0D"/>
    <w:rsid w:val="00750712"/>
    <w:rsid w:val="007511BA"/>
    <w:rsid w:val="00751452"/>
    <w:rsid w:val="00751D06"/>
    <w:rsid w:val="00751D74"/>
    <w:rsid w:val="007521A5"/>
    <w:rsid w:val="00752243"/>
    <w:rsid w:val="007531BA"/>
    <w:rsid w:val="00753959"/>
    <w:rsid w:val="00753DD6"/>
    <w:rsid w:val="00754A4A"/>
    <w:rsid w:val="007567A8"/>
    <w:rsid w:val="00760D1E"/>
    <w:rsid w:val="00760F66"/>
    <w:rsid w:val="00761103"/>
    <w:rsid w:val="007611F8"/>
    <w:rsid w:val="00761200"/>
    <w:rsid w:val="007615F6"/>
    <w:rsid w:val="007618E2"/>
    <w:rsid w:val="00761931"/>
    <w:rsid w:val="00761BD1"/>
    <w:rsid w:val="007627BA"/>
    <w:rsid w:val="0076291E"/>
    <w:rsid w:val="00762D81"/>
    <w:rsid w:val="0076317B"/>
    <w:rsid w:val="007634C7"/>
    <w:rsid w:val="00763CB9"/>
    <w:rsid w:val="007643D5"/>
    <w:rsid w:val="00765366"/>
    <w:rsid w:val="00765614"/>
    <w:rsid w:val="00765914"/>
    <w:rsid w:val="0076614D"/>
    <w:rsid w:val="0076624C"/>
    <w:rsid w:val="0076627D"/>
    <w:rsid w:val="00766304"/>
    <w:rsid w:val="00767A28"/>
    <w:rsid w:val="00767DD2"/>
    <w:rsid w:val="0077082B"/>
    <w:rsid w:val="00770B12"/>
    <w:rsid w:val="00770E60"/>
    <w:rsid w:val="00771C8F"/>
    <w:rsid w:val="00772019"/>
    <w:rsid w:val="0077266E"/>
    <w:rsid w:val="0077292E"/>
    <w:rsid w:val="007737D8"/>
    <w:rsid w:val="0077391C"/>
    <w:rsid w:val="00773D24"/>
    <w:rsid w:val="00774576"/>
    <w:rsid w:val="0077508A"/>
    <w:rsid w:val="00775567"/>
    <w:rsid w:val="00775E0D"/>
    <w:rsid w:val="00776343"/>
    <w:rsid w:val="00776416"/>
    <w:rsid w:val="00776C7B"/>
    <w:rsid w:val="00776CEF"/>
    <w:rsid w:val="0077790B"/>
    <w:rsid w:val="00777E7E"/>
    <w:rsid w:val="007804DD"/>
    <w:rsid w:val="0078095A"/>
    <w:rsid w:val="00780F3B"/>
    <w:rsid w:val="007816EE"/>
    <w:rsid w:val="00782071"/>
    <w:rsid w:val="00782946"/>
    <w:rsid w:val="00782AB1"/>
    <w:rsid w:val="00782ECD"/>
    <w:rsid w:val="0078363B"/>
    <w:rsid w:val="00783CCF"/>
    <w:rsid w:val="00783F5B"/>
    <w:rsid w:val="00784609"/>
    <w:rsid w:val="00784720"/>
    <w:rsid w:val="0078481D"/>
    <w:rsid w:val="007859FC"/>
    <w:rsid w:val="00785F4C"/>
    <w:rsid w:val="0078609C"/>
    <w:rsid w:val="00786355"/>
    <w:rsid w:val="00787370"/>
    <w:rsid w:val="007874AE"/>
    <w:rsid w:val="0078750B"/>
    <w:rsid w:val="00787F5E"/>
    <w:rsid w:val="0079024D"/>
    <w:rsid w:val="007911B8"/>
    <w:rsid w:val="00791DAE"/>
    <w:rsid w:val="007930E8"/>
    <w:rsid w:val="007935F5"/>
    <w:rsid w:val="00793D04"/>
    <w:rsid w:val="00793F28"/>
    <w:rsid w:val="00793FDB"/>
    <w:rsid w:val="00794252"/>
    <w:rsid w:val="007944D2"/>
    <w:rsid w:val="00794B19"/>
    <w:rsid w:val="00795B8D"/>
    <w:rsid w:val="00795EB9"/>
    <w:rsid w:val="00795F0E"/>
    <w:rsid w:val="007960A9"/>
    <w:rsid w:val="00797D8F"/>
    <w:rsid w:val="007A0C00"/>
    <w:rsid w:val="007A0E15"/>
    <w:rsid w:val="007A176E"/>
    <w:rsid w:val="007A19BF"/>
    <w:rsid w:val="007A2A69"/>
    <w:rsid w:val="007A2CF1"/>
    <w:rsid w:val="007A41B5"/>
    <w:rsid w:val="007A4486"/>
    <w:rsid w:val="007A4682"/>
    <w:rsid w:val="007A5879"/>
    <w:rsid w:val="007A58A8"/>
    <w:rsid w:val="007A5BDC"/>
    <w:rsid w:val="007A629D"/>
    <w:rsid w:val="007A637A"/>
    <w:rsid w:val="007A6610"/>
    <w:rsid w:val="007A6DD3"/>
    <w:rsid w:val="007A6FF3"/>
    <w:rsid w:val="007A71DC"/>
    <w:rsid w:val="007A7A04"/>
    <w:rsid w:val="007B04FF"/>
    <w:rsid w:val="007B0976"/>
    <w:rsid w:val="007B0CAC"/>
    <w:rsid w:val="007B15F3"/>
    <w:rsid w:val="007B1701"/>
    <w:rsid w:val="007B17C0"/>
    <w:rsid w:val="007B1C32"/>
    <w:rsid w:val="007B1DBB"/>
    <w:rsid w:val="007B2319"/>
    <w:rsid w:val="007B2FBF"/>
    <w:rsid w:val="007B3E13"/>
    <w:rsid w:val="007B4046"/>
    <w:rsid w:val="007B4300"/>
    <w:rsid w:val="007B44CE"/>
    <w:rsid w:val="007B44F9"/>
    <w:rsid w:val="007B565C"/>
    <w:rsid w:val="007B595F"/>
    <w:rsid w:val="007B5D75"/>
    <w:rsid w:val="007B6388"/>
    <w:rsid w:val="007B6D5E"/>
    <w:rsid w:val="007B7115"/>
    <w:rsid w:val="007B736B"/>
    <w:rsid w:val="007C0090"/>
    <w:rsid w:val="007C0853"/>
    <w:rsid w:val="007C08D0"/>
    <w:rsid w:val="007C08FD"/>
    <w:rsid w:val="007C0C90"/>
    <w:rsid w:val="007C0E07"/>
    <w:rsid w:val="007C0E86"/>
    <w:rsid w:val="007C249E"/>
    <w:rsid w:val="007C26CF"/>
    <w:rsid w:val="007C271B"/>
    <w:rsid w:val="007C2C14"/>
    <w:rsid w:val="007C2D50"/>
    <w:rsid w:val="007C357D"/>
    <w:rsid w:val="007C380B"/>
    <w:rsid w:val="007C3A55"/>
    <w:rsid w:val="007C4166"/>
    <w:rsid w:val="007C44E1"/>
    <w:rsid w:val="007C48DD"/>
    <w:rsid w:val="007C4A05"/>
    <w:rsid w:val="007C4D79"/>
    <w:rsid w:val="007C5711"/>
    <w:rsid w:val="007C57B9"/>
    <w:rsid w:val="007C6325"/>
    <w:rsid w:val="007C6C53"/>
    <w:rsid w:val="007C71FB"/>
    <w:rsid w:val="007C73A3"/>
    <w:rsid w:val="007C7975"/>
    <w:rsid w:val="007C7EF5"/>
    <w:rsid w:val="007D06AC"/>
    <w:rsid w:val="007D0741"/>
    <w:rsid w:val="007D0A53"/>
    <w:rsid w:val="007D0C62"/>
    <w:rsid w:val="007D0FFC"/>
    <w:rsid w:val="007D1013"/>
    <w:rsid w:val="007D19EC"/>
    <w:rsid w:val="007D2180"/>
    <w:rsid w:val="007D2608"/>
    <w:rsid w:val="007D30C3"/>
    <w:rsid w:val="007D35AC"/>
    <w:rsid w:val="007D36B1"/>
    <w:rsid w:val="007D36D7"/>
    <w:rsid w:val="007D3BA1"/>
    <w:rsid w:val="007D3BDB"/>
    <w:rsid w:val="007D3EC8"/>
    <w:rsid w:val="007D40AC"/>
    <w:rsid w:val="007D4317"/>
    <w:rsid w:val="007D4C12"/>
    <w:rsid w:val="007D57E0"/>
    <w:rsid w:val="007D5962"/>
    <w:rsid w:val="007D63B2"/>
    <w:rsid w:val="007D651D"/>
    <w:rsid w:val="007D71B7"/>
    <w:rsid w:val="007D7C66"/>
    <w:rsid w:val="007D7CF3"/>
    <w:rsid w:val="007E0274"/>
    <w:rsid w:val="007E02A7"/>
    <w:rsid w:val="007E0415"/>
    <w:rsid w:val="007E0991"/>
    <w:rsid w:val="007E0B2C"/>
    <w:rsid w:val="007E107F"/>
    <w:rsid w:val="007E1C84"/>
    <w:rsid w:val="007E25ED"/>
    <w:rsid w:val="007E2FD7"/>
    <w:rsid w:val="007E310B"/>
    <w:rsid w:val="007E38DA"/>
    <w:rsid w:val="007E3D65"/>
    <w:rsid w:val="007E3EE2"/>
    <w:rsid w:val="007E47E7"/>
    <w:rsid w:val="007E4A98"/>
    <w:rsid w:val="007E4EB6"/>
    <w:rsid w:val="007E5DD7"/>
    <w:rsid w:val="007E7139"/>
    <w:rsid w:val="007E7366"/>
    <w:rsid w:val="007E7EA1"/>
    <w:rsid w:val="007E7EA4"/>
    <w:rsid w:val="007F03CE"/>
    <w:rsid w:val="007F04D3"/>
    <w:rsid w:val="007F0DB7"/>
    <w:rsid w:val="007F0E95"/>
    <w:rsid w:val="007F137D"/>
    <w:rsid w:val="007F2D8D"/>
    <w:rsid w:val="007F2EBF"/>
    <w:rsid w:val="007F3044"/>
    <w:rsid w:val="007F3249"/>
    <w:rsid w:val="007F4657"/>
    <w:rsid w:val="007F49E6"/>
    <w:rsid w:val="007F5609"/>
    <w:rsid w:val="007F5625"/>
    <w:rsid w:val="007F568A"/>
    <w:rsid w:val="007F59F7"/>
    <w:rsid w:val="007F5D13"/>
    <w:rsid w:val="007F5E21"/>
    <w:rsid w:val="007F619D"/>
    <w:rsid w:val="007F6413"/>
    <w:rsid w:val="007F676E"/>
    <w:rsid w:val="007F6B11"/>
    <w:rsid w:val="007F6C91"/>
    <w:rsid w:val="007F6E2B"/>
    <w:rsid w:val="007F6F3C"/>
    <w:rsid w:val="007F7D12"/>
    <w:rsid w:val="007F7F02"/>
    <w:rsid w:val="00800258"/>
    <w:rsid w:val="00800562"/>
    <w:rsid w:val="00800C97"/>
    <w:rsid w:val="00800E69"/>
    <w:rsid w:val="008015BF"/>
    <w:rsid w:val="0080220F"/>
    <w:rsid w:val="00802735"/>
    <w:rsid w:val="008028C2"/>
    <w:rsid w:val="00802DDB"/>
    <w:rsid w:val="00803165"/>
    <w:rsid w:val="008037D8"/>
    <w:rsid w:val="00803B7E"/>
    <w:rsid w:val="00803DA6"/>
    <w:rsid w:val="008040D9"/>
    <w:rsid w:val="0080436E"/>
    <w:rsid w:val="00804937"/>
    <w:rsid w:val="00804E1E"/>
    <w:rsid w:val="00804E43"/>
    <w:rsid w:val="008050F5"/>
    <w:rsid w:val="00805112"/>
    <w:rsid w:val="0080512F"/>
    <w:rsid w:val="0080519C"/>
    <w:rsid w:val="00810BC2"/>
    <w:rsid w:val="00811683"/>
    <w:rsid w:val="00811AFF"/>
    <w:rsid w:val="00812102"/>
    <w:rsid w:val="00812373"/>
    <w:rsid w:val="00813F3A"/>
    <w:rsid w:val="008140E8"/>
    <w:rsid w:val="00814271"/>
    <w:rsid w:val="00814941"/>
    <w:rsid w:val="00814955"/>
    <w:rsid w:val="00814A65"/>
    <w:rsid w:val="00814BD9"/>
    <w:rsid w:val="008158AC"/>
    <w:rsid w:val="00816805"/>
    <w:rsid w:val="00816BE8"/>
    <w:rsid w:val="00816CD5"/>
    <w:rsid w:val="00816DBD"/>
    <w:rsid w:val="00816FE2"/>
    <w:rsid w:val="00817062"/>
    <w:rsid w:val="00817991"/>
    <w:rsid w:val="00817F58"/>
    <w:rsid w:val="008203C5"/>
    <w:rsid w:val="00820B84"/>
    <w:rsid w:val="0082199B"/>
    <w:rsid w:val="00821C2A"/>
    <w:rsid w:val="008227B7"/>
    <w:rsid w:val="008243A8"/>
    <w:rsid w:val="00824925"/>
    <w:rsid w:val="00824C8B"/>
    <w:rsid w:val="008252E8"/>
    <w:rsid w:val="00825BA8"/>
    <w:rsid w:val="00825C14"/>
    <w:rsid w:val="00825FD5"/>
    <w:rsid w:val="0082641D"/>
    <w:rsid w:val="008267CA"/>
    <w:rsid w:val="0082722B"/>
    <w:rsid w:val="00827C1B"/>
    <w:rsid w:val="0083016B"/>
    <w:rsid w:val="008301F1"/>
    <w:rsid w:val="00830C0E"/>
    <w:rsid w:val="008313E0"/>
    <w:rsid w:val="00831742"/>
    <w:rsid w:val="008317EC"/>
    <w:rsid w:val="0083195D"/>
    <w:rsid w:val="00831B7B"/>
    <w:rsid w:val="00831D90"/>
    <w:rsid w:val="008324F3"/>
    <w:rsid w:val="00832691"/>
    <w:rsid w:val="0083296B"/>
    <w:rsid w:val="00833547"/>
    <w:rsid w:val="00833852"/>
    <w:rsid w:val="00833AB9"/>
    <w:rsid w:val="008344EC"/>
    <w:rsid w:val="00834820"/>
    <w:rsid w:val="00834C82"/>
    <w:rsid w:val="00834DB6"/>
    <w:rsid w:val="00834F93"/>
    <w:rsid w:val="008354DB"/>
    <w:rsid w:val="00840C4A"/>
    <w:rsid w:val="008411B9"/>
    <w:rsid w:val="0084122F"/>
    <w:rsid w:val="00841573"/>
    <w:rsid w:val="00841D08"/>
    <w:rsid w:val="00842D43"/>
    <w:rsid w:val="0084323E"/>
    <w:rsid w:val="0084375D"/>
    <w:rsid w:val="00843D50"/>
    <w:rsid w:val="0084464E"/>
    <w:rsid w:val="008458BF"/>
    <w:rsid w:val="00846262"/>
    <w:rsid w:val="00846370"/>
    <w:rsid w:val="00846DCD"/>
    <w:rsid w:val="00847665"/>
    <w:rsid w:val="00847BC5"/>
    <w:rsid w:val="00847F11"/>
    <w:rsid w:val="00850010"/>
    <w:rsid w:val="008503F4"/>
    <w:rsid w:val="008504A0"/>
    <w:rsid w:val="00850AC1"/>
    <w:rsid w:val="00850C2A"/>
    <w:rsid w:val="00850DFA"/>
    <w:rsid w:val="00851331"/>
    <w:rsid w:val="008516D1"/>
    <w:rsid w:val="00852003"/>
    <w:rsid w:val="0085212C"/>
    <w:rsid w:val="008523CA"/>
    <w:rsid w:val="00852F9E"/>
    <w:rsid w:val="00854053"/>
    <w:rsid w:val="008543AC"/>
    <w:rsid w:val="008548B8"/>
    <w:rsid w:val="00854965"/>
    <w:rsid w:val="008554D1"/>
    <w:rsid w:val="008558E0"/>
    <w:rsid w:val="00857AF7"/>
    <w:rsid w:val="00860109"/>
    <w:rsid w:val="008601BD"/>
    <w:rsid w:val="00860359"/>
    <w:rsid w:val="00860700"/>
    <w:rsid w:val="00860E43"/>
    <w:rsid w:val="00860EE9"/>
    <w:rsid w:val="00861075"/>
    <w:rsid w:val="00861252"/>
    <w:rsid w:val="0086171A"/>
    <w:rsid w:val="00861B89"/>
    <w:rsid w:val="0086226C"/>
    <w:rsid w:val="00862C76"/>
    <w:rsid w:val="00863968"/>
    <w:rsid w:val="008644A4"/>
    <w:rsid w:val="00864A6C"/>
    <w:rsid w:val="00864BB1"/>
    <w:rsid w:val="00864DF7"/>
    <w:rsid w:val="00864FDB"/>
    <w:rsid w:val="00865278"/>
    <w:rsid w:val="008654F9"/>
    <w:rsid w:val="008657DA"/>
    <w:rsid w:val="008658C0"/>
    <w:rsid w:val="00866388"/>
    <w:rsid w:val="00866FE3"/>
    <w:rsid w:val="0086722D"/>
    <w:rsid w:val="00867D56"/>
    <w:rsid w:val="00870026"/>
    <w:rsid w:val="0087028A"/>
    <w:rsid w:val="00870BAA"/>
    <w:rsid w:val="00870D91"/>
    <w:rsid w:val="008716D1"/>
    <w:rsid w:val="008716ED"/>
    <w:rsid w:val="0087193F"/>
    <w:rsid w:val="008724E6"/>
    <w:rsid w:val="00872767"/>
    <w:rsid w:val="008728C8"/>
    <w:rsid w:val="00873205"/>
    <w:rsid w:val="008735E8"/>
    <w:rsid w:val="0087377E"/>
    <w:rsid w:val="008739AB"/>
    <w:rsid w:val="00874043"/>
    <w:rsid w:val="00874594"/>
    <w:rsid w:val="00874776"/>
    <w:rsid w:val="0087487C"/>
    <w:rsid w:val="00874A07"/>
    <w:rsid w:val="00874B75"/>
    <w:rsid w:val="00875007"/>
    <w:rsid w:val="008750DB"/>
    <w:rsid w:val="00875144"/>
    <w:rsid w:val="008751B4"/>
    <w:rsid w:val="0087527F"/>
    <w:rsid w:val="0087543F"/>
    <w:rsid w:val="008754B5"/>
    <w:rsid w:val="008758A8"/>
    <w:rsid w:val="00875AF3"/>
    <w:rsid w:val="008765E9"/>
    <w:rsid w:val="00876605"/>
    <w:rsid w:val="00876B13"/>
    <w:rsid w:val="00880017"/>
    <w:rsid w:val="00880305"/>
    <w:rsid w:val="00880315"/>
    <w:rsid w:val="0088031C"/>
    <w:rsid w:val="0088088A"/>
    <w:rsid w:val="00880A3F"/>
    <w:rsid w:val="00880EE2"/>
    <w:rsid w:val="00881318"/>
    <w:rsid w:val="00881732"/>
    <w:rsid w:val="008818A2"/>
    <w:rsid w:val="008820FB"/>
    <w:rsid w:val="0088213D"/>
    <w:rsid w:val="008821C6"/>
    <w:rsid w:val="0088243C"/>
    <w:rsid w:val="0088243D"/>
    <w:rsid w:val="0088251A"/>
    <w:rsid w:val="00882D28"/>
    <w:rsid w:val="00883A67"/>
    <w:rsid w:val="0088400F"/>
    <w:rsid w:val="008848E9"/>
    <w:rsid w:val="00884FD8"/>
    <w:rsid w:val="00885244"/>
    <w:rsid w:val="008857C7"/>
    <w:rsid w:val="008858B3"/>
    <w:rsid w:val="008866CF"/>
    <w:rsid w:val="00886782"/>
    <w:rsid w:val="008869A1"/>
    <w:rsid w:val="00886B3F"/>
    <w:rsid w:val="0089015D"/>
    <w:rsid w:val="0089021A"/>
    <w:rsid w:val="0089022E"/>
    <w:rsid w:val="00890475"/>
    <w:rsid w:val="00890A7C"/>
    <w:rsid w:val="00890D11"/>
    <w:rsid w:val="008910EE"/>
    <w:rsid w:val="00891A26"/>
    <w:rsid w:val="008923F8"/>
    <w:rsid w:val="0089253F"/>
    <w:rsid w:val="008928F1"/>
    <w:rsid w:val="00892BBF"/>
    <w:rsid w:val="00892DB5"/>
    <w:rsid w:val="00892F62"/>
    <w:rsid w:val="0089389C"/>
    <w:rsid w:val="0089414C"/>
    <w:rsid w:val="008942BD"/>
    <w:rsid w:val="0089478A"/>
    <w:rsid w:val="0089480A"/>
    <w:rsid w:val="00894BEE"/>
    <w:rsid w:val="00894FE5"/>
    <w:rsid w:val="008954D2"/>
    <w:rsid w:val="00895658"/>
    <w:rsid w:val="008956DA"/>
    <w:rsid w:val="008959E5"/>
    <w:rsid w:val="00895BA9"/>
    <w:rsid w:val="00895D79"/>
    <w:rsid w:val="0089601B"/>
    <w:rsid w:val="0089655D"/>
    <w:rsid w:val="00896784"/>
    <w:rsid w:val="00897824"/>
    <w:rsid w:val="008979DB"/>
    <w:rsid w:val="00897BCB"/>
    <w:rsid w:val="00897C07"/>
    <w:rsid w:val="00897DBA"/>
    <w:rsid w:val="00897E63"/>
    <w:rsid w:val="008A02FA"/>
    <w:rsid w:val="008A06A8"/>
    <w:rsid w:val="008A1AAC"/>
    <w:rsid w:val="008A1D3C"/>
    <w:rsid w:val="008A20CA"/>
    <w:rsid w:val="008A239B"/>
    <w:rsid w:val="008A2956"/>
    <w:rsid w:val="008A2EA1"/>
    <w:rsid w:val="008A2EF6"/>
    <w:rsid w:val="008A3480"/>
    <w:rsid w:val="008A425D"/>
    <w:rsid w:val="008A4B88"/>
    <w:rsid w:val="008A4F3C"/>
    <w:rsid w:val="008A51AD"/>
    <w:rsid w:val="008A53BA"/>
    <w:rsid w:val="008A551D"/>
    <w:rsid w:val="008A56BA"/>
    <w:rsid w:val="008A570A"/>
    <w:rsid w:val="008A58E4"/>
    <w:rsid w:val="008A58E7"/>
    <w:rsid w:val="008A5C1D"/>
    <w:rsid w:val="008A615A"/>
    <w:rsid w:val="008A650C"/>
    <w:rsid w:val="008A6A36"/>
    <w:rsid w:val="008A6CB9"/>
    <w:rsid w:val="008A6DC1"/>
    <w:rsid w:val="008A7100"/>
    <w:rsid w:val="008A7139"/>
    <w:rsid w:val="008A776D"/>
    <w:rsid w:val="008A7C74"/>
    <w:rsid w:val="008B0107"/>
    <w:rsid w:val="008B04C0"/>
    <w:rsid w:val="008B0A83"/>
    <w:rsid w:val="008B0E93"/>
    <w:rsid w:val="008B198D"/>
    <w:rsid w:val="008B29A4"/>
    <w:rsid w:val="008B2BB4"/>
    <w:rsid w:val="008B2C30"/>
    <w:rsid w:val="008B2D73"/>
    <w:rsid w:val="008B3AB6"/>
    <w:rsid w:val="008B3C2B"/>
    <w:rsid w:val="008B4679"/>
    <w:rsid w:val="008B4D00"/>
    <w:rsid w:val="008B4D13"/>
    <w:rsid w:val="008B4E78"/>
    <w:rsid w:val="008B4FE2"/>
    <w:rsid w:val="008B61A1"/>
    <w:rsid w:val="008B66EE"/>
    <w:rsid w:val="008B6793"/>
    <w:rsid w:val="008B6E62"/>
    <w:rsid w:val="008B6E87"/>
    <w:rsid w:val="008B728A"/>
    <w:rsid w:val="008B7342"/>
    <w:rsid w:val="008B75C2"/>
    <w:rsid w:val="008B770F"/>
    <w:rsid w:val="008B787A"/>
    <w:rsid w:val="008C0773"/>
    <w:rsid w:val="008C0A89"/>
    <w:rsid w:val="008C0E71"/>
    <w:rsid w:val="008C1852"/>
    <w:rsid w:val="008C27B4"/>
    <w:rsid w:val="008C2CFF"/>
    <w:rsid w:val="008C2E1E"/>
    <w:rsid w:val="008C2E22"/>
    <w:rsid w:val="008C2ED2"/>
    <w:rsid w:val="008C3D4D"/>
    <w:rsid w:val="008C4026"/>
    <w:rsid w:val="008C417E"/>
    <w:rsid w:val="008C4CF1"/>
    <w:rsid w:val="008C5B51"/>
    <w:rsid w:val="008C5F0A"/>
    <w:rsid w:val="008C6105"/>
    <w:rsid w:val="008C6124"/>
    <w:rsid w:val="008C6334"/>
    <w:rsid w:val="008C66BD"/>
    <w:rsid w:val="008C6968"/>
    <w:rsid w:val="008C742A"/>
    <w:rsid w:val="008C74C7"/>
    <w:rsid w:val="008C7714"/>
    <w:rsid w:val="008C7F4F"/>
    <w:rsid w:val="008D00F3"/>
    <w:rsid w:val="008D0F27"/>
    <w:rsid w:val="008D15A2"/>
    <w:rsid w:val="008D18CD"/>
    <w:rsid w:val="008D1F86"/>
    <w:rsid w:val="008D20E0"/>
    <w:rsid w:val="008D2796"/>
    <w:rsid w:val="008D2B6E"/>
    <w:rsid w:val="008D2E89"/>
    <w:rsid w:val="008D335C"/>
    <w:rsid w:val="008D35B7"/>
    <w:rsid w:val="008D4007"/>
    <w:rsid w:val="008D436A"/>
    <w:rsid w:val="008D4C72"/>
    <w:rsid w:val="008D50BA"/>
    <w:rsid w:val="008D561B"/>
    <w:rsid w:val="008D582B"/>
    <w:rsid w:val="008D5CF9"/>
    <w:rsid w:val="008D5D0A"/>
    <w:rsid w:val="008D6794"/>
    <w:rsid w:val="008D7F65"/>
    <w:rsid w:val="008E0178"/>
    <w:rsid w:val="008E02F8"/>
    <w:rsid w:val="008E1189"/>
    <w:rsid w:val="008E12AF"/>
    <w:rsid w:val="008E1592"/>
    <w:rsid w:val="008E211C"/>
    <w:rsid w:val="008E2BB3"/>
    <w:rsid w:val="008E2BC5"/>
    <w:rsid w:val="008E2C79"/>
    <w:rsid w:val="008E3176"/>
    <w:rsid w:val="008E3564"/>
    <w:rsid w:val="008E3A0B"/>
    <w:rsid w:val="008E3A90"/>
    <w:rsid w:val="008E3AAB"/>
    <w:rsid w:val="008E4043"/>
    <w:rsid w:val="008E4163"/>
    <w:rsid w:val="008E41E2"/>
    <w:rsid w:val="008E4520"/>
    <w:rsid w:val="008E54E8"/>
    <w:rsid w:val="008E5740"/>
    <w:rsid w:val="008E5868"/>
    <w:rsid w:val="008E5DC8"/>
    <w:rsid w:val="008E6465"/>
    <w:rsid w:val="008E6C57"/>
    <w:rsid w:val="008E6E66"/>
    <w:rsid w:val="008E7082"/>
    <w:rsid w:val="008E72AF"/>
    <w:rsid w:val="008F0952"/>
    <w:rsid w:val="008F1154"/>
    <w:rsid w:val="008F1B84"/>
    <w:rsid w:val="008F1B9D"/>
    <w:rsid w:val="008F1DB6"/>
    <w:rsid w:val="008F1DDC"/>
    <w:rsid w:val="008F39C0"/>
    <w:rsid w:val="008F3CC0"/>
    <w:rsid w:val="008F57CD"/>
    <w:rsid w:val="008F5960"/>
    <w:rsid w:val="008F5CD0"/>
    <w:rsid w:val="008F6100"/>
    <w:rsid w:val="008F629A"/>
    <w:rsid w:val="008F6A9B"/>
    <w:rsid w:val="008F6F03"/>
    <w:rsid w:val="008F6F9D"/>
    <w:rsid w:val="008F7603"/>
    <w:rsid w:val="008F769D"/>
    <w:rsid w:val="008F76DC"/>
    <w:rsid w:val="008F7A06"/>
    <w:rsid w:val="008F7D2F"/>
    <w:rsid w:val="009013C5"/>
    <w:rsid w:val="0090147B"/>
    <w:rsid w:val="00901649"/>
    <w:rsid w:val="00901CBA"/>
    <w:rsid w:val="00901DC6"/>
    <w:rsid w:val="009021DC"/>
    <w:rsid w:val="00903026"/>
    <w:rsid w:val="0090357B"/>
    <w:rsid w:val="00903832"/>
    <w:rsid w:val="009044BE"/>
    <w:rsid w:val="009048EB"/>
    <w:rsid w:val="00904913"/>
    <w:rsid w:val="00904D4B"/>
    <w:rsid w:val="009050B3"/>
    <w:rsid w:val="00905945"/>
    <w:rsid w:val="00905FEB"/>
    <w:rsid w:val="00906252"/>
    <w:rsid w:val="0090672E"/>
    <w:rsid w:val="00906A4F"/>
    <w:rsid w:val="00906BD6"/>
    <w:rsid w:val="00907074"/>
    <w:rsid w:val="009073C7"/>
    <w:rsid w:val="009078BA"/>
    <w:rsid w:val="009079C7"/>
    <w:rsid w:val="009079F7"/>
    <w:rsid w:val="00907B44"/>
    <w:rsid w:val="00907C33"/>
    <w:rsid w:val="009108D2"/>
    <w:rsid w:val="00910C20"/>
    <w:rsid w:val="00910FE1"/>
    <w:rsid w:val="0091106A"/>
    <w:rsid w:val="009117D0"/>
    <w:rsid w:val="00911C77"/>
    <w:rsid w:val="00911D1C"/>
    <w:rsid w:val="00912F38"/>
    <w:rsid w:val="00913C58"/>
    <w:rsid w:val="00913FCD"/>
    <w:rsid w:val="009140B4"/>
    <w:rsid w:val="00914174"/>
    <w:rsid w:val="0091428A"/>
    <w:rsid w:val="00914733"/>
    <w:rsid w:val="00914AA5"/>
    <w:rsid w:val="009162DD"/>
    <w:rsid w:val="009163E7"/>
    <w:rsid w:val="0091671A"/>
    <w:rsid w:val="009169F6"/>
    <w:rsid w:val="00916D5B"/>
    <w:rsid w:val="0091715C"/>
    <w:rsid w:val="0091719D"/>
    <w:rsid w:val="00917903"/>
    <w:rsid w:val="009200D3"/>
    <w:rsid w:val="00920997"/>
    <w:rsid w:val="00920B1E"/>
    <w:rsid w:val="00920DD5"/>
    <w:rsid w:val="00921161"/>
    <w:rsid w:val="0092158B"/>
    <w:rsid w:val="00921E0A"/>
    <w:rsid w:val="00922492"/>
    <w:rsid w:val="009224EB"/>
    <w:rsid w:val="0092272F"/>
    <w:rsid w:val="00922BE2"/>
    <w:rsid w:val="00922EDE"/>
    <w:rsid w:val="0092337C"/>
    <w:rsid w:val="009237D9"/>
    <w:rsid w:val="009239D2"/>
    <w:rsid w:val="0092406C"/>
    <w:rsid w:val="00924096"/>
    <w:rsid w:val="009243BC"/>
    <w:rsid w:val="009244D5"/>
    <w:rsid w:val="009252F1"/>
    <w:rsid w:val="00925588"/>
    <w:rsid w:val="00925AF5"/>
    <w:rsid w:val="00925C76"/>
    <w:rsid w:val="00926268"/>
    <w:rsid w:val="009264A2"/>
    <w:rsid w:val="00926F3D"/>
    <w:rsid w:val="0092715D"/>
    <w:rsid w:val="00927206"/>
    <w:rsid w:val="00930057"/>
    <w:rsid w:val="00930632"/>
    <w:rsid w:val="009310BC"/>
    <w:rsid w:val="00931D3F"/>
    <w:rsid w:val="009324C4"/>
    <w:rsid w:val="00932671"/>
    <w:rsid w:val="00932A7A"/>
    <w:rsid w:val="009330BF"/>
    <w:rsid w:val="00933817"/>
    <w:rsid w:val="00933C07"/>
    <w:rsid w:val="00934510"/>
    <w:rsid w:val="0093476C"/>
    <w:rsid w:val="00935A1E"/>
    <w:rsid w:val="00935B7C"/>
    <w:rsid w:val="00935E3A"/>
    <w:rsid w:val="00936005"/>
    <w:rsid w:val="0093607C"/>
    <w:rsid w:val="00937A83"/>
    <w:rsid w:val="00937B51"/>
    <w:rsid w:val="00940008"/>
    <w:rsid w:val="00940FFA"/>
    <w:rsid w:val="00941503"/>
    <w:rsid w:val="00941543"/>
    <w:rsid w:val="0094187D"/>
    <w:rsid w:val="00942C90"/>
    <w:rsid w:val="00942F29"/>
    <w:rsid w:val="00942FB6"/>
    <w:rsid w:val="009434EB"/>
    <w:rsid w:val="00943EA6"/>
    <w:rsid w:val="00944400"/>
    <w:rsid w:val="009448F2"/>
    <w:rsid w:val="009448F3"/>
    <w:rsid w:val="0094524B"/>
    <w:rsid w:val="009456E3"/>
    <w:rsid w:val="00945759"/>
    <w:rsid w:val="009466E9"/>
    <w:rsid w:val="00946CB3"/>
    <w:rsid w:val="00946D20"/>
    <w:rsid w:val="00946E51"/>
    <w:rsid w:val="009473F4"/>
    <w:rsid w:val="0094767D"/>
    <w:rsid w:val="00950231"/>
    <w:rsid w:val="00950794"/>
    <w:rsid w:val="009507AA"/>
    <w:rsid w:val="009509EF"/>
    <w:rsid w:val="009515CA"/>
    <w:rsid w:val="00951691"/>
    <w:rsid w:val="00951A1F"/>
    <w:rsid w:val="00951FCE"/>
    <w:rsid w:val="009521CC"/>
    <w:rsid w:val="0095226C"/>
    <w:rsid w:val="00952C05"/>
    <w:rsid w:val="00952D52"/>
    <w:rsid w:val="009540B7"/>
    <w:rsid w:val="009543D0"/>
    <w:rsid w:val="00954DAE"/>
    <w:rsid w:val="00955410"/>
    <w:rsid w:val="0095555D"/>
    <w:rsid w:val="009558EE"/>
    <w:rsid w:val="009559D5"/>
    <w:rsid w:val="00955C17"/>
    <w:rsid w:val="00955D04"/>
    <w:rsid w:val="00955FFA"/>
    <w:rsid w:val="00956170"/>
    <w:rsid w:val="00956BA1"/>
    <w:rsid w:val="00956D42"/>
    <w:rsid w:val="00956F0F"/>
    <w:rsid w:val="00957065"/>
    <w:rsid w:val="0095727F"/>
    <w:rsid w:val="009572AF"/>
    <w:rsid w:val="00957D91"/>
    <w:rsid w:val="00957E41"/>
    <w:rsid w:val="0096023A"/>
    <w:rsid w:val="009607AB"/>
    <w:rsid w:val="00960A9A"/>
    <w:rsid w:val="009615DB"/>
    <w:rsid w:val="00961C53"/>
    <w:rsid w:val="00962683"/>
    <w:rsid w:val="00962E23"/>
    <w:rsid w:val="00963149"/>
    <w:rsid w:val="0096456D"/>
    <w:rsid w:val="0096487C"/>
    <w:rsid w:val="00964BC2"/>
    <w:rsid w:val="00964D4A"/>
    <w:rsid w:val="00964EAE"/>
    <w:rsid w:val="00965023"/>
    <w:rsid w:val="009650B7"/>
    <w:rsid w:val="0096515D"/>
    <w:rsid w:val="00965841"/>
    <w:rsid w:val="00965EE1"/>
    <w:rsid w:val="00966623"/>
    <w:rsid w:val="009668D5"/>
    <w:rsid w:val="00966D23"/>
    <w:rsid w:val="009678DB"/>
    <w:rsid w:val="00970728"/>
    <w:rsid w:val="009707C9"/>
    <w:rsid w:val="0097082A"/>
    <w:rsid w:val="00971E0B"/>
    <w:rsid w:val="00972101"/>
    <w:rsid w:val="00972D22"/>
    <w:rsid w:val="00972FB5"/>
    <w:rsid w:val="00973510"/>
    <w:rsid w:val="009736FE"/>
    <w:rsid w:val="00973B96"/>
    <w:rsid w:val="00973BAA"/>
    <w:rsid w:val="00973E3C"/>
    <w:rsid w:val="00974763"/>
    <w:rsid w:val="009757CA"/>
    <w:rsid w:val="00975C9D"/>
    <w:rsid w:val="00976E76"/>
    <w:rsid w:val="00977A14"/>
    <w:rsid w:val="00977E9B"/>
    <w:rsid w:val="009807BF"/>
    <w:rsid w:val="009809CE"/>
    <w:rsid w:val="00980D42"/>
    <w:rsid w:val="0098131F"/>
    <w:rsid w:val="00981479"/>
    <w:rsid w:val="00981CF9"/>
    <w:rsid w:val="00982295"/>
    <w:rsid w:val="009829B3"/>
    <w:rsid w:val="00982C31"/>
    <w:rsid w:val="00982D45"/>
    <w:rsid w:val="00982FE4"/>
    <w:rsid w:val="00983165"/>
    <w:rsid w:val="00983343"/>
    <w:rsid w:val="009833C4"/>
    <w:rsid w:val="009834E0"/>
    <w:rsid w:val="009838FF"/>
    <w:rsid w:val="00984149"/>
    <w:rsid w:val="00984788"/>
    <w:rsid w:val="00984909"/>
    <w:rsid w:val="00984D7E"/>
    <w:rsid w:val="00984FF3"/>
    <w:rsid w:val="00984FF9"/>
    <w:rsid w:val="009850C5"/>
    <w:rsid w:val="00986326"/>
    <w:rsid w:val="00986849"/>
    <w:rsid w:val="00986BB7"/>
    <w:rsid w:val="00986D4B"/>
    <w:rsid w:val="00986E1E"/>
    <w:rsid w:val="00986F6D"/>
    <w:rsid w:val="0098727C"/>
    <w:rsid w:val="00987708"/>
    <w:rsid w:val="00987DDD"/>
    <w:rsid w:val="00987DF0"/>
    <w:rsid w:val="00987DF4"/>
    <w:rsid w:val="00987E2E"/>
    <w:rsid w:val="0099008B"/>
    <w:rsid w:val="00991202"/>
    <w:rsid w:val="0099177B"/>
    <w:rsid w:val="009917E0"/>
    <w:rsid w:val="0099367E"/>
    <w:rsid w:val="00993FE4"/>
    <w:rsid w:val="0099425E"/>
    <w:rsid w:val="0099482F"/>
    <w:rsid w:val="00994CDC"/>
    <w:rsid w:val="009969CD"/>
    <w:rsid w:val="00996CFC"/>
    <w:rsid w:val="0099770A"/>
    <w:rsid w:val="00997769"/>
    <w:rsid w:val="00997A2E"/>
    <w:rsid w:val="009A048E"/>
    <w:rsid w:val="009A119F"/>
    <w:rsid w:val="009A1609"/>
    <w:rsid w:val="009A1A7E"/>
    <w:rsid w:val="009A3480"/>
    <w:rsid w:val="009A3DB8"/>
    <w:rsid w:val="009A4356"/>
    <w:rsid w:val="009A43B3"/>
    <w:rsid w:val="009A464D"/>
    <w:rsid w:val="009A496F"/>
    <w:rsid w:val="009A4B78"/>
    <w:rsid w:val="009A4D73"/>
    <w:rsid w:val="009A4E41"/>
    <w:rsid w:val="009A5297"/>
    <w:rsid w:val="009A5326"/>
    <w:rsid w:val="009A5D40"/>
    <w:rsid w:val="009A5E10"/>
    <w:rsid w:val="009A5E9E"/>
    <w:rsid w:val="009A6665"/>
    <w:rsid w:val="009A6785"/>
    <w:rsid w:val="009A743F"/>
    <w:rsid w:val="009A74F7"/>
    <w:rsid w:val="009A76B0"/>
    <w:rsid w:val="009A7FD7"/>
    <w:rsid w:val="009B00F2"/>
    <w:rsid w:val="009B0FB2"/>
    <w:rsid w:val="009B1113"/>
    <w:rsid w:val="009B1C34"/>
    <w:rsid w:val="009B1D22"/>
    <w:rsid w:val="009B1E86"/>
    <w:rsid w:val="009B27C4"/>
    <w:rsid w:val="009B2D92"/>
    <w:rsid w:val="009B3250"/>
    <w:rsid w:val="009B3344"/>
    <w:rsid w:val="009B42D2"/>
    <w:rsid w:val="009B4A06"/>
    <w:rsid w:val="009B5E9C"/>
    <w:rsid w:val="009B609E"/>
    <w:rsid w:val="009B70C8"/>
    <w:rsid w:val="009B722F"/>
    <w:rsid w:val="009B737C"/>
    <w:rsid w:val="009B742E"/>
    <w:rsid w:val="009C0AC6"/>
    <w:rsid w:val="009C0E66"/>
    <w:rsid w:val="009C11B2"/>
    <w:rsid w:val="009C1456"/>
    <w:rsid w:val="009C164F"/>
    <w:rsid w:val="009C1C30"/>
    <w:rsid w:val="009C22DD"/>
    <w:rsid w:val="009C29D5"/>
    <w:rsid w:val="009C30A0"/>
    <w:rsid w:val="009C359E"/>
    <w:rsid w:val="009C37FE"/>
    <w:rsid w:val="009C4082"/>
    <w:rsid w:val="009C4806"/>
    <w:rsid w:val="009C4A38"/>
    <w:rsid w:val="009C4AD8"/>
    <w:rsid w:val="009C4D3D"/>
    <w:rsid w:val="009C55E2"/>
    <w:rsid w:val="009C5A4E"/>
    <w:rsid w:val="009C5EE5"/>
    <w:rsid w:val="009C61E3"/>
    <w:rsid w:val="009C6B56"/>
    <w:rsid w:val="009C6C93"/>
    <w:rsid w:val="009C76F9"/>
    <w:rsid w:val="009C7785"/>
    <w:rsid w:val="009C7DB8"/>
    <w:rsid w:val="009C7FF0"/>
    <w:rsid w:val="009D010D"/>
    <w:rsid w:val="009D0244"/>
    <w:rsid w:val="009D050F"/>
    <w:rsid w:val="009D0F71"/>
    <w:rsid w:val="009D111C"/>
    <w:rsid w:val="009D141A"/>
    <w:rsid w:val="009D17A0"/>
    <w:rsid w:val="009D1A08"/>
    <w:rsid w:val="009D1F7A"/>
    <w:rsid w:val="009D2165"/>
    <w:rsid w:val="009D2873"/>
    <w:rsid w:val="009D2942"/>
    <w:rsid w:val="009D3827"/>
    <w:rsid w:val="009D3A1A"/>
    <w:rsid w:val="009D426A"/>
    <w:rsid w:val="009D5BDB"/>
    <w:rsid w:val="009D5CCA"/>
    <w:rsid w:val="009D6B03"/>
    <w:rsid w:val="009D6B3D"/>
    <w:rsid w:val="009D7422"/>
    <w:rsid w:val="009D77A4"/>
    <w:rsid w:val="009D78E7"/>
    <w:rsid w:val="009E0505"/>
    <w:rsid w:val="009E0742"/>
    <w:rsid w:val="009E1291"/>
    <w:rsid w:val="009E12BC"/>
    <w:rsid w:val="009E224D"/>
    <w:rsid w:val="009E26D5"/>
    <w:rsid w:val="009E276C"/>
    <w:rsid w:val="009E2A07"/>
    <w:rsid w:val="009E3398"/>
    <w:rsid w:val="009E3577"/>
    <w:rsid w:val="009E3D2B"/>
    <w:rsid w:val="009E3E84"/>
    <w:rsid w:val="009E4097"/>
    <w:rsid w:val="009E4664"/>
    <w:rsid w:val="009E4D8E"/>
    <w:rsid w:val="009E4E90"/>
    <w:rsid w:val="009E4EB7"/>
    <w:rsid w:val="009E56C7"/>
    <w:rsid w:val="009E57C1"/>
    <w:rsid w:val="009E624A"/>
    <w:rsid w:val="009E6B32"/>
    <w:rsid w:val="009E70F3"/>
    <w:rsid w:val="009E7E98"/>
    <w:rsid w:val="009F00EE"/>
    <w:rsid w:val="009F0827"/>
    <w:rsid w:val="009F0BED"/>
    <w:rsid w:val="009F1673"/>
    <w:rsid w:val="009F1EA5"/>
    <w:rsid w:val="009F3255"/>
    <w:rsid w:val="009F34AA"/>
    <w:rsid w:val="009F3DCE"/>
    <w:rsid w:val="009F44FF"/>
    <w:rsid w:val="009F46E8"/>
    <w:rsid w:val="009F472D"/>
    <w:rsid w:val="009F4CF0"/>
    <w:rsid w:val="009F4E88"/>
    <w:rsid w:val="009F50D1"/>
    <w:rsid w:val="009F568A"/>
    <w:rsid w:val="009F573B"/>
    <w:rsid w:val="009F5918"/>
    <w:rsid w:val="009F596D"/>
    <w:rsid w:val="009F6A91"/>
    <w:rsid w:val="009F71A6"/>
    <w:rsid w:val="009F71AA"/>
    <w:rsid w:val="009F7326"/>
    <w:rsid w:val="009F754A"/>
    <w:rsid w:val="009F791F"/>
    <w:rsid w:val="009F7F86"/>
    <w:rsid w:val="00A0034D"/>
    <w:rsid w:val="00A00BFB"/>
    <w:rsid w:val="00A00DCF"/>
    <w:rsid w:val="00A0126C"/>
    <w:rsid w:val="00A012DA"/>
    <w:rsid w:val="00A0187E"/>
    <w:rsid w:val="00A02450"/>
    <w:rsid w:val="00A026F0"/>
    <w:rsid w:val="00A02F2D"/>
    <w:rsid w:val="00A02F61"/>
    <w:rsid w:val="00A03E0E"/>
    <w:rsid w:val="00A040D1"/>
    <w:rsid w:val="00A04424"/>
    <w:rsid w:val="00A04A0A"/>
    <w:rsid w:val="00A050A8"/>
    <w:rsid w:val="00A056A3"/>
    <w:rsid w:val="00A056AA"/>
    <w:rsid w:val="00A05B51"/>
    <w:rsid w:val="00A06286"/>
    <w:rsid w:val="00A06318"/>
    <w:rsid w:val="00A063BC"/>
    <w:rsid w:val="00A068E1"/>
    <w:rsid w:val="00A06A80"/>
    <w:rsid w:val="00A06D8A"/>
    <w:rsid w:val="00A0711F"/>
    <w:rsid w:val="00A07B0B"/>
    <w:rsid w:val="00A102A0"/>
    <w:rsid w:val="00A108C2"/>
    <w:rsid w:val="00A114FA"/>
    <w:rsid w:val="00A11AF3"/>
    <w:rsid w:val="00A12C09"/>
    <w:rsid w:val="00A13084"/>
    <w:rsid w:val="00A1327F"/>
    <w:rsid w:val="00A13817"/>
    <w:rsid w:val="00A138D3"/>
    <w:rsid w:val="00A13E0F"/>
    <w:rsid w:val="00A144B7"/>
    <w:rsid w:val="00A149B4"/>
    <w:rsid w:val="00A15F4F"/>
    <w:rsid w:val="00A160AB"/>
    <w:rsid w:val="00A160F0"/>
    <w:rsid w:val="00A16745"/>
    <w:rsid w:val="00A16747"/>
    <w:rsid w:val="00A17C1D"/>
    <w:rsid w:val="00A20013"/>
    <w:rsid w:val="00A20582"/>
    <w:rsid w:val="00A20C65"/>
    <w:rsid w:val="00A214B2"/>
    <w:rsid w:val="00A21767"/>
    <w:rsid w:val="00A21FD5"/>
    <w:rsid w:val="00A22751"/>
    <w:rsid w:val="00A22940"/>
    <w:rsid w:val="00A22CD7"/>
    <w:rsid w:val="00A23102"/>
    <w:rsid w:val="00A23284"/>
    <w:rsid w:val="00A2343F"/>
    <w:rsid w:val="00A23505"/>
    <w:rsid w:val="00A23598"/>
    <w:rsid w:val="00A2428B"/>
    <w:rsid w:val="00A2476B"/>
    <w:rsid w:val="00A247E5"/>
    <w:rsid w:val="00A24D81"/>
    <w:rsid w:val="00A24EA5"/>
    <w:rsid w:val="00A25173"/>
    <w:rsid w:val="00A252F0"/>
    <w:rsid w:val="00A259F2"/>
    <w:rsid w:val="00A25FDB"/>
    <w:rsid w:val="00A26463"/>
    <w:rsid w:val="00A26608"/>
    <w:rsid w:val="00A2660E"/>
    <w:rsid w:val="00A26916"/>
    <w:rsid w:val="00A26B47"/>
    <w:rsid w:val="00A26FF1"/>
    <w:rsid w:val="00A27806"/>
    <w:rsid w:val="00A3068C"/>
    <w:rsid w:val="00A3127F"/>
    <w:rsid w:val="00A31922"/>
    <w:rsid w:val="00A31BCC"/>
    <w:rsid w:val="00A31C70"/>
    <w:rsid w:val="00A32382"/>
    <w:rsid w:val="00A325BB"/>
    <w:rsid w:val="00A3297A"/>
    <w:rsid w:val="00A32A58"/>
    <w:rsid w:val="00A32EEC"/>
    <w:rsid w:val="00A336C5"/>
    <w:rsid w:val="00A3510A"/>
    <w:rsid w:val="00A3515F"/>
    <w:rsid w:val="00A35751"/>
    <w:rsid w:val="00A35762"/>
    <w:rsid w:val="00A3577F"/>
    <w:rsid w:val="00A35BBC"/>
    <w:rsid w:val="00A35DAB"/>
    <w:rsid w:val="00A36724"/>
    <w:rsid w:val="00A367AF"/>
    <w:rsid w:val="00A36AA0"/>
    <w:rsid w:val="00A36C13"/>
    <w:rsid w:val="00A377C2"/>
    <w:rsid w:val="00A37A31"/>
    <w:rsid w:val="00A40B1F"/>
    <w:rsid w:val="00A40B4D"/>
    <w:rsid w:val="00A411E2"/>
    <w:rsid w:val="00A41373"/>
    <w:rsid w:val="00A41638"/>
    <w:rsid w:val="00A41B15"/>
    <w:rsid w:val="00A4224E"/>
    <w:rsid w:val="00A4229F"/>
    <w:rsid w:val="00A428A9"/>
    <w:rsid w:val="00A42ACA"/>
    <w:rsid w:val="00A43AAB"/>
    <w:rsid w:val="00A43AFE"/>
    <w:rsid w:val="00A44AAD"/>
    <w:rsid w:val="00A44E8A"/>
    <w:rsid w:val="00A45280"/>
    <w:rsid w:val="00A45BF7"/>
    <w:rsid w:val="00A463B5"/>
    <w:rsid w:val="00A463BA"/>
    <w:rsid w:val="00A46675"/>
    <w:rsid w:val="00A471A3"/>
    <w:rsid w:val="00A47597"/>
    <w:rsid w:val="00A47E08"/>
    <w:rsid w:val="00A47E44"/>
    <w:rsid w:val="00A47F91"/>
    <w:rsid w:val="00A507D7"/>
    <w:rsid w:val="00A50A5C"/>
    <w:rsid w:val="00A50BE2"/>
    <w:rsid w:val="00A50CC6"/>
    <w:rsid w:val="00A50E40"/>
    <w:rsid w:val="00A51462"/>
    <w:rsid w:val="00A51946"/>
    <w:rsid w:val="00A51C1F"/>
    <w:rsid w:val="00A51FF7"/>
    <w:rsid w:val="00A52079"/>
    <w:rsid w:val="00A52143"/>
    <w:rsid w:val="00A521E9"/>
    <w:rsid w:val="00A5298E"/>
    <w:rsid w:val="00A52B3E"/>
    <w:rsid w:val="00A5313B"/>
    <w:rsid w:val="00A5320E"/>
    <w:rsid w:val="00A53F7B"/>
    <w:rsid w:val="00A54090"/>
    <w:rsid w:val="00A54282"/>
    <w:rsid w:val="00A549D3"/>
    <w:rsid w:val="00A54DF0"/>
    <w:rsid w:val="00A56E99"/>
    <w:rsid w:val="00A57212"/>
    <w:rsid w:val="00A57E98"/>
    <w:rsid w:val="00A60849"/>
    <w:rsid w:val="00A6105B"/>
    <w:rsid w:val="00A61355"/>
    <w:rsid w:val="00A61668"/>
    <w:rsid w:val="00A621D3"/>
    <w:rsid w:val="00A628F8"/>
    <w:rsid w:val="00A62B7A"/>
    <w:rsid w:val="00A632EA"/>
    <w:rsid w:val="00A634BE"/>
    <w:rsid w:val="00A63AD7"/>
    <w:rsid w:val="00A63BFD"/>
    <w:rsid w:val="00A6444A"/>
    <w:rsid w:val="00A6491F"/>
    <w:rsid w:val="00A64C72"/>
    <w:rsid w:val="00A64D1A"/>
    <w:rsid w:val="00A65320"/>
    <w:rsid w:val="00A65BA5"/>
    <w:rsid w:val="00A66288"/>
    <w:rsid w:val="00A66354"/>
    <w:rsid w:val="00A66E37"/>
    <w:rsid w:val="00A66ECF"/>
    <w:rsid w:val="00A67E38"/>
    <w:rsid w:val="00A703E4"/>
    <w:rsid w:val="00A70DC6"/>
    <w:rsid w:val="00A71080"/>
    <w:rsid w:val="00A713B3"/>
    <w:rsid w:val="00A71986"/>
    <w:rsid w:val="00A71E73"/>
    <w:rsid w:val="00A72740"/>
    <w:rsid w:val="00A73A64"/>
    <w:rsid w:val="00A742AD"/>
    <w:rsid w:val="00A746D7"/>
    <w:rsid w:val="00A74AB2"/>
    <w:rsid w:val="00A75A46"/>
    <w:rsid w:val="00A75B36"/>
    <w:rsid w:val="00A762F1"/>
    <w:rsid w:val="00A7663A"/>
    <w:rsid w:val="00A7696B"/>
    <w:rsid w:val="00A769D4"/>
    <w:rsid w:val="00A80268"/>
    <w:rsid w:val="00A804C7"/>
    <w:rsid w:val="00A80857"/>
    <w:rsid w:val="00A80A39"/>
    <w:rsid w:val="00A80DF0"/>
    <w:rsid w:val="00A80E64"/>
    <w:rsid w:val="00A81A16"/>
    <w:rsid w:val="00A823A7"/>
    <w:rsid w:val="00A825C8"/>
    <w:rsid w:val="00A82742"/>
    <w:rsid w:val="00A83984"/>
    <w:rsid w:val="00A83A1E"/>
    <w:rsid w:val="00A84198"/>
    <w:rsid w:val="00A841AB"/>
    <w:rsid w:val="00A84FFD"/>
    <w:rsid w:val="00A86104"/>
    <w:rsid w:val="00A8655A"/>
    <w:rsid w:val="00A87203"/>
    <w:rsid w:val="00A87744"/>
    <w:rsid w:val="00A87AE6"/>
    <w:rsid w:val="00A87B09"/>
    <w:rsid w:val="00A87C22"/>
    <w:rsid w:val="00A90590"/>
    <w:rsid w:val="00A90A97"/>
    <w:rsid w:val="00A90CB4"/>
    <w:rsid w:val="00A910DA"/>
    <w:rsid w:val="00A920E1"/>
    <w:rsid w:val="00A923D6"/>
    <w:rsid w:val="00A92B42"/>
    <w:rsid w:val="00A933AE"/>
    <w:rsid w:val="00A93863"/>
    <w:rsid w:val="00A9415E"/>
    <w:rsid w:val="00A9423F"/>
    <w:rsid w:val="00A94EBD"/>
    <w:rsid w:val="00A9510D"/>
    <w:rsid w:val="00A956AC"/>
    <w:rsid w:val="00A95D2A"/>
    <w:rsid w:val="00A96214"/>
    <w:rsid w:val="00A967E8"/>
    <w:rsid w:val="00A97AF8"/>
    <w:rsid w:val="00A97D38"/>
    <w:rsid w:val="00A97F4B"/>
    <w:rsid w:val="00AA04C5"/>
    <w:rsid w:val="00AA04F4"/>
    <w:rsid w:val="00AA1044"/>
    <w:rsid w:val="00AA10B1"/>
    <w:rsid w:val="00AA239B"/>
    <w:rsid w:val="00AA2803"/>
    <w:rsid w:val="00AA297E"/>
    <w:rsid w:val="00AA2BF2"/>
    <w:rsid w:val="00AA2D65"/>
    <w:rsid w:val="00AA2D68"/>
    <w:rsid w:val="00AA2D6F"/>
    <w:rsid w:val="00AA3987"/>
    <w:rsid w:val="00AA3B68"/>
    <w:rsid w:val="00AA3E79"/>
    <w:rsid w:val="00AA447C"/>
    <w:rsid w:val="00AA4FB4"/>
    <w:rsid w:val="00AA5C0B"/>
    <w:rsid w:val="00AA5E3B"/>
    <w:rsid w:val="00AA63AD"/>
    <w:rsid w:val="00AA65B4"/>
    <w:rsid w:val="00AA745E"/>
    <w:rsid w:val="00AA7E43"/>
    <w:rsid w:val="00AB0352"/>
    <w:rsid w:val="00AB047A"/>
    <w:rsid w:val="00AB04AB"/>
    <w:rsid w:val="00AB0733"/>
    <w:rsid w:val="00AB09D2"/>
    <w:rsid w:val="00AB0B64"/>
    <w:rsid w:val="00AB0C30"/>
    <w:rsid w:val="00AB161B"/>
    <w:rsid w:val="00AB176B"/>
    <w:rsid w:val="00AB37E6"/>
    <w:rsid w:val="00AB3DBA"/>
    <w:rsid w:val="00AB431C"/>
    <w:rsid w:val="00AB470E"/>
    <w:rsid w:val="00AB5A7E"/>
    <w:rsid w:val="00AB7538"/>
    <w:rsid w:val="00AB75A7"/>
    <w:rsid w:val="00AB77F3"/>
    <w:rsid w:val="00AB7BE7"/>
    <w:rsid w:val="00AC0AAD"/>
    <w:rsid w:val="00AC0C2A"/>
    <w:rsid w:val="00AC1231"/>
    <w:rsid w:val="00AC15D4"/>
    <w:rsid w:val="00AC1992"/>
    <w:rsid w:val="00AC1E14"/>
    <w:rsid w:val="00AC2CFA"/>
    <w:rsid w:val="00AC3263"/>
    <w:rsid w:val="00AC3E12"/>
    <w:rsid w:val="00AC406E"/>
    <w:rsid w:val="00AC430C"/>
    <w:rsid w:val="00AC4A6B"/>
    <w:rsid w:val="00AC5C19"/>
    <w:rsid w:val="00AC60F0"/>
    <w:rsid w:val="00AC6657"/>
    <w:rsid w:val="00AC6A24"/>
    <w:rsid w:val="00AC6D7A"/>
    <w:rsid w:val="00AC72B0"/>
    <w:rsid w:val="00AC7363"/>
    <w:rsid w:val="00AC7401"/>
    <w:rsid w:val="00AC7901"/>
    <w:rsid w:val="00AC79F3"/>
    <w:rsid w:val="00AC7F15"/>
    <w:rsid w:val="00AC7FDD"/>
    <w:rsid w:val="00AD0949"/>
    <w:rsid w:val="00AD0F1D"/>
    <w:rsid w:val="00AD1179"/>
    <w:rsid w:val="00AD1359"/>
    <w:rsid w:val="00AD194B"/>
    <w:rsid w:val="00AD19F0"/>
    <w:rsid w:val="00AD1FCE"/>
    <w:rsid w:val="00AD26E1"/>
    <w:rsid w:val="00AD29CC"/>
    <w:rsid w:val="00AD3268"/>
    <w:rsid w:val="00AD3DE2"/>
    <w:rsid w:val="00AD4261"/>
    <w:rsid w:val="00AD4473"/>
    <w:rsid w:val="00AD46F5"/>
    <w:rsid w:val="00AD51A3"/>
    <w:rsid w:val="00AD598B"/>
    <w:rsid w:val="00AD7154"/>
    <w:rsid w:val="00AD7844"/>
    <w:rsid w:val="00AD797D"/>
    <w:rsid w:val="00AD7C94"/>
    <w:rsid w:val="00AD7E02"/>
    <w:rsid w:val="00AE0483"/>
    <w:rsid w:val="00AE08DD"/>
    <w:rsid w:val="00AE13BD"/>
    <w:rsid w:val="00AE1681"/>
    <w:rsid w:val="00AE1AF9"/>
    <w:rsid w:val="00AE1E60"/>
    <w:rsid w:val="00AE2068"/>
    <w:rsid w:val="00AE2258"/>
    <w:rsid w:val="00AE277E"/>
    <w:rsid w:val="00AE2A36"/>
    <w:rsid w:val="00AE2BC6"/>
    <w:rsid w:val="00AE3251"/>
    <w:rsid w:val="00AE3FE0"/>
    <w:rsid w:val="00AE44A2"/>
    <w:rsid w:val="00AE4A71"/>
    <w:rsid w:val="00AE5058"/>
    <w:rsid w:val="00AE5170"/>
    <w:rsid w:val="00AE51CD"/>
    <w:rsid w:val="00AE5471"/>
    <w:rsid w:val="00AE54AA"/>
    <w:rsid w:val="00AE60E4"/>
    <w:rsid w:val="00AE6872"/>
    <w:rsid w:val="00AE6C58"/>
    <w:rsid w:val="00AE72C4"/>
    <w:rsid w:val="00AE7F05"/>
    <w:rsid w:val="00AE7F38"/>
    <w:rsid w:val="00AF054D"/>
    <w:rsid w:val="00AF0939"/>
    <w:rsid w:val="00AF0A7C"/>
    <w:rsid w:val="00AF1813"/>
    <w:rsid w:val="00AF24E7"/>
    <w:rsid w:val="00AF272B"/>
    <w:rsid w:val="00AF291B"/>
    <w:rsid w:val="00AF2DAA"/>
    <w:rsid w:val="00AF2EBD"/>
    <w:rsid w:val="00AF33AE"/>
    <w:rsid w:val="00AF409A"/>
    <w:rsid w:val="00AF44B1"/>
    <w:rsid w:val="00AF5800"/>
    <w:rsid w:val="00AF6986"/>
    <w:rsid w:val="00AF6D1B"/>
    <w:rsid w:val="00AF73ED"/>
    <w:rsid w:val="00AF7D69"/>
    <w:rsid w:val="00AF7ED2"/>
    <w:rsid w:val="00B004D8"/>
    <w:rsid w:val="00B00830"/>
    <w:rsid w:val="00B00CC5"/>
    <w:rsid w:val="00B016D2"/>
    <w:rsid w:val="00B01E41"/>
    <w:rsid w:val="00B02091"/>
    <w:rsid w:val="00B02B3F"/>
    <w:rsid w:val="00B02B43"/>
    <w:rsid w:val="00B02BCB"/>
    <w:rsid w:val="00B03D36"/>
    <w:rsid w:val="00B03F3D"/>
    <w:rsid w:val="00B04384"/>
    <w:rsid w:val="00B04540"/>
    <w:rsid w:val="00B05116"/>
    <w:rsid w:val="00B051A7"/>
    <w:rsid w:val="00B05574"/>
    <w:rsid w:val="00B05F1A"/>
    <w:rsid w:val="00B07B33"/>
    <w:rsid w:val="00B07FA2"/>
    <w:rsid w:val="00B100CF"/>
    <w:rsid w:val="00B10E82"/>
    <w:rsid w:val="00B111A6"/>
    <w:rsid w:val="00B115E5"/>
    <w:rsid w:val="00B118EE"/>
    <w:rsid w:val="00B11B03"/>
    <w:rsid w:val="00B11C5B"/>
    <w:rsid w:val="00B121CD"/>
    <w:rsid w:val="00B12343"/>
    <w:rsid w:val="00B12529"/>
    <w:rsid w:val="00B128C5"/>
    <w:rsid w:val="00B12B11"/>
    <w:rsid w:val="00B12C94"/>
    <w:rsid w:val="00B135AB"/>
    <w:rsid w:val="00B137BF"/>
    <w:rsid w:val="00B13A1B"/>
    <w:rsid w:val="00B13A59"/>
    <w:rsid w:val="00B142D9"/>
    <w:rsid w:val="00B14BC4"/>
    <w:rsid w:val="00B156C8"/>
    <w:rsid w:val="00B158A3"/>
    <w:rsid w:val="00B15B25"/>
    <w:rsid w:val="00B15EA0"/>
    <w:rsid w:val="00B17A4E"/>
    <w:rsid w:val="00B17B30"/>
    <w:rsid w:val="00B17C2F"/>
    <w:rsid w:val="00B21175"/>
    <w:rsid w:val="00B2153E"/>
    <w:rsid w:val="00B21FA7"/>
    <w:rsid w:val="00B22022"/>
    <w:rsid w:val="00B225E4"/>
    <w:rsid w:val="00B23402"/>
    <w:rsid w:val="00B23F7A"/>
    <w:rsid w:val="00B240B1"/>
    <w:rsid w:val="00B24208"/>
    <w:rsid w:val="00B24728"/>
    <w:rsid w:val="00B248A9"/>
    <w:rsid w:val="00B24D28"/>
    <w:rsid w:val="00B24F1C"/>
    <w:rsid w:val="00B25890"/>
    <w:rsid w:val="00B25D76"/>
    <w:rsid w:val="00B27032"/>
    <w:rsid w:val="00B30003"/>
    <w:rsid w:val="00B31201"/>
    <w:rsid w:val="00B3167E"/>
    <w:rsid w:val="00B319F7"/>
    <w:rsid w:val="00B31B4B"/>
    <w:rsid w:val="00B31CD5"/>
    <w:rsid w:val="00B31E36"/>
    <w:rsid w:val="00B32474"/>
    <w:rsid w:val="00B32E26"/>
    <w:rsid w:val="00B338B7"/>
    <w:rsid w:val="00B34061"/>
    <w:rsid w:val="00B3440A"/>
    <w:rsid w:val="00B34441"/>
    <w:rsid w:val="00B35534"/>
    <w:rsid w:val="00B35A87"/>
    <w:rsid w:val="00B35AB6"/>
    <w:rsid w:val="00B35AFD"/>
    <w:rsid w:val="00B35F9A"/>
    <w:rsid w:val="00B36236"/>
    <w:rsid w:val="00B3662E"/>
    <w:rsid w:val="00B366D2"/>
    <w:rsid w:val="00B366FA"/>
    <w:rsid w:val="00B36E86"/>
    <w:rsid w:val="00B37122"/>
    <w:rsid w:val="00B379BA"/>
    <w:rsid w:val="00B40139"/>
    <w:rsid w:val="00B410E1"/>
    <w:rsid w:val="00B412FD"/>
    <w:rsid w:val="00B422BE"/>
    <w:rsid w:val="00B4241D"/>
    <w:rsid w:val="00B426BB"/>
    <w:rsid w:val="00B42EB9"/>
    <w:rsid w:val="00B434E9"/>
    <w:rsid w:val="00B441FE"/>
    <w:rsid w:val="00B44821"/>
    <w:rsid w:val="00B44AD3"/>
    <w:rsid w:val="00B44BDC"/>
    <w:rsid w:val="00B45152"/>
    <w:rsid w:val="00B45E54"/>
    <w:rsid w:val="00B461E5"/>
    <w:rsid w:val="00B46325"/>
    <w:rsid w:val="00B464E4"/>
    <w:rsid w:val="00B4689A"/>
    <w:rsid w:val="00B46D5F"/>
    <w:rsid w:val="00B46E7B"/>
    <w:rsid w:val="00B47DC5"/>
    <w:rsid w:val="00B505B3"/>
    <w:rsid w:val="00B50A74"/>
    <w:rsid w:val="00B520A0"/>
    <w:rsid w:val="00B5257E"/>
    <w:rsid w:val="00B525CE"/>
    <w:rsid w:val="00B52CFD"/>
    <w:rsid w:val="00B545A8"/>
    <w:rsid w:val="00B548E8"/>
    <w:rsid w:val="00B56527"/>
    <w:rsid w:val="00B56918"/>
    <w:rsid w:val="00B576DA"/>
    <w:rsid w:val="00B57710"/>
    <w:rsid w:val="00B601C9"/>
    <w:rsid w:val="00B60D04"/>
    <w:rsid w:val="00B61EE8"/>
    <w:rsid w:val="00B62D9B"/>
    <w:rsid w:val="00B633A3"/>
    <w:rsid w:val="00B63533"/>
    <w:rsid w:val="00B63BDB"/>
    <w:rsid w:val="00B64A0E"/>
    <w:rsid w:val="00B64CC6"/>
    <w:rsid w:val="00B64DDF"/>
    <w:rsid w:val="00B65728"/>
    <w:rsid w:val="00B6601E"/>
    <w:rsid w:val="00B663AA"/>
    <w:rsid w:val="00B66DD5"/>
    <w:rsid w:val="00B6715C"/>
    <w:rsid w:val="00B67B97"/>
    <w:rsid w:val="00B67F01"/>
    <w:rsid w:val="00B711AB"/>
    <w:rsid w:val="00B714E9"/>
    <w:rsid w:val="00B714F0"/>
    <w:rsid w:val="00B71A40"/>
    <w:rsid w:val="00B71BFA"/>
    <w:rsid w:val="00B71C8C"/>
    <w:rsid w:val="00B71CB4"/>
    <w:rsid w:val="00B71FD7"/>
    <w:rsid w:val="00B72003"/>
    <w:rsid w:val="00B7210F"/>
    <w:rsid w:val="00B725E7"/>
    <w:rsid w:val="00B72C07"/>
    <w:rsid w:val="00B72DF7"/>
    <w:rsid w:val="00B72F42"/>
    <w:rsid w:val="00B73E44"/>
    <w:rsid w:val="00B74290"/>
    <w:rsid w:val="00B74510"/>
    <w:rsid w:val="00B74822"/>
    <w:rsid w:val="00B74BD4"/>
    <w:rsid w:val="00B74BF7"/>
    <w:rsid w:val="00B76185"/>
    <w:rsid w:val="00B7676C"/>
    <w:rsid w:val="00B76BCD"/>
    <w:rsid w:val="00B76FBC"/>
    <w:rsid w:val="00B7782B"/>
    <w:rsid w:val="00B779E6"/>
    <w:rsid w:val="00B804E2"/>
    <w:rsid w:val="00B811B2"/>
    <w:rsid w:val="00B82024"/>
    <w:rsid w:val="00B8276E"/>
    <w:rsid w:val="00B83997"/>
    <w:rsid w:val="00B83A62"/>
    <w:rsid w:val="00B83B59"/>
    <w:rsid w:val="00B84252"/>
    <w:rsid w:val="00B84677"/>
    <w:rsid w:val="00B8468F"/>
    <w:rsid w:val="00B84FC6"/>
    <w:rsid w:val="00B857F5"/>
    <w:rsid w:val="00B85A56"/>
    <w:rsid w:val="00B85B2C"/>
    <w:rsid w:val="00B86D6C"/>
    <w:rsid w:val="00B86F47"/>
    <w:rsid w:val="00B874B4"/>
    <w:rsid w:val="00B875E9"/>
    <w:rsid w:val="00B8787A"/>
    <w:rsid w:val="00B87887"/>
    <w:rsid w:val="00B90123"/>
    <w:rsid w:val="00B90196"/>
    <w:rsid w:val="00B90FBE"/>
    <w:rsid w:val="00B911C1"/>
    <w:rsid w:val="00B92008"/>
    <w:rsid w:val="00B922C3"/>
    <w:rsid w:val="00B9272E"/>
    <w:rsid w:val="00B927A7"/>
    <w:rsid w:val="00B92B9E"/>
    <w:rsid w:val="00B93315"/>
    <w:rsid w:val="00B93519"/>
    <w:rsid w:val="00B9372A"/>
    <w:rsid w:val="00B93FD0"/>
    <w:rsid w:val="00B9425C"/>
    <w:rsid w:val="00B94AAF"/>
    <w:rsid w:val="00B94DB1"/>
    <w:rsid w:val="00B953FF"/>
    <w:rsid w:val="00B9622D"/>
    <w:rsid w:val="00B96263"/>
    <w:rsid w:val="00B968A5"/>
    <w:rsid w:val="00B972CD"/>
    <w:rsid w:val="00B9769B"/>
    <w:rsid w:val="00B97D02"/>
    <w:rsid w:val="00BA0304"/>
    <w:rsid w:val="00BA0557"/>
    <w:rsid w:val="00BA2A34"/>
    <w:rsid w:val="00BA3038"/>
    <w:rsid w:val="00BA3319"/>
    <w:rsid w:val="00BA370A"/>
    <w:rsid w:val="00BA3826"/>
    <w:rsid w:val="00BA48BC"/>
    <w:rsid w:val="00BA4A29"/>
    <w:rsid w:val="00BA4BE7"/>
    <w:rsid w:val="00BA5F20"/>
    <w:rsid w:val="00BA68D9"/>
    <w:rsid w:val="00BA7172"/>
    <w:rsid w:val="00BA7B01"/>
    <w:rsid w:val="00BB02D7"/>
    <w:rsid w:val="00BB0D9F"/>
    <w:rsid w:val="00BB0DEE"/>
    <w:rsid w:val="00BB1031"/>
    <w:rsid w:val="00BB1B33"/>
    <w:rsid w:val="00BB2480"/>
    <w:rsid w:val="00BB2C4E"/>
    <w:rsid w:val="00BB2E29"/>
    <w:rsid w:val="00BB2F74"/>
    <w:rsid w:val="00BB3206"/>
    <w:rsid w:val="00BB32C2"/>
    <w:rsid w:val="00BB3B0D"/>
    <w:rsid w:val="00BB524C"/>
    <w:rsid w:val="00BB5DAB"/>
    <w:rsid w:val="00BB6195"/>
    <w:rsid w:val="00BB61A3"/>
    <w:rsid w:val="00BB707E"/>
    <w:rsid w:val="00BB7568"/>
    <w:rsid w:val="00BB7F82"/>
    <w:rsid w:val="00BC007C"/>
    <w:rsid w:val="00BC0AB2"/>
    <w:rsid w:val="00BC1308"/>
    <w:rsid w:val="00BC1BF4"/>
    <w:rsid w:val="00BC2600"/>
    <w:rsid w:val="00BC2F24"/>
    <w:rsid w:val="00BC33BE"/>
    <w:rsid w:val="00BC3A47"/>
    <w:rsid w:val="00BC3DA4"/>
    <w:rsid w:val="00BC3EEB"/>
    <w:rsid w:val="00BC4780"/>
    <w:rsid w:val="00BC4DD7"/>
    <w:rsid w:val="00BC4F46"/>
    <w:rsid w:val="00BC52C8"/>
    <w:rsid w:val="00BC5485"/>
    <w:rsid w:val="00BC549C"/>
    <w:rsid w:val="00BC570E"/>
    <w:rsid w:val="00BC5A6C"/>
    <w:rsid w:val="00BC5AF6"/>
    <w:rsid w:val="00BC5B4B"/>
    <w:rsid w:val="00BC5EDB"/>
    <w:rsid w:val="00BC69A2"/>
    <w:rsid w:val="00BC6ED6"/>
    <w:rsid w:val="00BC6F03"/>
    <w:rsid w:val="00BC6FA1"/>
    <w:rsid w:val="00BD024F"/>
    <w:rsid w:val="00BD0570"/>
    <w:rsid w:val="00BD0853"/>
    <w:rsid w:val="00BD112D"/>
    <w:rsid w:val="00BD214E"/>
    <w:rsid w:val="00BD22F7"/>
    <w:rsid w:val="00BD2395"/>
    <w:rsid w:val="00BD25B8"/>
    <w:rsid w:val="00BD2842"/>
    <w:rsid w:val="00BD2892"/>
    <w:rsid w:val="00BD3120"/>
    <w:rsid w:val="00BD3354"/>
    <w:rsid w:val="00BD368C"/>
    <w:rsid w:val="00BD384E"/>
    <w:rsid w:val="00BD3E76"/>
    <w:rsid w:val="00BD3EE2"/>
    <w:rsid w:val="00BD3FCF"/>
    <w:rsid w:val="00BD42D2"/>
    <w:rsid w:val="00BD47D7"/>
    <w:rsid w:val="00BD4EFB"/>
    <w:rsid w:val="00BD5076"/>
    <w:rsid w:val="00BD5551"/>
    <w:rsid w:val="00BD5AF1"/>
    <w:rsid w:val="00BD6D43"/>
    <w:rsid w:val="00BD7090"/>
    <w:rsid w:val="00BD7490"/>
    <w:rsid w:val="00BD767F"/>
    <w:rsid w:val="00BE09C3"/>
    <w:rsid w:val="00BE0C27"/>
    <w:rsid w:val="00BE15BB"/>
    <w:rsid w:val="00BE198F"/>
    <w:rsid w:val="00BE1A78"/>
    <w:rsid w:val="00BE473E"/>
    <w:rsid w:val="00BE5135"/>
    <w:rsid w:val="00BE5964"/>
    <w:rsid w:val="00BE5F2B"/>
    <w:rsid w:val="00BE660B"/>
    <w:rsid w:val="00BE6AFE"/>
    <w:rsid w:val="00BE6BBE"/>
    <w:rsid w:val="00BE6FDA"/>
    <w:rsid w:val="00BE7021"/>
    <w:rsid w:val="00BE7300"/>
    <w:rsid w:val="00BE784F"/>
    <w:rsid w:val="00BE78CE"/>
    <w:rsid w:val="00BF0238"/>
    <w:rsid w:val="00BF0717"/>
    <w:rsid w:val="00BF071D"/>
    <w:rsid w:val="00BF1750"/>
    <w:rsid w:val="00BF178E"/>
    <w:rsid w:val="00BF189F"/>
    <w:rsid w:val="00BF1B44"/>
    <w:rsid w:val="00BF1F01"/>
    <w:rsid w:val="00BF21FF"/>
    <w:rsid w:val="00BF23CC"/>
    <w:rsid w:val="00BF243F"/>
    <w:rsid w:val="00BF284E"/>
    <w:rsid w:val="00BF2F93"/>
    <w:rsid w:val="00BF3ACF"/>
    <w:rsid w:val="00BF3C2A"/>
    <w:rsid w:val="00BF4C2B"/>
    <w:rsid w:val="00BF507A"/>
    <w:rsid w:val="00BF53F1"/>
    <w:rsid w:val="00BF5717"/>
    <w:rsid w:val="00BF5B9D"/>
    <w:rsid w:val="00BF5CD8"/>
    <w:rsid w:val="00BF5FA3"/>
    <w:rsid w:val="00BF62F2"/>
    <w:rsid w:val="00BF63A5"/>
    <w:rsid w:val="00BF72A7"/>
    <w:rsid w:val="00BF7558"/>
    <w:rsid w:val="00C0111E"/>
    <w:rsid w:val="00C02676"/>
    <w:rsid w:val="00C029AB"/>
    <w:rsid w:val="00C03BD5"/>
    <w:rsid w:val="00C03C8B"/>
    <w:rsid w:val="00C03F3C"/>
    <w:rsid w:val="00C049BE"/>
    <w:rsid w:val="00C04A71"/>
    <w:rsid w:val="00C04DF0"/>
    <w:rsid w:val="00C05A4C"/>
    <w:rsid w:val="00C05A67"/>
    <w:rsid w:val="00C073E0"/>
    <w:rsid w:val="00C1001D"/>
    <w:rsid w:val="00C10B5A"/>
    <w:rsid w:val="00C11113"/>
    <w:rsid w:val="00C11687"/>
    <w:rsid w:val="00C117BE"/>
    <w:rsid w:val="00C11E28"/>
    <w:rsid w:val="00C1225B"/>
    <w:rsid w:val="00C122F9"/>
    <w:rsid w:val="00C12459"/>
    <w:rsid w:val="00C1253A"/>
    <w:rsid w:val="00C128C9"/>
    <w:rsid w:val="00C12CF3"/>
    <w:rsid w:val="00C12F88"/>
    <w:rsid w:val="00C131A8"/>
    <w:rsid w:val="00C1322D"/>
    <w:rsid w:val="00C135A3"/>
    <w:rsid w:val="00C1477A"/>
    <w:rsid w:val="00C14A62"/>
    <w:rsid w:val="00C158EB"/>
    <w:rsid w:val="00C159B1"/>
    <w:rsid w:val="00C161F5"/>
    <w:rsid w:val="00C16C92"/>
    <w:rsid w:val="00C1706B"/>
    <w:rsid w:val="00C17648"/>
    <w:rsid w:val="00C17DB7"/>
    <w:rsid w:val="00C17E48"/>
    <w:rsid w:val="00C17E81"/>
    <w:rsid w:val="00C17FF5"/>
    <w:rsid w:val="00C201E7"/>
    <w:rsid w:val="00C20AA2"/>
    <w:rsid w:val="00C20B91"/>
    <w:rsid w:val="00C21155"/>
    <w:rsid w:val="00C21180"/>
    <w:rsid w:val="00C2146C"/>
    <w:rsid w:val="00C214D7"/>
    <w:rsid w:val="00C21561"/>
    <w:rsid w:val="00C21759"/>
    <w:rsid w:val="00C217EE"/>
    <w:rsid w:val="00C21CBF"/>
    <w:rsid w:val="00C22784"/>
    <w:rsid w:val="00C227D6"/>
    <w:rsid w:val="00C2395D"/>
    <w:rsid w:val="00C23A4C"/>
    <w:rsid w:val="00C2419D"/>
    <w:rsid w:val="00C243A4"/>
    <w:rsid w:val="00C24416"/>
    <w:rsid w:val="00C248DB"/>
    <w:rsid w:val="00C26170"/>
    <w:rsid w:val="00C26B5A"/>
    <w:rsid w:val="00C26D52"/>
    <w:rsid w:val="00C26F21"/>
    <w:rsid w:val="00C277DA"/>
    <w:rsid w:val="00C303E4"/>
    <w:rsid w:val="00C30775"/>
    <w:rsid w:val="00C30B8D"/>
    <w:rsid w:val="00C310BA"/>
    <w:rsid w:val="00C3134E"/>
    <w:rsid w:val="00C315D8"/>
    <w:rsid w:val="00C31C4A"/>
    <w:rsid w:val="00C31D2D"/>
    <w:rsid w:val="00C32639"/>
    <w:rsid w:val="00C32AD2"/>
    <w:rsid w:val="00C34193"/>
    <w:rsid w:val="00C347FD"/>
    <w:rsid w:val="00C34DAE"/>
    <w:rsid w:val="00C34E1E"/>
    <w:rsid w:val="00C34E5A"/>
    <w:rsid w:val="00C35A84"/>
    <w:rsid w:val="00C36219"/>
    <w:rsid w:val="00C3698E"/>
    <w:rsid w:val="00C36CCA"/>
    <w:rsid w:val="00C36E1C"/>
    <w:rsid w:val="00C36F42"/>
    <w:rsid w:val="00C3718A"/>
    <w:rsid w:val="00C377B1"/>
    <w:rsid w:val="00C379C5"/>
    <w:rsid w:val="00C37E84"/>
    <w:rsid w:val="00C37EEE"/>
    <w:rsid w:val="00C40453"/>
    <w:rsid w:val="00C40E71"/>
    <w:rsid w:val="00C41879"/>
    <w:rsid w:val="00C41A7C"/>
    <w:rsid w:val="00C42651"/>
    <w:rsid w:val="00C42CEF"/>
    <w:rsid w:val="00C42D55"/>
    <w:rsid w:val="00C43080"/>
    <w:rsid w:val="00C4370E"/>
    <w:rsid w:val="00C43823"/>
    <w:rsid w:val="00C4384B"/>
    <w:rsid w:val="00C4393C"/>
    <w:rsid w:val="00C44068"/>
    <w:rsid w:val="00C442AE"/>
    <w:rsid w:val="00C4518B"/>
    <w:rsid w:val="00C45780"/>
    <w:rsid w:val="00C458D6"/>
    <w:rsid w:val="00C46268"/>
    <w:rsid w:val="00C4655A"/>
    <w:rsid w:val="00C466BF"/>
    <w:rsid w:val="00C47385"/>
    <w:rsid w:val="00C47555"/>
    <w:rsid w:val="00C476AC"/>
    <w:rsid w:val="00C47E67"/>
    <w:rsid w:val="00C47FD9"/>
    <w:rsid w:val="00C50387"/>
    <w:rsid w:val="00C50C1A"/>
    <w:rsid w:val="00C51508"/>
    <w:rsid w:val="00C51D73"/>
    <w:rsid w:val="00C51DEB"/>
    <w:rsid w:val="00C52A05"/>
    <w:rsid w:val="00C52E97"/>
    <w:rsid w:val="00C52EAF"/>
    <w:rsid w:val="00C53189"/>
    <w:rsid w:val="00C534E5"/>
    <w:rsid w:val="00C534F4"/>
    <w:rsid w:val="00C5375B"/>
    <w:rsid w:val="00C53B15"/>
    <w:rsid w:val="00C53DA9"/>
    <w:rsid w:val="00C53EF7"/>
    <w:rsid w:val="00C54280"/>
    <w:rsid w:val="00C54929"/>
    <w:rsid w:val="00C556B1"/>
    <w:rsid w:val="00C55A05"/>
    <w:rsid w:val="00C55A12"/>
    <w:rsid w:val="00C56101"/>
    <w:rsid w:val="00C565F2"/>
    <w:rsid w:val="00C56C45"/>
    <w:rsid w:val="00C573CC"/>
    <w:rsid w:val="00C57B81"/>
    <w:rsid w:val="00C57FB9"/>
    <w:rsid w:val="00C60145"/>
    <w:rsid w:val="00C6077B"/>
    <w:rsid w:val="00C60950"/>
    <w:rsid w:val="00C609FD"/>
    <w:rsid w:val="00C60DD1"/>
    <w:rsid w:val="00C61565"/>
    <w:rsid w:val="00C61574"/>
    <w:rsid w:val="00C615B4"/>
    <w:rsid w:val="00C61765"/>
    <w:rsid w:val="00C61A90"/>
    <w:rsid w:val="00C6211D"/>
    <w:rsid w:val="00C62B32"/>
    <w:rsid w:val="00C63DED"/>
    <w:rsid w:val="00C63E88"/>
    <w:rsid w:val="00C64F97"/>
    <w:rsid w:val="00C65585"/>
    <w:rsid w:val="00C656EB"/>
    <w:rsid w:val="00C65C5A"/>
    <w:rsid w:val="00C65D7B"/>
    <w:rsid w:val="00C65DF4"/>
    <w:rsid w:val="00C66976"/>
    <w:rsid w:val="00C6762C"/>
    <w:rsid w:val="00C67B49"/>
    <w:rsid w:val="00C70942"/>
    <w:rsid w:val="00C711F5"/>
    <w:rsid w:val="00C713A1"/>
    <w:rsid w:val="00C71828"/>
    <w:rsid w:val="00C72105"/>
    <w:rsid w:val="00C72BCE"/>
    <w:rsid w:val="00C74954"/>
    <w:rsid w:val="00C76028"/>
    <w:rsid w:val="00C76184"/>
    <w:rsid w:val="00C7673D"/>
    <w:rsid w:val="00C76A80"/>
    <w:rsid w:val="00C76C27"/>
    <w:rsid w:val="00C76F07"/>
    <w:rsid w:val="00C77EF6"/>
    <w:rsid w:val="00C80B4B"/>
    <w:rsid w:val="00C80D63"/>
    <w:rsid w:val="00C812D5"/>
    <w:rsid w:val="00C818D0"/>
    <w:rsid w:val="00C81BEA"/>
    <w:rsid w:val="00C81DF5"/>
    <w:rsid w:val="00C82188"/>
    <w:rsid w:val="00C8242B"/>
    <w:rsid w:val="00C829FA"/>
    <w:rsid w:val="00C82A50"/>
    <w:rsid w:val="00C83240"/>
    <w:rsid w:val="00C832E7"/>
    <w:rsid w:val="00C83381"/>
    <w:rsid w:val="00C83607"/>
    <w:rsid w:val="00C83768"/>
    <w:rsid w:val="00C83B18"/>
    <w:rsid w:val="00C840C3"/>
    <w:rsid w:val="00C841B4"/>
    <w:rsid w:val="00C84266"/>
    <w:rsid w:val="00C849E0"/>
    <w:rsid w:val="00C84B74"/>
    <w:rsid w:val="00C8512A"/>
    <w:rsid w:val="00C85970"/>
    <w:rsid w:val="00C85E9B"/>
    <w:rsid w:val="00C874C8"/>
    <w:rsid w:val="00C90165"/>
    <w:rsid w:val="00C90733"/>
    <w:rsid w:val="00C921C4"/>
    <w:rsid w:val="00C9235F"/>
    <w:rsid w:val="00C9257F"/>
    <w:rsid w:val="00C9319C"/>
    <w:rsid w:val="00C931C4"/>
    <w:rsid w:val="00C934F6"/>
    <w:rsid w:val="00C93874"/>
    <w:rsid w:val="00C93A4C"/>
    <w:rsid w:val="00C9448D"/>
    <w:rsid w:val="00C94FD2"/>
    <w:rsid w:val="00C9514C"/>
    <w:rsid w:val="00C95341"/>
    <w:rsid w:val="00C95B76"/>
    <w:rsid w:val="00C964C3"/>
    <w:rsid w:val="00C96635"/>
    <w:rsid w:val="00C966B7"/>
    <w:rsid w:val="00C969DB"/>
    <w:rsid w:val="00C97A4A"/>
    <w:rsid w:val="00C97DC9"/>
    <w:rsid w:val="00C97EE3"/>
    <w:rsid w:val="00CA12BA"/>
    <w:rsid w:val="00CA165C"/>
    <w:rsid w:val="00CA1C0D"/>
    <w:rsid w:val="00CA1DAE"/>
    <w:rsid w:val="00CA2267"/>
    <w:rsid w:val="00CA38AD"/>
    <w:rsid w:val="00CA413F"/>
    <w:rsid w:val="00CA5098"/>
    <w:rsid w:val="00CA5503"/>
    <w:rsid w:val="00CA55C3"/>
    <w:rsid w:val="00CA65B3"/>
    <w:rsid w:val="00CA66C3"/>
    <w:rsid w:val="00CA6CAD"/>
    <w:rsid w:val="00CA70A8"/>
    <w:rsid w:val="00CA70D0"/>
    <w:rsid w:val="00CA74A4"/>
    <w:rsid w:val="00CA7683"/>
    <w:rsid w:val="00CA7EA1"/>
    <w:rsid w:val="00CA7EEB"/>
    <w:rsid w:val="00CB009B"/>
    <w:rsid w:val="00CB0231"/>
    <w:rsid w:val="00CB0838"/>
    <w:rsid w:val="00CB1AFD"/>
    <w:rsid w:val="00CB1E7F"/>
    <w:rsid w:val="00CB1EB3"/>
    <w:rsid w:val="00CB2126"/>
    <w:rsid w:val="00CB24AD"/>
    <w:rsid w:val="00CB2C59"/>
    <w:rsid w:val="00CB2D9C"/>
    <w:rsid w:val="00CB34AB"/>
    <w:rsid w:val="00CB3529"/>
    <w:rsid w:val="00CB3562"/>
    <w:rsid w:val="00CB38A9"/>
    <w:rsid w:val="00CB4728"/>
    <w:rsid w:val="00CB4994"/>
    <w:rsid w:val="00CB556C"/>
    <w:rsid w:val="00CB59E7"/>
    <w:rsid w:val="00CB5E4A"/>
    <w:rsid w:val="00CB668A"/>
    <w:rsid w:val="00CB6976"/>
    <w:rsid w:val="00CB6FCA"/>
    <w:rsid w:val="00CB724D"/>
    <w:rsid w:val="00CB73EA"/>
    <w:rsid w:val="00CB7D4E"/>
    <w:rsid w:val="00CC002B"/>
    <w:rsid w:val="00CC07E5"/>
    <w:rsid w:val="00CC09F0"/>
    <w:rsid w:val="00CC0C11"/>
    <w:rsid w:val="00CC15B5"/>
    <w:rsid w:val="00CC1671"/>
    <w:rsid w:val="00CC1F52"/>
    <w:rsid w:val="00CC233F"/>
    <w:rsid w:val="00CC27FD"/>
    <w:rsid w:val="00CC31E8"/>
    <w:rsid w:val="00CC33C6"/>
    <w:rsid w:val="00CC3AB9"/>
    <w:rsid w:val="00CC3C9E"/>
    <w:rsid w:val="00CC45E0"/>
    <w:rsid w:val="00CC4BBE"/>
    <w:rsid w:val="00CC4BC3"/>
    <w:rsid w:val="00CC50C7"/>
    <w:rsid w:val="00CC55AC"/>
    <w:rsid w:val="00CC5859"/>
    <w:rsid w:val="00CC6159"/>
    <w:rsid w:val="00CC65A8"/>
    <w:rsid w:val="00CC6FF2"/>
    <w:rsid w:val="00CC71F3"/>
    <w:rsid w:val="00CC72C0"/>
    <w:rsid w:val="00CC757D"/>
    <w:rsid w:val="00CC7C74"/>
    <w:rsid w:val="00CD00DB"/>
    <w:rsid w:val="00CD0119"/>
    <w:rsid w:val="00CD07FD"/>
    <w:rsid w:val="00CD0866"/>
    <w:rsid w:val="00CD1169"/>
    <w:rsid w:val="00CD16C7"/>
    <w:rsid w:val="00CD1A40"/>
    <w:rsid w:val="00CD1B33"/>
    <w:rsid w:val="00CD25F3"/>
    <w:rsid w:val="00CD27FF"/>
    <w:rsid w:val="00CD305C"/>
    <w:rsid w:val="00CD3A6D"/>
    <w:rsid w:val="00CD3E5A"/>
    <w:rsid w:val="00CD3E63"/>
    <w:rsid w:val="00CD40A3"/>
    <w:rsid w:val="00CD4CD3"/>
    <w:rsid w:val="00CD578C"/>
    <w:rsid w:val="00CD589F"/>
    <w:rsid w:val="00CD60C9"/>
    <w:rsid w:val="00CD6345"/>
    <w:rsid w:val="00CD6BBB"/>
    <w:rsid w:val="00CD6C19"/>
    <w:rsid w:val="00CD6E47"/>
    <w:rsid w:val="00CD7482"/>
    <w:rsid w:val="00CE07C1"/>
    <w:rsid w:val="00CE1567"/>
    <w:rsid w:val="00CE186F"/>
    <w:rsid w:val="00CE1BC4"/>
    <w:rsid w:val="00CE1C09"/>
    <w:rsid w:val="00CE20E3"/>
    <w:rsid w:val="00CE24B7"/>
    <w:rsid w:val="00CE273A"/>
    <w:rsid w:val="00CE321C"/>
    <w:rsid w:val="00CE32E8"/>
    <w:rsid w:val="00CE3700"/>
    <w:rsid w:val="00CE3B69"/>
    <w:rsid w:val="00CE3B77"/>
    <w:rsid w:val="00CE4559"/>
    <w:rsid w:val="00CE5118"/>
    <w:rsid w:val="00CE5487"/>
    <w:rsid w:val="00CE59B5"/>
    <w:rsid w:val="00CE59DB"/>
    <w:rsid w:val="00CE5D3A"/>
    <w:rsid w:val="00CE7381"/>
    <w:rsid w:val="00CE7447"/>
    <w:rsid w:val="00CE74CE"/>
    <w:rsid w:val="00CE7F36"/>
    <w:rsid w:val="00CF0829"/>
    <w:rsid w:val="00CF0E74"/>
    <w:rsid w:val="00CF1833"/>
    <w:rsid w:val="00CF1AEA"/>
    <w:rsid w:val="00CF1B4F"/>
    <w:rsid w:val="00CF2091"/>
    <w:rsid w:val="00CF21F6"/>
    <w:rsid w:val="00CF2278"/>
    <w:rsid w:val="00CF2C62"/>
    <w:rsid w:val="00CF2F66"/>
    <w:rsid w:val="00CF337B"/>
    <w:rsid w:val="00CF3FE7"/>
    <w:rsid w:val="00CF4059"/>
    <w:rsid w:val="00CF4416"/>
    <w:rsid w:val="00CF5762"/>
    <w:rsid w:val="00CF65B4"/>
    <w:rsid w:val="00CF69B0"/>
    <w:rsid w:val="00CF6C05"/>
    <w:rsid w:val="00CF7485"/>
    <w:rsid w:val="00CF7E56"/>
    <w:rsid w:val="00D0139C"/>
    <w:rsid w:val="00D01744"/>
    <w:rsid w:val="00D025CE"/>
    <w:rsid w:val="00D02A0F"/>
    <w:rsid w:val="00D02DF3"/>
    <w:rsid w:val="00D02FB3"/>
    <w:rsid w:val="00D03181"/>
    <w:rsid w:val="00D037DC"/>
    <w:rsid w:val="00D0383B"/>
    <w:rsid w:val="00D03A8A"/>
    <w:rsid w:val="00D03DA5"/>
    <w:rsid w:val="00D03F27"/>
    <w:rsid w:val="00D043EE"/>
    <w:rsid w:val="00D0470D"/>
    <w:rsid w:val="00D05249"/>
    <w:rsid w:val="00D055CA"/>
    <w:rsid w:val="00D059FC"/>
    <w:rsid w:val="00D05DEF"/>
    <w:rsid w:val="00D06861"/>
    <w:rsid w:val="00D0688A"/>
    <w:rsid w:val="00D06F22"/>
    <w:rsid w:val="00D07A9C"/>
    <w:rsid w:val="00D10076"/>
    <w:rsid w:val="00D1033B"/>
    <w:rsid w:val="00D10477"/>
    <w:rsid w:val="00D107E2"/>
    <w:rsid w:val="00D11D76"/>
    <w:rsid w:val="00D11E73"/>
    <w:rsid w:val="00D121F5"/>
    <w:rsid w:val="00D126E4"/>
    <w:rsid w:val="00D131BF"/>
    <w:rsid w:val="00D140E6"/>
    <w:rsid w:val="00D158EF"/>
    <w:rsid w:val="00D15C14"/>
    <w:rsid w:val="00D15E74"/>
    <w:rsid w:val="00D15FAA"/>
    <w:rsid w:val="00D16ECB"/>
    <w:rsid w:val="00D16EEE"/>
    <w:rsid w:val="00D17167"/>
    <w:rsid w:val="00D1794C"/>
    <w:rsid w:val="00D17BA5"/>
    <w:rsid w:val="00D17EC9"/>
    <w:rsid w:val="00D2058D"/>
    <w:rsid w:val="00D2176E"/>
    <w:rsid w:val="00D2182A"/>
    <w:rsid w:val="00D22105"/>
    <w:rsid w:val="00D2211C"/>
    <w:rsid w:val="00D22945"/>
    <w:rsid w:val="00D22B55"/>
    <w:rsid w:val="00D23055"/>
    <w:rsid w:val="00D230AD"/>
    <w:rsid w:val="00D251AB"/>
    <w:rsid w:val="00D25AC6"/>
    <w:rsid w:val="00D261D3"/>
    <w:rsid w:val="00D31255"/>
    <w:rsid w:val="00D319DF"/>
    <w:rsid w:val="00D3225E"/>
    <w:rsid w:val="00D324BC"/>
    <w:rsid w:val="00D33565"/>
    <w:rsid w:val="00D33762"/>
    <w:rsid w:val="00D34025"/>
    <w:rsid w:val="00D3413A"/>
    <w:rsid w:val="00D34BD1"/>
    <w:rsid w:val="00D35177"/>
    <w:rsid w:val="00D356E1"/>
    <w:rsid w:val="00D35D14"/>
    <w:rsid w:val="00D37006"/>
    <w:rsid w:val="00D40609"/>
    <w:rsid w:val="00D40983"/>
    <w:rsid w:val="00D41188"/>
    <w:rsid w:val="00D417D3"/>
    <w:rsid w:val="00D418D5"/>
    <w:rsid w:val="00D41A6B"/>
    <w:rsid w:val="00D41DB1"/>
    <w:rsid w:val="00D42045"/>
    <w:rsid w:val="00D4276D"/>
    <w:rsid w:val="00D42798"/>
    <w:rsid w:val="00D42970"/>
    <w:rsid w:val="00D43492"/>
    <w:rsid w:val="00D4364E"/>
    <w:rsid w:val="00D43AED"/>
    <w:rsid w:val="00D44916"/>
    <w:rsid w:val="00D45CA4"/>
    <w:rsid w:val="00D45EA7"/>
    <w:rsid w:val="00D45F22"/>
    <w:rsid w:val="00D46485"/>
    <w:rsid w:val="00D47178"/>
    <w:rsid w:val="00D4752E"/>
    <w:rsid w:val="00D47842"/>
    <w:rsid w:val="00D478A8"/>
    <w:rsid w:val="00D47BEF"/>
    <w:rsid w:val="00D50826"/>
    <w:rsid w:val="00D51675"/>
    <w:rsid w:val="00D51A75"/>
    <w:rsid w:val="00D51F73"/>
    <w:rsid w:val="00D52827"/>
    <w:rsid w:val="00D529BE"/>
    <w:rsid w:val="00D52CF6"/>
    <w:rsid w:val="00D53198"/>
    <w:rsid w:val="00D53D3E"/>
    <w:rsid w:val="00D547E0"/>
    <w:rsid w:val="00D54992"/>
    <w:rsid w:val="00D55291"/>
    <w:rsid w:val="00D55C48"/>
    <w:rsid w:val="00D55E47"/>
    <w:rsid w:val="00D56997"/>
    <w:rsid w:val="00D570E6"/>
    <w:rsid w:val="00D5730F"/>
    <w:rsid w:val="00D5774F"/>
    <w:rsid w:val="00D578B1"/>
    <w:rsid w:val="00D57A52"/>
    <w:rsid w:val="00D60809"/>
    <w:rsid w:val="00D60D7F"/>
    <w:rsid w:val="00D61C9C"/>
    <w:rsid w:val="00D62111"/>
    <w:rsid w:val="00D62229"/>
    <w:rsid w:val="00D625B8"/>
    <w:rsid w:val="00D626F8"/>
    <w:rsid w:val="00D634CD"/>
    <w:rsid w:val="00D636DC"/>
    <w:rsid w:val="00D63F4C"/>
    <w:rsid w:val="00D64265"/>
    <w:rsid w:val="00D64613"/>
    <w:rsid w:val="00D64702"/>
    <w:rsid w:val="00D66BD9"/>
    <w:rsid w:val="00D66BFD"/>
    <w:rsid w:val="00D66C91"/>
    <w:rsid w:val="00D674EE"/>
    <w:rsid w:val="00D67535"/>
    <w:rsid w:val="00D67B2A"/>
    <w:rsid w:val="00D67BC9"/>
    <w:rsid w:val="00D67DBC"/>
    <w:rsid w:val="00D704D9"/>
    <w:rsid w:val="00D70BD2"/>
    <w:rsid w:val="00D713F2"/>
    <w:rsid w:val="00D721AA"/>
    <w:rsid w:val="00D72705"/>
    <w:rsid w:val="00D738BF"/>
    <w:rsid w:val="00D73B93"/>
    <w:rsid w:val="00D73C95"/>
    <w:rsid w:val="00D73F99"/>
    <w:rsid w:val="00D745C1"/>
    <w:rsid w:val="00D75676"/>
    <w:rsid w:val="00D75731"/>
    <w:rsid w:val="00D75B45"/>
    <w:rsid w:val="00D75B5C"/>
    <w:rsid w:val="00D75F8C"/>
    <w:rsid w:val="00D76050"/>
    <w:rsid w:val="00D76309"/>
    <w:rsid w:val="00D76423"/>
    <w:rsid w:val="00D767BF"/>
    <w:rsid w:val="00D77278"/>
    <w:rsid w:val="00D775B5"/>
    <w:rsid w:val="00D77961"/>
    <w:rsid w:val="00D77B20"/>
    <w:rsid w:val="00D77B3B"/>
    <w:rsid w:val="00D8007C"/>
    <w:rsid w:val="00D8079F"/>
    <w:rsid w:val="00D8103B"/>
    <w:rsid w:val="00D8111B"/>
    <w:rsid w:val="00D81242"/>
    <w:rsid w:val="00D812D2"/>
    <w:rsid w:val="00D822FA"/>
    <w:rsid w:val="00D82D02"/>
    <w:rsid w:val="00D82D0F"/>
    <w:rsid w:val="00D83A5A"/>
    <w:rsid w:val="00D84157"/>
    <w:rsid w:val="00D84BD7"/>
    <w:rsid w:val="00D84DCA"/>
    <w:rsid w:val="00D850FC"/>
    <w:rsid w:val="00D85114"/>
    <w:rsid w:val="00D857BC"/>
    <w:rsid w:val="00D86144"/>
    <w:rsid w:val="00D8622E"/>
    <w:rsid w:val="00D8718F"/>
    <w:rsid w:val="00D871B6"/>
    <w:rsid w:val="00D875E1"/>
    <w:rsid w:val="00D90275"/>
    <w:rsid w:val="00D902F5"/>
    <w:rsid w:val="00D9075D"/>
    <w:rsid w:val="00D90959"/>
    <w:rsid w:val="00D91410"/>
    <w:rsid w:val="00D91438"/>
    <w:rsid w:val="00D91594"/>
    <w:rsid w:val="00D91A8F"/>
    <w:rsid w:val="00D91ABE"/>
    <w:rsid w:val="00D91DFB"/>
    <w:rsid w:val="00D921DA"/>
    <w:rsid w:val="00D92C2F"/>
    <w:rsid w:val="00D92F7F"/>
    <w:rsid w:val="00D9459D"/>
    <w:rsid w:val="00D94730"/>
    <w:rsid w:val="00D94858"/>
    <w:rsid w:val="00D94972"/>
    <w:rsid w:val="00D954A1"/>
    <w:rsid w:val="00D95519"/>
    <w:rsid w:val="00D95744"/>
    <w:rsid w:val="00D958FC"/>
    <w:rsid w:val="00D959AE"/>
    <w:rsid w:val="00D95DC2"/>
    <w:rsid w:val="00D960E5"/>
    <w:rsid w:val="00D96678"/>
    <w:rsid w:val="00D96C73"/>
    <w:rsid w:val="00D96D46"/>
    <w:rsid w:val="00D97C27"/>
    <w:rsid w:val="00DA0526"/>
    <w:rsid w:val="00DA0639"/>
    <w:rsid w:val="00DA0CF7"/>
    <w:rsid w:val="00DA0E96"/>
    <w:rsid w:val="00DA1203"/>
    <w:rsid w:val="00DA18DA"/>
    <w:rsid w:val="00DA1F0C"/>
    <w:rsid w:val="00DA1F38"/>
    <w:rsid w:val="00DA2F0F"/>
    <w:rsid w:val="00DA3565"/>
    <w:rsid w:val="00DA3A5B"/>
    <w:rsid w:val="00DA3D0B"/>
    <w:rsid w:val="00DA3F51"/>
    <w:rsid w:val="00DA45DB"/>
    <w:rsid w:val="00DA48D9"/>
    <w:rsid w:val="00DA49F8"/>
    <w:rsid w:val="00DA4AAE"/>
    <w:rsid w:val="00DA5572"/>
    <w:rsid w:val="00DA6A15"/>
    <w:rsid w:val="00DA6CC2"/>
    <w:rsid w:val="00DA7029"/>
    <w:rsid w:val="00DA77A0"/>
    <w:rsid w:val="00DB09A2"/>
    <w:rsid w:val="00DB0C79"/>
    <w:rsid w:val="00DB103D"/>
    <w:rsid w:val="00DB1448"/>
    <w:rsid w:val="00DB1998"/>
    <w:rsid w:val="00DB1FC4"/>
    <w:rsid w:val="00DB21F0"/>
    <w:rsid w:val="00DB24C0"/>
    <w:rsid w:val="00DB2C5F"/>
    <w:rsid w:val="00DB3A58"/>
    <w:rsid w:val="00DB3BDF"/>
    <w:rsid w:val="00DB3C58"/>
    <w:rsid w:val="00DB3D46"/>
    <w:rsid w:val="00DB401C"/>
    <w:rsid w:val="00DB46C8"/>
    <w:rsid w:val="00DB540E"/>
    <w:rsid w:val="00DB5A63"/>
    <w:rsid w:val="00DB6166"/>
    <w:rsid w:val="00DB656B"/>
    <w:rsid w:val="00DB691E"/>
    <w:rsid w:val="00DB75A3"/>
    <w:rsid w:val="00DB799D"/>
    <w:rsid w:val="00DB79C8"/>
    <w:rsid w:val="00DC0574"/>
    <w:rsid w:val="00DC0C65"/>
    <w:rsid w:val="00DC16BF"/>
    <w:rsid w:val="00DC16E1"/>
    <w:rsid w:val="00DC16FC"/>
    <w:rsid w:val="00DC1881"/>
    <w:rsid w:val="00DC1ED7"/>
    <w:rsid w:val="00DC3A6F"/>
    <w:rsid w:val="00DC3D1C"/>
    <w:rsid w:val="00DC43E1"/>
    <w:rsid w:val="00DC4EE7"/>
    <w:rsid w:val="00DC5199"/>
    <w:rsid w:val="00DC5A32"/>
    <w:rsid w:val="00DC5E4E"/>
    <w:rsid w:val="00DC651B"/>
    <w:rsid w:val="00DC662F"/>
    <w:rsid w:val="00DC6E78"/>
    <w:rsid w:val="00DC729A"/>
    <w:rsid w:val="00DC7328"/>
    <w:rsid w:val="00DC73B1"/>
    <w:rsid w:val="00DC7519"/>
    <w:rsid w:val="00DC75C6"/>
    <w:rsid w:val="00DC7630"/>
    <w:rsid w:val="00DC7EB5"/>
    <w:rsid w:val="00DD04AC"/>
    <w:rsid w:val="00DD04DD"/>
    <w:rsid w:val="00DD0891"/>
    <w:rsid w:val="00DD0B35"/>
    <w:rsid w:val="00DD0F9F"/>
    <w:rsid w:val="00DD11A7"/>
    <w:rsid w:val="00DD1298"/>
    <w:rsid w:val="00DD2300"/>
    <w:rsid w:val="00DD2309"/>
    <w:rsid w:val="00DD28B3"/>
    <w:rsid w:val="00DD2DE3"/>
    <w:rsid w:val="00DD2DE8"/>
    <w:rsid w:val="00DD316F"/>
    <w:rsid w:val="00DD357C"/>
    <w:rsid w:val="00DD37CA"/>
    <w:rsid w:val="00DD3D55"/>
    <w:rsid w:val="00DD3DF7"/>
    <w:rsid w:val="00DD4AE2"/>
    <w:rsid w:val="00DD4BFA"/>
    <w:rsid w:val="00DD51F8"/>
    <w:rsid w:val="00DD6388"/>
    <w:rsid w:val="00DD6C53"/>
    <w:rsid w:val="00DD7198"/>
    <w:rsid w:val="00DD7199"/>
    <w:rsid w:val="00DD7C44"/>
    <w:rsid w:val="00DD7CB6"/>
    <w:rsid w:val="00DE0077"/>
    <w:rsid w:val="00DE0137"/>
    <w:rsid w:val="00DE01BA"/>
    <w:rsid w:val="00DE0DCF"/>
    <w:rsid w:val="00DE137B"/>
    <w:rsid w:val="00DE13D4"/>
    <w:rsid w:val="00DE13FD"/>
    <w:rsid w:val="00DE19D9"/>
    <w:rsid w:val="00DE1C18"/>
    <w:rsid w:val="00DE1DC6"/>
    <w:rsid w:val="00DE1F77"/>
    <w:rsid w:val="00DE21C6"/>
    <w:rsid w:val="00DE22AA"/>
    <w:rsid w:val="00DE288F"/>
    <w:rsid w:val="00DE2D49"/>
    <w:rsid w:val="00DE388A"/>
    <w:rsid w:val="00DE3E66"/>
    <w:rsid w:val="00DE3F75"/>
    <w:rsid w:val="00DE45F5"/>
    <w:rsid w:val="00DE4AAD"/>
    <w:rsid w:val="00DE4C0C"/>
    <w:rsid w:val="00DE4FC8"/>
    <w:rsid w:val="00DE53B5"/>
    <w:rsid w:val="00DE5A50"/>
    <w:rsid w:val="00DE60C5"/>
    <w:rsid w:val="00DE7323"/>
    <w:rsid w:val="00DE75F0"/>
    <w:rsid w:val="00DE77CB"/>
    <w:rsid w:val="00DE7EBA"/>
    <w:rsid w:val="00DF04BD"/>
    <w:rsid w:val="00DF068D"/>
    <w:rsid w:val="00DF0D3A"/>
    <w:rsid w:val="00DF1A9A"/>
    <w:rsid w:val="00DF1C2D"/>
    <w:rsid w:val="00DF1DB6"/>
    <w:rsid w:val="00DF1F8A"/>
    <w:rsid w:val="00DF248E"/>
    <w:rsid w:val="00DF253D"/>
    <w:rsid w:val="00DF3222"/>
    <w:rsid w:val="00DF3577"/>
    <w:rsid w:val="00DF4063"/>
    <w:rsid w:val="00DF5F13"/>
    <w:rsid w:val="00DF63DD"/>
    <w:rsid w:val="00DF6B62"/>
    <w:rsid w:val="00DF7828"/>
    <w:rsid w:val="00DF7BD0"/>
    <w:rsid w:val="00DF7BDF"/>
    <w:rsid w:val="00E00303"/>
    <w:rsid w:val="00E00489"/>
    <w:rsid w:val="00E00A62"/>
    <w:rsid w:val="00E010A0"/>
    <w:rsid w:val="00E0125E"/>
    <w:rsid w:val="00E01668"/>
    <w:rsid w:val="00E0173A"/>
    <w:rsid w:val="00E01849"/>
    <w:rsid w:val="00E020D1"/>
    <w:rsid w:val="00E0250C"/>
    <w:rsid w:val="00E02B64"/>
    <w:rsid w:val="00E02EAD"/>
    <w:rsid w:val="00E03D3F"/>
    <w:rsid w:val="00E0437C"/>
    <w:rsid w:val="00E0452C"/>
    <w:rsid w:val="00E04D61"/>
    <w:rsid w:val="00E0504C"/>
    <w:rsid w:val="00E05074"/>
    <w:rsid w:val="00E05489"/>
    <w:rsid w:val="00E05741"/>
    <w:rsid w:val="00E05F7F"/>
    <w:rsid w:val="00E06930"/>
    <w:rsid w:val="00E06971"/>
    <w:rsid w:val="00E06B43"/>
    <w:rsid w:val="00E06E32"/>
    <w:rsid w:val="00E06EC4"/>
    <w:rsid w:val="00E070D9"/>
    <w:rsid w:val="00E105B3"/>
    <w:rsid w:val="00E10846"/>
    <w:rsid w:val="00E108F4"/>
    <w:rsid w:val="00E10A4B"/>
    <w:rsid w:val="00E10D4E"/>
    <w:rsid w:val="00E1100C"/>
    <w:rsid w:val="00E11489"/>
    <w:rsid w:val="00E11711"/>
    <w:rsid w:val="00E11E63"/>
    <w:rsid w:val="00E12696"/>
    <w:rsid w:val="00E12DEE"/>
    <w:rsid w:val="00E1310D"/>
    <w:rsid w:val="00E13359"/>
    <w:rsid w:val="00E138BF"/>
    <w:rsid w:val="00E14EFA"/>
    <w:rsid w:val="00E151B9"/>
    <w:rsid w:val="00E1566E"/>
    <w:rsid w:val="00E158C4"/>
    <w:rsid w:val="00E161E6"/>
    <w:rsid w:val="00E167C9"/>
    <w:rsid w:val="00E1698C"/>
    <w:rsid w:val="00E172BE"/>
    <w:rsid w:val="00E17CF7"/>
    <w:rsid w:val="00E205D6"/>
    <w:rsid w:val="00E216EC"/>
    <w:rsid w:val="00E2189A"/>
    <w:rsid w:val="00E22B5A"/>
    <w:rsid w:val="00E22B68"/>
    <w:rsid w:val="00E231C9"/>
    <w:rsid w:val="00E23379"/>
    <w:rsid w:val="00E23EBF"/>
    <w:rsid w:val="00E23FD5"/>
    <w:rsid w:val="00E24669"/>
    <w:rsid w:val="00E248B2"/>
    <w:rsid w:val="00E24C48"/>
    <w:rsid w:val="00E24D50"/>
    <w:rsid w:val="00E25981"/>
    <w:rsid w:val="00E25BC1"/>
    <w:rsid w:val="00E26141"/>
    <w:rsid w:val="00E266F5"/>
    <w:rsid w:val="00E26F90"/>
    <w:rsid w:val="00E270D3"/>
    <w:rsid w:val="00E27FC7"/>
    <w:rsid w:val="00E30700"/>
    <w:rsid w:val="00E30D87"/>
    <w:rsid w:val="00E30E57"/>
    <w:rsid w:val="00E31360"/>
    <w:rsid w:val="00E31D28"/>
    <w:rsid w:val="00E325FF"/>
    <w:rsid w:val="00E32CB8"/>
    <w:rsid w:val="00E3419B"/>
    <w:rsid w:val="00E3440F"/>
    <w:rsid w:val="00E34F3A"/>
    <w:rsid w:val="00E35030"/>
    <w:rsid w:val="00E35F99"/>
    <w:rsid w:val="00E35F9A"/>
    <w:rsid w:val="00E3637F"/>
    <w:rsid w:val="00E364B6"/>
    <w:rsid w:val="00E36723"/>
    <w:rsid w:val="00E3713C"/>
    <w:rsid w:val="00E3767B"/>
    <w:rsid w:val="00E37A3D"/>
    <w:rsid w:val="00E37E1C"/>
    <w:rsid w:val="00E40126"/>
    <w:rsid w:val="00E40CBF"/>
    <w:rsid w:val="00E40E7D"/>
    <w:rsid w:val="00E40EE4"/>
    <w:rsid w:val="00E413C6"/>
    <w:rsid w:val="00E41C4E"/>
    <w:rsid w:val="00E420D5"/>
    <w:rsid w:val="00E42517"/>
    <w:rsid w:val="00E42D55"/>
    <w:rsid w:val="00E42FFE"/>
    <w:rsid w:val="00E4316E"/>
    <w:rsid w:val="00E435AB"/>
    <w:rsid w:val="00E44275"/>
    <w:rsid w:val="00E44777"/>
    <w:rsid w:val="00E4535F"/>
    <w:rsid w:val="00E466BC"/>
    <w:rsid w:val="00E4686A"/>
    <w:rsid w:val="00E47538"/>
    <w:rsid w:val="00E479FD"/>
    <w:rsid w:val="00E504D6"/>
    <w:rsid w:val="00E50B6F"/>
    <w:rsid w:val="00E50DF1"/>
    <w:rsid w:val="00E50EBE"/>
    <w:rsid w:val="00E50F69"/>
    <w:rsid w:val="00E50FC6"/>
    <w:rsid w:val="00E517CD"/>
    <w:rsid w:val="00E52185"/>
    <w:rsid w:val="00E52372"/>
    <w:rsid w:val="00E52786"/>
    <w:rsid w:val="00E52C21"/>
    <w:rsid w:val="00E52F05"/>
    <w:rsid w:val="00E53785"/>
    <w:rsid w:val="00E53DB1"/>
    <w:rsid w:val="00E540CA"/>
    <w:rsid w:val="00E54B37"/>
    <w:rsid w:val="00E54DE9"/>
    <w:rsid w:val="00E55B28"/>
    <w:rsid w:val="00E56D4A"/>
    <w:rsid w:val="00E57119"/>
    <w:rsid w:val="00E5719E"/>
    <w:rsid w:val="00E57D7B"/>
    <w:rsid w:val="00E57F4B"/>
    <w:rsid w:val="00E602E5"/>
    <w:rsid w:val="00E602F8"/>
    <w:rsid w:val="00E6085B"/>
    <w:rsid w:val="00E60FBA"/>
    <w:rsid w:val="00E60FBF"/>
    <w:rsid w:val="00E616F9"/>
    <w:rsid w:val="00E61852"/>
    <w:rsid w:val="00E61A0C"/>
    <w:rsid w:val="00E61D22"/>
    <w:rsid w:val="00E61D96"/>
    <w:rsid w:val="00E61E4B"/>
    <w:rsid w:val="00E6342F"/>
    <w:rsid w:val="00E63DA2"/>
    <w:rsid w:val="00E642AF"/>
    <w:rsid w:val="00E644C6"/>
    <w:rsid w:val="00E64555"/>
    <w:rsid w:val="00E64595"/>
    <w:rsid w:val="00E646BB"/>
    <w:rsid w:val="00E64D24"/>
    <w:rsid w:val="00E64E69"/>
    <w:rsid w:val="00E6549C"/>
    <w:rsid w:val="00E654B9"/>
    <w:rsid w:val="00E6589D"/>
    <w:rsid w:val="00E65E8C"/>
    <w:rsid w:val="00E665E7"/>
    <w:rsid w:val="00E66C96"/>
    <w:rsid w:val="00E6703E"/>
    <w:rsid w:val="00E70130"/>
    <w:rsid w:val="00E7063F"/>
    <w:rsid w:val="00E715FC"/>
    <w:rsid w:val="00E71A45"/>
    <w:rsid w:val="00E71C21"/>
    <w:rsid w:val="00E72D84"/>
    <w:rsid w:val="00E730FC"/>
    <w:rsid w:val="00E7318D"/>
    <w:rsid w:val="00E7385A"/>
    <w:rsid w:val="00E73CE6"/>
    <w:rsid w:val="00E74780"/>
    <w:rsid w:val="00E7487D"/>
    <w:rsid w:val="00E74956"/>
    <w:rsid w:val="00E752F7"/>
    <w:rsid w:val="00E75848"/>
    <w:rsid w:val="00E759D4"/>
    <w:rsid w:val="00E76A3C"/>
    <w:rsid w:val="00E76F9B"/>
    <w:rsid w:val="00E771FC"/>
    <w:rsid w:val="00E773E5"/>
    <w:rsid w:val="00E77511"/>
    <w:rsid w:val="00E77BDD"/>
    <w:rsid w:val="00E806D3"/>
    <w:rsid w:val="00E81C34"/>
    <w:rsid w:val="00E81D83"/>
    <w:rsid w:val="00E821BB"/>
    <w:rsid w:val="00E822E9"/>
    <w:rsid w:val="00E826FE"/>
    <w:rsid w:val="00E8275E"/>
    <w:rsid w:val="00E827AF"/>
    <w:rsid w:val="00E82DE9"/>
    <w:rsid w:val="00E83253"/>
    <w:rsid w:val="00E844AB"/>
    <w:rsid w:val="00E84C97"/>
    <w:rsid w:val="00E85005"/>
    <w:rsid w:val="00E85296"/>
    <w:rsid w:val="00E8533B"/>
    <w:rsid w:val="00E8575B"/>
    <w:rsid w:val="00E85931"/>
    <w:rsid w:val="00E85E4E"/>
    <w:rsid w:val="00E862BB"/>
    <w:rsid w:val="00E86327"/>
    <w:rsid w:val="00E86DF0"/>
    <w:rsid w:val="00E87BD2"/>
    <w:rsid w:val="00E87CDC"/>
    <w:rsid w:val="00E906E0"/>
    <w:rsid w:val="00E90B33"/>
    <w:rsid w:val="00E911E0"/>
    <w:rsid w:val="00E93407"/>
    <w:rsid w:val="00E940A8"/>
    <w:rsid w:val="00E94759"/>
    <w:rsid w:val="00E947E8"/>
    <w:rsid w:val="00E94B0F"/>
    <w:rsid w:val="00E9503F"/>
    <w:rsid w:val="00E96726"/>
    <w:rsid w:val="00E96E68"/>
    <w:rsid w:val="00E973BA"/>
    <w:rsid w:val="00E97EA1"/>
    <w:rsid w:val="00EA0BBE"/>
    <w:rsid w:val="00EA1FBC"/>
    <w:rsid w:val="00EA20A1"/>
    <w:rsid w:val="00EA212B"/>
    <w:rsid w:val="00EA24FB"/>
    <w:rsid w:val="00EA2D44"/>
    <w:rsid w:val="00EA306E"/>
    <w:rsid w:val="00EA32F4"/>
    <w:rsid w:val="00EA33FA"/>
    <w:rsid w:val="00EA3A1D"/>
    <w:rsid w:val="00EA3CD7"/>
    <w:rsid w:val="00EA3E2D"/>
    <w:rsid w:val="00EA429D"/>
    <w:rsid w:val="00EA43AF"/>
    <w:rsid w:val="00EA4676"/>
    <w:rsid w:val="00EA4C7C"/>
    <w:rsid w:val="00EA4D4C"/>
    <w:rsid w:val="00EA554F"/>
    <w:rsid w:val="00EA6250"/>
    <w:rsid w:val="00EA66A4"/>
    <w:rsid w:val="00EA6819"/>
    <w:rsid w:val="00EA69E4"/>
    <w:rsid w:val="00EA6A1E"/>
    <w:rsid w:val="00EA75BD"/>
    <w:rsid w:val="00EA760C"/>
    <w:rsid w:val="00EA7C47"/>
    <w:rsid w:val="00EB0C01"/>
    <w:rsid w:val="00EB0F0F"/>
    <w:rsid w:val="00EB1053"/>
    <w:rsid w:val="00EB12A5"/>
    <w:rsid w:val="00EB24D8"/>
    <w:rsid w:val="00EB277B"/>
    <w:rsid w:val="00EB2F20"/>
    <w:rsid w:val="00EB2F35"/>
    <w:rsid w:val="00EB31DB"/>
    <w:rsid w:val="00EB3422"/>
    <w:rsid w:val="00EB3A31"/>
    <w:rsid w:val="00EB4EAF"/>
    <w:rsid w:val="00EB548E"/>
    <w:rsid w:val="00EB5C41"/>
    <w:rsid w:val="00EB5F5A"/>
    <w:rsid w:val="00EB657E"/>
    <w:rsid w:val="00EB695E"/>
    <w:rsid w:val="00EB69D1"/>
    <w:rsid w:val="00EB6FE9"/>
    <w:rsid w:val="00EB72FF"/>
    <w:rsid w:val="00EB756F"/>
    <w:rsid w:val="00EB79C8"/>
    <w:rsid w:val="00EB7E78"/>
    <w:rsid w:val="00EC0301"/>
    <w:rsid w:val="00EC09C6"/>
    <w:rsid w:val="00EC0EA5"/>
    <w:rsid w:val="00EC1056"/>
    <w:rsid w:val="00EC1470"/>
    <w:rsid w:val="00EC222E"/>
    <w:rsid w:val="00EC25CD"/>
    <w:rsid w:val="00EC2716"/>
    <w:rsid w:val="00EC2DBB"/>
    <w:rsid w:val="00EC3107"/>
    <w:rsid w:val="00EC358E"/>
    <w:rsid w:val="00EC3F3F"/>
    <w:rsid w:val="00EC3FD2"/>
    <w:rsid w:val="00EC4095"/>
    <w:rsid w:val="00EC43B5"/>
    <w:rsid w:val="00EC4537"/>
    <w:rsid w:val="00EC4960"/>
    <w:rsid w:val="00EC4AE3"/>
    <w:rsid w:val="00EC522B"/>
    <w:rsid w:val="00EC54EE"/>
    <w:rsid w:val="00EC59B2"/>
    <w:rsid w:val="00EC5A3B"/>
    <w:rsid w:val="00EC6BCB"/>
    <w:rsid w:val="00EC774E"/>
    <w:rsid w:val="00EC786C"/>
    <w:rsid w:val="00EC7ADD"/>
    <w:rsid w:val="00ED04FE"/>
    <w:rsid w:val="00ED0DD0"/>
    <w:rsid w:val="00ED1989"/>
    <w:rsid w:val="00ED28F2"/>
    <w:rsid w:val="00ED3145"/>
    <w:rsid w:val="00ED3309"/>
    <w:rsid w:val="00ED356E"/>
    <w:rsid w:val="00ED3BDA"/>
    <w:rsid w:val="00ED3DA4"/>
    <w:rsid w:val="00ED4B67"/>
    <w:rsid w:val="00ED4B69"/>
    <w:rsid w:val="00ED5A3B"/>
    <w:rsid w:val="00ED5C30"/>
    <w:rsid w:val="00ED5E02"/>
    <w:rsid w:val="00ED5EED"/>
    <w:rsid w:val="00ED6B1C"/>
    <w:rsid w:val="00ED6CF7"/>
    <w:rsid w:val="00ED6F33"/>
    <w:rsid w:val="00ED741E"/>
    <w:rsid w:val="00ED7716"/>
    <w:rsid w:val="00ED7737"/>
    <w:rsid w:val="00ED7747"/>
    <w:rsid w:val="00ED7CF4"/>
    <w:rsid w:val="00EE0EA8"/>
    <w:rsid w:val="00EE1B0E"/>
    <w:rsid w:val="00EE22FB"/>
    <w:rsid w:val="00EE2407"/>
    <w:rsid w:val="00EE26AE"/>
    <w:rsid w:val="00EE29C8"/>
    <w:rsid w:val="00EE2A54"/>
    <w:rsid w:val="00EE2FC2"/>
    <w:rsid w:val="00EE3B88"/>
    <w:rsid w:val="00EE4B75"/>
    <w:rsid w:val="00EE4DBD"/>
    <w:rsid w:val="00EE57D6"/>
    <w:rsid w:val="00EE6025"/>
    <w:rsid w:val="00EE6AC6"/>
    <w:rsid w:val="00EE6E26"/>
    <w:rsid w:val="00EE784F"/>
    <w:rsid w:val="00EE7A1D"/>
    <w:rsid w:val="00EF0500"/>
    <w:rsid w:val="00EF0B66"/>
    <w:rsid w:val="00EF1002"/>
    <w:rsid w:val="00EF143F"/>
    <w:rsid w:val="00EF23D8"/>
    <w:rsid w:val="00EF2A5A"/>
    <w:rsid w:val="00EF2A87"/>
    <w:rsid w:val="00EF3A74"/>
    <w:rsid w:val="00EF3AE9"/>
    <w:rsid w:val="00EF3EA5"/>
    <w:rsid w:val="00EF40DC"/>
    <w:rsid w:val="00EF49FB"/>
    <w:rsid w:val="00EF4D23"/>
    <w:rsid w:val="00EF55D6"/>
    <w:rsid w:val="00EF644D"/>
    <w:rsid w:val="00EF6D29"/>
    <w:rsid w:val="00EF7138"/>
    <w:rsid w:val="00EF7149"/>
    <w:rsid w:val="00F00881"/>
    <w:rsid w:val="00F00917"/>
    <w:rsid w:val="00F01032"/>
    <w:rsid w:val="00F010BB"/>
    <w:rsid w:val="00F012C1"/>
    <w:rsid w:val="00F0175F"/>
    <w:rsid w:val="00F01C5B"/>
    <w:rsid w:val="00F03280"/>
    <w:rsid w:val="00F0362A"/>
    <w:rsid w:val="00F0385C"/>
    <w:rsid w:val="00F03ABE"/>
    <w:rsid w:val="00F04345"/>
    <w:rsid w:val="00F047A4"/>
    <w:rsid w:val="00F04F52"/>
    <w:rsid w:val="00F0510F"/>
    <w:rsid w:val="00F0563F"/>
    <w:rsid w:val="00F06239"/>
    <w:rsid w:val="00F064EF"/>
    <w:rsid w:val="00F06558"/>
    <w:rsid w:val="00F06F42"/>
    <w:rsid w:val="00F07122"/>
    <w:rsid w:val="00F074C9"/>
    <w:rsid w:val="00F07C82"/>
    <w:rsid w:val="00F07F5E"/>
    <w:rsid w:val="00F1001E"/>
    <w:rsid w:val="00F106BB"/>
    <w:rsid w:val="00F11027"/>
    <w:rsid w:val="00F1106C"/>
    <w:rsid w:val="00F111BA"/>
    <w:rsid w:val="00F116DD"/>
    <w:rsid w:val="00F11D9F"/>
    <w:rsid w:val="00F11E31"/>
    <w:rsid w:val="00F13137"/>
    <w:rsid w:val="00F13AA1"/>
    <w:rsid w:val="00F13F2A"/>
    <w:rsid w:val="00F140EC"/>
    <w:rsid w:val="00F15097"/>
    <w:rsid w:val="00F15671"/>
    <w:rsid w:val="00F15DC7"/>
    <w:rsid w:val="00F16695"/>
    <w:rsid w:val="00F202E3"/>
    <w:rsid w:val="00F20C6E"/>
    <w:rsid w:val="00F20D6C"/>
    <w:rsid w:val="00F2242D"/>
    <w:rsid w:val="00F2255F"/>
    <w:rsid w:val="00F225CF"/>
    <w:rsid w:val="00F22882"/>
    <w:rsid w:val="00F22985"/>
    <w:rsid w:val="00F22AEF"/>
    <w:rsid w:val="00F22F7A"/>
    <w:rsid w:val="00F2322E"/>
    <w:rsid w:val="00F2343C"/>
    <w:rsid w:val="00F23CFC"/>
    <w:rsid w:val="00F24076"/>
    <w:rsid w:val="00F240CB"/>
    <w:rsid w:val="00F2492F"/>
    <w:rsid w:val="00F2500D"/>
    <w:rsid w:val="00F256DA"/>
    <w:rsid w:val="00F25742"/>
    <w:rsid w:val="00F2596D"/>
    <w:rsid w:val="00F25CAA"/>
    <w:rsid w:val="00F26AD6"/>
    <w:rsid w:val="00F2711C"/>
    <w:rsid w:val="00F277E8"/>
    <w:rsid w:val="00F27B04"/>
    <w:rsid w:val="00F27E3D"/>
    <w:rsid w:val="00F301D0"/>
    <w:rsid w:val="00F3069F"/>
    <w:rsid w:val="00F30BA9"/>
    <w:rsid w:val="00F30C3F"/>
    <w:rsid w:val="00F30C60"/>
    <w:rsid w:val="00F30EFB"/>
    <w:rsid w:val="00F30F38"/>
    <w:rsid w:val="00F311D1"/>
    <w:rsid w:val="00F3158A"/>
    <w:rsid w:val="00F318DB"/>
    <w:rsid w:val="00F3199C"/>
    <w:rsid w:val="00F31F7D"/>
    <w:rsid w:val="00F32AFF"/>
    <w:rsid w:val="00F33825"/>
    <w:rsid w:val="00F33A8B"/>
    <w:rsid w:val="00F33D3B"/>
    <w:rsid w:val="00F341D4"/>
    <w:rsid w:val="00F34A96"/>
    <w:rsid w:val="00F34EBF"/>
    <w:rsid w:val="00F34F05"/>
    <w:rsid w:val="00F34F85"/>
    <w:rsid w:val="00F353B0"/>
    <w:rsid w:val="00F356D5"/>
    <w:rsid w:val="00F361AE"/>
    <w:rsid w:val="00F36240"/>
    <w:rsid w:val="00F363EB"/>
    <w:rsid w:val="00F365DE"/>
    <w:rsid w:val="00F36764"/>
    <w:rsid w:val="00F367CF"/>
    <w:rsid w:val="00F36D37"/>
    <w:rsid w:val="00F3719A"/>
    <w:rsid w:val="00F379BF"/>
    <w:rsid w:val="00F37EA7"/>
    <w:rsid w:val="00F40805"/>
    <w:rsid w:val="00F40C5E"/>
    <w:rsid w:val="00F40E3E"/>
    <w:rsid w:val="00F4163A"/>
    <w:rsid w:val="00F41873"/>
    <w:rsid w:val="00F419C3"/>
    <w:rsid w:val="00F41D91"/>
    <w:rsid w:val="00F41E2B"/>
    <w:rsid w:val="00F423BE"/>
    <w:rsid w:val="00F424A5"/>
    <w:rsid w:val="00F425EF"/>
    <w:rsid w:val="00F428AC"/>
    <w:rsid w:val="00F42EE3"/>
    <w:rsid w:val="00F43660"/>
    <w:rsid w:val="00F44542"/>
    <w:rsid w:val="00F448DD"/>
    <w:rsid w:val="00F44C5F"/>
    <w:rsid w:val="00F44DB8"/>
    <w:rsid w:val="00F45760"/>
    <w:rsid w:val="00F45925"/>
    <w:rsid w:val="00F46BA6"/>
    <w:rsid w:val="00F46C97"/>
    <w:rsid w:val="00F4703E"/>
    <w:rsid w:val="00F50511"/>
    <w:rsid w:val="00F50781"/>
    <w:rsid w:val="00F50CA3"/>
    <w:rsid w:val="00F517ED"/>
    <w:rsid w:val="00F51F3F"/>
    <w:rsid w:val="00F528B5"/>
    <w:rsid w:val="00F528E7"/>
    <w:rsid w:val="00F52C8A"/>
    <w:rsid w:val="00F53615"/>
    <w:rsid w:val="00F53A91"/>
    <w:rsid w:val="00F54783"/>
    <w:rsid w:val="00F547E9"/>
    <w:rsid w:val="00F5494E"/>
    <w:rsid w:val="00F54ABE"/>
    <w:rsid w:val="00F553D2"/>
    <w:rsid w:val="00F5564F"/>
    <w:rsid w:val="00F55804"/>
    <w:rsid w:val="00F55F1A"/>
    <w:rsid w:val="00F56310"/>
    <w:rsid w:val="00F5684C"/>
    <w:rsid w:val="00F57210"/>
    <w:rsid w:val="00F577FC"/>
    <w:rsid w:val="00F602F0"/>
    <w:rsid w:val="00F6098E"/>
    <w:rsid w:val="00F60C90"/>
    <w:rsid w:val="00F619EE"/>
    <w:rsid w:val="00F61CF5"/>
    <w:rsid w:val="00F61FF9"/>
    <w:rsid w:val="00F62069"/>
    <w:rsid w:val="00F62159"/>
    <w:rsid w:val="00F62A7C"/>
    <w:rsid w:val="00F62B93"/>
    <w:rsid w:val="00F633E5"/>
    <w:rsid w:val="00F63A07"/>
    <w:rsid w:val="00F63C89"/>
    <w:rsid w:val="00F64073"/>
    <w:rsid w:val="00F643CA"/>
    <w:rsid w:val="00F647EC"/>
    <w:rsid w:val="00F64D57"/>
    <w:rsid w:val="00F64FAB"/>
    <w:rsid w:val="00F65329"/>
    <w:rsid w:val="00F6546A"/>
    <w:rsid w:val="00F65CEA"/>
    <w:rsid w:val="00F65F15"/>
    <w:rsid w:val="00F66443"/>
    <w:rsid w:val="00F675EA"/>
    <w:rsid w:val="00F67BEB"/>
    <w:rsid w:val="00F7074A"/>
    <w:rsid w:val="00F711A0"/>
    <w:rsid w:val="00F71687"/>
    <w:rsid w:val="00F71708"/>
    <w:rsid w:val="00F717C1"/>
    <w:rsid w:val="00F71AB3"/>
    <w:rsid w:val="00F725D3"/>
    <w:rsid w:val="00F7281E"/>
    <w:rsid w:val="00F72C1A"/>
    <w:rsid w:val="00F72C3D"/>
    <w:rsid w:val="00F73269"/>
    <w:rsid w:val="00F737AB"/>
    <w:rsid w:val="00F74216"/>
    <w:rsid w:val="00F74F0F"/>
    <w:rsid w:val="00F75731"/>
    <w:rsid w:val="00F75841"/>
    <w:rsid w:val="00F76333"/>
    <w:rsid w:val="00F77100"/>
    <w:rsid w:val="00F77C84"/>
    <w:rsid w:val="00F8090F"/>
    <w:rsid w:val="00F8139A"/>
    <w:rsid w:val="00F82AAE"/>
    <w:rsid w:val="00F834BE"/>
    <w:rsid w:val="00F838A9"/>
    <w:rsid w:val="00F849E3"/>
    <w:rsid w:val="00F84B4E"/>
    <w:rsid w:val="00F84C44"/>
    <w:rsid w:val="00F851B7"/>
    <w:rsid w:val="00F8566C"/>
    <w:rsid w:val="00F858D4"/>
    <w:rsid w:val="00F85C65"/>
    <w:rsid w:val="00F860EB"/>
    <w:rsid w:val="00F86268"/>
    <w:rsid w:val="00F868B6"/>
    <w:rsid w:val="00F86968"/>
    <w:rsid w:val="00F86C37"/>
    <w:rsid w:val="00F86E21"/>
    <w:rsid w:val="00F86E42"/>
    <w:rsid w:val="00F86FD9"/>
    <w:rsid w:val="00F876E6"/>
    <w:rsid w:val="00F87825"/>
    <w:rsid w:val="00F87838"/>
    <w:rsid w:val="00F879E8"/>
    <w:rsid w:val="00F87FCE"/>
    <w:rsid w:val="00F9008B"/>
    <w:rsid w:val="00F91669"/>
    <w:rsid w:val="00F9184F"/>
    <w:rsid w:val="00F91943"/>
    <w:rsid w:val="00F92A66"/>
    <w:rsid w:val="00F931CF"/>
    <w:rsid w:val="00F93A31"/>
    <w:rsid w:val="00F93BA1"/>
    <w:rsid w:val="00F93D6E"/>
    <w:rsid w:val="00F9423D"/>
    <w:rsid w:val="00F94609"/>
    <w:rsid w:val="00F95182"/>
    <w:rsid w:val="00F957D2"/>
    <w:rsid w:val="00F95D94"/>
    <w:rsid w:val="00F96F86"/>
    <w:rsid w:val="00F97711"/>
    <w:rsid w:val="00FA02B8"/>
    <w:rsid w:val="00FA0980"/>
    <w:rsid w:val="00FA1028"/>
    <w:rsid w:val="00FA10F7"/>
    <w:rsid w:val="00FA157E"/>
    <w:rsid w:val="00FA181F"/>
    <w:rsid w:val="00FA1C1F"/>
    <w:rsid w:val="00FA1E82"/>
    <w:rsid w:val="00FA2137"/>
    <w:rsid w:val="00FA21B0"/>
    <w:rsid w:val="00FA272D"/>
    <w:rsid w:val="00FA2C40"/>
    <w:rsid w:val="00FA338D"/>
    <w:rsid w:val="00FA34A2"/>
    <w:rsid w:val="00FA3742"/>
    <w:rsid w:val="00FA3837"/>
    <w:rsid w:val="00FA39FC"/>
    <w:rsid w:val="00FA44B4"/>
    <w:rsid w:val="00FA4538"/>
    <w:rsid w:val="00FA486C"/>
    <w:rsid w:val="00FA4998"/>
    <w:rsid w:val="00FA4DC2"/>
    <w:rsid w:val="00FA5EA3"/>
    <w:rsid w:val="00FA67E3"/>
    <w:rsid w:val="00FA7157"/>
    <w:rsid w:val="00FA73A6"/>
    <w:rsid w:val="00FA7698"/>
    <w:rsid w:val="00FA78C2"/>
    <w:rsid w:val="00FA7A2D"/>
    <w:rsid w:val="00FA7B4F"/>
    <w:rsid w:val="00FA7F36"/>
    <w:rsid w:val="00FB06E7"/>
    <w:rsid w:val="00FB06E9"/>
    <w:rsid w:val="00FB0822"/>
    <w:rsid w:val="00FB09AA"/>
    <w:rsid w:val="00FB1093"/>
    <w:rsid w:val="00FB13A0"/>
    <w:rsid w:val="00FB227E"/>
    <w:rsid w:val="00FB267D"/>
    <w:rsid w:val="00FB2A18"/>
    <w:rsid w:val="00FB2BF4"/>
    <w:rsid w:val="00FB2C8D"/>
    <w:rsid w:val="00FB2DC6"/>
    <w:rsid w:val="00FB4FDE"/>
    <w:rsid w:val="00FB5E81"/>
    <w:rsid w:val="00FB6E6C"/>
    <w:rsid w:val="00FB71B0"/>
    <w:rsid w:val="00FB7ABA"/>
    <w:rsid w:val="00FB7C21"/>
    <w:rsid w:val="00FB7C46"/>
    <w:rsid w:val="00FC04E0"/>
    <w:rsid w:val="00FC0D98"/>
    <w:rsid w:val="00FC1042"/>
    <w:rsid w:val="00FC11C6"/>
    <w:rsid w:val="00FC17D8"/>
    <w:rsid w:val="00FC279A"/>
    <w:rsid w:val="00FC324D"/>
    <w:rsid w:val="00FC39A1"/>
    <w:rsid w:val="00FC3BC3"/>
    <w:rsid w:val="00FC3E47"/>
    <w:rsid w:val="00FC4B53"/>
    <w:rsid w:val="00FC4BAE"/>
    <w:rsid w:val="00FC5160"/>
    <w:rsid w:val="00FC5A36"/>
    <w:rsid w:val="00FC69CF"/>
    <w:rsid w:val="00FC6B0B"/>
    <w:rsid w:val="00FC713B"/>
    <w:rsid w:val="00FC7862"/>
    <w:rsid w:val="00FC79D5"/>
    <w:rsid w:val="00FC7B35"/>
    <w:rsid w:val="00FC7B53"/>
    <w:rsid w:val="00FD0177"/>
    <w:rsid w:val="00FD051A"/>
    <w:rsid w:val="00FD0AE7"/>
    <w:rsid w:val="00FD0B44"/>
    <w:rsid w:val="00FD0F70"/>
    <w:rsid w:val="00FD2315"/>
    <w:rsid w:val="00FD29A7"/>
    <w:rsid w:val="00FD2B15"/>
    <w:rsid w:val="00FD3092"/>
    <w:rsid w:val="00FD35A1"/>
    <w:rsid w:val="00FD40FC"/>
    <w:rsid w:val="00FD412E"/>
    <w:rsid w:val="00FD420F"/>
    <w:rsid w:val="00FD4F2F"/>
    <w:rsid w:val="00FD51F7"/>
    <w:rsid w:val="00FD5258"/>
    <w:rsid w:val="00FD5602"/>
    <w:rsid w:val="00FD5A2A"/>
    <w:rsid w:val="00FD5AE2"/>
    <w:rsid w:val="00FD62B4"/>
    <w:rsid w:val="00FD7142"/>
    <w:rsid w:val="00FD750F"/>
    <w:rsid w:val="00FE011C"/>
    <w:rsid w:val="00FE07DC"/>
    <w:rsid w:val="00FE1116"/>
    <w:rsid w:val="00FE1E64"/>
    <w:rsid w:val="00FE2075"/>
    <w:rsid w:val="00FE2080"/>
    <w:rsid w:val="00FE2647"/>
    <w:rsid w:val="00FE27B9"/>
    <w:rsid w:val="00FE2E37"/>
    <w:rsid w:val="00FE3156"/>
    <w:rsid w:val="00FE3640"/>
    <w:rsid w:val="00FE3780"/>
    <w:rsid w:val="00FE3954"/>
    <w:rsid w:val="00FE3CF7"/>
    <w:rsid w:val="00FE4071"/>
    <w:rsid w:val="00FE42E3"/>
    <w:rsid w:val="00FE4ECD"/>
    <w:rsid w:val="00FE52B7"/>
    <w:rsid w:val="00FE53C5"/>
    <w:rsid w:val="00FE5807"/>
    <w:rsid w:val="00FE5C39"/>
    <w:rsid w:val="00FE5C57"/>
    <w:rsid w:val="00FE624E"/>
    <w:rsid w:val="00FE6415"/>
    <w:rsid w:val="00FE69E7"/>
    <w:rsid w:val="00FE6BB8"/>
    <w:rsid w:val="00FE6E76"/>
    <w:rsid w:val="00FE79AD"/>
    <w:rsid w:val="00FF027B"/>
    <w:rsid w:val="00FF1174"/>
    <w:rsid w:val="00FF165A"/>
    <w:rsid w:val="00FF1B72"/>
    <w:rsid w:val="00FF1CF1"/>
    <w:rsid w:val="00FF1F4C"/>
    <w:rsid w:val="00FF2654"/>
    <w:rsid w:val="00FF35DC"/>
    <w:rsid w:val="00FF3A6A"/>
    <w:rsid w:val="00FF3C7A"/>
    <w:rsid w:val="00FF3E09"/>
    <w:rsid w:val="00FF411C"/>
    <w:rsid w:val="00FF4B2E"/>
    <w:rsid w:val="00FF4E4B"/>
    <w:rsid w:val="00FF4E4E"/>
    <w:rsid w:val="00FF5049"/>
    <w:rsid w:val="00FF5D1F"/>
    <w:rsid w:val="00FF5F95"/>
    <w:rsid w:val="00FF6126"/>
    <w:rsid w:val="00FF61F5"/>
    <w:rsid w:val="00FF62AA"/>
    <w:rsid w:val="00FF64D7"/>
    <w:rsid w:val="00FF6B6C"/>
    <w:rsid w:val="01420B2A"/>
    <w:rsid w:val="01AA2C10"/>
    <w:rsid w:val="01B43B68"/>
    <w:rsid w:val="0201343C"/>
    <w:rsid w:val="02412B40"/>
    <w:rsid w:val="02CB76A6"/>
    <w:rsid w:val="02D7201B"/>
    <w:rsid w:val="03292E3E"/>
    <w:rsid w:val="037738D8"/>
    <w:rsid w:val="03D814FB"/>
    <w:rsid w:val="03EE579D"/>
    <w:rsid w:val="04137447"/>
    <w:rsid w:val="048C777F"/>
    <w:rsid w:val="059E3096"/>
    <w:rsid w:val="05A96137"/>
    <w:rsid w:val="05B53FF0"/>
    <w:rsid w:val="05C200BF"/>
    <w:rsid w:val="064E058F"/>
    <w:rsid w:val="069908F5"/>
    <w:rsid w:val="06BD3CC0"/>
    <w:rsid w:val="075F0692"/>
    <w:rsid w:val="076D0A84"/>
    <w:rsid w:val="08E16B89"/>
    <w:rsid w:val="08F53B23"/>
    <w:rsid w:val="09903C9B"/>
    <w:rsid w:val="0A070656"/>
    <w:rsid w:val="0A48631A"/>
    <w:rsid w:val="0A52393D"/>
    <w:rsid w:val="0A913ED8"/>
    <w:rsid w:val="0B24171E"/>
    <w:rsid w:val="0B4B1C27"/>
    <w:rsid w:val="0B675E29"/>
    <w:rsid w:val="0BB33687"/>
    <w:rsid w:val="0BEF4AC3"/>
    <w:rsid w:val="0BF169FF"/>
    <w:rsid w:val="0C5865E4"/>
    <w:rsid w:val="0C9B098C"/>
    <w:rsid w:val="0D081F34"/>
    <w:rsid w:val="0D584403"/>
    <w:rsid w:val="0D5A4775"/>
    <w:rsid w:val="0DDA523F"/>
    <w:rsid w:val="0DDE4BDD"/>
    <w:rsid w:val="0EAB6A89"/>
    <w:rsid w:val="0F333B7C"/>
    <w:rsid w:val="0F632E3F"/>
    <w:rsid w:val="0FDC2F2D"/>
    <w:rsid w:val="101C0A97"/>
    <w:rsid w:val="10503315"/>
    <w:rsid w:val="10BE10EE"/>
    <w:rsid w:val="10F67974"/>
    <w:rsid w:val="116353E3"/>
    <w:rsid w:val="117C7228"/>
    <w:rsid w:val="122D30E1"/>
    <w:rsid w:val="12744836"/>
    <w:rsid w:val="1291787D"/>
    <w:rsid w:val="12D6790A"/>
    <w:rsid w:val="12DB7D35"/>
    <w:rsid w:val="12F438A7"/>
    <w:rsid w:val="133A44C3"/>
    <w:rsid w:val="13592E88"/>
    <w:rsid w:val="13977E74"/>
    <w:rsid w:val="141B7F51"/>
    <w:rsid w:val="146F2C7A"/>
    <w:rsid w:val="149C4D8A"/>
    <w:rsid w:val="149E4992"/>
    <w:rsid w:val="14B412C1"/>
    <w:rsid w:val="14D40EDF"/>
    <w:rsid w:val="14EB72AF"/>
    <w:rsid w:val="14FC19F6"/>
    <w:rsid w:val="15510EA2"/>
    <w:rsid w:val="159B0AFE"/>
    <w:rsid w:val="15A217AD"/>
    <w:rsid w:val="15C026F1"/>
    <w:rsid w:val="15C34AB0"/>
    <w:rsid w:val="15CD0F54"/>
    <w:rsid w:val="1672102C"/>
    <w:rsid w:val="167C2A26"/>
    <w:rsid w:val="17064457"/>
    <w:rsid w:val="170C5478"/>
    <w:rsid w:val="17807ED6"/>
    <w:rsid w:val="17B701CF"/>
    <w:rsid w:val="183B4DEC"/>
    <w:rsid w:val="189439F5"/>
    <w:rsid w:val="18C643E3"/>
    <w:rsid w:val="1A3F729E"/>
    <w:rsid w:val="1A442DE9"/>
    <w:rsid w:val="1A554870"/>
    <w:rsid w:val="1A5A3DE4"/>
    <w:rsid w:val="1AB52BBF"/>
    <w:rsid w:val="1BF12377"/>
    <w:rsid w:val="1C022CE0"/>
    <w:rsid w:val="1D321E13"/>
    <w:rsid w:val="1D84721B"/>
    <w:rsid w:val="1E084A5D"/>
    <w:rsid w:val="1E752BE2"/>
    <w:rsid w:val="1E8079E2"/>
    <w:rsid w:val="1EA03AE2"/>
    <w:rsid w:val="1F1A78D0"/>
    <w:rsid w:val="1F462152"/>
    <w:rsid w:val="1F6B6784"/>
    <w:rsid w:val="1F6B68E4"/>
    <w:rsid w:val="20780ECB"/>
    <w:rsid w:val="208704B8"/>
    <w:rsid w:val="210A174A"/>
    <w:rsid w:val="21455F84"/>
    <w:rsid w:val="22066660"/>
    <w:rsid w:val="224176AA"/>
    <w:rsid w:val="2265761B"/>
    <w:rsid w:val="228C1199"/>
    <w:rsid w:val="229870CA"/>
    <w:rsid w:val="22EE44E8"/>
    <w:rsid w:val="234B6811"/>
    <w:rsid w:val="235634BB"/>
    <w:rsid w:val="237E3B0E"/>
    <w:rsid w:val="23930DD4"/>
    <w:rsid w:val="23C807C0"/>
    <w:rsid w:val="23CE221A"/>
    <w:rsid w:val="242D24F6"/>
    <w:rsid w:val="24801EBF"/>
    <w:rsid w:val="2496315D"/>
    <w:rsid w:val="24977600"/>
    <w:rsid w:val="24B66149"/>
    <w:rsid w:val="24C15E8D"/>
    <w:rsid w:val="25E95111"/>
    <w:rsid w:val="264C2FC6"/>
    <w:rsid w:val="26517A4F"/>
    <w:rsid w:val="265D3BB9"/>
    <w:rsid w:val="26AA0F6E"/>
    <w:rsid w:val="272F1A96"/>
    <w:rsid w:val="27AC0841"/>
    <w:rsid w:val="27B6199A"/>
    <w:rsid w:val="28260244"/>
    <w:rsid w:val="2848646B"/>
    <w:rsid w:val="286909E6"/>
    <w:rsid w:val="28D341DE"/>
    <w:rsid w:val="2952197F"/>
    <w:rsid w:val="297B0CF7"/>
    <w:rsid w:val="29F80327"/>
    <w:rsid w:val="2A51423E"/>
    <w:rsid w:val="2A564F1C"/>
    <w:rsid w:val="2A842ABF"/>
    <w:rsid w:val="2AF0459A"/>
    <w:rsid w:val="2AF32708"/>
    <w:rsid w:val="2B1E0D76"/>
    <w:rsid w:val="2B7357F6"/>
    <w:rsid w:val="2C5367BE"/>
    <w:rsid w:val="2CB00693"/>
    <w:rsid w:val="2D177764"/>
    <w:rsid w:val="2DA336ED"/>
    <w:rsid w:val="2DAE631A"/>
    <w:rsid w:val="2DF767B4"/>
    <w:rsid w:val="2EBF307B"/>
    <w:rsid w:val="2EDD2DD9"/>
    <w:rsid w:val="2EEF2748"/>
    <w:rsid w:val="2EF55319"/>
    <w:rsid w:val="2EFA61AC"/>
    <w:rsid w:val="2F723467"/>
    <w:rsid w:val="2FF16992"/>
    <w:rsid w:val="3025663B"/>
    <w:rsid w:val="306972E7"/>
    <w:rsid w:val="30A76502"/>
    <w:rsid w:val="315B16AB"/>
    <w:rsid w:val="31C66EB6"/>
    <w:rsid w:val="32256095"/>
    <w:rsid w:val="32A001FB"/>
    <w:rsid w:val="32A02B99"/>
    <w:rsid w:val="32A92FC3"/>
    <w:rsid w:val="32D16A1D"/>
    <w:rsid w:val="33015F31"/>
    <w:rsid w:val="337F50A0"/>
    <w:rsid w:val="339969C2"/>
    <w:rsid w:val="33A9017A"/>
    <w:rsid w:val="33C43F5B"/>
    <w:rsid w:val="33D414D0"/>
    <w:rsid w:val="33E365F1"/>
    <w:rsid w:val="34C76E8F"/>
    <w:rsid w:val="35C67F79"/>
    <w:rsid w:val="35CD358A"/>
    <w:rsid w:val="362A09EF"/>
    <w:rsid w:val="36512FD4"/>
    <w:rsid w:val="36974221"/>
    <w:rsid w:val="369C1105"/>
    <w:rsid w:val="36BB0EBE"/>
    <w:rsid w:val="37467D39"/>
    <w:rsid w:val="385F359C"/>
    <w:rsid w:val="389F7439"/>
    <w:rsid w:val="3A040A3F"/>
    <w:rsid w:val="3A550950"/>
    <w:rsid w:val="3A7B4B22"/>
    <w:rsid w:val="3AF11C2B"/>
    <w:rsid w:val="3AFD61EB"/>
    <w:rsid w:val="3B305B33"/>
    <w:rsid w:val="3BA80B19"/>
    <w:rsid w:val="3BBF7944"/>
    <w:rsid w:val="3BF5780A"/>
    <w:rsid w:val="3C08753D"/>
    <w:rsid w:val="3C186701"/>
    <w:rsid w:val="3C4240EC"/>
    <w:rsid w:val="3C5D4096"/>
    <w:rsid w:val="3D080631"/>
    <w:rsid w:val="3D670293"/>
    <w:rsid w:val="3DA101CD"/>
    <w:rsid w:val="3DAE1A1E"/>
    <w:rsid w:val="3E3B5C86"/>
    <w:rsid w:val="3E997760"/>
    <w:rsid w:val="3EB03C03"/>
    <w:rsid w:val="3F1E2BD3"/>
    <w:rsid w:val="3F3A1FEB"/>
    <w:rsid w:val="3F8773DB"/>
    <w:rsid w:val="405F6B9A"/>
    <w:rsid w:val="40805350"/>
    <w:rsid w:val="40885740"/>
    <w:rsid w:val="40912903"/>
    <w:rsid w:val="41067DC3"/>
    <w:rsid w:val="41CB5019"/>
    <w:rsid w:val="42253D73"/>
    <w:rsid w:val="424D27A0"/>
    <w:rsid w:val="427174BE"/>
    <w:rsid w:val="42DC0426"/>
    <w:rsid w:val="430A1DED"/>
    <w:rsid w:val="43561CA9"/>
    <w:rsid w:val="43AF32DF"/>
    <w:rsid w:val="43BF32E9"/>
    <w:rsid w:val="43C76649"/>
    <w:rsid w:val="444B06B6"/>
    <w:rsid w:val="44B91A5D"/>
    <w:rsid w:val="452F03D4"/>
    <w:rsid w:val="454F56BD"/>
    <w:rsid w:val="459A3BBF"/>
    <w:rsid w:val="45DE19D9"/>
    <w:rsid w:val="46295027"/>
    <w:rsid w:val="46432368"/>
    <w:rsid w:val="47735BB3"/>
    <w:rsid w:val="47843179"/>
    <w:rsid w:val="47B71E17"/>
    <w:rsid w:val="4878027E"/>
    <w:rsid w:val="48C37541"/>
    <w:rsid w:val="49ED4347"/>
    <w:rsid w:val="49FB7291"/>
    <w:rsid w:val="4A1F7490"/>
    <w:rsid w:val="4A6265F6"/>
    <w:rsid w:val="4AC62FB7"/>
    <w:rsid w:val="4AF875FC"/>
    <w:rsid w:val="4B143684"/>
    <w:rsid w:val="4B861669"/>
    <w:rsid w:val="4B9C37FE"/>
    <w:rsid w:val="4D4A1757"/>
    <w:rsid w:val="4D584965"/>
    <w:rsid w:val="4D7009BD"/>
    <w:rsid w:val="4DE730E2"/>
    <w:rsid w:val="4DEC52A6"/>
    <w:rsid w:val="4E51443B"/>
    <w:rsid w:val="4E6268C7"/>
    <w:rsid w:val="4E7445BE"/>
    <w:rsid w:val="4EAC5711"/>
    <w:rsid w:val="4EDA0D8F"/>
    <w:rsid w:val="4FBE01E7"/>
    <w:rsid w:val="4FEA3BF4"/>
    <w:rsid w:val="501E7361"/>
    <w:rsid w:val="50393424"/>
    <w:rsid w:val="50534BE9"/>
    <w:rsid w:val="505C7478"/>
    <w:rsid w:val="509C7EDA"/>
    <w:rsid w:val="50CD0C48"/>
    <w:rsid w:val="514F6023"/>
    <w:rsid w:val="51B2004B"/>
    <w:rsid w:val="51F4182D"/>
    <w:rsid w:val="525C5CA9"/>
    <w:rsid w:val="527C2D46"/>
    <w:rsid w:val="52B458D1"/>
    <w:rsid w:val="52CA2422"/>
    <w:rsid w:val="532C4DA1"/>
    <w:rsid w:val="53715570"/>
    <w:rsid w:val="53C47D96"/>
    <w:rsid w:val="54013662"/>
    <w:rsid w:val="55285859"/>
    <w:rsid w:val="55622629"/>
    <w:rsid w:val="557701D2"/>
    <w:rsid w:val="55B91357"/>
    <w:rsid w:val="56214EC6"/>
    <w:rsid w:val="56A738A1"/>
    <w:rsid w:val="56FD7EE0"/>
    <w:rsid w:val="577C0AA7"/>
    <w:rsid w:val="57B341F3"/>
    <w:rsid w:val="58171515"/>
    <w:rsid w:val="581E2406"/>
    <w:rsid w:val="5832241E"/>
    <w:rsid w:val="59350FDF"/>
    <w:rsid w:val="597C69BE"/>
    <w:rsid w:val="59B9618C"/>
    <w:rsid w:val="5A3A2DDD"/>
    <w:rsid w:val="5A417A01"/>
    <w:rsid w:val="5A68152E"/>
    <w:rsid w:val="5B751975"/>
    <w:rsid w:val="5B9F00C5"/>
    <w:rsid w:val="5BF84A80"/>
    <w:rsid w:val="5C010D5E"/>
    <w:rsid w:val="5C257476"/>
    <w:rsid w:val="5C4C447D"/>
    <w:rsid w:val="5CAD11D1"/>
    <w:rsid w:val="5D201747"/>
    <w:rsid w:val="5D236C42"/>
    <w:rsid w:val="5D66172C"/>
    <w:rsid w:val="5DA31D4F"/>
    <w:rsid w:val="5DA54957"/>
    <w:rsid w:val="5DF76D59"/>
    <w:rsid w:val="5E016FD2"/>
    <w:rsid w:val="5EC425A6"/>
    <w:rsid w:val="5ECA1FD8"/>
    <w:rsid w:val="5EDA6979"/>
    <w:rsid w:val="5F2D35C0"/>
    <w:rsid w:val="5F5F6BC4"/>
    <w:rsid w:val="6031230F"/>
    <w:rsid w:val="60447752"/>
    <w:rsid w:val="6063409F"/>
    <w:rsid w:val="607C2B6F"/>
    <w:rsid w:val="60855860"/>
    <w:rsid w:val="61501C31"/>
    <w:rsid w:val="61C13B66"/>
    <w:rsid w:val="623A6737"/>
    <w:rsid w:val="625247BE"/>
    <w:rsid w:val="62991FE0"/>
    <w:rsid w:val="63352116"/>
    <w:rsid w:val="63730F98"/>
    <w:rsid w:val="63A14D89"/>
    <w:rsid w:val="63CA5CD9"/>
    <w:rsid w:val="63FF1893"/>
    <w:rsid w:val="64441196"/>
    <w:rsid w:val="646978EA"/>
    <w:rsid w:val="64810A22"/>
    <w:rsid w:val="64A532CB"/>
    <w:rsid w:val="64D9684F"/>
    <w:rsid w:val="657D479F"/>
    <w:rsid w:val="65E87914"/>
    <w:rsid w:val="66925AD1"/>
    <w:rsid w:val="66B04994"/>
    <w:rsid w:val="66BF018E"/>
    <w:rsid w:val="66E423AF"/>
    <w:rsid w:val="672056DD"/>
    <w:rsid w:val="6761234C"/>
    <w:rsid w:val="677E1BB2"/>
    <w:rsid w:val="67877E34"/>
    <w:rsid w:val="68442DFB"/>
    <w:rsid w:val="68B910F3"/>
    <w:rsid w:val="68C70FC8"/>
    <w:rsid w:val="68F4037D"/>
    <w:rsid w:val="68FD5EA1"/>
    <w:rsid w:val="69843FC2"/>
    <w:rsid w:val="69F53552"/>
    <w:rsid w:val="6A6652AB"/>
    <w:rsid w:val="6A7744B4"/>
    <w:rsid w:val="6AC61AB6"/>
    <w:rsid w:val="6B241A17"/>
    <w:rsid w:val="6B28556D"/>
    <w:rsid w:val="6B7A2359"/>
    <w:rsid w:val="6C1F3182"/>
    <w:rsid w:val="6CFF17A4"/>
    <w:rsid w:val="6D0C5512"/>
    <w:rsid w:val="6E9C0F6F"/>
    <w:rsid w:val="6EC864D6"/>
    <w:rsid w:val="6EDF575B"/>
    <w:rsid w:val="6F7F37A1"/>
    <w:rsid w:val="6F983C7A"/>
    <w:rsid w:val="6FC13B19"/>
    <w:rsid w:val="6FD902CD"/>
    <w:rsid w:val="70293D7A"/>
    <w:rsid w:val="703A21BF"/>
    <w:rsid w:val="70857767"/>
    <w:rsid w:val="70FA1D0F"/>
    <w:rsid w:val="7103031A"/>
    <w:rsid w:val="71121F70"/>
    <w:rsid w:val="71AD7318"/>
    <w:rsid w:val="71DF7820"/>
    <w:rsid w:val="726D70E7"/>
    <w:rsid w:val="72BE71E2"/>
    <w:rsid w:val="72E27330"/>
    <w:rsid w:val="73BD1556"/>
    <w:rsid w:val="740C0C71"/>
    <w:rsid w:val="744D5EC9"/>
    <w:rsid w:val="75151D30"/>
    <w:rsid w:val="75727FCC"/>
    <w:rsid w:val="75D00F7C"/>
    <w:rsid w:val="75FC6AC3"/>
    <w:rsid w:val="76275962"/>
    <w:rsid w:val="764746B2"/>
    <w:rsid w:val="76D14572"/>
    <w:rsid w:val="7792036D"/>
    <w:rsid w:val="77C10136"/>
    <w:rsid w:val="77CC74DE"/>
    <w:rsid w:val="77E85551"/>
    <w:rsid w:val="783F6BBC"/>
    <w:rsid w:val="78BD70C0"/>
    <w:rsid w:val="78D81A29"/>
    <w:rsid w:val="79E65A52"/>
    <w:rsid w:val="7A00024C"/>
    <w:rsid w:val="7A013D0B"/>
    <w:rsid w:val="7A3538A9"/>
    <w:rsid w:val="7A7C4102"/>
    <w:rsid w:val="7AE2589C"/>
    <w:rsid w:val="7B1403CC"/>
    <w:rsid w:val="7B2745E3"/>
    <w:rsid w:val="7B4A432A"/>
    <w:rsid w:val="7BF614AB"/>
    <w:rsid w:val="7C67035B"/>
    <w:rsid w:val="7C744EE5"/>
    <w:rsid w:val="7C9C4E59"/>
    <w:rsid w:val="7CD442F6"/>
    <w:rsid w:val="7D3B4132"/>
    <w:rsid w:val="7D3D3C30"/>
    <w:rsid w:val="7D776176"/>
    <w:rsid w:val="7E1700E3"/>
    <w:rsid w:val="7E477448"/>
    <w:rsid w:val="7ED2669B"/>
    <w:rsid w:val="7F8E34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semiHidden="0"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qFormat="1" w:uiPriority="99" w:semiHidden="0" w:name="footnote reference"/>
    <w:lsdException w:qFormat="1" w:uiPriority="99" w:semiHidden="0" w:name="annotation reference"/>
    <w:lsdException w:uiPriority="99" w:name="line number"/>
    <w:lsdException w:qFormat="1" w:unhideWhenUsed="0" w:uiPriority="0" w:semiHidden="0"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1"/>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59"/>
    <w:qFormat/>
    <w:uiPriority w:val="0"/>
    <w:pPr>
      <w:keepNext/>
      <w:keepLines/>
      <w:spacing w:before="260" w:after="260" w:line="416" w:lineRule="auto"/>
      <w:outlineLvl w:val="1"/>
    </w:pPr>
    <w:rPr>
      <w:rFonts w:ascii="Arial" w:hAnsi="Arial" w:eastAsia="黑体"/>
      <w:b/>
      <w:bCs/>
      <w:kern w:val="0"/>
      <w:sz w:val="32"/>
      <w:szCs w:val="32"/>
    </w:rPr>
  </w:style>
  <w:style w:type="paragraph" w:styleId="5">
    <w:name w:val="heading 3"/>
    <w:basedOn w:val="1"/>
    <w:next w:val="1"/>
    <w:link w:val="62"/>
    <w:qFormat/>
    <w:uiPriority w:val="0"/>
    <w:pPr>
      <w:keepNext/>
      <w:keepLines/>
      <w:spacing w:before="260" w:after="260" w:line="416" w:lineRule="auto"/>
      <w:outlineLvl w:val="2"/>
    </w:pPr>
    <w:rPr>
      <w:b/>
      <w:bCs/>
      <w:kern w:val="0"/>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8"/>
    <w:link w:val="63"/>
    <w:qFormat/>
    <w:uiPriority w:val="0"/>
    <w:pPr>
      <w:keepNext/>
      <w:keepLines/>
      <w:numPr>
        <w:ilvl w:val="4"/>
        <w:numId w:val="1"/>
      </w:numPr>
      <w:spacing w:before="280" w:after="290" w:line="376" w:lineRule="auto"/>
      <w:outlineLvl w:val="4"/>
    </w:pPr>
    <w:rPr>
      <w:b/>
      <w:sz w:val="28"/>
    </w:rPr>
  </w:style>
  <w:style w:type="paragraph" w:styleId="9">
    <w:name w:val="heading 6"/>
    <w:basedOn w:val="1"/>
    <w:next w:val="8"/>
    <w:link w:val="64"/>
    <w:qFormat/>
    <w:uiPriority w:val="0"/>
    <w:pPr>
      <w:keepNext/>
      <w:keepLines/>
      <w:numPr>
        <w:ilvl w:val="5"/>
        <w:numId w:val="1"/>
      </w:numPr>
      <w:spacing w:before="240" w:after="64" w:line="320" w:lineRule="auto"/>
      <w:outlineLvl w:val="5"/>
    </w:pPr>
    <w:rPr>
      <w:rFonts w:ascii="Arial" w:hAnsi="Arial" w:eastAsia="黑体"/>
      <w:b/>
      <w:sz w:val="24"/>
    </w:rPr>
  </w:style>
  <w:style w:type="paragraph" w:styleId="10">
    <w:name w:val="heading 7"/>
    <w:basedOn w:val="1"/>
    <w:next w:val="8"/>
    <w:link w:val="65"/>
    <w:qFormat/>
    <w:uiPriority w:val="0"/>
    <w:pPr>
      <w:keepNext/>
      <w:keepLines/>
      <w:numPr>
        <w:ilvl w:val="6"/>
        <w:numId w:val="1"/>
      </w:numPr>
      <w:spacing w:before="240" w:after="64" w:line="320" w:lineRule="auto"/>
      <w:outlineLvl w:val="6"/>
    </w:pPr>
    <w:rPr>
      <w:b/>
      <w:sz w:val="24"/>
    </w:rPr>
  </w:style>
  <w:style w:type="paragraph" w:styleId="11">
    <w:name w:val="heading 8"/>
    <w:basedOn w:val="1"/>
    <w:next w:val="8"/>
    <w:link w:val="66"/>
    <w:qFormat/>
    <w:uiPriority w:val="0"/>
    <w:pPr>
      <w:keepNext/>
      <w:keepLines/>
      <w:numPr>
        <w:ilvl w:val="7"/>
        <w:numId w:val="1"/>
      </w:numPr>
      <w:spacing w:before="240" w:after="64" w:line="320" w:lineRule="auto"/>
      <w:outlineLvl w:val="7"/>
    </w:pPr>
    <w:rPr>
      <w:rFonts w:ascii="Arial" w:hAnsi="Arial" w:eastAsia="黑体"/>
      <w:sz w:val="24"/>
    </w:rPr>
  </w:style>
  <w:style w:type="paragraph" w:styleId="12">
    <w:name w:val="heading 9"/>
    <w:basedOn w:val="1"/>
    <w:next w:val="8"/>
    <w:link w:val="67"/>
    <w:qFormat/>
    <w:uiPriority w:val="0"/>
    <w:pPr>
      <w:keepNext/>
      <w:keepLines/>
      <w:numPr>
        <w:ilvl w:val="8"/>
        <w:numId w:val="1"/>
      </w:numPr>
      <w:spacing w:before="240" w:after="64" w:line="320" w:lineRule="auto"/>
      <w:outlineLvl w:val="8"/>
    </w:pPr>
    <w:rPr>
      <w:rFonts w:ascii="Arial" w:hAnsi="Arial" w:eastAsia="黑体"/>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60"/>
    <w:qFormat/>
    <w:uiPriority w:val="99"/>
    <w:pPr>
      <w:spacing w:line="380" w:lineRule="exact"/>
    </w:pPr>
    <w:rPr>
      <w:kern w:val="0"/>
      <w:sz w:val="24"/>
    </w:rPr>
  </w:style>
  <w:style w:type="paragraph" w:styleId="8">
    <w:name w:val="Normal Indent"/>
    <w:basedOn w:val="1"/>
    <w:qFormat/>
    <w:uiPriority w:val="0"/>
    <w:pPr>
      <w:ind w:firstLine="420"/>
    </w:pPr>
    <w:rPr>
      <w:szCs w:val="20"/>
    </w:rPr>
  </w:style>
  <w:style w:type="paragraph" w:styleId="13">
    <w:name w:val="toc 7"/>
    <w:basedOn w:val="1"/>
    <w:next w:val="1"/>
    <w:unhideWhenUsed/>
    <w:qFormat/>
    <w:uiPriority w:val="39"/>
    <w:pPr>
      <w:ind w:left="2520" w:leftChars="1200"/>
    </w:pPr>
    <w:rPr>
      <w:rFonts w:ascii="Calibri" w:hAnsi="Calibri"/>
      <w:szCs w:val="22"/>
    </w:rPr>
  </w:style>
  <w:style w:type="paragraph" w:styleId="14">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5">
    <w:name w:val="caption"/>
    <w:basedOn w:val="1"/>
    <w:next w:val="1"/>
    <w:qFormat/>
    <w:uiPriority w:val="0"/>
    <w:pPr>
      <w:spacing w:before="152" w:after="160"/>
    </w:pPr>
    <w:rPr>
      <w:rFonts w:ascii="Arial" w:hAnsi="Arial" w:eastAsia="黑体" w:cs="Arial"/>
      <w:sz w:val="20"/>
      <w:szCs w:val="20"/>
    </w:rPr>
  </w:style>
  <w:style w:type="paragraph" w:styleId="16">
    <w:name w:val="annotation text"/>
    <w:basedOn w:val="1"/>
    <w:link w:val="68"/>
    <w:unhideWhenUsed/>
    <w:qFormat/>
    <w:uiPriority w:val="0"/>
    <w:pPr>
      <w:jc w:val="left"/>
    </w:pPr>
  </w:style>
  <w:style w:type="paragraph" w:styleId="17">
    <w:name w:val="Body Text 3"/>
    <w:basedOn w:val="1"/>
    <w:link w:val="69"/>
    <w:qFormat/>
    <w:uiPriority w:val="0"/>
    <w:pPr>
      <w:spacing w:line="500" w:lineRule="exact"/>
    </w:pPr>
    <w:rPr>
      <w:b/>
      <w:bCs/>
      <w:kern w:val="0"/>
      <w:sz w:val="24"/>
    </w:rPr>
  </w:style>
  <w:style w:type="paragraph" w:styleId="18">
    <w:name w:val="Body Text Indent"/>
    <w:basedOn w:val="1"/>
    <w:next w:val="19"/>
    <w:link w:val="70"/>
    <w:qFormat/>
    <w:uiPriority w:val="0"/>
    <w:pPr>
      <w:ind w:firstLine="830" w:firstLineChars="352"/>
    </w:pPr>
    <w:rPr>
      <w:rFonts w:ascii="仿宋_GB2312" w:eastAsia="仿宋_GB2312"/>
      <w:kern w:val="0"/>
      <w:sz w:val="32"/>
      <w:szCs w:val="20"/>
    </w:rPr>
  </w:style>
  <w:style w:type="paragraph" w:styleId="19">
    <w:name w:val="envelope return"/>
    <w:basedOn w:val="1"/>
    <w:qFormat/>
    <w:uiPriority w:val="0"/>
  </w:style>
  <w:style w:type="paragraph" w:styleId="20">
    <w:name w:val="List Number 3"/>
    <w:basedOn w:val="1"/>
    <w:qFormat/>
    <w:uiPriority w:val="0"/>
    <w:pPr>
      <w:numPr>
        <w:ilvl w:val="0"/>
        <w:numId w:val="2"/>
      </w:numPr>
    </w:pPr>
  </w:style>
  <w:style w:type="paragraph" w:styleId="21">
    <w:name w:val="List 2"/>
    <w:basedOn w:val="1"/>
    <w:qFormat/>
    <w:uiPriority w:val="0"/>
    <w:pPr>
      <w:ind w:left="100" w:leftChars="200" w:hanging="200" w:hangingChars="200"/>
    </w:pPr>
    <w:rPr>
      <w:sz w:val="28"/>
    </w:rPr>
  </w:style>
  <w:style w:type="paragraph" w:styleId="22">
    <w:name w:val="toc 5"/>
    <w:basedOn w:val="1"/>
    <w:next w:val="1"/>
    <w:unhideWhenUsed/>
    <w:qFormat/>
    <w:uiPriority w:val="39"/>
    <w:pPr>
      <w:ind w:left="1680" w:leftChars="800"/>
    </w:pPr>
    <w:rPr>
      <w:rFonts w:ascii="Calibri" w:hAnsi="Calibri"/>
      <w:szCs w:val="22"/>
    </w:rPr>
  </w:style>
  <w:style w:type="paragraph" w:styleId="23">
    <w:name w:val="toc 3"/>
    <w:basedOn w:val="1"/>
    <w:next w:val="1"/>
    <w:unhideWhenUsed/>
    <w:qFormat/>
    <w:uiPriority w:val="39"/>
    <w:pPr>
      <w:ind w:left="840" w:leftChars="400"/>
    </w:pPr>
    <w:rPr>
      <w:rFonts w:ascii="Calibri" w:hAnsi="Calibri"/>
      <w:szCs w:val="22"/>
    </w:rPr>
  </w:style>
  <w:style w:type="paragraph" w:styleId="24">
    <w:name w:val="Plain Text"/>
    <w:basedOn w:val="1"/>
    <w:next w:val="1"/>
    <w:link w:val="71"/>
    <w:qFormat/>
    <w:uiPriority w:val="0"/>
    <w:rPr>
      <w:rFonts w:ascii="宋体" w:hAnsi="Courier New"/>
      <w:kern w:val="0"/>
      <w:sz w:val="20"/>
      <w:szCs w:val="21"/>
    </w:rPr>
  </w:style>
  <w:style w:type="paragraph" w:styleId="25">
    <w:name w:val="toc 8"/>
    <w:basedOn w:val="1"/>
    <w:next w:val="1"/>
    <w:unhideWhenUsed/>
    <w:qFormat/>
    <w:uiPriority w:val="39"/>
    <w:pPr>
      <w:ind w:left="2940" w:leftChars="1400"/>
    </w:pPr>
    <w:rPr>
      <w:rFonts w:ascii="Calibri" w:hAnsi="Calibri"/>
      <w:szCs w:val="22"/>
    </w:rPr>
  </w:style>
  <w:style w:type="paragraph" w:styleId="26">
    <w:name w:val="Date"/>
    <w:basedOn w:val="1"/>
    <w:next w:val="1"/>
    <w:link w:val="72"/>
    <w:qFormat/>
    <w:uiPriority w:val="0"/>
    <w:pPr>
      <w:ind w:left="100" w:leftChars="2500"/>
    </w:pPr>
    <w:rPr>
      <w:rFonts w:ascii="宋体" w:hAnsi="Courier New"/>
      <w:kern w:val="0"/>
      <w:sz w:val="20"/>
      <w:szCs w:val="21"/>
    </w:rPr>
  </w:style>
  <w:style w:type="paragraph" w:styleId="27">
    <w:name w:val="Body Text Indent 2"/>
    <w:basedOn w:val="1"/>
    <w:link w:val="73"/>
    <w:qFormat/>
    <w:uiPriority w:val="0"/>
    <w:pPr>
      <w:ind w:firstLine="630"/>
    </w:pPr>
    <w:rPr>
      <w:kern w:val="0"/>
      <w:sz w:val="32"/>
      <w:szCs w:val="20"/>
    </w:rPr>
  </w:style>
  <w:style w:type="paragraph" w:styleId="28">
    <w:name w:val="endnote text"/>
    <w:basedOn w:val="1"/>
    <w:link w:val="74"/>
    <w:unhideWhenUsed/>
    <w:qFormat/>
    <w:uiPriority w:val="99"/>
    <w:pPr>
      <w:snapToGrid w:val="0"/>
      <w:jc w:val="left"/>
    </w:pPr>
  </w:style>
  <w:style w:type="paragraph" w:styleId="29">
    <w:name w:val="Balloon Text"/>
    <w:basedOn w:val="1"/>
    <w:link w:val="75"/>
    <w:semiHidden/>
    <w:qFormat/>
    <w:uiPriority w:val="0"/>
    <w:rPr>
      <w:kern w:val="0"/>
      <w:sz w:val="18"/>
      <w:szCs w:val="18"/>
    </w:rPr>
  </w:style>
  <w:style w:type="paragraph" w:styleId="30">
    <w:name w:val="footer"/>
    <w:basedOn w:val="1"/>
    <w:link w:val="76"/>
    <w:unhideWhenUsed/>
    <w:qFormat/>
    <w:uiPriority w:val="99"/>
    <w:pPr>
      <w:tabs>
        <w:tab w:val="center" w:pos="4153"/>
        <w:tab w:val="right" w:pos="8306"/>
      </w:tabs>
      <w:snapToGrid w:val="0"/>
      <w:jc w:val="left"/>
    </w:pPr>
    <w:rPr>
      <w:kern w:val="0"/>
      <w:sz w:val="18"/>
      <w:szCs w:val="18"/>
    </w:rPr>
  </w:style>
  <w:style w:type="paragraph" w:styleId="31">
    <w:name w:val="header"/>
    <w:basedOn w:val="1"/>
    <w:link w:val="77"/>
    <w:unhideWhenUsed/>
    <w:qFormat/>
    <w:uiPriority w:val="99"/>
    <w:pPr>
      <w:pBdr>
        <w:bottom w:val="single" w:color="auto" w:sz="6" w:space="1"/>
      </w:pBdr>
      <w:tabs>
        <w:tab w:val="center" w:pos="0"/>
        <w:tab w:val="left" w:pos="8306"/>
      </w:tabs>
      <w:snapToGrid w:val="0"/>
      <w:jc w:val="center"/>
    </w:pPr>
    <w:rPr>
      <w:sz w:val="18"/>
      <w:szCs w:val="18"/>
    </w:rPr>
  </w:style>
  <w:style w:type="paragraph" w:styleId="32">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33">
    <w:name w:val="toc 4"/>
    <w:basedOn w:val="1"/>
    <w:next w:val="1"/>
    <w:unhideWhenUsed/>
    <w:qFormat/>
    <w:uiPriority w:val="39"/>
    <w:pPr>
      <w:ind w:left="1260" w:leftChars="600"/>
    </w:pPr>
    <w:rPr>
      <w:rFonts w:ascii="Calibri" w:hAnsi="Calibri"/>
      <w:szCs w:val="22"/>
    </w:rPr>
  </w:style>
  <w:style w:type="paragraph" w:styleId="34">
    <w:name w:val="List"/>
    <w:basedOn w:val="1"/>
    <w:qFormat/>
    <w:uiPriority w:val="0"/>
    <w:pPr>
      <w:ind w:left="200" w:hanging="200" w:hangingChars="200"/>
    </w:pPr>
    <w:rPr>
      <w:sz w:val="28"/>
    </w:rPr>
  </w:style>
  <w:style w:type="paragraph" w:styleId="35">
    <w:name w:val="footnote text"/>
    <w:basedOn w:val="1"/>
    <w:link w:val="78"/>
    <w:unhideWhenUsed/>
    <w:qFormat/>
    <w:uiPriority w:val="99"/>
    <w:pPr>
      <w:snapToGrid w:val="0"/>
      <w:jc w:val="left"/>
    </w:pPr>
    <w:rPr>
      <w:sz w:val="18"/>
      <w:szCs w:val="18"/>
    </w:rPr>
  </w:style>
  <w:style w:type="paragraph" w:styleId="36">
    <w:name w:val="toc 6"/>
    <w:basedOn w:val="1"/>
    <w:next w:val="1"/>
    <w:unhideWhenUsed/>
    <w:qFormat/>
    <w:uiPriority w:val="39"/>
    <w:pPr>
      <w:ind w:left="2100" w:leftChars="1000"/>
    </w:pPr>
    <w:rPr>
      <w:rFonts w:ascii="Calibri" w:hAnsi="Calibri"/>
      <w:szCs w:val="22"/>
    </w:rPr>
  </w:style>
  <w:style w:type="paragraph" w:styleId="37">
    <w:name w:val="Body Text Indent 3"/>
    <w:basedOn w:val="1"/>
    <w:link w:val="79"/>
    <w:qFormat/>
    <w:uiPriority w:val="0"/>
    <w:pPr>
      <w:spacing w:after="120"/>
      <w:ind w:left="420" w:leftChars="200"/>
    </w:pPr>
    <w:rPr>
      <w:kern w:val="0"/>
      <w:sz w:val="16"/>
      <w:szCs w:val="16"/>
    </w:rPr>
  </w:style>
  <w:style w:type="paragraph" w:styleId="38">
    <w:name w:val="toc 2"/>
    <w:basedOn w:val="1"/>
    <w:next w:val="1"/>
    <w:unhideWhenUsed/>
    <w:qFormat/>
    <w:uiPriority w:val="39"/>
    <w:pPr>
      <w:ind w:left="420" w:leftChars="200"/>
    </w:pPr>
  </w:style>
  <w:style w:type="paragraph" w:styleId="39">
    <w:name w:val="toc 9"/>
    <w:basedOn w:val="1"/>
    <w:next w:val="1"/>
    <w:unhideWhenUsed/>
    <w:qFormat/>
    <w:uiPriority w:val="39"/>
    <w:pPr>
      <w:ind w:left="3360" w:leftChars="1600"/>
    </w:pPr>
    <w:rPr>
      <w:rFonts w:ascii="Calibri" w:hAnsi="Calibri"/>
      <w:szCs w:val="22"/>
    </w:rPr>
  </w:style>
  <w:style w:type="paragraph" w:styleId="40">
    <w:name w:val="Body Text 2"/>
    <w:basedOn w:val="1"/>
    <w:link w:val="80"/>
    <w:qFormat/>
    <w:uiPriority w:val="0"/>
    <w:pPr>
      <w:spacing w:after="120" w:line="480" w:lineRule="auto"/>
    </w:pPr>
    <w:rPr>
      <w:kern w:val="0"/>
      <w:sz w:val="20"/>
    </w:rPr>
  </w:style>
  <w:style w:type="paragraph" w:styleId="41">
    <w:name w:val="Normal (Web)"/>
    <w:basedOn w:val="1"/>
    <w:qFormat/>
    <w:uiPriority w:val="99"/>
    <w:pPr>
      <w:widowControl/>
      <w:spacing w:before="100" w:beforeAutospacing="1" w:after="100" w:afterAutospacing="1"/>
      <w:jc w:val="left"/>
    </w:pPr>
    <w:rPr>
      <w:rFonts w:ascii="宋体" w:hAnsi="宋体"/>
      <w:kern w:val="0"/>
      <w:sz w:val="24"/>
    </w:rPr>
  </w:style>
  <w:style w:type="paragraph" w:styleId="42">
    <w:name w:val="index 1"/>
    <w:basedOn w:val="1"/>
    <w:next w:val="1"/>
    <w:semiHidden/>
    <w:qFormat/>
    <w:uiPriority w:val="0"/>
    <w:pPr>
      <w:spacing w:line="400" w:lineRule="exact"/>
      <w:ind w:firstLine="420" w:firstLineChars="200"/>
    </w:pPr>
    <w:rPr>
      <w:rFonts w:ascii="宋体" w:hAnsi="Courier New"/>
      <w:b/>
      <w:szCs w:val="20"/>
    </w:rPr>
  </w:style>
  <w:style w:type="paragraph" w:styleId="43">
    <w:name w:val="Title"/>
    <w:basedOn w:val="1"/>
    <w:next w:val="1"/>
    <w:link w:val="81"/>
    <w:qFormat/>
    <w:uiPriority w:val="10"/>
    <w:pPr>
      <w:spacing w:before="240" w:after="60"/>
      <w:jc w:val="center"/>
      <w:outlineLvl w:val="0"/>
    </w:pPr>
    <w:rPr>
      <w:rFonts w:ascii="Cambria" w:hAnsi="Cambria"/>
      <w:b/>
      <w:bCs/>
      <w:sz w:val="32"/>
      <w:szCs w:val="32"/>
    </w:rPr>
  </w:style>
  <w:style w:type="paragraph" w:styleId="44">
    <w:name w:val="annotation subject"/>
    <w:basedOn w:val="16"/>
    <w:next w:val="16"/>
    <w:link w:val="82"/>
    <w:unhideWhenUsed/>
    <w:qFormat/>
    <w:uiPriority w:val="99"/>
    <w:rPr>
      <w:b/>
      <w:bCs/>
    </w:rPr>
  </w:style>
  <w:style w:type="paragraph" w:styleId="45">
    <w:name w:val="Body Text First Indent"/>
    <w:basedOn w:val="2"/>
    <w:qFormat/>
    <w:uiPriority w:val="0"/>
    <w:pPr>
      <w:spacing w:line="600" w:lineRule="exact"/>
      <w:ind w:firstLine="602"/>
      <w:jc w:val="left"/>
    </w:pPr>
  </w:style>
  <w:style w:type="paragraph" w:styleId="46">
    <w:name w:val="Body Text First Indent 2"/>
    <w:basedOn w:val="18"/>
    <w:qFormat/>
    <w:uiPriority w:val="0"/>
    <w:pPr>
      <w:ind w:firstLine="420" w:firstLineChars="200"/>
    </w:pPr>
    <w:rPr>
      <w:kern w:val="2"/>
    </w:rPr>
  </w:style>
  <w:style w:type="table" w:styleId="48">
    <w:name w:val="Table Grid"/>
    <w:basedOn w:val="4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Strong"/>
    <w:basedOn w:val="49"/>
    <w:qFormat/>
    <w:uiPriority w:val="22"/>
    <w:rPr>
      <w:b/>
    </w:rPr>
  </w:style>
  <w:style w:type="character" w:styleId="51">
    <w:name w:val="endnote reference"/>
    <w:unhideWhenUsed/>
    <w:qFormat/>
    <w:uiPriority w:val="99"/>
    <w:rPr>
      <w:vertAlign w:val="superscript"/>
    </w:rPr>
  </w:style>
  <w:style w:type="character" w:styleId="52">
    <w:name w:val="page number"/>
    <w:qFormat/>
    <w:uiPriority w:val="0"/>
  </w:style>
  <w:style w:type="character" w:styleId="53">
    <w:name w:val="FollowedHyperlink"/>
    <w:qFormat/>
    <w:uiPriority w:val="0"/>
    <w:rPr>
      <w:color w:val="800080"/>
      <w:u w:val="single"/>
    </w:rPr>
  </w:style>
  <w:style w:type="character" w:styleId="54">
    <w:name w:val="Emphasis"/>
    <w:basedOn w:val="49"/>
    <w:qFormat/>
    <w:uiPriority w:val="20"/>
    <w:rPr>
      <w:i/>
    </w:rPr>
  </w:style>
  <w:style w:type="character" w:styleId="55">
    <w:name w:val="Hyperlink"/>
    <w:qFormat/>
    <w:uiPriority w:val="99"/>
    <w:rPr>
      <w:color w:val="0000FF"/>
      <w:u w:val="single"/>
    </w:rPr>
  </w:style>
  <w:style w:type="character" w:styleId="56">
    <w:name w:val="annotation reference"/>
    <w:unhideWhenUsed/>
    <w:qFormat/>
    <w:uiPriority w:val="99"/>
    <w:rPr>
      <w:sz w:val="21"/>
      <w:szCs w:val="21"/>
    </w:rPr>
  </w:style>
  <w:style w:type="character" w:styleId="57">
    <w:name w:val="footnote reference"/>
    <w:unhideWhenUsed/>
    <w:qFormat/>
    <w:uiPriority w:val="99"/>
    <w:rPr>
      <w:vertAlign w:val="superscript"/>
    </w:rPr>
  </w:style>
  <w:style w:type="character" w:customStyle="1" w:styleId="58">
    <w:name w:val="标题 1 字符"/>
    <w:qFormat/>
    <w:uiPriority w:val="9"/>
    <w:rPr>
      <w:rFonts w:ascii="Times New Roman" w:hAnsi="Times New Roman" w:eastAsia="宋体" w:cs="Times New Roman"/>
      <w:b/>
      <w:bCs/>
      <w:kern w:val="44"/>
      <w:sz w:val="44"/>
      <w:szCs w:val="44"/>
    </w:rPr>
  </w:style>
  <w:style w:type="character" w:customStyle="1" w:styleId="59">
    <w:name w:val="标题 2 字符"/>
    <w:link w:val="4"/>
    <w:qFormat/>
    <w:uiPriority w:val="0"/>
    <w:rPr>
      <w:rFonts w:ascii="Arial" w:hAnsi="Arial" w:eastAsia="黑体" w:cs="Times New Roman"/>
      <w:b/>
      <w:bCs/>
      <w:sz w:val="32"/>
      <w:szCs w:val="32"/>
    </w:rPr>
  </w:style>
  <w:style w:type="character" w:customStyle="1" w:styleId="60">
    <w:name w:val="正文文本 字符"/>
    <w:link w:val="2"/>
    <w:qFormat/>
    <w:uiPriority w:val="99"/>
    <w:rPr>
      <w:rFonts w:ascii="Times New Roman" w:hAnsi="Times New Roman" w:eastAsia="宋体" w:cs="Times New Roman"/>
      <w:sz w:val="24"/>
      <w:szCs w:val="24"/>
    </w:rPr>
  </w:style>
  <w:style w:type="character" w:customStyle="1" w:styleId="61">
    <w:name w:val="标题 1 字符1"/>
    <w:link w:val="3"/>
    <w:qFormat/>
    <w:uiPriority w:val="0"/>
    <w:rPr>
      <w:rFonts w:ascii="Times New Roman" w:hAnsi="Times New Roman" w:eastAsia="宋体" w:cs="Times New Roman"/>
      <w:b/>
      <w:bCs/>
      <w:kern w:val="44"/>
      <w:sz w:val="44"/>
      <w:szCs w:val="44"/>
    </w:rPr>
  </w:style>
  <w:style w:type="character" w:customStyle="1" w:styleId="62">
    <w:name w:val="标题 3 字符"/>
    <w:link w:val="5"/>
    <w:qFormat/>
    <w:uiPriority w:val="0"/>
    <w:rPr>
      <w:rFonts w:ascii="Times New Roman" w:hAnsi="Times New Roman" w:eastAsia="宋体" w:cs="Times New Roman"/>
      <w:b/>
      <w:bCs/>
      <w:sz w:val="32"/>
      <w:szCs w:val="32"/>
    </w:rPr>
  </w:style>
  <w:style w:type="character" w:customStyle="1" w:styleId="63">
    <w:name w:val="标题 5 字符"/>
    <w:link w:val="7"/>
    <w:qFormat/>
    <w:uiPriority w:val="0"/>
    <w:rPr>
      <w:b/>
      <w:kern w:val="2"/>
      <w:sz w:val="28"/>
      <w:szCs w:val="24"/>
    </w:rPr>
  </w:style>
  <w:style w:type="character" w:customStyle="1" w:styleId="64">
    <w:name w:val="标题 6 字符"/>
    <w:link w:val="9"/>
    <w:qFormat/>
    <w:uiPriority w:val="0"/>
    <w:rPr>
      <w:rFonts w:ascii="Arial" w:hAnsi="Arial" w:eastAsia="黑体"/>
      <w:b/>
      <w:kern w:val="2"/>
      <w:sz w:val="24"/>
      <w:szCs w:val="24"/>
    </w:rPr>
  </w:style>
  <w:style w:type="character" w:customStyle="1" w:styleId="65">
    <w:name w:val="标题 7 字符"/>
    <w:link w:val="10"/>
    <w:qFormat/>
    <w:uiPriority w:val="0"/>
    <w:rPr>
      <w:rFonts w:ascii="Times New Roman" w:hAnsi="Times New Roman"/>
      <w:b/>
      <w:kern w:val="2"/>
      <w:sz w:val="24"/>
      <w:szCs w:val="24"/>
    </w:rPr>
  </w:style>
  <w:style w:type="character" w:customStyle="1" w:styleId="66">
    <w:name w:val="标题 8 字符"/>
    <w:link w:val="11"/>
    <w:qFormat/>
    <w:uiPriority w:val="0"/>
    <w:rPr>
      <w:rFonts w:ascii="Arial" w:hAnsi="Arial" w:eastAsia="黑体"/>
      <w:kern w:val="2"/>
      <w:sz w:val="24"/>
      <w:szCs w:val="24"/>
    </w:rPr>
  </w:style>
  <w:style w:type="character" w:customStyle="1" w:styleId="67">
    <w:name w:val="标题 9 字符"/>
    <w:link w:val="12"/>
    <w:qFormat/>
    <w:uiPriority w:val="0"/>
    <w:rPr>
      <w:rFonts w:ascii="Arial" w:hAnsi="Arial" w:eastAsia="黑体"/>
      <w:kern w:val="2"/>
      <w:sz w:val="21"/>
      <w:szCs w:val="24"/>
    </w:rPr>
  </w:style>
  <w:style w:type="character" w:customStyle="1" w:styleId="68">
    <w:name w:val="批注文字 字符1"/>
    <w:link w:val="16"/>
    <w:qFormat/>
    <w:uiPriority w:val="0"/>
    <w:rPr>
      <w:rFonts w:ascii="Times New Roman" w:hAnsi="Times New Roman"/>
      <w:kern w:val="2"/>
      <w:sz w:val="21"/>
      <w:szCs w:val="24"/>
    </w:rPr>
  </w:style>
  <w:style w:type="character" w:customStyle="1" w:styleId="69">
    <w:name w:val="正文文本 3 字符"/>
    <w:link w:val="17"/>
    <w:qFormat/>
    <w:uiPriority w:val="0"/>
    <w:rPr>
      <w:rFonts w:ascii="Times New Roman" w:hAnsi="Times New Roman" w:eastAsia="宋体" w:cs="Times New Roman"/>
      <w:b/>
      <w:bCs/>
      <w:sz w:val="24"/>
      <w:szCs w:val="24"/>
    </w:rPr>
  </w:style>
  <w:style w:type="character" w:customStyle="1" w:styleId="70">
    <w:name w:val="正文文本缩进 字符1"/>
    <w:link w:val="18"/>
    <w:qFormat/>
    <w:uiPriority w:val="0"/>
    <w:rPr>
      <w:rFonts w:ascii="仿宋_GB2312" w:hAnsi="Times New Roman" w:eastAsia="仿宋_GB2312" w:cs="Times New Roman"/>
      <w:sz w:val="32"/>
      <w:szCs w:val="20"/>
    </w:rPr>
  </w:style>
  <w:style w:type="character" w:customStyle="1" w:styleId="71">
    <w:name w:val="纯文本 字符2"/>
    <w:link w:val="24"/>
    <w:qFormat/>
    <w:uiPriority w:val="0"/>
    <w:rPr>
      <w:rFonts w:ascii="宋体" w:hAnsi="Courier New" w:eastAsia="宋体" w:cs="Courier New"/>
      <w:szCs w:val="21"/>
    </w:rPr>
  </w:style>
  <w:style w:type="character" w:customStyle="1" w:styleId="72">
    <w:name w:val="日期 字符"/>
    <w:link w:val="26"/>
    <w:qFormat/>
    <w:uiPriority w:val="0"/>
    <w:rPr>
      <w:rFonts w:ascii="宋体" w:hAnsi="Courier New" w:eastAsia="宋体" w:cs="Courier New"/>
      <w:szCs w:val="21"/>
    </w:rPr>
  </w:style>
  <w:style w:type="character" w:customStyle="1" w:styleId="73">
    <w:name w:val="正文文本缩进 2 字符"/>
    <w:link w:val="27"/>
    <w:qFormat/>
    <w:uiPriority w:val="0"/>
    <w:rPr>
      <w:rFonts w:ascii="Times New Roman" w:hAnsi="Times New Roman" w:eastAsia="宋体" w:cs="Times New Roman"/>
      <w:sz w:val="32"/>
      <w:szCs w:val="20"/>
    </w:rPr>
  </w:style>
  <w:style w:type="character" w:customStyle="1" w:styleId="74">
    <w:name w:val="尾注文本 字符"/>
    <w:link w:val="28"/>
    <w:semiHidden/>
    <w:qFormat/>
    <w:uiPriority w:val="99"/>
    <w:rPr>
      <w:rFonts w:ascii="Times New Roman" w:hAnsi="Times New Roman"/>
      <w:kern w:val="2"/>
      <w:sz w:val="21"/>
      <w:szCs w:val="24"/>
    </w:rPr>
  </w:style>
  <w:style w:type="character" w:customStyle="1" w:styleId="75">
    <w:name w:val="批注框文本 字符"/>
    <w:link w:val="29"/>
    <w:semiHidden/>
    <w:qFormat/>
    <w:uiPriority w:val="0"/>
    <w:rPr>
      <w:rFonts w:ascii="Times New Roman" w:hAnsi="Times New Roman" w:eastAsia="宋体" w:cs="Times New Roman"/>
      <w:sz w:val="18"/>
      <w:szCs w:val="18"/>
    </w:rPr>
  </w:style>
  <w:style w:type="character" w:customStyle="1" w:styleId="76">
    <w:name w:val="页脚 字符"/>
    <w:link w:val="30"/>
    <w:qFormat/>
    <w:uiPriority w:val="99"/>
    <w:rPr>
      <w:sz w:val="18"/>
      <w:szCs w:val="18"/>
    </w:rPr>
  </w:style>
  <w:style w:type="character" w:customStyle="1" w:styleId="77">
    <w:name w:val="页眉 字符"/>
    <w:link w:val="31"/>
    <w:qFormat/>
    <w:uiPriority w:val="99"/>
    <w:rPr>
      <w:rFonts w:ascii="Times New Roman" w:hAnsi="Times New Roman"/>
      <w:kern w:val="2"/>
      <w:sz w:val="18"/>
      <w:szCs w:val="18"/>
    </w:rPr>
  </w:style>
  <w:style w:type="character" w:customStyle="1" w:styleId="78">
    <w:name w:val="脚注文本 字符"/>
    <w:link w:val="35"/>
    <w:semiHidden/>
    <w:qFormat/>
    <w:uiPriority w:val="99"/>
    <w:rPr>
      <w:rFonts w:ascii="Times New Roman" w:hAnsi="Times New Roman"/>
      <w:kern w:val="2"/>
      <w:sz w:val="18"/>
      <w:szCs w:val="18"/>
    </w:rPr>
  </w:style>
  <w:style w:type="character" w:customStyle="1" w:styleId="79">
    <w:name w:val="正文文本缩进 3 字符"/>
    <w:link w:val="37"/>
    <w:qFormat/>
    <w:uiPriority w:val="0"/>
    <w:rPr>
      <w:rFonts w:ascii="Times New Roman" w:hAnsi="Times New Roman" w:eastAsia="宋体" w:cs="Times New Roman"/>
      <w:sz w:val="16"/>
      <w:szCs w:val="16"/>
    </w:rPr>
  </w:style>
  <w:style w:type="character" w:customStyle="1" w:styleId="80">
    <w:name w:val="正文文本 2 字符"/>
    <w:link w:val="40"/>
    <w:qFormat/>
    <w:uiPriority w:val="0"/>
    <w:rPr>
      <w:rFonts w:ascii="Times New Roman" w:hAnsi="Times New Roman" w:eastAsia="宋体" w:cs="Times New Roman"/>
      <w:szCs w:val="24"/>
    </w:rPr>
  </w:style>
  <w:style w:type="character" w:customStyle="1" w:styleId="81">
    <w:name w:val="标题 字符"/>
    <w:link w:val="43"/>
    <w:qFormat/>
    <w:uiPriority w:val="10"/>
    <w:rPr>
      <w:rFonts w:ascii="Cambria" w:hAnsi="Cambria" w:cs="Times New Roman"/>
      <w:b/>
      <w:bCs/>
      <w:kern w:val="2"/>
      <w:sz w:val="32"/>
      <w:szCs w:val="32"/>
    </w:rPr>
  </w:style>
  <w:style w:type="character" w:customStyle="1" w:styleId="82">
    <w:name w:val="批注主题 字符"/>
    <w:link w:val="44"/>
    <w:semiHidden/>
    <w:qFormat/>
    <w:uiPriority w:val="99"/>
    <w:rPr>
      <w:rFonts w:ascii="Times New Roman" w:hAnsi="Times New Roman"/>
      <w:b/>
      <w:bCs/>
      <w:kern w:val="2"/>
      <w:sz w:val="21"/>
      <w:szCs w:val="24"/>
    </w:rPr>
  </w:style>
  <w:style w:type="character" w:customStyle="1" w:styleId="83">
    <w:name w:val="纯文本 字符1"/>
    <w:qFormat/>
    <w:uiPriority w:val="0"/>
    <w:rPr>
      <w:rFonts w:ascii="宋体" w:hAnsi="Courier New"/>
    </w:rPr>
  </w:style>
  <w:style w:type="character" w:customStyle="1" w:styleId="84">
    <w:name w:val="批注文字 Char1"/>
    <w:semiHidden/>
    <w:qFormat/>
    <w:locked/>
    <w:uiPriority w:val="0"/>
    <w:rPr>
      <w:rFonts w:ascii="Times New Roman" w:hAnsi="Times New Roman"/>
      <w:kern w:val="2"/>
      <w:sz w:val="21"/>
      <w:szCs w:val="24"/>
    </w:rPr>
  </w:style>
  <w:style w:type="character" w:customStyle="1" w:styleId="85">
    <w:name w:val="headline-content4"/>
    <w:qFormat/>
    <w:uiPriority w:val="0"/>
  </w:style>
  <w:style w:type="character" w:customStyle="1" w:styleId="86">
    <w:name w:val="批注文字 字符"/>
    <w:qFormat/>
    <w:uiPriority w:val="0"/>
    <w:rPr>
      <w:rFonts w:ascii="Times New Roman" w:hAnsi="Times New Roman"/>
      <w:kern w:val="2"/>
      <w:sz w:val="21"/>
      <w:szCs w:val="24"/>
    </w:rPr>
  </w:style>
  <w:style w:type="character" w:customStyle="1" w:styleId="87">
    <w:name w:val="标题 5 Char"/>
    <w:qFormat/>
    <w:uiPriority w:val="0"/>
    <w:rPr>
      <w:b/>
      <w:kern w:val="2"/>
      <w:sz w:val="28"/>
      <w:szCs w:val="24"/>
    </w:rPr>
  </w:style>
  <w:style w:type="character" w:customStyle="1" w:styleId="88">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89">
    <w:name w:val="批注文字 Char"/>
    <w:qFormat/>
    <w:uiPriority w:val="0"/>
    <w:rPr>
      <w:rFonts w:ascii="Times New Roman" w:hAnsi="Times New Roman"/>
      <w:kern w:val="2"/>
      <w:sz w:val="21"/>
      <w:szCs w:val="24"/>
    </w:rPr>
  </w:style>
  <w:style w:type="character" w:customStyle="1" w:styleId="90">
    <w:name w:val="apple-style-span"/>
    <w:qFormat/>
    <w:uiPriority w:val="0"/>
  </w:style>
  <w:style w:type="character" w:customStyle="1" w:styleId="91">
    <w:name w:val="正文文本缩进 字符"/>
    <w:qFormat/>
    <w:uiPriority w:val="0"/>
    <w:rPr>
      <w:rFonts w:ascii="仿宋_GB2312" w:hAnsi="Times New Roman" w:eastAsia="仿宋_GB2312" w:cs="Times New Roman"/>
      <w:sz w:val="32"/>
      <w:szCs w:val="20"/>
    </w:rPr>
  </w:style>
  <w:style w:type="character" w:customStyle="1" w:styleId="92">
    <w:name w:val="case31"/>
    <w:qFormat/>
    <w:uiPriority w:val="0"/>
    <w:rPr>
      <w:rFonts w:hint="default" w:ascii="_x000B__x000C_" w:hAnsi="_x000B__x000C_"/>
      <w:sz w:val="21"/>
      <w:szCs w:val="21"/>
    </w:rPr>
  </w:style>
  <w:style w:type="character" w:customStyle="1" w:styleId="93">
    <w:name w:val="纯文本 字符"/>
    <w:qFormat/>
    <w:uiPriority w:val="0"/>
    <w:rPr>
      <w:rFonts w:ascii="宋体" w:hAnsi="Courier New" w:eastAsia="宋体" w:cs="Courier New"/>
      <w:szCs w:val="21"/>
    </w:rPr>
  </w:style>
  <w:style w:type="character" w:customStyle="1" w:styleId="94">
    <w:name w:val="textcontents"/>
    <w:qFormat/>
    <w:uiPriority w:val="0"/>
  </w:style>
  <w:style w:type="character" w:customStyle="1" w:styleId="95">
    <w:name w:val="普通文字 Char Char2"/>
    <w:qFormat/>
    <w:uiPriority w:val="0"/>
    <w:rPr>
      <w:rFonts w:ascii="宋体" w:hAnsi="Courier New" w:eastAsia="宋体"/>
      <w:kern w:val="2"/>
      <w:sz w:val="21"/>
      <w:lang w:val="en-US" w:eastAsia="zh-CN" w:bidi="ar-SA"/>
    </w:rPr>
  </w:style>
  <w:style w:type="paragraph" w:customStyle="1" w:styleId="96">
    <w:name w:val="正文段"/>
    <w:basedOn w:val="1"/>
    <w:qFormat/>
    <w:uiPriority w:val="0"/>
    <w:pPr>
      <w:widowControl/>
      <w:snapToGrid w:val="0"/>
      <w:spacing w:after="50" w:afterLines="50"/>
      <w:ind w:firstLine="200" w:firstLineChars="200"/>
    </w:pPr>
    <w:rPr>
      <w:kern w:val="0"/>
      <w:sz w:val="24"/>
      <w:szCs w:val="20"/>
    </w:rPr>
  </w:style>
  <w:style w:type="paragraph" w:customStyle="1" w:styleId="97">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98">
    <w:name w:val="默认段落字体 Para Char Char Char Char Char Char Char Char Char1 Char Char Char Char"/>
    <w:basedOn w:val="1"/>
    <w:qFormat/>
    <w:uiPriority w:val="0"/>
    <w:rPr>
      <w:rFonts w:ascii="Tahoma" w:hAnsi="Tahoma"/>
      <w:sz w:val="24"/>
      <w:szCs w:val="20"/>
    </w:rPr>
  </w:style>
  <w:style w:type="paragraph" w:customStyle="1" w:styleId="99">
    <w:name w:val="xl22"/>
    <w:basedOn w:val="1"/>
    <w:qFormat/>
    <w:uiPriority w:val="0"/>
    <w:pPr>
      <w:widowControl/>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100">
    <w:name w:val="样式"/>
    <w:qFormat/>
    <w:uiPriority w:val="0"/>
    <w:pPr>
      <w:widowControl w:val="0"/>
      <w:autoSpaceDE w:val="0"/>
      <w:autoSpaceDN w:val="0"/>
      <w:adjustRightInd w:val="0"/>
      <w:jc w:val="center"/>
    </w:pPr>
    <w:rPr>
      <w:rFonts w:ascii="宋体" w:hAnsi="宋体" w:eastAsia="宋体" w:cs="宋体"/>
      <w:sz w:val="24"/>
      <w:szCs w:val="24"/>
      <w:lang w:val="en-US" w:eastAsia="zh-CN" w:bidi="ar-SA"/>
    </w:rPr>
  </w:style>
  <w:style w:type="paragraph" w:customStyle="1" w:styleId="101">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102">
    <w:name w:val="Table Paragraph"/>
    <w:basedOn w:val="1"/>
    <w:qFormat/>
    <w:uiPriority w:val="1"/>
    <w:pPr>
      <w:jc w:val="left"/>
    </w:pPr>
    <w:rPr>
      <w:rFonts w:ascii="Calibri" w:hAnsi="Calibri"/>
      <w:kern w:val="0"/>
      <w:sz w:val="22"/>
      <w:szCs w:val="22"/>
      <w:lang w:eastAsia="en-US"/>
    </w:rPr>
  </w:style>
  <w:style w:type="paragraph" w:customStyle="1" w:styleId="103">
    <w:name w:val="Char1"/>
    <w:basedOn w:val="1"/>
    <w:qFormat/>
    <w:uiPriority w:val="0"/>
    <w:rPr>
      <w:szCs w:val="21"/>
    </w:rPr>
  </w:style>
  <w:style w:type="paragraph" w:customStyle="1" w:styleId="104">
    <w:name w:val="正文首行缩进两字符"/>
    <w:basedOn w:val="1"/>
    <w:qFormat/>
    <w:uiPriority w:val="0"/>
    <w:pPr>
      <w:spacing w:line="360" w:lineRule="auto"/>
      <w:ind w:firstLine="200" w:firstLineChars="200"/>
    </w:pPr>
  </w:style>
  <w:style w:type="paragraph" w:customStyle="1" w:styleId="105">
    <w:name w:val="表格"/>
    <w:basedOn w:val="1"/>
    <w:qFormat/>
    <w:uiPriority w:val="0"/>
    <w:pPr>
      <w:spacing w:line="400" w:lineRule="exact"/>
    </w:pPr>
    <w:rPr>
      <w:sz w:val="24"/>
    </w:rPr>
  </w:style>
  <w:style w:type="paragraph" w:customStyle="1" w:styleId="106">
    <w:name w:val="样式 首行缩进:  2 字符"/>
    <w:basedOn w:val="1"/>
    <w:qFormat/>
    <w:uiPriority w:val="0"/>
    <w:pPr>
      <w:spacing w:line="400" w:lineRule="exact"/>
      <w:ind w:firstLine="200" w:firstLineChars="200"/>
    </w:pPr>
    <w:rPr>
      <w:rFonts w:cs="宋体"/>
      <w:sz w:val="24"/>
    </w:rPr>
  </w:style>
  <w:style w:type="paragraph" w:customStyle="1" w:styleId="107">
    <w:name w:val="纯文本1"/>
    <w:basedOn w:val="1"/>
    <w:qFormat/>
    <w:uiPriority w:val="0"/>
    <w:rPr>
      <w:rFonts w:ascii="宋体" w:hAnsi="Courier New" w:cs="Century"/>
      <w:szCs w:val="21"/>
    </w:rPr>
  </w:style>
  <w:style w:type="paragraph" w:customStyle="1" w:styleId="108">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paragraph" w:styleId="109">
    <w:name w:val="List Paragraph"/>
    <w:basedOn w:val="1"/>
    <w:qFormat/>
    <w:uiPriority w:val="34"/>
    <w:pPr>
      <w:ind w:firstLine="420" w:firstLineChars="200"/>
    </w:pPr>
  </w:style>
  <w:style w:type="table" w:customStyle="1" w:styleId="110">
    <w:name w:val="Table Normal"/>
    <w:semiHidden/>
    <w:qFormat/>
    <w:uiPriority w:val="2"/>
    <w:pPr>
      <w:widowControl w:val="0"/>
    </w:pPr>
    <w:rPr>
      <w:rFonts w:ascii="Calibri" w:hAnsi="Calibri" w:eastAsia="Times New Roman"/>
      <w:sz w:val="22"/>
      <w:szCs w:val="22"/>
      <w:lang w:eastAsia="en-US"/>
    </w:rPr>
    <w:tblPr>
      <w:tblCellMar>
        <w:top w:w="0" w:type="dxa"/>
        <w:left w:w="0" w:type="dxa"/>
        <w:bottom w:w="0" w:type="dxa"/>
        <w:right w:w="0" w:type="dxa"/>
      </w:tblCellMar>
    </w:tblPr>
  </w:style>
  <w:style w:type="character" w:customStyle="1" w:styleId="111">
    <w:name w:val="纯文本 Char1"/>
    <w:qFormat/>
    <w:uiPriority w:val="0"/>
    <w:rPr>
      <w:rFonts w:ascii="宋体" w:hAnsi="Courier New" w:eastAsia="宋体" w:cs="Courier New"/>
      <w:szCs w:val="21"/>
    </w:rPr>
  </w:style>
  <w:style w:type="character" w:customStyle="1" w:styleId="112">
    <w:name w:val="标题 5 Char1"/>
    <w:qFormat/>
    <w:uiPriority w:val="0"/>
    <w:rPr>
      <w:b/>
      <w:kern w:val="2"/>
      <w:sz w:val="28"/>
      <w:szCs w:val="24"/>
    </w:rPr>
  </w:style>
  <w:style w:type="character" w:customStyle="1" w:styleId="113">
    <w:name w:val="批注文字 字符2"/>
    <w:qFormat/>
    <w:uiPriority w:val="0"/>
    <w:rPr>
      <w:rFonts w:ascii="Times New Roman" w:hAnsi="Times New Roman"/>
      <w:kern w:val="2"/>
      <w:sz w:val="21"/>
      <w:szCs w:val="24"/>
    </w:rPr>
  </w:style>
  <w:style w:type="character" w:customStyle="1" w:styleId="114">
    <w:name w:val="纯文本 Char"/>
    <w:qFormat/>
    <w:uiPriority w:val="0"/>
    <w:rPr>
      <w:rFonts w:ascii="宋体" w:hAnsi="Courier New" w:eastAsia="宋体" w:cs="Courier New"/>
      <w:szCs w:val="21"/>
    </w:rPr>
  </w:style>
  <w:style w:type="paragraph" w:customStyle="1" w:styleId="115">
    <w:name w:val="正文2"/>
    <w:basedOn w:val="1"/>
    <w:qFormat/>
    <w:uiPriority w:val="0"/>
    <w:pPr>
      <w:adjustRightInd w:val="0"/>
      <w:spacing w:before="156" w:line="360" w:lineRule="auto"/>
      <w:ind w:firstLine="510" w:firstLineChars="200"/>
    </w:pPr>
    <w:rPr>
      <w:sz w:val="24"/>
      <w:szCs w:val="20"/>
    </w:rPr>
  </w:style>
  <w:style w:type="character" w:customStyle="1" w:styleId="116">
    <w:name w:val="font11"/>
    <w:basedOn w:val="49"/>
    <w:qFormat/>
    <w:uiPriority w:val="0"/>
    <w:rPr>
      <w:rFonts w:hint="eastAsia" w:ascii="宋体" w:hAnsi="宋体" w:eastAsia="宋体" w:cs="宋体"/>
      <w:color w:val="000000"/>
      <w:sz w:val="24"/>
      <w:szCs w:val="24"/>
      <w:u w:val="none"/>
    </w:rPr>
  </w:style>
  <w:style w:type="character" w:customStyle="1" w:styleId="117">
    <w:name w:val="font21"/>
    <w:basedOn w:val="49"/>
    <w:qFormat/>
    <w:uiPriority w:val="0"/>
    <w:rPr>
      <w:rFonts w:hint="eastAsia" w:ascii="宋体" w:hAnsi="宋体" w:eastAsia="宋体" w:cs="宋体"/>
      <w:color w:val="000000"/>
      <w:sz w:val="22"/>
      <w:szCs w:val="22"/>
      <w:u w:val="none"/>
    </w:rPr>
  </w:style>
  <w:style w:type="character" w:customStyle="1" w:styleId="118">
    <w:name w:val="font41"/>
    <w:basedOn w:val="49"/>
    <w:qFormat/>
    <w:uiPriority w:val="0"/>
    <w:rPr>
      <w:rFonts w:hint="default" w:ascii="Arial" w:hAnsi="Arial" w:cs="Arial"/>
      <w:color w:val="000000"/>
      <w:sz w:val="21"/>
      <w:szCs w:val="21"/>
      <w:u w:val="none"/>
    </w:rPr>
  </w:style>
  <w:style w:type="character" w:customStyle="1" w:styleId="119">
    <w:name w:val="font51"/>
    <w:basedOn w:val="49"/>
    <w:qFormat/>
    <w:uiPriority w:val="0"/>
    <w:rPr>
      <w:rFonts w:hint="default" w:ascii="Arial" w:hAnsi="Arial" w:cs="Arial"/>
      <w:color w:val="333333"/>
      <w:sz w:val="21"/>
      <w:szCs w:val="21"/>
      <w:u w:val="none"/>
    </w:rPr>
  </w:style>
  <w:style w:type="character" w:customStyle="1" w:styleId="120">
    <w:name w:val="font141"/>
    <w:basedOn w:val="49"/>
    <w:qFormat/>
    <w:uiPriority w:val="0"/>
    <w:rPr>
      <w:rFonts w:hint="eastAsia" w:ascii="宋体" w:hAnsi="宋体" w:eastAsia="宋体" w:cs="宋体"/>
      <w:color w:val="333333"/>
      <w:sz w:val="21"/>
      <w:szCs w:val="21"/>
      <w:u w:val="none"/>
    </w:rPr>
  </w:style>
  <w:style w:type="character" w:customStyle="1" w:styleId="121">
    <w:name w:val="font91"/>
    <w:basedOn w:val="49"/>
    <w:qFormat/>
    <w:uiPriority w:val="0"/>
    <w:rPr>
      <w:rFonts w:hint="default" w:ascii="Times New Roman" w:hAnsi="Times New Roman" w:cs="Times New Roman"/>
      <w:color w:val="000000"/>
      <w:sz w:val="24"/>
      <w:szCs w:val="24"/>
      <w:u w:val="none"/>
    </w:rPr>
  </w:style>
  <w:style w:type="character" w:customStyle="1" w:styleId="122">
    <w:name w:val="font151"/>
    <w:basedOn w:val="49"/>
    <w:qFormat/>
    <w:uiPriority w:val="0"/>
    <w:rPr>
      <w:rFonts w:hint="eastAsia" w:ascii="宋体" w:hAnsi="宋体" w:eastAsia="宋体" w:cs="宋体"/>
      <w:color w:val="000000"/>
      <w:sz w:val="24"/>
      <w:szCs w:val="24"/>
      <w:u w:val="none"/>
    </w:rPr>
  </w:style>
  <w:style w:type="character" w:customStyle="1" w:styleId="123">
    <w:name w:val="font61"/>
    <w:basedOn w:val="49"/>
    <w:qFormat/>
    <w:uiPriority w:val="0"/>
    <w:rPr>
      <w:rFonts w:hint="default" w:ascii="Arial" w:hAnsi="Arial" w:cs="Arial"/>
      <w:color w:val="333333"/>
      <w:sz w:val="19"/>
      <w:szCs w:val="19"/>
      <w:u w:val="none"/>
    </w:rPr>
  </w:style>
  <w:style w:type="character" w:customStyle="1" w:styleId="124">
    <w:name w:val="font131"/>
    <w:basedOn w:val="49"/>
    <w:qFormat/>
    <w:uiPriority w:val="0"/>
    <w:rPr>
      <w:rFonts w:hint="eastAsia" w:ascii="宋体" w:hAnsi="宋体" w:eastAsia="宋体" w:cs="宋体"/>
      <w:color w:val="000000"/>
      <w:sz w:val="20"/>
      <w:szCs w:val="20"/>
      <w:u w:val="none"/>
    </w:rPr>
  </w:style>
  <w:style w:type="character" w:customStyle="1" w:styleId="125">
    <w:name w:val="font161"/>
    <w:basedOn w:val="49"/>
    <w:qFormat/>
    <w:uiPriority w:val="0"/>
    <w:rPr>
      <w:rFonts w:hint="default" w:ascii="Times New Roman" w:hAnsi="Times New Roman" w:cs="Times New Roman"/>
      <w:color w:val="000000"/>
      <w:sz w:val="16"/>
      <w:szCs w:val="16"/>
      <w:u w:val="none"/>
    </w:rPr>
  </w:style>
  <w:style w:type="character" w:customStyle="1" w:styleId="126">
    <w:name w:val="font81"/>
    <w:basedOn w:val="49"/>
    <w:qFormat/>
    <w:uiPriority w:val="0"/>
    <w:rPr>
      <w:rFonts w:hint="default" w:ascii="Arial" w:hAnsi="Arial" w:cs="Arial"/>
      <w:color w:val="333333"/>
      <w:sz w:val="20"/>
      <w:szCs w:val="20"/>
      <w:u w:val="none"/>
    </w:rPr>
  </w:style>
  <w:style w:type="character" w:customStyle="1" w:styleId="127">
    <w:name w:val="font171"/>
    <w:basedOn w:val="49"/>
    <w:qFormat/>
    <w:uiPriority w:val="0"/>
    <w:rPr>
      <w:rFonts w:hint="eastAsia" w:ascii="宋体" w:hAnsi="宋体" w:eastAsia="宋体" w:cs="宋体"/>
      <w:color w:val="333333"/>
      <w:sz w:val="20"/>
      <w:szCs w:val="20"/>
      <w:u w:val="none"/>
    </w:rPr>
  </w:style>
  <w:style w:type="character" w:customStyle="1" w:styleId="128">
    <w:name w:val="font101"/>
    <w:basedOn w:val="49"/>
    <w:qFormat/>
    <w:uiPriority w:val="0"/>
    <w:rPr>
      <w:rFonts w:hint="default" w:ascii="Times New Roman" w:hAnsi="Times New Roman" w:cs="Times New Roman"/>
      <w:color w:val="000000"/>
      <w:sz w:val="21"/>
      <w:szCs w:val="21"/>
      <w:u w:val="none"/>
    </w:rPr>
  </w:style>
  <w:style w:type="character" w:customStyle="1" w:styleId="129">
    <w:name w:val="font181"/>
    <w:basedOn w:val="49"/>
    <w:qFormat/>
    <w:uiPriority w:val="0"/>
    <w:rPr>
      <w:rFonts w:hint="eastAsia" w:ascii="宋体" w:hAnsi="宋体" w:eastAsia="宋体" w:cs="宋体"/>
      <w:color w:val="000000"/>
      <w:sz w:val="21"/>
      <w:szCs w:val="21"/>
      <w:u w:val="none"/>
    </w:rPr>
  </w:style>
  <w:style w:type="character" w:customStyle="1" w:styleId="130">
    <w:name w:val="font191"/>
    <w:basedOn w:val="49"/>
    <w:qFormat/>
    <w:uiPriority w:val="0"/>
    <w:rPr>
      <w:rFonts w:hint="default" w:ascii="Times New Roman" w:hAnsi="Times New Roman" w:cs="Times New Roman"/>
      <w:color w:val="000000"/>
      <w:sz w:val="21"/>
      <w:szCs w:val="21"/>
      <w:u w:val="none"/>
      <w:vertAlign w:val="subscript"/>
    </w:rPr>
  </w:style>
  <w:style w:type="character" w:customStyle="1" w:styleId="131">
    <w:name w:val="font201"/>
    <w:basedOn w:val="49"/>
    <w:qFormat/>
    <w:uiPriority w:val="0"/>
    <w:rPr>
      <w:rFonts w:hint="default" w:ascii="Arial" w:hAnsi="Arial" w:cs="Arial"/>
      <w:b/>
      <w:bCs/>
      <w:color w:val="333333"/>
      <w:sz w:val="30"/>
      <w:szCs w:val="30"/>
      <w:u w:val="none"/>
    </w:rPr>
  </w:style>
  <w:style w:type="character" w:customStyle="1" w:styleId="132">
    <w:name w:val="font121"/>
    <w:basedOn w:val="49"/>
    <w:qFormat/>
    <w:uiPriority w:val="0"/>
    <w:rPr>
      <w:rFonts w:hint="eastAsia" w:ascii="宋体" w:hAnsi="宋体" w:eastAsia="宋体" w:cs="宋体"/>
      <w:color w:val="000000"/>
      <w:sz w:val="19"/>
      <w:szCs w:val="19"/>
      <w:u w:val="none"/>
    </w:rPr>
  </w:style>
  <w:style w:type="character" w:customStyle="1" w:styleId="133">
    <w:name w:val="font112"/>
    <w:basedOn w:val="49"/>
    <w:qFormat/>
    <w:uiPriority w:val="0"/>
    <w:rPr>
      <w:rFonts w:hint="default" w:ascii="Arial" w:hAnsi="Arial" w:cs="Arial"/>
      <w:color w:val="000000"/>
      <w:sz w:val="19"/>
      <w:szCs w:val="19"/>
      <w:u w:val="none"/>
    </w:rPr>
  </w:style>
  <w:style w:type="character" w:customStyle="1" w:styleId="134">
    <w:name w:val="font212"/>
    <w:basedOn w:val="49"/>
    <w:qFormat/>
    <w:uiPriority w:val="0"/>
    <w:rPr>
      <w:rFonts w:hint="default" w:ascii="Arial" w:hAnsi="Arial" w:cs="Arial"/>
      <w:b/>
      <w:bCs/>
      <w:color w:val="333333"/>
      <w:sz w:val="21"/>
      <w:szCs w:val="21"/>
      <w:u w:val="none"/>
    </w:rPr>
  </w:style>
  <w:style w:type="character" w:customStyle="1" w:styleId="135">
    <w:name w:val="font71"/>
    <w:basedOn w:val="49"/>
    <w:qFormat/>
    <w:uiPriority w:val="0"/>
    <w:rPr>
      <w:rFonts w:hint="default" w:ascii="Times New Roman" w:hAnsi="Times New Roman" w:cs="Times New Roman"/>
      <w:color w:val="000000"/>
      <w:sz w:val="20"/>
      <w:szCs w:val="20"/>
      <w:u w:val="none"/>
    </w:rPr>
  </w:style>
  <w:style w:type="character" w:customStyle="1" w:styleId="136">
    <w:name w:val="font221"/>
    <w:basedOn w:val="49"/>
    <w:qFormat/>
    <w:uiPriority w:val="0"/>
    <w:rPr>
      <w:rFonts w:hint="eastAsia" w:ascii="宋体" w:hAnsi="宋体" w:eastAsia="宋体" w:cs="宋体"/>
      <w:color w:val="333333"/>
      <w:sz w:val="20"/>
      <w:szCs w:val="20"/>
      <w:u w:val="none"/>
    </w:rPr>
  </w:style>
  <w:style w:type="character" w:customStyle="1" w:styleId="137">
    <w:name w:val="font231"/>
    <w:basedOn w:val="49"/>
    <w:qFormat/>
    <w:uiPriority w:val="0"/>
    <w:rPr>
      <w:rFonts w:hint="default" w:ascii="Helvetica" w:hAnsi="Helvetica" w:eastAsia="Helvetica" w:cs="Helvetica"/>
      <w:color w:val="333333"/>
      <w:sz w:val="21"/>
      <w:szCs w:val="21"/>
      <w:u w:val="none"/>
    </w:rPr>
  </w:style>
  <w:style w:type="character" w:customStyle="1" w:styleId="138">
    <w:name w:val="font241"/>
    <w:basedOn w:val="49"/>
    <w:qFormat/>
    <w:uiPriority w:val="0"/>
    <w:rPr>
      <w:rFonts w:hint="eastAsia" w:ascii="宋体" w:hAnsi="宋体" w:eastAsia="宋体" w:cs="宋体"/>
      <w:color w:val="333333"/>
      <w:sz w:val="21"/>
      <w:szCs w:val="21"/>
      <w:u w:val="none"/>
    </w:rPr>
  </w:style>
  <w:style w:type="character" w:customStyle="1" w:styleId="139">
    <w:name w:val="font251"/>
    <w:basedOn w:val="49"/>
    <w:qFormat/>
    <w:uiPriority w:val="0"/>
    <w:rPr>
      <w:rFonts w:hint="default" w:ascii="Times New Roman" w:hAnsi="Times New Roman" w:cs="Times New Roman"/>
      <w:color w:val="000000"/>
      <w:sz w:val="18"/>
      <w:szCs w:val="18"/>
      <w:u w:val="none"/>
    </w:rPr>
  </w:style>
  <w:style w:type="character" w:customStyle="1" w:styleId="140">
    <w:name w:val="font261"/>
    <w:basedOn w:val="49"/>
    <w:qFormat/>
    <w:uiPriority w:val="0"/>
    <w:rPr>
      <w:rFonts w:hint="eastAsia" w:ascii="宋体" w:hAnsi="宋体" w:eastAsia="宋体" w:cs="宋体"/>
      <w:color w:val="000000"/>
      <w:sz w:val="20"/>
      <w:szCs w:val="20"/>
      <w:u w:val="none"/>
    </w:rPr>
  </w:style>
  <w:style w:type="character" w:customStyle="1" w:styleId="141">
    <w:name w:val="font271"/>
    <w:basedOn w:val="49"/>
    <w:qFormat/>
    <w:uiPriority w:val="0"/>
    <w:rPr>
      <w:rFonts w:hint="default" w:ascii="Times New Roman" w:hAnsi="Times New Roman" w:cs="Times New Roman"/>
      <w:color w:val="000000"/>
      <w:sz w:val="20"/>
      <w:szCs w:val="20"/>
      <w:u w:val="none"/>
    </w:rPr>
  </w:style>
  <w:style w:type="character" w:customStyle="1" w:styleId="142">
    <w:name w:val="font281"/>
    <w:basedOn w:val="49"/>
    <w:qFormat/>
    <w:uiPriority w:val="0"/>
    <w:rPr>
      <w:rFonts w:hint="eastAsia" w:ascii="宋体" w:hAnsi="宋体" w:eastAsia="宋体" w:cs="宋体"/>
      <w:color w:val="333333"/>
      <w:sz w:val="22"/>
      <w:szCs w:val="22"/>
      <w:u w:val="none"/>
    </w:rPr>
  </w:style>
  <w:style w:type="character" w:customStyle="1" w:styleId="143">
    <w:name w:val="font22"/>
    <w:basedOn w:val="49"/>
    <w:qFormat/>
    <w:uiPriority w:val="0"/>
    <w:rPr>
      <w:rFonts w:hint="eastAsia" w:ascii="宋体" w:hAnsi="宋体" w:eastAsia="宋体" w:cs="宋体"/>
      <w:color w:val="000000"/>
      <w:sz w:val="22"/>
      <w:szCs w:val="22"/>
      <w:u w:val="none"/>
    </w:rPr>
  </w:style>
  <w:style w:type="character" w:customStyle="1" w:styleId="144">
    <w:name w:val="font211"/>
    <w:basedOn w:val="49"/>
    <w:qFormat/>
    <w:uiPriority w:val="0"/>
    <w:rPr>
      <w:rFonts w:hint="eastAsia" w:ascii="宋体" w:hAnsi="宋体" w:eastAsia="宋体" w:cs="宋体"/>
      <w:b/>
      <w:bCs/>
      <w:color w:val="333333"/>
      <w:sz w:val="22"/>
      <w:szCs w:val="22"/>
      <w:u w:val="none"/>
    </w:rPr>
  </w:style>
  <w:style w:type="character" w:customStyle="1" w:styleId="145">
    <w:name w:val="font01"/>
    <w:basedOn w:val="49"/>
    <w:qFormat/>
    <w:uiPriority w:val="0"/>
    <w:rPr>
      <w:rFonts w:hint="eastAsia" w:ascii="宋体" w:hAnsi="宋体" w:eastAsia="宋体" w:cs="宋体"/>
      <w:color w:val="000000"/>
      <w:sz w:val="22"/>
      <w:szCs w:val="22"/>
      <w:u w:val="none"/>
    </w:rPr>
  </w:style>
  <w:style w:type="character" w:customStyle="1" w:styleId="146">
    <w:name w:val="font31"/>
    <w:basedOn w:val="49"/>
    <w:qFormat/>
    <w:uiPriority w:val="0"/>
    <w:rPr>
      <w:rFonts w:hint="default" w:ascii="Times New Roman" w:hAnsi="Times New Roman" w:cs="Times New Roman"/>
      <w:color w:val="000000"/>
      <w:sz w:val="24"/>
      <w:szCs w:val="24"/>
      <w:u w:val="none"/>
    </w:rPr>
  </w:style>
  <w:style w:type="paragraph" w:customStyle="1" w:styleId="147">
    <w:name w:val="列出段落1"/>
    <w:basedOn w:val="1"/>
    <w:qFormat/>
    <w:uiPriority w:val="0"/>
    <w:pPr>
      <w:ind w:firstLine="420"/>
    </w:pPr>
  </w:style>
  <w:style w:type="paragraph" w:customStyle="1" w:styleId="14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9">
    <w:name w:val="Table Text"/>
    <w:semiHidden/>
    <w:qFormat/>
    <w:uiPriority w:val="0"/>
    <w:pPr>
      <w:kinsoku w:val="0"/>
      <w:autoSpaceDE w:val="0"/>
      <w:autoSpaceDN w:val="0"/>
      <w:adjustRightInd w:val="0"/>
      <w:snapToGrid w:val="0"/>
      <w:spacing w:line="240" w:lineRule="auto"/>
      <w:jc w:val="left"/>
      <w:textAlignment w:val="baseline"/>
    </w:pPr>
    <w:rPr>
      <w:rFonts w:ascii="宋体" w:hAnsi="宋体" w:eastAsia="宋体" w:cs="宋体"/>
      <w:snapToGrid w:val="0"/>
      <w:color w:val="000000"/>
      <w:kern w:val="0"/>
      <w:sz w:val="19"/>
      <w:szCs w:val="19"/>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2.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header" Target="header7.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127</Pages>
  <Words>7682</Words>
  <Characters>8516</Characters>
  <Lines>502</Lines>
  <Paragraphs>141</Paragraphs>
  <TotalTime>198</TotalTime>
  <ScaleCrop>false</ScaleCrop>
  <LinksUpToDate>false</LinksUpToDate>
  <CharactersWithSpaces>8587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2020-10-14T10:17:00Z</dcterms:created>
  <dc:creator>番茄花园</dc:creator>
  <cp:lastModifiedBy>宏冠公司招标二部-冼凌晨</cp:lastModifiedBy>
  <cp:lastPrinted>2024-11-14T09:33:00Z</cp:lastPrinted>
  <dcterms:modified xsi:type="dcterms:W3CDTF">2026-03-06T07:38:28Z</dcterms:modified>
  <dc:title>公开招标采购文件范本</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38EC6F4B85414D6BA55F20DAC97B5471_13</vt:lpwstr>
  </property>
  <property fmtid="{D5CDD505-2E9C-101B-9397-08002B2CF9AE}" pid="4" name="KSOTemplateDocerSaveRecord">
    <vt:lpwstr>eyJoZGlkIjoiOTc5ODk5NDY3MmRjZGIxOGQzYzhhMTllYmU0MjI0ZTgiLCJ1c2VySWQiOiIxNjEwMDEyNjg4In0=</vt:lpwstr>
  </property>
</Properties>
</file>