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仿宋" w:hAnsi="仿宋" w:eastAsia="仿宋"/>
          <w:sz w:val="52"/>
          <w:szCs w:val="52"/>
        </w:rPr>
      </w:pPr>
    </w:p>
    <w:p>
      <w:pPr>
        <w:spacing w:line="360" w:lineRule="auto"/>
        <w:jc w:val="center"/>
        <w:rPr>
          <w:rFonts w:ascii="仿宋" w:hAnsi="仿宋" w:eastAsia="仿宋"/>
          <w:sz w:val="52"/>
          <w:szCs w:val="52"/>
        </w:rPr>
      </w:pPr>
      <w:r>
        <w:rPr>
          <w:rFonts w:ascii="仿宋" w:hAnsi="仿宋" w:eastAsia="仿宋"/>
        </w:rPr>
        <w:drawing>
          <wp:inline distT="0" distB="0" distL="0" distR="0">
            <wp:extent cx="895350" cy="933450"/>
            <wp:effectExtent l="0" t="0" r="0" b="0"/>
            <wp:docPr id="2" name="图片 2"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科文名片"/>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95350" cy="933450"/>
                    </a:xfrm>
                    <a:prstGeom prst="rect">
                      <a:avLst/>
                    </a:prstGeom>
                    <a:noFill/>
                    <a:ln>
                      <a:noFill/>
                    </a:ln>
                  </pic:spPr>
                </pic:pic>
              </a:graphicData>
            </a:graphic>
          </wp:inline>
        </w:drawing>
      </w:r>
    </w:p>
    <w:p>
      <w:pPr>
        <w:pStyle w:val="28"/>
        <w:jc w:val="center"/>
        <w:rPr>
          <w:rFonts w:ascii="仿宋" w:hAnsi="仿宋" w:eastAsia="仿宋"/>
          <w:spacing w:val="30"/>
          <w:kern w:val="52"/>
          <w:sz w:val="64"/>
          <w:szCs w:val="64"/>
        </w:rPr>
      </w:pPr>
      <w:r>
        <w:rPr>
          <w:rFonts w:hint="eastAsia" w:ascii="仿宋" w:hAnsi="仿宋" w:eastAsia="仿宋"/>
          <w:spacing w:val="30"/>
          <w:kern w:val="52"/>
          <w:sz w:val="64"/>
          <w:szCs w:val="64"/>
        </w:rPr>
        <w:t>广西</w:t>
      </w:r>
      <w:r>
        <w:rPr>
          <w:rFonts w:ascii="仿宋" w:hAnsi="仿宋" w:eastAsia="仿宋"/>
          <w:spacing w:val="30"/>
          <w:kern w:val="52"/>
          <w:sz w:val="64"/>
          <w:szCs w:val="64"/>
        </w:rPr>
        <w:t>科文招标有限公司</w:t>
      </w:r>
    </w:p>
    <w:p>
      <w:pPr>
        <w:pStyle w:val="28"/>
        <w:jc w:val="center"/>
        <w:rPr>
          <w:rFonts w:ascii="仿宋" w:hAnsi="仿宋" w:eastAsia="仿宋"/>
          <w:spacing w:val="28"/>
          <w:sz w:val="64"/>
          <w:szCs w:val="64"/>
        </w:rPr>
      </w:pPr>
      <w:r>
        <w:rPr>
          <w:rFonts w:ascii="仿宋" w:hAnsi="仿宋" w:eastAsia="仿宋"/>
          <w:b/>
          <w:spacing w:val="-18"/>
          <w:sz w:val="64"/>
          <w:szCs w:val="64"/>
        </w:rPr>
        <mc:AlternateContent>
          <mc:Choice Requires="wps">
            <w:drawing>
              <wp:anchor distT="0" distB="0" distL="114300" distR="114300" simplePos="0" relativeHeight="251659264" behindDoc="0" locked="0" layoutInCell="1" allowOverlap="1">
                <wp:simplePos x="0" y="0"/>
                <wp:positionH relativeFrom="column">
                  <wp:posOffset>495300</wp:posOffset>
                </wp:positionH>
                <wp:positionV relativeFrom="paragraph">
                  <wp:posOffset>99060</wp:posOffset>
                </wp:positionV>
                <wp:extent cx="5486400" cy="0"/>
                <wp:effectExtent l="0" t="0" r="0" b="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cmpd="sng">
                          <a:solidFill>
                            <a:srgbClr val="000000"/>
                          </a:solidFill>
                          <a:round/>
                        </a:ln>
                        <a:effectLst/>
                      </wps:spPr>
                      <wps:bodyPr/>
                    </wps:wsp>
                  </a:graphicData>
                </a:graphic>
              </wp:anchor>
            </w:drawing>
          </mc:Choice>
          <mc:Fallback>
            <w:pict>
              <v:line id="Line 2" o:spid="_x0000_s1026" o:spt="20" style="position:absolute;left:0pt;margin-left:39pt;margin-top:7.8pt;height:0pt;width:432pt;z-index:251659264;mso-width-relative:page;mso-height-relative:page;" filled="f" stroked="t" coordsize="21600,21600" o:gfxdata="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cBMS1gAAAAgBAAAPAAAAAAAAAAEAIAAAACIAAABkcnMvZG93bnJldi54bWxQSwECFAAUAAAA&#10;CACHTuJA7ReaubcBAABrAwAADgAAAAAAAAABACAAAAAlAQAAZHJzL2Uyb0RvYy54bWxQSwUGAAAA&#10;AAYABgBZAQAATgUAAAAA&#10;">
                <v:fill on="f" focussize="0,0"/>
                <v:stroke weight="1pt" color="#000000" joinstyle="round"/>
                <v:imagedata o:title=""/>
                <o:lock v:ext="edit" aspectratio="f"/>
              </v:line>
            </w:pict>
          </mc:Fallback>
        </mc:AlternateContent>
      </w:r>
    </w:p>
    <w:p>
      <w:pPr>
        <w:snapToGrid w:val="0"/>
        <w:spacing w:before="120" w:beforeLines="50" w:line="360" w:lineRule="auto"/>
        <w:jc w:val="center"/>
        <w:rPr>
          <w:rFonts w:ascii="仿宋" w:hAnsi="仿宋" w:eastAsia="仿宋"/>
          <w:sz w:val="120"/>
          <w:szCs w:val="120"/>
        </w:rPr>
      </w:pPr>
      <w:r>
        <w:rPr>
          <w:rFonts w:hint="eastAsia" w:ascii="仿宋" w:hAnsi="仿宋" w:eastAsia="仿宋"/>
          <w:sz w:val="120"/>
          <w:szCs w:val="120"/>
        </w:rPr>
        <w:t>招 标 文 件</w:t>
      </w:r>
    </w:p>
    <w:p>
      <w:pPr>
        <w:pStyle w:val="28"/>
        <w:snapToGrid w:val="0"/>
        <w:spacing w:line="360" w:lineRule="auto"/>
        <w:ind w:firstLine="1977" w:firstLineChars="691"/>
        <w:rPr>
          <w:rFonts w:ascii="仿宋" w:hAnsi="仿宋" w:eastAsia="仿宋"/>
          <w:b/>
          <w:bCs/>
          <w:w w:val="95"/>
          <w:sz w:val="30"/>
          <w:szCs w:val="30"/>
        </w:rPr>
      </w:pPr>
    </w:p>
    <w:p>
      <w:pPr>
        <w:pStyle w:val="28"/>
        <w:snapToGrid w:val="0"/>
        <w:spacing w:line="360" w:lineRule="auto"/>
        <w:ind w:firstLine="1977" w:firstLineChars="691"/>
        <w:rPr>
          <w:rFonts w:ascii="仿宋" w:hAnsi="仿宋" w:eastAsia="仿宋"/>
          <w:b/>
          <w:bCs/>
          <w:w w:val="95"/>
          <w:sz w:val="30"/>
          <w:szCs w:val="30"/>
        </w:rPr>
      </w:pPr>
    </w:p>
    <w:p>
      <w:pPr>
        <w:pStyle w:val="28"/>
        <w:snapToGrid w:val="0"/>
        <w:spacing w:line="360" w:lineRule="auto"/>
        <w:jc w:val="center"/>
        <w:rPr>
          <w:rFonts w:ascii="仿宋" w:hAnsi="仿宋" w:eastAsia="仿宋"/>
          <w:b/>
          <w:bCs/>
          <w:sz w:val="30"/>
          <w:szCs w:val="30"/>
        </w:rPr>
      </w:pPr>
      <w:r>
        <w:rPr>
          <w:rFonts w:hint="eastAsia" w:ascii="仿宋" w:hAnsi="仿宋" w:eastAsia="仿宋"/>
          <w:b/>
          <w:bCs/>
          <w:sz w:val="30"/>
          <w:szCs w:val="30"/>
        </w:rPr>
        <w:t>项目名称：高等学历继续教育综合学习平台与课程资源使用服务</w:t>
      </w:r>
    </w:p>
    <w:p>
      <w:pPr>
        <w:pStyle w:val="28"/>
        <w:snapToGrid w:val="0"/>
        <w:spacing w:line="360" w:lineRule="auto"/>
        <w:jc w:val="center"/>
        <w:rPr>
          <w:rFonts w:ascii="仿宋" w:hAnsi="仿宋" w:eastAsia="仿宋"/>
          <w:b/>
          <w:bCs/>
          <w:sz w:val="30"/>
          <w:szCs w:val="30"/>
        </w:rPr>
      </w:pPr>
      <w:r>
        <w:rPr>
          <w:rFonts w:hint="eastAsia" w:ascii="仿宋" w:hAnsi="仿宋" w:eastAsia="仿宋"/>
          <w:b/>
          <w:bCs/>
          <w:sz w:val="30"/>
          <w:szCs w:val="30"/>
        </w:rPr>
        <w:t>项目编号：GXZC2025-G3-003556-KWZB</w:t>
      </w:r>
    </w:p>
    <w:p>
      <w:pPr>
        <w:pStyle w:val="28"/>
        <w:snapToGrid w:val="0"/>
        <w:spacing w:line="360" w:lineRule="auto"/>
        <w:jc w:val="center"/>
        <w:rPr>
          <w:rFonts w:ascii="仿宋" w:hAnsi="仿宋" w:eastAsia="仿宋"/>
          <w:b/>
          <w:bCs/>
          <w:sz w:val="30"/>
          <w:szCs w:val="30"/>
        </w:rPr>
      </w:pPr>
      <w:r>
        <w:rPr>
          <w:rFonts w:hint="eastAsia" w:ascii="仿宋" w:hAnsi="仿宋" w:eastAsia="仿宋"/>
          <w:b/>
          <w:bCs/>
          <w:sz w:val="30"/>
          <w:szCs w:val="30"/>
        </w:rPr>
        <w:t xml:space="preserve"> 采购计划编号：广西政采[2025]22299号</w:t>
      </w:r>
    </w:p>
    <w:p>
      <w:pPr>
        <w:pStyle w:val="28"/>
        <w:snapToGrid w:val="0"/>
        <w:spacing w:line="360" w:lineRule="auto"/>
        <w:ind w:firstLine="1977" w:firstLineChars="691"/>
        <w:rPr>
          <w:rFonts w:ascii="仿宋" w:hAnsi="仿宋" w:eastAsia="仿宋"/>
          <w:b/>
          <w:bCs/>
          <w:w w:val="95"/>
          <w:sz w:val="30"/>
          <w:szCs w:val="30"/>
        </w:rPr>
      </w:pPr>
    </w:p>
    <w:p>
      <w:pPr>
        <w:pStyle w:val="28"/>
        <w:snapToGrid w:val="0"/>
        <w:spacing w:line="360" w:lineRule="auto"/>
        <w:ind w:firstLine="1977" w:firstLineChars="691"/>
        <w:rPr>
          <w:rFonts w:ascii="仿宋" w:hAnsi="仿宋" w:eastAsia="仿宋"/>
          <w:b/>
          <w:bCs/>
          <w:w w:val="95"/>
          <w:sz w:val="30"/>
          <w:szCs w:val="30"/>
        </w:rPr>
      </w:pPr>
    </w:p>
    <w:p>
      <w:pPr>
        <w:pStyle w:val="28"/>
        <w:snapToGrid w:val="0"/>
        <w:spacing w:line="360" w:lineRule="auto"/>
        <w:jc w:val="center"/>
        <w:rPr>
          <w:rFonts w:ascii="仿宋" w:hAnsi="仿宋" w:eastAsia="仿宋"/>
          <w:b/>
          <w:bCs/>
          <w:sz w:val="30"/>
          <w:szCs w:val="30"/>
        </w:rPr>
      </w:pPr>
      <w:r>
        <w:rPr>
          <w:rFonts w:hint="eastAsia" w:ascii="仿宋" w:hAnsi="仿宋" w:eastAsia="仿宋"/>
          <w:b/>
          <w:bCs/>
          <w:sz w:val="30"/>
          <w:szCs w:val="30"/>
        </w:rPr>
        <w:t>采购人：桂林电子</w:t>
      </w:r>
      <w:r>
        <w:rPr>
          <w:rFonts w:ascii="仿宋" w:hAnsi="仿宋" w:eastAsia="仿宋"/>
          <w:b/>
          <w:bCs/>
          <w:sz w:val="30"/>
          <w:szCs w:val="30"/>
        </w:rPr>
        <w:t>科技大学</w:t>
      </w:r>
    </w:p>
    <w:p>
      <w:pPr>
        <w:pStyle w:val="28"/>
        <w:snapToGrid w:val="0"/>
        <w:spacing w:line="360" w:lineRule="auto"/>
        <w:jc w:val="center"/>
        <w:rPr>
          <w:rFonts w:ascii="仿宋" w:hAnsi="仿宋" w:eastAsia="仿宋"/>
          <w:b/>
          <w:bCs/>
          <w:sz w:val="30"/>
          <w:szCs w:val="30"/>
        </w:rPr>
      </w:pPr>
      <w:r>
        <w:rPr>
          <w:rFonts w:hint="eastAsia" w:ascii="仿宋" w:hAnsi="仿宋" w:eastAsia="仿宋"/>
          <w:b/>
          <w:bCs/>
          <w:sz w:val="30"/>
          <w:szCs w:val="30"/>
        </w:rPr>
        <w:t>采购代理机构：广西</w:t>
      </w:r>
      <w:r>
        <w:rPr>
          <w:rFonts w:ascii="仿宋" w:hAnsi="仿宋" w:eastAsia="仿宋"/>
          <w:b/>
          <w:bCs/>
          <w:sz w:val="30"/>
          <w:szCs w:val="30"/>
        </w:rPr>
        <w:t>科文</w:t>
      </w:r>
      <w:r>
        <w:rPr>
          <w:rFonts w:hint="eastAsia" w:ascii="仿宋" w:hAnsi="仿宋" w:eastAsia="仿宋"/>
          <w:b/>
          <w:bCs/>
          <w:sz w:val="30"/>
          <w:szCs w:val="30"/>
        </w:rPr>
        <w:t>招标有限公司</w:t>
      </w:r>
    </w:p>
    <w:p>
      <w:pPr>
        <w:pStyle w:val="28"/>
        <w:snapToGrid w:val="0"/>
        <w:spacing w:line="360" w:lineRule="auto"/>
        <w:jc w:val="center"/>
        <w:rPr>
          <w:rFonts w:ascii="仿宋" w:hAnsi="仿宋" w:eastAsia="仿宋"/>
          <w:szCs w:val="20"/>
        </w:rPr>
      </w:pPr>
      <w:r>
        <w:rPr>
          <w:rFonts w:hint="eastAsia" w:ascii="仿宋" w:hAnsi="仿宋" w:eastAsia="仿宋"/>
          <w:b/>
          <w:bCs/>
          <w:sz w:val="30"/>
          <w:szCs w:val="30"/>
        </w:rPr>
        <w:t>2025年1</w:t>
      </w:r>
      <w:r>
        <w:rPr>
          <w:rFonts w:hint="eastAsia" w:ascii="仿宋" w:hAnsi="仿宋" w:eastAsia="仿宋"/>
          <w:b/>
          <w:bCs/>
          <w:sz w:val="30"/>
          <w:szCs w:val="30"/>
          <w:lang w:val="en-US" w:eastAsia="zh-CN"/>
        </w:rPr>
        <w:t>2</w:t>
      </w:r>
      <w:r>
        <w:rPr>
          <w:rFonts w:hint="eastAsia" w:ascii="仿宋" w:hAnsi="仿宋" w:eastAsia="仿宋"/>
          <w:b/>
          <w:bCs/>
          <w:sz w:val="30"/>
          <w:szCs w:val="30"/>
        </w:rPr>
        <w:t>月</w:t>
      </w:r>
    </w:p>
    <w:p>
      <w:pPr>
        <w:pStyle w:val="28"/>
        <w:spacing w:before="120" w:after="120" w:line="360" w:lineRule="auto"/>
        <w:jc w:val="center"/>
        <w:rPr>
          <w:rFonts w:ascii="仿宋" w:hAnsi="仿宋" w:eastAsia="仿宋"/>
        </w:rPr>
      </w:pPr>
    </w:p>
    <w:p>
      <w:pPr>
        <w:spacing w:line="360" w:lineRule="auto"/>
        <w:jc w:val="center"/>
        <w:rPr>
          <w:rFonts w:ascii="仿宋" w:hAnsi="仿宋" w:eastAsia="仿宋"/>
          <w:b/>
          <w:sz w:val="44"/>
          <w:szCs w:val="44"/>
        </w:rPr>
      </w:pPr>
      <w:r>
        <w:rPr>
          <w:rFonts w:hint="eastAsia" w:ascii="仿宋" w:hAnsi="仿宋" w:eastAsia="仿宋"/>
          <w:b/>
          <w:sz w:val="44"/>
          <w:szCs w:val="44"/>
        </w:rPr>
        <w:t>目  录</w:t>
      </w:r>
    </w:p>
    <w:p>
      <w:pPr>
        <w:pStyle w:val="35"/>
        <w:spacing w:line="360" w:lineRule="auto"/>
        <w:ind w:firstLine="320"/>
        <w:rPr>
          <w:rFonts w:ascii="仿宋" w:hAnsi="仿宋" w:eastAsia="仿宋"/>
          <w:b w:val="0"/>
          <w:sz w:val="32"/>
          <w:szCs w:val="32"/>
        </w:rPr>
      </w:pPr>
    </w:p>
    <w:p>
      <w:pPr>
        <w:pStyle w:val="35"/>
        <w:tabs>
          <w:tab w:val="right" w:leader="dot" w:pos="9072"/>
          <w:tab w:val="clear" w:pos="8398"/>
        </w:tabs>
        <w:spacing w:before="0" w:after="0" w:line="480" w:lineRule="auto"/>
        <w:ind w:firstLine="0" w:firstLineChars="0"/>
        <w:jc w:val="center"/>
        <w:rPr>
          <w:rFonts w:ascii="仿宋" w:hAnsi="仿宋" w:eastAsia="仿宋"/>
          <w:b w:val="0"/>
          <w:bCs w:val="0"/>
          <w:caps w:val="0"/>
          <w:sz w:val="36"/>
          <w:szCs w:val="36"/>
        </w:rPr>
      </w:pPr>
      <w:r>
        <w:rPr>
          <w:rFonts w:ascii="仿宋" w:hAnsi="仿宋" w:eastAsia="仿宋"/>
          <w:b w:val="0"/>
          <w:sz w:val="36"/>
          <w:szCs w:val="36"/>
        </w:rPr>
        <w:fldChar w:fldCharType="begin"/>
      </w:r>
      <w:r>
        <w:rPr>
          <w:rFonts w:hint="eastAsia" w:ascii="仿宋" w:hAnsi="仿宋" w:eastAsia="仿宋"/>
          <w:b w:val="0"/>
          <w:sz w:val="36"/>
          <w:szCs w:val="36"/>
        </w:rPr>
        <w:instrText xml:space="preserve">TOC \o "1-2" \h \z \u</w:instrText>
      </w:r>
      <w:r>
        <w:rPr>
          <w:rFonts w:ascii="仿宋" w:hAnsi="仿宋" w:eastAsia="仿宋"/>
          <w:b w:val="0"/>
          <w:sz w:val="36"/>
          <w:szCs w:val="36"/>
        </w:rPr>
        <w:fldChar w:fldCharType="separate"/>
      </w:r>
      <w:r>
        <w:fldChar w:fldCharType="begin"/>
      </w:r>
      <w:r>
        <w:instrText xml:space="preserve"> HYPERLINK \l "_Toc74320800" </w:instrText>
      </w:r>
      <w:r>
        <w:fldChar w:fldCharType="separate"/>
      </w:r>
      <w:r>
        <w:rPr>
          <w:rStyle w:val="51"/>
          <w:rFonts w:hint="eastAsia" w:ascii="仿宋" w:hAnsi="仿宋" w:eastAsia="仿宋"/>
          <w:b w:val="0"/>
          <w:color w:val="auto"/>
          <w:sz w:val="36"/>
          <w:szCs w:val="36"/>
        </w:rPr>
        <w:t>第一章 招标公告</w:t>
      </w:r>
      <w:r>
        <w:rPr>
          <w:rFonts w:ascii="仿宋" w:hAnsi="仿宋" w:eastAsia="仿宋"/>
          <w:b w:val="0"/>
          <w:sz w:val="36"/>
          <w:szCs w:val="36"/>
        </w:rPr>
        <w:tab/>
      </w:r>
      <w:r>
        <w:rPr>
          <w:rFonts w:ascii="仿宋" w:hAnsi="仿宋" w:eastAsia="仿宋"/>
          <w:b w:val="0"/>
          <w:sz w:val="36"/>
          <w:szCs w:val="36"/>
        </w:rPr>
        <w:t>2</w:t>
      </w:r>
      <w:r>
        <w:rPr>
          <w:rFonts w:ascii="仿宋" w:hAnsi="仿宋" w:eastAsia="仿宋"/>
          <w:b w:val="0"/>
          <w:sz w:val="36"/>
          <w:szCs w:val="36"/>
        </w:rPr>
        <w:fldChar w:fldCharType="end"/>
      </w:r>
    </w:p>
    <w:p>
      <w:pPr>
        <w:pStyle w:val="35"/>
        <w:tabs>
          <w:tab w:val="right" w:leader="dot" w:pos="9072"/>
          <w:tab w:val="clear" w:pos="8398"/>
        </w:tabs>
        <w:spacing w:before="0" w:after="0" w:line="480" w:lineRule="auto"/>
        <w:ind w:firstLine="0" w:firstLineChars="0"/>
        <w:jc w:val="center"/>
        <w:rPr>
          <w:rFonts w:ascii="仿宋" w:hAnsi="仿宋" w:eastAsia="仿宋"/>
          <w:b w:val="0"/>
          <w:bCs w:val="0"/>
          <w:caps w:val="0"/>
          <w:sz w:val="36"/>
          <w:szCs w:val="36"/>
        </w:rPr>
      </w:pPr>
      <w:r>
        <w:fldChar w:fldCharType="begin"/>
      </w:r>
      <w:r>
        <w:instrText xml:space="preserve"> HYPERLINK \l "_Toc74320801" </w:instrText>
      </w:r>
      <w:r>
        <w:fldChar w:fldCharType="separate"/>
      </w:r>
      <w:r>
        <w:rPr>
          <w:rStyle w:val="51"/>
          <w:rFonts w:hint="eastAsia" w:ascii="仿宋" w:hAnsi="仿宋" w:eastAsia="仿宋"/>
          <w:b w:val="0"/>
          <w:color w:val="auto"/>
          <w:sz w:val="36"/>
          <w:szCs w:val="36"/>
        </w:rPr>
        <w:t>第二章 采购需求</w:t>
      </w:r>
      <w:bookmarkStart w:id="0" w:name="_Hlt113479581"/>
      <w:bookmarkStart w:id="1" w:name="_Hlt113479582"/>
      <w:bookmarkStart w:id="2" w:name="_Hlt112372227"/>
      <w:bookmarkStart w:id="3" w:name="_Hlt112295812"/>
      <w:bookmarkStart w:id="4" w:name="_Hlt115102512"/>
      <w:r>
        <w:rPr>
          <w:rFonts w:ascii="仿宋" w:hAnsi="仿宋" w:eastAsia="仿宋"/>
          <w:b w:val="0"/>
          <w:sz w:val="36"/>
          <w:szCs w:val="36"/>
        </w:rPr>
        <w:tab/>
      </w:r>
      <w:bookmarkEnd w:id="0"/>
      <w:bookmarkEnd w:id="1"/>
      <w:bookmarkEnd w:id="2"/>
      <w:bookmarkEnd w:id="3"/>
      <w:bookmarkEnd w:id="4"/>
      <w:r>
        <w:rPr>
          <w:rFonts w:hint="eastAsia" w:ascii="仿宋" w:hAnsi="仿宋" w:eastAsia="仿宋"/>
          <w:b w:val="0"/>
          <w:sz w:val="36"/>
          <w:szCs w:val="36"/>
        </w:rPr>
        <w:t>6</w:t>
      </w:r>
      <w:r>
        <w:rPr>
          <w:rFonts w:hint="eastAsia" w:ascii="仿宋" w:hAnsi="仿宋" w:eastAsia="仿宋"/>
          <w:b w:val="0"/>
          <w:sz w:val="36"/>
          <w:szCs w:val="36"/>
        </w:rPr>
        <w:fldChar w:fldCharType="end"/>
      </w:r>
    </w:p>
    <w:p>
      <w:pPr>
        <w:pStyle w:val="35"/>
        <w:tabs>
          <w:tab w:val="right" w:leader="dot" w:pos="9072"/>
          <w:tab w:val="clear" w:pos="8398"/>
        </w:tabs>
        <w:spacing w:before="0" w:after="0" w:line="480" w:lineRule="auto"/>
        <w:ind w:firstLine="0" w:firstLineChars="0"/>
        <w:jc w:val="center"/>
        <w:rPr>
          <w:rFonts w:hint="eastAsia" w:ascii="仿宋" w:hAnsi="仿宋" w:eastAsia="仿宋"/>
          <w:b w:val="0"/>
          <w:bCs w:val="0"/>
          <w:caps w:val="0"/>
          <w:sz w:val="36"/>
          <w:szCs w:val="36"/>
          <w:lang w:eastAsia="zh-CN"/>
        </w:rPr>
      </w:pPr>
      <w:r>
        <w:fldChar w:fldCharType="begin"/>
      </w:r>
      <w:r>
        <w:instrText xml:space="preserve"> HYPERLINK \l "_Toc74320802" </w:instrText>
      </w:r>
      <w:r>
        <w:fldChar w:fldCharType="separate"/>
      </w:r>
      <w:r>
        <w:rPr>
          <w:rStyle w:val="51"/>
          <w:rFonts w:hint="eastAsia" w:ascii="仿宋" w:hAnsi="仿宋" w:eastAsia="仿宋"/>
          <w:b w:val="0"/>
          <w:color w:val="auto"/>
          <w:sz w:val="36"/>
          <w:szCs w:val="36"/>
        </w:rPr>
        <w:t>第三章 投标人须</w:t>
      </w:r>
      <w:bookmarkStart w:id="5" w:name="_Hlt79572744"/>
      <w:bookmarkStart w:id="6" w:name="_Hlt79572745"/>
      <w:r>
        <w:rPr>
          <w:rStyle w:val="51"/>
          <w:rFonts w:hint="eastAsia" w:ascii="仿宋" w:hAnsi="仿宋" w:eastAsia="仿宋"/>
          <w:b w:val="0"/>
          <w:color w:val="auto"/>
          <w:sz w:val="36"/>
          <w:szCs w:val="36"/>
        </w:rPr>
        <w:t>知</w:t>
      </w:r>
      <w:bookmarkEnd w:id="5"/>
      <w:bookmarkEnd w:id="6"/>
      <w:bookmarkStart w:id="7" w:name="_Hlt115102045"/>
      <w:bookmarkStart w:id="8" w:name="_Hlt115102046"/>
      <w:bookmarkStart w:id="9" w:name="_Hlt112290079"/>
      <w:bookmarkStart w:id="10" w:name="_Hlt112290080"/>
      <w:bookmarkStart w:id="11" w:name="_Hlt112372199"/>
      <w:bookmarkStart w:id="12" w:name="_Hlt112295571"/>
      <w:r>
        <w:rPr>
          <w:rFonts w:ascii="仿宋" w:hAnsi="仿宋" w:eastAsia="仿宋"/>
          <w:b w:val="0"/>
          <w:sz w:val="36"/>
          <w:szCs w:val="36"/>
        </w:rPr>
        <w:tab/>
      </w:r>
      <w:bookmarkEnd w:id="7"/>
      <w:bookmarkEnd w:id="8"/>
      <w:bookmarkEnd w:id="9"/>
      <w:bookmarkEnd w:id="10"/>
      <w:bookmarkEnd w:id="11"/>
      <w:bookmarkEnd w:id="12"/>
      <w:r>
        <w:rPr>
          <w:rFonts w:ascii="仿宋" w:hAnsi="仿宋" w:eastAsia="仿宋"/>
          <w:b w:val="0"/>
          <w:sz w:val="36"/>
          <w:szCs w:val="36"/>
        </w:rPr>
        <w:fldChar w:fldCharType="end"/>
      </w:r>
      <w:r>
        <w:rPr>
          <w:rFonts w:hint="eastAsia" w:ascii="仿宋" w:hAnsi="仿宋" w:eastAsia="仿宋"/>
          <w:b w:val="0"/>
          <w:sz w:val="36"/>
          <w:szCs w:val="36"/>
        </w:rPr>
        <w:t>3</w:t>
      </w:r>
      <w:r>
        <w:rPr>
          <w:rFonts w:hint="eastAsia" w:ascii="仿宋" w:hAnsi="仿宋" w:eastAsia="仿宋"/>
          <w:b w:val="0"/>
          <w:sz w:val="36"/>
          <w:szCs w:val="36"/>
          <w:lang w:val="en-US" w:eastAsia="zh-CN"/>
        </w:rPr>
        <w:t>7</w:t>
      </w:r>
    </w:p>
    <w:p>
      <w:pPr>
        <w:pStyle w:val="35"/>
        <w:tabs>
          <w:tab w:val="right" w:leader="dot" w:pos="9072"/>
          <w:tab w:val="clear" w:pos="8398"/>
        </w:tabs>
        <w:spacing w:before="0" w:after="0" w:line="480" w:lineRule="auto"/>
        <w:ind w:firstLine="0" w:firstLineChars="0"/>
        <w:jc w:val="center"/>
        <w:rPr>
          <w:rFonts w:hint="eastAsia" w:ascii="仿宋" w:hAnsi="仿宋" w:eastAsia="仿宋"/>
          <w:b w:val="0"/>
          <w:bCs w:val="0"/>
          <w:caps w:val="0"/>
          <w:sz w:val="36"/>
          <w:szCs w:val="36"/>
          <w:lang w:eastAsia="zh-CN"/>
        </w:rPr>
      </w:pPr>
      <w:r>
        <w:fldChar w:fldCharType="begin"/>
      </w:r>
      <w:r>
        <w:instrText xml:space="preserve"> HYPERLINK \l "_Toc74320803" </w:instrText>
      </w:r>
      <w:r>
        <w:fldChar w:fldCharType="separate"/>
      </w:r>
      <w:r>
        <w:rPr>
          <w:rStyle w:val="51"/>
          <w:rFonts w:hint="eastAsia" w:ascii="仿宋" w:hAnsi="仿宋" w:eastAsia="仿宋"/>
          <w:b w:val="0"/>
          <w:color w:val="auto"/>
          <w:sz w:val="36"/>
          <w:szCs w:val="36"/>
        </w:rPr>
        <w:t>第四章 评标方</w:t>
      </w:r>
      <w:bookmarkStart w:id="13" w:name="_Hlt82186274"/>
      <w:bookmarkStart w:id="14" w:name="_Hlt82186273"/>
      <w:r>
        <w:rPr>
          <w:rStyle w:val="51"/>
          <w:rFonts w:hint="eastAsia" w:ascii="仿宋" w:hAnsi="仿宋" w:eastAsia="仿宋"/>
          <w:b w:val="0"/>
          <w:color w:val="auto"/>
          <w:sz w:val="36"/>
          <w:szCs w:val="36"/>
        </w:rPr>
        <w:t>法</w:t>
      </w:r>
      <w:bookmarkEnd w:id="13"/>
      <w:bookmarkEnd w:id="14"/>
      <w:r>
        <w:rPr>
          <w:rStyle w:val="51"/>
          <w:rFonts w:hint="eastAsia" w:ascii="仿宋" w:hAnsi="仿宋" w:eastAsia="仿宋"/>
          <w:b w:val="0"/>
          <w:color w:val="auto"/>
          <w:sz w:val="36"/>
          <w:szCs w:val="36"/>
        </w:rPr>
        <w:t>及</w:t>
      </w:r>
      <w:bookmarkStart w:id="15" w:name="_Hlt115102681"/>
      <w:bookmarkStart w:id="16" w:name="_Hlt115102492"/>
      <w:r>
        <w:rPr>
          <w:rStyle w:val="51"/>
          <w:rFonts w:hint="eastAsia" w:ascii="仿宋" w:hAnsi="仿宋" w:eastAsia="仿宋"/>
          <w:b w:val="0"/>
          <w:color w:val="auto"/>
          <w:sz w:val="36"/>
          <w:szCs w:val="36"/>
        </w:rPr>
        <w:t>评</w:t>
      </w:r>
      <w:bookmarkEnd w:id="15"/>
      <w:bookmarkEnd w:id="16"/>
      <w:bookmarkStart w:id="17" w:name="_Hlt112801462"/>
      <w:r>
        <w:rPr>
          <w:rStyle w:val="51"/>
          <w:rFonts w:hint="eastAsia" w:ascii="仿宋" w:hAnsi="仿宋" w:eastAsia="仿宋"/>
          <w:b w:val="0"/>
          <w:color w:val="auto"/>
          <w:sz w:val="36"/>
          <w:szCs w:val="36"/>
        </w:rPr>
        <w:t>标</w:t>
      </w:r>
      <w:bookmarkEnd w:id="17"/>
      <w:r>
        <w:rPr>
          <w:rStyle w:val="51"/>
          <w:rFonts w:hint="eastAsia" w:ascii="仿宋" w:hAnsi="仿宋" w:eastAsia="仿宋"/>
          <w:b w:val="0"/>
          <w:color w:val="auto"/>
          <w:sz w:val="36"/>
          <w:szCs w:val="36"/>
        </w:rPr>
        <w:t>标准</w:t>
      </w:r>
      <w:bookmarkStart w:id="18" w:name="_Hlt112801593"/>
      <w:r>
        <w:rPr>
          <w:rFonts w:ascii="仿宋" w:hAnsi="仿宋" w:eastAsia="仿宋"/>
          <w:b w:val="0"/>
          <w:sz w:val="36"/>
          <w:szCs w:val="36"/>
        </w:rPr>
        <w:tab/>
      </w:r>
      <w:bookmarkEnd w:id="18"/>
      <w:r>
        <w:rPr>
          <w:rFonts w:ascii="仿宋" w:hAnsi="仿宋" w:eastAsia="仿宋"/>
          <w:b w:val="0"/>
          <w:sz w:val="36"/>
          <w:szCs w:val="36"/>
        </w:rPr>
        <w:fldChar w:fldCharType="end"/>
      </w:r>
      <w:r>
        <w:rPr>
          <w:rFonts w:hint="eastAsia" w:ascii="仿宋" w:hAnsi="仿宋" w:eastAsia="仿宋"/>
          <w:b w:val="0"/>
          <w:sz w:val="36"/>
          <w:szCs w:val="36"/>
        </w:rPr>
        <w:t>6</w:t>
      </w:r>
      <w:r>
        <w:rPr>
          <w:rFonts w:hint="eastAsia" w:ascii="仿宋" w:hAnsi="仿宋" w:eastAsia="仿宋"/>
          <w:b w:val="0"/>
          <w:sz w:val="36"/>
          <w:szCs w:val="36"/>
          <w:lang w:val="en-US" w:eastAsia="zh-CN"/>
        </w:rPr>
        <w:t>1</w:t>
      </w:r>
    </w:p>
    <w:p>
      <w:pPr>
        <w:pStyle w:val="35"/>
        <w:tabs>
          <w:tab w:val="right" w:leader="dot" w:pos="9072"/>
          <w:tab w:val="clear" w:pos="8398"/>
        </w:tabs>
        <w:spacing w:before="0" w:after="0" w:line="480" w:lineRule="auto"/>
        <w:ind w:firstLine="0" w:firstLineChars="0"/>
        <w:jc w:val="center"/>
        <w:rPr>
          <w:rFonts w:ascii="仿宋" w:hAnsi="仿宋" w:eastAsia="仿宋"/>
          <w:b w:val="0"/>
          <w:bCs w:val="0"/>
          <w:caps w:val="0"/>
          <w:sz w:val="36"/>
          <w:szCs w:val="36"/>
        </w:rPr>
      </w:pPr>
      <w:r>
        <w:fldChar w:fldCharType="begin"/>
      </w:r>
      <w:r>
        <w:instrText xml:space="preserve"> HYPERLINK \l "_Toc74320804" </w:instrText>
      </w:r>
      <w:r>
        <w:fldChar w:fldCharType="separate"/>
      </w:r>
      <w:r>
        <w:rPr>
          <w:rStyle w:val="51"/>
          <w:rFonts w:hint="eastAsia" w:ascii="仿宋" w:hAnsi="仿宋" w:eastAsia="仿宋"/>
          <w:b w:val="0"/>
          <w:color w:val="auto"/>
          <w:sz w:val="36"/>
          <w:szCs w:val="36"/>
        </w:rPr>
        <w:t>第五章 拟签订的合同文本</w:t>
      </w:r>
      <w:r>
        <w:rPr>
          <w:rFonts w:ascii="仿宋" w:hAnsi="仿宋" w:eastAsia="仿宋"/>
          <w:b w:val="0"/>
          <w:sz w:val="36"/>
          <w:szCs w:val="36"/>
        </w:rPr>
        <w:tab/>
      </w:r>
      <w:r>
        <w:rPr>
          <w:rFonts w:ascii="仿宋" w:hAnsi="仿宋" w:eastAsia="仿宋"/>
          <w:b w:val="0"/>
          <w:sz w:val="36"/>
          <w:szCs w:val="36"/>
        </w:rPr>
        <w:fldChar w:fldCharType="end"/>
      </w:r>
      <w:r>
        <w:rPr>
          <w:rFonts w:hint="eastAsia" w:ascii="仿宋" w:hAnsi="仿宋" w:eastAsia="仿宋"/>
          <w:b w:val="0"/>
          <w:sz w:val="36"/>
          <w:szCs w:val="36"/>
        </w:rPr>
        <w:t>72</w:t>
      </w:r>
    </w:p>
    <w:p>
      <w:pPr>
        <w:pStyle w:val="35"/>
        <w:tabs>
          <w:tab w:val="right" w:leader="dot" w:pos="9072"/>
          <w:tab w:val="clear" w:pos="8398"/>
        </w:tabs>
        <w:spacing w:before="0" w:after="0" w:line="480" w:lineRule="auto"/>
        <w:ind w:firstLine="0" w:firstLineChars="0"/>
        <w:jc w:val="center"/>
        <w:rPr>
          <w:rFonts w:hint="eastAsia" w:ascii="仿宋" w:hAnsi="仿宋" w:eastAsia="仿宋"/>
          <w:b w:val="0"/>
          <w:bCs w:val="0"/>
          <w:caps w:val="0"/>
          <w:sz w:val="36"/>
          <w:szCs w:val="36"/>
          <w:lang w:eastAsia="zh-CN"/>
        </w:rPr>
      </w:pPr>
      <w:r>
        <w:fldChar w:fldCharType="begin"/>
      </w:r>
      <w:r>
        <w:instrText xml:space="preserve"> HYPERLINK \l "_Toc74320805" </w:instrText>
      </w:r>
      <w:r>
        <w:fldChar w:fldCharType="separate"/>
      </w:r>
      <w:r>
        <w:rPr>
          <w:rStyle w:val="51"/>
          <w:rFonts w:hint="eastAsia" w:ascii="仿宋" w:hAnsi="仿宋" w:eastAsia="仿宋"/>
          <w:b w:val="0"/>
          <w:color w:val="auto"/>
          <w:sz w:val="36"/>
          <w:szCs w:val="36"/>
        </w:rPr>
        <w:t>第六章 投标文件格式</w:t>
      </w:r>
      <w:bookmarkStart w:id="19" w:name="_Hlt112372474"/>
      <w:r>
        <w:rPr>
          <w:rFonts w:ascii="仿宋" w:hAnsi="仿宋" w:eastAsia="仿宋"/>
          <w:b w:val="0"/>
          <w:sz w:val="36"/>
          <w:szCs w:val="36"/>
        </w:rPr>
        <w:tab/>
      </w:r>
      <w:bookmarkEnd w:id="19"/>
      <w:r>
        <w:rPr>
          <w:rFonts w:ascii="仿宋" w:hAnsi="仿宋" w:eastAsia="仿宋"/>
          <w:b w:val="0"/>
          <w:sz w:val="36"/>
          <w:szCs w:val="36"/>
        </w:rPr>
        <w:fldChar w:fldCharType="end"/>
      </w:r>
      <w:r>
        <w:rPr>
          <w:rFonts w:hint="eastAsia" w:ascii="仿宋" w:hAnsi="仿宋" w:eastAsia="仿宋"/>
          <w:b w:val="0"/>
          <w:sz w:val="36"/>
          <w:szCs w:val="36"/>
        </w:rPr>
        <w:t>8</w:t>
      </w:r>
      <w:r>
        <w:rPr>
          <w:rFonts w:hint="eastAsia" w:ascii="仿宋" w:hAnsi="仿宋" w:eastAsia="仿宋"/>
          <w:b w:val="0"/>
          <w:sz w:val="36"/>
          <w:szCs w:val="36"/>
          <w:lang w:val="en-US" w:eastAsia="zh-CN"/>
        </w:rPr>
        <w:t>3</w:t>
      </w:r>
    </w:p>
    <w:p>
      <w:pPr>
        <w:spacing w:line="480" w:lineRule="auto"/>
        <w:jc w:val="center"/>
        <w:rPr>
          <w:rFonts w:ascii="仿宋" w:hAnsi="仿宋" w:eastAsia="仿宋"/>
          <w:sz w:val="24"/>
        </w:rPr>
      </w:pPr>
      <w:r>
        <w:rPr>
          <w:rFonts w:ascii="仿宋" w:hAnsi="仿宋" w:eastAsia="仿宋"/>
          <w:sz w:val="36"/>
          <w:szCs w:val="36"/>
        </w:rPr>
        <w:fldChar w:fldCharType="end"/>
      </w:r>
    </w:p>
    <w:p>
      <w:pPr>
        <w:spacing w:before="120" w:beforeLines="50" w:line="480" w:lineRule="exact"/>
        <w:rPr>
          <w:rFonts w:ascii="仿宋" w:hAnsi="仿宋" w:eastAsia="仿宋"/>
          <w:sz w:val="30"/>
        </w:rPr>
      </w:pPr>
    </w:p>
    <w:p>
      <w:pPr>
        <w:pStyle w:val="15"/>
        <w:rPr>
          <w:rFonts w:ascii="仿宋" w:hAnsi="仿宋" w:eastAsia="仿宋" w:cs="宋体"/>
          <w:b/>
          <w:bCs/>
        </w:rPr>
      </w:pPr>
      <w:bookmarkStart w:id="20" w:name="_Toc254970489"/>
      <w:bookmarkStart w:id="21" w:name="_Toc254970630"/>
    </w:p>
    <w:p>
      <w:pPr>
        <w:pStyle w:val="4"/>
        <w:keepNext w:val="0"/>
        <w:keepLines w:val="0"/>
        <w:tabs>
          <w:tab w:val="left" w:pos="0"/>
          <w:tab w:val="left" w:pos="3165"/>
          <w:tab w:val="center" w:pos="4153"/>
        </w:tabs>
        <w:autoSpaceDE w:val="0"/>
        <w:autoSpaceDN w:val="0"/>
        <w:adjustRightInd w:val="0"/>
        <w:spacing w:before="0" w:after="0" w:line="500" w:lineRule="exact"/>
        <w:jc w:val="center"/>
        <w:rPr>
          <w:rFonts w:ascii="仿宋" w:hAnsi="仿宋" w:eastAsia="仿宋" w:cs="宋体"/>
          <w:b w:val="0"/>
          <w:bCs w:val="0"/>
        </w:rPr>
      </w:pPr>
    </w:p>
    <w:p/>
    <w:p/>
    <w:p/>
    <w:p/>
    <w:p/>
    <w:p/>
    <w:p>
      <w:pPr>
        <w:pStyle w:val="4"/>
        <w:keepNext w:val="0"/>
        <w:keepLines w:val="0"/>
        <w:tabs>
          <w:tab w:val="left" w:pos="0"/>
          <w:tab w:val="left" w:pos="3165"/>
          <w:tab w:val="center" w:pos="4153"/>
        </w:tabs>
        <w:autoSpaceDE w:val="0"/>
        <w:autoSpaceDN w:val="0"/>
        <w:adjustRightInd w:val="0"/>
        <w:spacing w:before="0" w:after="0" w:line="500" w:lineRule="exact"/>
      </w:pPr>
    </w:p>
    <w:p>
      <w:pPr>
        <w:pStyle w:val="4"/>
        <w:keepNext w:val="0"/>
        <w:keepLines w:val="0"/>
        <w:tabs>
          <w:tab w:val="left" w:pos="0"/>
          <w:tab w:val="left" w:pos="3165"/>
          <w:tab w:val="center" w:pos="4153"/>
        </w:tabs>
        <w:autoSpaceDE w:val="0"/>
        <w:autoSpaceDN w:val="0"/>
        <w:adjustRightInd w:val="0"/>
        <w:spacing w:before="0" w:after="0" w:line="500" w:lineRule="exact"/>
        <w:jc w:val="center"/>
        <w:rPr>
          <w:rFonts w:ascii="仿宋" w:hAnsi="仿宋" w:eastAsia="仿宋"/>
        </w:rPr>
      </w:pPr>
      <w:r>
        <w:br w:type="page"/>
      </w:r>
      <w:bookmarkStart w:id="22" w:name="_Toc74320800"/>
      <w:r>
        <w:rPr>
          <w:rFonts w:hint="eastAsia" w:ascii="仿宋" w:hAnsi="仿宋" w:eastAsia="仿宋"/>
        </w:rPr>
        <w:t>第一章</w:t>
      </w:r>
      <w:bookmarkEnd w:id="20"/>
      <w:bookmarkEnd w:id="21"/>
      <w:bookmarkStart w:id="23" w:name="_Toc35393789"/>
      <w:bookmarkStart w:id="24" w:name="_Toc28359001"/>
      <w:r>
        <w:rPr>
          <w:rFonts w:hint="eastAsia" w:ascii="仿宋" w:hAnsi="仿宋" w:eastAsia="仿宋"/>
        </w:rPr>
        <w:t>招标公告</w:t>
      </w:r>
      <w:bookmarkEnd w:id="22"/>
      <w:bookmarkEnd w:id="23"/>
      <w:bookmarkEnd w:id="24"/>
    </w:p>
    <w:p>
      <w:pPr>
        <w:pStyle w:val="4"/>
        <w:keepNext w:val="0"/>
        <w:keepLines w:val="0"/>
        <w:tabs>
          <w:tab w:val="left" w:pos="0"/>
          <w:tab w:val="left" w:pos="3165"/>
          <w:tab w:val="center" w:pos="4153"/>
        </w:tabs>
        <w:autoSpaceDE w:val="0"/>
        <w:autoSpaceDN w:val="0"/>
        <w:adjustRightInd w:val="0"/>
        <w:spacing w:before="120" w:beforeLines="50" w:after="0" w:line="500" w:lineRule="exact"/>
        <w:jc w:val="center"/>
        <w:rPr>
          <w:rFonts w:ascii="仿宋" w:hAnsi="仿宋" w:eastAsia="仿宋"/>
          <w:bCs w:val="0"/>
          <w:kern w:val="2"/>
          <w:sz w:val="30"/>
          <w:szCs w:val="30"/>
        </w:rPr>
      </w:pPr>
      <w:r>
        <w:rPr>
          <w:rFonts w:hint="eastAsia" w:ascii="仿宋" w:hAnsi="仿宋" w:eastAsia="仿宋"/>
          <w:sz w:val="30"/>
          <w:szCs w:val="30"/>
        </w:rPr>
        <w:t>高等学历继续教育综合学习平台与课程资源使用服务</w:t>
      </w:r>
      <w:r>
        <w:rPr>
          <w:rFonts w:hint="eastAsia" w:ascii="仿宋" w:hAnsi="仿宋" w:eastAsia="仿宋"/>
          <w:bCs w:val="0"/>
          <w:kern w:val="2"/>
          <w:sz w:val="30"/>
          <w:szCs w:val="30"/>
        </w:rPr>
        <w:t>（GXZC2025-G3-003556-KWZB）招标公告</w:t>
      </w:r>
    </w:p>
    <w:p>
      <w:pPr>
        <w:pBdr>
          <w:top w:val="single" w:color="auto" w:sz="4" w:space="1"/>
          <w:left w:val="single" w:color="auto" w:sz="4" w:space="4"/>
          <w:bottom w:val="single" w:color="auto" w:sz="4" w:space="1"/>
          <w:right w:val="single" w:color="auto" w:sz="4" w:space="4"/>
        </w:pBdr>
        <w:spacing w:line="400" w:lineRule="exact"/>
        <w:rPr>
          <w:rFonts w:ascii="仿宋" w:hAnsi="仿宋" w:eastAsia="仿宋"/>
          <w:sz w:val="24"/>
        </w:rPr>
      </w:pPr>
      <w:r>
        <w:rPr>
          <w:rFonts w:hint="eastAsia" w:ascii="仿宋" w:hAnsi="仿宋" w:eastAsia="仿宋"/>
          <w:sz w:val="24"/>
        </w:rPr>
        <w:t>项目概况</w:t>
      </w:r>
    </w:p>
    <w:p>
      <w:pPr>
        <w:pBdr>
          <w:top w:val="single" w:color="auto" w:sz="4" w:space="1"/>
          <w:left w:val="single" w:color="auto" w:sz="4" w:space="4"/>
          <w:bottom w:val="single" w:color="auto" w:sz="4" w:space="1"/>
          <w:right w:val="single" w:color="auto" w:sz="4" w:space="4"/>
        </w:pBdr>
        <w:wordWrap w:val="0"/>
        <w:spacing w:line="400" w:lineRule="exact"/>
        <w:ind w:firstLine="480" w:firstLineChars="200"/>
        <w:rPr>
          <w:rFonts w:ascii="仿宋" w:hAnsi="仿宋" w:eastAsia="仿宋"/>
          <w:sz w:val="24"/>
        </w:rPr>
      </w:pPr>
      <w:r>
        <w:rPr>
          <w:rFonts w:hint="eastAsia" w:ascii="仿宋" w:hAnsi="仿宋" w:eastAsia="仿宋"/>
          <w:sz w:val="24"/>
          <w:u w:val="single"/>
        </w:rPr>
        <w:t>高等学历继续教育综合学习平台与课程资源使用服务</w:t>
      </w:r>
      <w:r>
        <w:rPr>
          <w:rFonts w:hint="eastAsia" w:ascii="仿宋" w:hAnsi="仿宋" w:eastAsia="仿宋"/>
          <w:sz w:val="24"/>
        </w:rPr>
        <w:t>招标项目的潜在投标人应在</w:t>
      </w:r>
      <w:r>
        <w:rPr>
          <w:rFonts w:hint="eastAsia" w:ascii="仿宋" w:hAnsi="仿宋" w:eastAsia="仿宋"/>
          <w:sz w:val="24"/>
          <w:u w:val="single"/>
        </w:rPr>
        <w:t>广西政府采购云平台（https://www.gcy.zfcg.gxzf.gov.cn/</w:t>
      </w:r>
      <w:r>
        <w:rPr>
          <w:rFonts w:ascii="仿宋" w:hAnsi="仿宋" w:eastAsia="仿宋"/>
          <w:sz w:val="24"/>
          <w:u w:val="single"/>
        </w:rPr>
        <w:t>）</w:t>
      </w:r>
      <w:r>
        <w:rPr>
          <w:rFonts w:ascii="仿宋" w:hAnsi="仿宋" w:eastAsia="仿宋"/>
          <w:sz w:val="24"/>
        </w:rPr>
        <w:t>获取招标文件，并于</w:t>
      </w:r>
      <w:r>
        <w:rPr>
          <w:rFonts w:hint="eastAsia" w:ascii="仿宋" w:hAnsi="仿宋" w:eastAsia="仿宋"/>
          <w:sz w:val="24"/>
          <w:highlight w:val="none"/>
        </w:rPr>
        <w:t>202</w:t>
      </w:r>
      <w:r>
        <w:rPr>
          <w:rFonts w:hint="eastAsia" w:ascii="仿宋" w:hAnsi="仿宋" w:eastAsia="仿宋"/>
          <w:sz w:val="24"/>
          <w:highlight w:val="none"/>
          <w:lang w:val="en-US" w:eastAsia="zh-CN"/>
        </w:rPr>
        <w:t>6</w:t>
      </w:r>
      <w:r>
        <w:rPr>
          <w:rFonts w:hint="eastAsia" w:ascii="仿宋" w:hAnsi="仿宋" w:eastAsia="仿宋"/>
          <w:sz w:val="24"/>
          <w:highlight w:val="none"/>
        </w:rPr>
        <w:t>年</w:t>
      </w:r>
      <w:r>
        <w:rPr>
          <w:rFonts w:hint="eastAsia" w:ascii="仿宋" w:hAnsi="仿宋" w:eastAsia="仿宋"/>
          <w:sz w:val="24"/>
          <w:highlight w:val="none"/>
          <w:lang w:val="en-US" w:eastAsia="zh-CN"/>
        </w:rPr>
        <w:t>1</w:t>
      </w:r>
      <w:r>
        <w:rPr>
          <w:rFonts w:hint="eastAsia" w:ascii="仿宋" w:hAnsi="仿宋" w:eastAsia="仿宋"/>
          <w:sz w:val="24"/>
          <w:highlight w:val="none"/>
        </w:rPr>
        <w:t>月</w:t>
      </w:r>
      <w:r>
        <w:rPr>
          <w:rFonts w:hint="eastAsia" w:ascii="仿宋" w:hAnsi="仿宋" w:eastAsia="仿宋"/>
          <w:sz w:val="24"/>
          <w:highlight w:val="none"/>
          <w:lang w:val="en-US" w:eastAsia="zh-CN"/>
        </w:rPr>
        <w:t>4</w:t>
      </w:r>
      <w:r>
        <w:rPr>
          <w:rFonts w:hint="eastAsia" w:ascii="仿宋" w:hAnsi="仿宋" w:eastAsia="仿宋"/>
          <w:sz w:val="24"/>
          <w:highlight w:val="none"/>
        </w:rPr>
        <w:t>日</w:t>
      </w:r>
      <w:r>
        <w:rPr>
          <w:rFonts w:ascii="仿宋" w:hAnsi="仿宋" w:eastAsia="仿宋"/>
          <w:sz w:val="24"/>
        </w:rPr>
        <w:t>9</w:t>
      </w:r>
      <w:r>
        <w:rPr>
          <w:rFonts w:hint="eastAsia" w:ascii="仿宋" w:hAnsi="仿宋" w:eastAsia="仿宋"/>
          <w:sz w:val="24"/>
        </w:rPr>
        <w:t>：</w:t>
      </w:r>
      <w:r>
        <w:rPr>
          <w:rFonts w:ascii="仿宋" w:hAnsi="仿宋" w:eastAsia="仿宋"/>
          <w:sz w:val="24"/>
        </w:rPr>
        <w:t>30</w:t>
      </w:r>
      <w:r>
        <w:rPr>
          <w:rFonts w:hint="eastAsia" w:ascii="仿宋" w:hAnsi="仿宋" w:eastAsia="仿宋"/>
          <w:sz w:val="24"/>
        </w:rPr>
        <w:t>（北京时间）前递交投标</w:t>
      </w:r>
      <w:r>
        <w:rPr>
          <w:rFonts w:ascii="仿宋" w:hAnsi="仿宋" w:eastAsia="仿宋"/>
          <w:sz w:val="24"/>
        </w:rPr>
        <w:t>文件</w:t>
      </w:r>
      <w:r>
        <w:rPr>
          <w:rFonts w:hint="eastAsia" w:ascii="仿宋" w:hAnsi="仿宋" w:eastAsia="仿宋"/>
          <w:sz w:val="24"/>
        </w:rPr>
        <w:t>。</w:t>
      </w:r>
    </w:p>
    <w:p>
      <w:pPr>
        <w:spacing w:line="400" w:lineRule="exact"/>
        <w:rPr>
          <w:rFonts w:ascii="仿宋" w:hAnsi="仿宋" w:eastAsia="仿宋"/>
          <w:b/>
          <w:bCs/>
          <w:sz w:val="24"/>
        </w:rPr>
      </w:pPr>
      <w:bookmarkStart w:id="25" w:name="_Toc35393621"/>
      <w:bookmarkStart w:id="26" w:name="_Toc28359079"/>
      <w:bookmarkStart w:id="27" w:name="_Toc28359002"/>
      <w:bookmarkStart w:id="28" w:name="_Toc35393790"/>
      <w:bookmarkStart w:id="29" w:name="_Hlk24379207"/>
      <w:r>
        <w:rPr>
          <w:rFonts w:hint="eastAsia" w:ascii="仿宋" w:hAnsi="仿宋" w:eastAsia="仿宋"/>
          <w:b/>
          <w:bCs/>
          <w:sz w:val="24"/>
        </w:rPr>
        <w:t>一、项目基本情况</w:t>
      </w:r>
      <w:bookmarkEnd w:id="25"/>
      <w:bookmarkEnd w:id="26"/>
      <w:bookmarkEnd w:id="27"/>
      <w:bookmarkEnd w:id="28"/>
    </w:p>
    <w:p>
      <w:pPr>
        <w:spacing w:line="400" w:lineRule="exact"/>
        <w:ind w:firstLine="480" w:firstLineChars="200"/>
        <w:rPr>
          <w:rFonts w:ascii="仿宋" w:hAnsi="仿宋" w:eastAsia="仿宋"/>
          <w:sz w:val="24"/>
        </w:rPr>
      </w:pPr>
      <w:r>
        <w:rPr>
          <w:rFonts w:hint="eastAsia" w:ascii="仿宋" w:hAnsi="仿宋" w:eastAsia="仿宋"/>
          <w:sz w:val="24"/>
        </w:rPr>
        <w:t>项目编号：GXZC2025-G3-003556-KWZB</w:t>
      </w:r>
    </w:p>
    <w:p>
      <w:pPr>
        <w:spacing w:line="400" w:lineRule="exact"/>
        <w:ind w:firstLine="480" w:firstLineChars="200"/>
        <w:rPr>
          <w:rFonts w:ascii="仿宋" w:hAnsi="仿宋" w:eastAsia="仿宋"/>
          <w:sz w:val="24"/>
        </w:rPr>
      </w:pPr>
      <w:r>
        <w:rPr>
          <w:rFonts w:hint="eastAsia" w:ascii="仿宋" w:hAnsi="仿宋" w:eastAsia="仿宋"/>
          <w:sz w:val="24"/>
        </w:rPr>
        <w:t>项目名称：</w:t>
      </w:r>
      <w:r>
        <w:rPr>
          <w:rFonts w:hint="eastAsia" w:ascii="仿宋" w:hAnsi="仿宋" w:eastAsia="仿宋" w:cs="Arial"/>
          <w:bCs/>
          <w:sz w:val="24"/>
        </w:rPr>
        <w:t>高等学历继续教育综合学习平台与课程资源使用服务</w:t>
      </w:r>
    </w:p>
    <w:bookmarkEnd w:id="29"/>
    <w:p>
      <w:pPr>
        <w:spacing w:line="400" w:lineRule="exact"/>
        <w:ind w:firstLine="480" w:firstLineChars="200"/>
        <w:rPr>
          <w:rFonts w:ascii="仿宋" w:hAnsi="仿宋" w:eastAsia="仿宋"/>
          <w:sz w:val="24"/>
        </w:rPr>
      </w:pPr>
      <w:r>
        <w:rPr>
          <w:rFonts w:hint="eastAsia" w:ascii="仿宋" w:hAnsi="仿宋" w:eastAsia="仿宋"/>
          <w:sz w:val="24"/>
        </w:rPr>
        <w:t>预算总金额（元）：</w:t>
      </w:r>
      <w:r>
        <w:rPr>
          <w:rFonts w:hint="eastAsia" w:ascii="仿宋" w:hAnsi="仿宋" w:eastAsia="仿宋"/>
          <w:iCs/>
          <w:sz w:val="24"/>
        </w:rPr>
        <w:t>3240000.00</w:t>
      </w:r>
    </w:p>
    <w:p>
      <w:pPr>
        <w:spacing w:line="400" w:lineRule="exact"/>
        <w:ind w:firstLine="480" w:firstLineChars="200"/>
        <w:rPr>
          <w:rFonts w:ascii="仿宋" w:hAnsi="仿宋" w:eastAsia="仿宋"/>
          <w:sz w:val="24"/>
        </w:rPr>
      </w:pPr>
      <w:r>
        <w:rPr>
          <w:rFonts w:hint="eastAsia" w:ascii="仿宋" w:hAnsi="仿宋" w:eastAsia="仿宋"/>
          <w:sz w:val="24"/>
        </w:rPr>
        <w:t>采购需求：</w:t>
      </w:r>
    </w:p>
    <w:p>
      <w:pPr>
        <w:wordWrap w:val="0"/>
        <w:spacing w:line="400" w:lineRule="exact"/>
        <w:ind w:firstLine="480" w:firstLineChars="200"/>
        <w:rPr>
          <w:rFonts w:ascii="仿宋" w:hAnsi="仿宋" w:eastAsia="仿宋"/>
          <w:sz w:val="24"/>
        </w:rPr>
      </w:pPr>
      <w:r>
        <w:rPr>
          <w:rFonts w:hint="eastAsia" w:ascii="仿宋" w:hAnsi="仿宋" w:eastAsia="仿宋"/>
          <w:sz w:val="24"/>
        </w:rPr>
        <w:t>标项名称</w:t>
      </w:r>
      <w:r>
        <w:rPr>
          <w:rFonts w:ascii="仿宋" w:hAnsi="仿宋" w:eastAsia="仿宋"/>
          <w:sz w:val="24"/>
        </w:rPr>
        <w:t>：</w:t>
      </w:r>
      <w:r>
        <w:rPr>
          <w:rFonts w:hint="eastAsia" w:ascii="仿宋" w:hAnsi="仿宋" w:eastAsia="仿宋" w:cs="Arial"/>
          <w:bCs/>
          <w:sz w:val="24"/>
        </w:rPr>
        <w:t>高等学历继续教育综合学习平台与课程资源使用服务</w:t>
      </w:r>
    </w:p>
    <w:p>
      <w:pPr>
        <w:wordWrap w:val="0"/>
        <w:spacing w:line="400" w:lineRule="exact"/>
        <w:ind w:firstLine="480" w:firstLineChars="200"/>
        <w:rPr>
          <w:rFonts w:ascii="仿宋" w:hAnsi="仿宋" w:eastAsia="仿宋"/>
          <w:sz w:val="24"/>
        </w:rPr>
      </w:pPr>
      <w:r>
        <w:rPr>
          <w:rFonts w:hint="eastAsia" w:ascii="仿宋" w:hAnsi="仿宋" w:eastAsia="仿宋"/>
          <w:sz w:val="24"/>
        </w:rPr>
        <w:t>数量</w:t>
      </w:r>
      <w:r>
        <w:rPr>
          <w:rFonts w:ascii="仿宋" w:hAnsi="仿宋" w:eastAsia="仿宋"/>
          <w:sz w:val="24"/>
        </w:rPr>
        <w:t>：</w:t>
      </w:r>
      <w:r>
        <w:rPr>
          <w:rFonts w:hint="eastAsia" w:ascii="仿宋" w:hAnsi="仿宋" w:eastAsia="仿宋"/>
          <w:sz w:val="24"/>
        </w:rPr>
        <w:t>1</w:t>
      </w:r>
    </w:p>
    <w:p>
      <w:pPr>
        <w:wordWrap w:val="0"/>
        <w:spacing w:line="400" w:lineRule="exact"/>
        <w:ind w:firstLine="480" w:firstLineChars="200"/>
        <w:rPr>
          <w:rFonts w:ascii="仿宋" w:hAnsi="仿宋" w:eastAsia="仿宋"/>
          <w:sz w:val="24"/>
        </w:rPr>
      </w:pPr>
      <w:r>
        <w:rPr>
          <w:rFonts w:hint="eastAsia" w:ascii="仿宋" w:hAnsi="仿宋" w:eastAsia="仿宋"/>
          <w:sz w:val="24"/>
        </w:rPr>
        <w:t>预算</w:t>
      </w:r>
      <w:r>
        <w:rPr>
          <w:rFonts w:ascii="仿宋" w:hAnsi="仿宋" w:eastAsia="仿宋"/>
          <w:sz w:val="24"/>
        </w:rPr>
        <w:t>金额（</w:t>
      </w:r>
      <w:r>
        <w:rPr>
          <w:rFonts w:hint="eastAsia" w:ascii="仿宋" w:hAnsi="仿宋" w:eastAsia="仿宋"/>
          <w:sz w:val="24"/>
        </w:rPr>
        <w:t>元</w:t>
      </w:r>
      <w:r>
        <w:rPr>
          <w:rFonts w:ascii="仿宋" w:hAnsi="仿宋" w:eastAsia="仿宋"/>
          <w:sz w:val="24"/>
        </w:rPr>
        <w:t>）</w:t>
      </w:r>
      <w:r>
        <w:rPr>
          <w:rFonts w:hint="eastAsia" w:ascii="仿宋" w:hAnsi="仿宋" w:eastAsia="仿宋"/>
          <w:sz w:val="24"/>
        </w:rPr>
        <w:t>：</w:t>
      </w:r>
      <w:r>
        <w:rPr>
          <w:rFonts w:hint="eastAsia" w:ascii="仿宋" w:hAnsi="仿宋" w:eastAsia="仿宋"/>
          <w:iCs/>
          <w:sz w:val="24"/>
        </w:rPr>
        <w:t>3240000.00</w:t>
      </w:r>
    </w:p>
    <w:p>
      <w:pPr>
        <w:wordWrap w:val="0"/>
        <w:spacing w:line="400" w:lineRule="exact"/>
        <w:ind w:firstLine="480" w:firstLineChars="200"/>
        <w:rPr>
          <w:rFonts w:ascii="仿宋" w:hAnsi="仿宋" w:eastAsia="仿宋"/>
          <w:sz w:val="24"/>
        </w:rPr>
      </w:pPr>
      <w:r>
        <w:rPr>
          <w:rFonts w:hint="eastAsia" w:ascii="仿宋" w:hAnsi="仿宋" w:eastAsia="仿宋"/>
          <w:sz w:val="24"/>
        </w:rPr>
        <w:t>简要规格</w:t>
      </w:r>
      <w:r>
        <w:rPr>
          <w:rFonts w:ascii="仿宋" w:hAnsi="仿宋" w:eastAsia="仿宋"/>
          <w:sz w:val="24"/>
        </w:rPr>
        <w:t>描述或项目基本概况介绍、用途：</w:t>
      </w:r>
      <w:r>
        <w:rPr>
          <w:rFonts w:hint="eastAsia" w:ascii="仿宋" w:hAnsi="仿宋" w:eastAsia="仿宋"/>
          <w:sz w:val="24"/>
        </w:rPr>
        <w:t>高等学历继续教育综合学习平台与课程资源使用服务1套，满足2026级、2027级、2028级高等学历继续教育学生在线学习平台与课程资源的使用，完成学业。一是基于云服务的网络教学管理平台建设；二是基于云服务的移动网络教学资源建设；三是从软硬件两个方面全面实现资源的云存储和远程托管。</w:t>
      </w:r>
    </w:p>
    <w:p>
      <w:pPr>
        <w:wordWrap w:val="0"/>
        <w:spacing w:line="400" w:lineRule="exact"/>
        <w:ind w:firstLine="480" w:firstLineChars="200"/>
        <w:rPr>
          <w:rFonts w:ascii="仿宋" w:hAnsi="仿宋" w:eastAsia="仿宋"/>
          <w:sz w:val="24"/>
        </w:rPr>
      </w:pPr>
      <w:r>
        <w:rPr>
          <w:rFonts w:hint="eastAsia" w:ascii="仿宋" w:hAnsi="仿宋" w:eastAsia="仿宋"/>
          <w:sz w:val="24"/>
        </w:rPr>
        <w:t>最高限价（如有）：</w:t>
      </w:r>
      <w:r>
        <w:rPr>
          <w:rFonts w:ascii="仿宋" w:hAnsi="仿宋" w:eastAsia="仿宋"/>
          <w:iCs/>
          <w:sz w:val="24"/>
        </w:rPr>
        <w:t>/</w:t>
      </w:r>
    </w:p>
    <w:p>
      <w:pPr>
        <w:wordWrap w:val="0"/>
        <w:spacing w:line="400" w:lineRule="exact"/>
        <w:ind w:firstLine="480" w:firstLineChars="200"/>
        <w:rPr>
          <w:rFonts w:ascii="仿宋" w:hAnsi="仿宋" w:eastAsia="仿宋"/>
          <w:kern w:val="0"/>
          <w:sz w:val="24"/>
        </w:rPr>
      </w:pPr>
      <w:r>
        <w:rPr>
          <w:rFonts w:hint="eastAsia" w:ascii="仿宋" w:hAnsi="仿宋" w:eastAsia="仿宋"/>
          <w:sz w:val="24"/>
        </w:rPr>
        <w:t>合同履行期限：自签订合同之日起7个工作日必须到货，并全部安装调试合格完毕</w:t>
      </w:r>
      <w:r>
        <w:rPr>
          <w:rFonts w:hint="eastAsia" w:ascii="仿宋" w:hAnsi="仿宋" w:eastAsia="仿宋"/>
          <w:kern w:val="0"/>
          <w:sz w:val="24"/>
        </w:rPr>
        <w:t>。</w:t>
      </w:r>
    </w:p>
    <w:p>
      <w:pPr>
        <w:wordWrap w:val="0"/>
        <w:spacing w:line="400" w:lineRule="exact"/>
        <w:ind w:firstLine="480" w:firstLineChars="200"/>
        <w:rPr>
          <w:rFonts w:ascii="仿宋" w:hAnsi="仿宋" w:eastAsia="仿宋"/>
          <w:sz w:val="24"/>
        </w:rPr>
      </w:pPr>
      <w:r>
        <w:rPr>
          <w:rFonts w:hint="eastAsia" w:ascii="仿宋" w:hAnsi="仿宋" w:eastAsia="仿宋"/>
          <w:sz w:val="24"/>
        </w:rPr>
        <w:t>本项目（</w:t>
      </w:r>
      <w:r>
        <w:rPr>
          <w:rFonts w:ascii="仿宋" w:hAnsi="仿宋" w:eastAsia="仿宋"/>
          <w:sz w:val="24"/>
        </w:rPr>
        <w:t>否</w:t>
      </w:r>
      <w:r>
        <w:rPr>
          <w:rFonts w:hint="eastAsia" w:ascii="仿宋" w:hAnsi="仿宋" w:eastAsia="仿宋"/>
          <w:sz w:val="24"/>
        </w:rPr>
        <w:t>）接受联合体投标。</w:t>
      </w:r>
    </w:p>
    <w:p>
      <w:pPr>
        <w:wordWrap w:val="0"/>
        <w:spacing w:line="400" w:lineRule="exact"/>
        <w:ind w:firstLine="480" w:firstLineChars="200"/>
        <w:rPr>
          <w:rFonts w:ascii="仿宋" w:hAnsi="仿宋" w:eastAsia="仿宋"/>
          <w:sz w:val="24"/>
        </w:rPr>
      </w:pPr>
      <w:r>
        <w:rPr>
          <w:rFonts w:hint="eastAsia" w:ascii="仿宋" w:hAnsi="仿宋" w:eastAsia="仿宋"/>
          <w:sz w:val="24"/>
        </w:rPr>
        <w:t>备注：/</w:t>
      </w:r>
    </w:p>
    <w:p>
      <w:pPr>
        <w:wordWrap w:val="0"/>
        <w:spacing w:line="400" w:lineRule="exact"/>
        <w:rPr>
          <w:rFonts w:ascii="仿宋" w:hAnsi="仿宋" w:eastAsia="仿宋"/>
          <w:b/>
          <w:bCs/>
          <w:sz w:val="24"/>
        </w:rPr>
      </w:pPr>
      <w:bookmarkStart w:id="30" w:name="_Toc35393622"/>
      <w:bookmarkStart w:id="31" w:name="_Toc28359080"/>
      <w:bookmarkStart w:id="32" w:name="_Toc28359003"/>
      <w:bookmarkStart w:id="33" w:name="_Toc35393791"/>
      <w:r>
        <w:rPr>
          <w:rFonts w:hint="eastAsia" w:ascii="仿宋" w:hAnsi="仿宋" w:eastAsia="仿宋"/>
          <w:b/>
          <w:bCs/>
          <w:sz w:val="24"/>
        </w:rPr>
        <w:t>二、申请人的资格要求：</w:t>
      </w:r>
      <w:bookmarkEnd w:id="30"/>
      <w:bookmarkEnd w:id="31"/>
      <w:bookmarkEnd w:id="32"/>
      <w:bookmarkEnd w:id="33"/>
    </w:p>
    <w:p>
      <w:pPr>
        <w:wordWrap w:val="0"/>
        <w:spacing w:line="400" w:lineRule="exact"/>
        <w:ind w:firstLine="480" w:firstLineChars="200"/>
        <w:rPr>
          <w:rFonts w:ascii="仿宋" w:hAnsi="仿宋" w:eastAsia="仿宋"/>
          <w:sz w:val="24"/>
        </w:rPr>
      </w:pPr>
      <w:bookmarkStart w:id="34" w:name="_Hlk51746371"/>
      <w:bookmarkStart w:id="35" w:name="_Toc28359081"/>
      <w:bookmarkStart w:id="36" w:name="_Toc28359004"/>
      <w:r>
        <w:rPr>
          <w:rFonts w:hint="eastAsia" w:ascii="仿宋" w:hAnsi="仿宋" w:eastAsia="仿宋"/>
          <w:sz w:val="24"/>
        </w:rPr>
        <w:t>1、满足《中华人民共和国政府采购法》第二十二条规定；</w:t>
      </w:r>
    </w:p>
    <w:p>
      <w:pPr>
        <w:wordWrap w:val="0"/>
        <w:spacing w:line="40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、落实政府采购政策需满足的资格要求：分标1：无</w:t>
      </w:r>
    </w:p>
    <w:p>
      <w:pPr>
        <w:wordWrap w:val="0"/>
        <w:spacing w:line="400" w:lineRule="exact"/>
        <w:ind w:firstLine="480" w:firstLineChars="200"/>
        <w:rPr>
          <w:rFonts w:ascii="仿宋" w:hAnsi="仿宋" w:eastAsia="仿宋"/>
          <w:sz w:val="24"/>
        </w:rPr>
      </w:pPr>
      <w:r>
        <w:rPr>
          <w:rFonts w:hint="eastAsia" w:ascii="仿宋" w:hAnsi="仿宋" w:eastAsia="仿宋"/>
          <w:sz w:val="24"/>
        </w:rPr>
        <w:t>3、本项目的特定资格要求：分标1：无。</w:t>
      </w:r>
    </w:p>
    <w:bookmarkEnd w:id="34"/>
    <w:p>
      <w:pPr>
        <w:wordWrap w:val="0"/>
        <w:spacing w:line="400" w:lineRule="exact"/>
        <w:rPr>
          <w:rFonts w:ascii="仿宋" w:hAnsi="仿宋" w:eastAsia="仿宋"/>
          <w:b/>
          <w:bCs/>
          <w:sz w:val="24"/>
        </w:rPr>
      </w:pPr>
      <w:bookmarkStart w:id="37" w:name="_Toc35393623"/>
      <w:bookmarkStart w:id="38" w:name="_Toc35393792"/>
      <w:r>
        <w:rPr>
          <w:rFonts w:hint="eastAsia" w:ascii="仿宋" w:hAnsi="仿宋" w:eastAsia="仿宋"/>
          <w:b/>
          <w:bCs/>
          <w:sz w:val="24"/>
        </w:rPr>
        <w:t>三、获取招标文件</w:t>
      </w:r>
      <w:bookmarkEnd w:id="35"/>
      <w:bookmarkEnd w:id="36"/>
      <w:bookmarkEnd w:id="37"/>
      <w:bookmarkEnd w:id="38"/>
    </w:p>
    <w:p>
      <w:pPr>
        <w:wordWrap w:val="0"/>
        <w:spacing w:line="400" w:lineRule="exact"/>
        <w:ind w:firstLine="480" w:firstLineChars="200"/>
        <w:rPr>
          <w:rFonts w:ascii="仿宋" w:hAnsi="仿宋" w:eastAsia="仿宋" w:cs="宋体"/>
          <w:bCs/>
          <w:kern w:val="0"/>
          <w:sz w:val="24"/>
        </w:rPr>
      </w:pPr>
      <w:r>
        <w:rPr>
          <w:rFonts w:hint="eastAsia" w:ascii="仿宋" w:hAnsi="仿宋" w:eastAsia="仿宋" w:cs="宋体"/>
          <w:bCs/>
          <w:kern w:val="0"/>
          <w:sz w:val="24"/>
        </w:rPr>
        <w:t>时间：</w:t>
      </w:r>
      <w:r>
        <w:rPr>
          <w:rFonts w:hint="eastAsia" w:ascii="仿宋" w:hAnsi="仿宋" w:eastAsia="仿宋" w:cs="Arial"/>
          <w:sz w:val="24"/>
        </w:rPr>
        <w:t>2025年</w:t>
      </w:r>
      <w:r>
        <w:rPr>
          <w:rFonts w:hint="eastAsia" w:ascii="仿宋" w:hAnsi="仿宋" w:eastAsia="仿宋" w:cs="Arial"/>
          <w:sz w:val="24"/>
          <w:lang w:val="en-US" w:eastAsia="zh-CN"/>
        </w:rPr>
        <w:t>12</w:t>
      </w:r>
      <w:r>
        <w:rPr>
          <w:rFonts w:hint="eastAsia" w:ascii="仿宋" w:hAnsi="仿宋" w:eastAsia="仿宋" w:cs="Arial"/>
          <w:sz w:val="24"/>
        </w:rPr>
        <w:t>月</w:t>
      </w:r>
      <w:r>
        <w:rPr>
          <w:rFonts w:hint="eastAsia" w:ascii="仿宋" w:hAnsi="仿宋" w:eastAsia="仿宋" w:cs="Arial"/>
          <w:sz w:val="24"/>
          <w:lang w:val="en-US" w:eastAsia="zh-CN"/>
        </w:rPr>
        <w:t>12</w:t>
      </w:r>
      <w:r>
        <w:rPr>
          <w:rFonts w:hint="eastAsia" w:ascii="仿宋" w:hAnsi="仿宋" w:eastAsia="仿宋" w:cs="Arial"/>
          <w:sz w:val="24"/>
        </w:rPr>
        <w:t>日至2025年</w:t>
      </w:r>
      <w:r>
        <w:rPr>
          <w:rFonts w:hint="eastAsia" w:ascii="仿宋" w:hAnsi="仿宋" w:eastAsia="仿宋" w:cs="Arial"/>
          <w:sz w:val="24"/>
          <w:lang w:val="en-US" w:eastAsia="zh-CN"/>
        </w:rPr>
        <w:t>12</w:t>
      </w:r>
      <w:r>
        <w:rPr>
          <w:rFonts w:hint="eastAsia" w:ascii="仿宋" w:hAnsi="仿宋" w:eastAsia="仿宋" w:cs="Arial"/>
          <w:sz w:val="24"/>
        </w:rPr>
        <w:t>月</w:t>
      </w:r>
      <w:r>
        <w:rPr>
          <w:rFonts w:hint="eastAsia" w:ascii="仿宋" w:hAnsi="仿宋" w:eastAsia="仿宋" w:cs="Arial"/>
          <w:sz w:val="24"/>
          <w:lang w:val="en-US" w:eastAsia="zh-CN"/>
        </w:rPr>
        <w:t>19</w:t>
      </w:r>
      <w:r>
        <w:rPr>
          <w:rFonts w:hint="eastAsia" w:ascii="仿宋" w:hAnsi="仿宋" w:eastAsia="仿宋" w:cs="Arial"/>
          <w:sz w:val="24"/>
        </w:rPr>
        <w:t>日，每天上午00:00-12:00；下午12:0</w:t>
      </w:r>
      <w:r>
        <w:rPr>
          <w:rFonts w:ascii="仿宋" w:hAnsi="仿宋" w:eastAsia="仿宋" w:cs="Arial"/>
          <w:sz w:val="24"/>
        </w:rPr>
        <w:t>1</w:t>
      </w:r>
      <w:r>
        <w:rPr>
          <w:rFonts w:hint="eastAsia" w:ascii="仿宋" w:hAnsi="仿宋" w:eastAsia="仿宋" w:cs="Arial"/>
          <w:sz w:val="24"/>
        </w:rPr>
        <w:t>-23:59（北京时间，</w:t>
      </w:r>
      <w:r>
        <w:rPr>
          <w:rFonts w:ascii="仿宋" w:hAnsi="仿宋" w:eastAsia="仿宋" w:cs="Arial"/>
          <w:sz w:val="24"/>
        </w:rPr>
        <w:t>法定节假日</w:t>
      </w:r>
      <w:r>
        <w:rPr>
          <w:rFonts w:hint="eastAsia" w:ascii="仿宋" w:hAnsi="仿宋" w:eastAsia="仿宋" w:cs="Arial"/>
          <w:sz w:val="24"/>
        </w:rPr>
        <w:t>除外）。</w:t>
      </w:r>
    </w:p>
    <w:p>
      <w:pPr>
        <w:wordWrap w:val="0"/>
        <w:spacing w:line="400" w:lineRule="exact"/>
        <w:ind w:firstLine="480" w:firstLineChars="200"/>
        <w:rPr>
          <w:rFonts w:ascii="仿宋" w:hAnsi="仿宋" w:eastAsia="仿宋" w:cs="宋体"/>
          <w:bCs/>
          <w:kern w:val="0"/>
          <w:sz w:val="24"/>
        </w:rPr>
      </w:pPr>
      <w:r>
        <w:rPr>
          <w:rFonts w:hint="eastAsia" w:ascii="仿宋" w:hAnsi="仿宋" w:eastAsia="仿宋" w:cs="宋体"/>
          <w:bCs/>
          <w:kern w:val="0"/>
          <w:sz w:val="24"/>
        </w:rPr>
        <w:t>地点（网址）：</w:t>
      </w:r>
      <w:r>
        <w:rPr>
          <w:rFonts w:hint="eastAsia" w:ascii="仿宋" w:hAnsi="仿宋" w:eastAsia="仿宋"/>
          <w:sz w:val="24"/>
          <w:u w:val="single"/>
        </w:rPr>
        <w:t>广西政府采购云平台（https://www.gcy.zfcg.gxzf.gov.cn/</w:t>
      </w:r>
      <w:r>
        <w:rPr>
          <w:rFonts w:ascii="仿宋" w:hAnsi="仿宋" w:eastAsia="仿宋"/>
          <w:sz w:val="24"/>
          <w:u w:val="single"/>
        </w:rPr>
        <w:t>）</w:t>
      </w:r>
      <w:r>
        <w:rPr>
          <w:rFonts w:hint="eastAsia" w:ascii="仿宋" w:hAnsi="仿宋" w:eastAsia="仿宋" w:cs="宋体"/>
          <w:bCs/>
          <w:kern w:val="0"/>
          <w:sz w:val="24"/>
        </w:rPr>
        <w:t>。</w:t>
      </w:r>
    </w:p>
    <w:p>
      <w:pPr>
        <w:wordWrap w:val="0"/>
        <w:spacing w:line="400" w:lineRule="exact"/>
        <w:ind w:firstLine="480" w:firstLineChars="200"/>
        <w:rPr>
          <w:rFonts w:ascii="仿宋" w:hAnsi="仿宋" w:eastAsia="仿宋" w:cs="宋体"/>
          <w:bCs/>
          <w:kern w:val="0"/>
          <w:sz w:val="24"/>
        </w:rPr>
      </w:pPr>
      <w:r>
        <w:rPr>
          <w:rFonts w:hint="eastAsia" w:ascii="仿宋" w:hAnsi="仿宋" w:eastAsia="仿宋" w:cs="宋体"/>
          <w:bCs/>
          <w:kern w:val="0"/>
          <w:sz w:val="24"/>
        </w:rPr>
        <w:t>方式：网上下载。供应商应自行登陆</w:t>
      </w:r>
      <w:r>
        <w:rPr>
          <w:rFonts w:hint="eastAsia" w:ascii="仿宋" w:hAnsi="仿宋" w:eastAsia="仿宋"/>
          <w:sz w:val="24"/>
          <w:u w:val="single"/>
        </w:rPr>
        <w:t>广西政府采购云平台（https://www.gcy.zfcg.gxzf.gov.cn/</w:t>
      </w:r>
      <w:r>
        <w:rPr>
          <w:rFonts w:ascii="仿宋" w:hAnsi="仿宋" w:eastAsia="仿宋"/>
          <w:sz w:val="24"/>
          <w:u w:val="single"/>
        </w:rPr>
        <w:t>）</w:t>
      </w:r>
      <w:r>
        <w:rPr>
          <w:rFonts w:hint="eastAsia" w:ascii="仿宋" w:hAnsi="仿宋" w:eastAsia="仿宋" w:cs="宋体"/>
          <w:bCs/>
          <w:kern w:val="0"/>
          <w:sz w:val="24"/>
        </w:rPr>
        <w:t>下载招标文件（操作路径：登录“广西政府采购云平台”-项目采购-获取采购文件-找到本项目-点击“申请获取采购文件”），电子投标文件制作需要基于“广西政府采购云平台”获取的招标文件编制。</w:t>
      </w:r>
    </w:p>
    <w:p>
      <w:pPr>
        <w:wordWrap w:val="0"/>
        <w:spacing w:line="400" w:lineRule="exact"/>
        <w:ind w:firstLine="480" w:firstLineChars="200"/>
        <w:rPr>
          <w:rFonts w:ascii="仿宋" w:hAnsi="仿宋" w:eastAsia="仿宋" w:cs="宋体"/>
          <w:sz w:val="24"/>
        </w:rPr>
      </w:pPr>
      <w:r>
        <w:rPr>
          <w:rFonts w:hint="eastAsia" w:ascii="仿宋" w:hAnsi="仿宋" w:eastAsia="仿宋" w:cs="宋体"/>
          <w:bCs/>
          <w:kern w:val="0"/>
          <w:sz w:val="24"/>
        </w:rPr>
        <w:t>售价：0元。</w:t>
      </w:r>
    </w:p>
    <w:p>
      <w:pPr>
        <w:wordWrap w:val="0"/>
        <w:spacing w:line="400" w:lineRule="exact"/>
        <w:rPr>
          <w:rFonts w:ascii="仿宋" w:hAnsi="仿宋" w:eastAsia="仿宋"/>
          <w:b/>
          <w:bCs/>
          <w:sz w:val="24"/>
        </w:rPr>
      </w:pPr>
      <w:bookmarkStart w:id="39" w:name="_Toc28359082"/>
      <w:bookmarkStart w:id="40" w:name="_Toc28359005"/>
      <w:bookmarkStart w:id="41" w:name="_Toc35393624"/>
      <w:bookmarkStart w:id="42" w:name="_Toc35393793"/>
      <w:r>
        <w:rPr>
          <w:rFonts w:hint="eastAsia" w:ascii="仿宋" w:hAnsi="仿宋" w:eastAsia="仿宋"/>
          <w:b/>
          <w:bCs/>
          <w:sz w:val="24"/>
        </w:rPr>
        <w:t>四、提交投标文件</w:t>
      </w:r>
      <w:bookmarkEnd w:id="39"/>
      <w:bookmarkEnd w:id="40"/>
      <w:r>
        <w:rPr>
          <w:rFonts w:hint="eastAsia" w:ascii="仿宋" w:hAnsi="仿宋" w:eastAsia="仿宋"/>
          <w:b/>
          <w:bCs/>
          <w:sz w:val="24"/>
        </w:rPr>
        <w:t>截止时间、开标时间和地点</w:t>
      </w:r>
      <w:bookmarkEnd w:id="41"/>
      <w:bookmarkEnd w:id="42"/>
    </w:p>
    <w:p>
      <w:pPr>
        <w:wordWrap w:val="0"/>
        <w:spacing w:line="400" w:lineRule="exact"/>
        <w:ind w:firstLine="480" w:firstLineChars="200"/>
        <w:rPr>
          <w:rFonts w:ascii="仿宋" w:hAnsi="仿宋" w:eastAsia="仿宋"/>
          <w:sz w:val="24"/>
        </w:rPr>
      </w:pPr>
      <w:bookmarkStart w:id="43" w:name="_Toc28359007"/>
      <w:bookmarkStart w:id="44" w:name="_Toc35393625"/>
      <w:bookmarkStart w:id="45" w:name="_Toc28359084"/>
      <w:bookmarkStart w:id="46" w:name="_Toc35393794"/>
      <w:r>
        <w:rPr>
          <w:rFonts w:hint="eastAsia" w:ascii="仿宋" w:hAnsi="仿宋" w:eastAsia="仿宋"/>
          <w:sz w:val="24"/>
        </w:rPr>
        <w:t>1、提交</w:t>
      </w:r>
      <w:r>
        <w:rPr>
          <w:rFonts w:ascii="仿宋" w:hAnsi="仿宋" w:eastAsia="仿宋"/>
          <w:sz w:val="24"/>
        </w:rPr>
        <w:t>投标文件</w:t>
      </w:r>
      <w:r>
        <w:rPr>
          <w:rFonts w:hint="eastAsia" w:ascii="仿宋" w:hAnsi="仿宋" w:eastAsia="仿宋" w:cs="宋体"/>
          <w:sz w:val="24"/>
        </w:rPr>
        <w:t>截止时间</w:t>
      </w:r>
      <w:r>
        <w:rPr>
          <w:rFonts w:hint="eastAsia" w:ascii="仿宋" w:hAnsi="仿宋" w:eastAsia="仿宋"/>
          <w:sz w:val="24"/>
        </w:rPr>
        <w:t>：</w:t>
      </w:r>
      <w:r>
        <w:rPr>
          <w:rFonts w:hint="eastAsia" w:ascii="仿宋" w:hAnsi="仿宋" w:eastAsia="仿宋"/>
          <w:sz w:val="24"/>
          <w:highlight w:val="none"/>
        </w:rPr>
        <w:t>202</w:t>
      </w:r>
      <w:r>
        <w:rPr>
          <w:rFonts w:hint="eastAsia" w:ascii="仿宋" w:hAnsi="仿宋" w:eastAsia="仿宋"/>
          <w:sz w:val="24"/>
          <w:highlight w:val="none"/>
          <w:lang w:val="en-US" w:eastAsia="zh-CN"/>
        </w:rPr>
        <w:t>6</w:t>
      </w:r>
      <w:r>
        <w:rPr>
          <w:rFonts w:hint="eastAsia" w:ascii="仿宋" w:hAnsi="仿宋" w:eastAsia="仿宋"/>
          <w:sz w:val="24"/>
          <w:highlight w:val="none"/>
        </w:rPr>
        <w:t>年</w:t>
      </w:r>
      <w:r>
        <w:rPr>
          <w:rFonts w:hint="eastAsia" w:ascii="仿宋" w:hAnsi="仿宋" w:eastAsia="仿宋"/>
          <w:sz w:val="24"/>
          <w:highlight w:val="none"/>
          <w:lang w:val="en-US" w:eastAsia="zh-CN"/>
        </w:rPr>
        <w:t>1</w:t>
      </w:r>
      <w:r>
        <w:rPr>
          <w:rFonts w:hint="eastAsia" w:ascii="仿宋" w:hAnsi="仿宋" w:eastAsia="仿宋"/>
          <w:sz w:val="24"/>
          <w:highlight w:val="none"/>
        </w:rPr>
        <w:t>月</w:t>
      </w:r>
      <w:r>
        <w:rPr>
          <w:rFonts w:hint="eastAsia" w:ascii="仿宋" w:hAnsi="仿宋" w:eastAsia="仿宋"/>
          <w:sz w:val="24"/>
          <w:highlight w:val="none"/>
          <w:lang w:val="en-US" w:eastAsia="zh-CN"/>
        </w:rPr>
        <w:t>4</w:t>
      </w:r>
      <w:r>
        <w:rPr>
          <w:rFonts w:hint="eastAsia" w:ascii="仿宋" w:hAnsi="仿宋" w:eastAsia="仿宋"/>
          <w:sz w:val="24"/>
          <w:highlight w:val="none"/>
        </w:rPr>
        <w:t>日</w:t>
      </w:r>
      <w:r>
        <w:rPr>
          <w:rFonts w:hint="eastAsia" w:ascii="仿宋" w:hAnsi="仿宋" w:eastAsia="仿宋" w:cs="Arial"/>
          <w:sz w:val="24"/>
        </w:rPr>
        <w:t>0</w:t>
      </w:r>
      <w:r>
        <w:rPr>
          <w:rFonts w:ascii="仿宋" w:hAnsi="仿宋" w:eastAsia="仿宋"/>
          <w:sz w:val="24"/>
        </w:rPr>
        <w:t>9</w:t>
      </w:r>
      <w:r>
        <w:rPr>
          <w:rFonts w:hint="eastAsia" w:ascii="仿宋" w:hAnsi="仿宋" w:eastAsia="仿宋"/>
          <w:sz w:val="24"/>
        </w:rPr>
        <w:t>：30（北京时间）。</w:t>
      </w:r>
    </w:p>
    <w:p>
      <w:pPr>
        <w:wordWrap w:val="0"/>
        <w:spacing w:line="400" w:lineRule="exact"/>
        <w:ind w:firstLine="480" w:firstLineChars="200"/>
        <w:rPr>
          <w:rFonts w:ascii="仿宋" w:hAnsi="仿宋" w:eastAsia="仿宋" w:cs="宋体"/>
          <w:sz w:val="24"/>
        </w:rPr>
      </w:pPr>
      <w:r>
        <w:rPr>
          <w:rFonts w:hint="eastAsia" w:ascii="仿宋" w:hAnsi="仿宋" w:eastAsia="仿宋"/>
          <w:sz w:val="24"/>
        </w:rPr>
        <w:t>2、投标地点（网址）：</w:t>
      </w:r>
      <w:r>
        <w:rPr>
          <w:rFonts w:hint="eastAsia" w:ascii="仿宋" w:hAnsi="仿宋" w:eastAsia="仿宋" w:cs="宋体"/>
          <w:sz w:val="24"/>
        </w:rPr>
        <w:t>通过“广西政府采购云平台”在线提交投标文件。</w:t>
      </w:r>
    </w:p>
    <w:p>
      <w:pPr>
        <w:wordWrap w:val="0"/>
        <w:spacing w:line="400" w:lineRule="exact"/>
        <w:ind w:firstLine="480" w:firstLineChars="200"/>
        <w:rPr>
          <w:rFonts w:ascii="仿宋" w:hAnsi="仿宋" w:eastAsia="仿宋" w:cs="宋体"/>
          <w:sz w:val="24"/>
        </w:rPr>
      </w:pPr>
      <w:r>
        <w:rPr>
          <w:rFonts w:hint="eastAsia" w:ascii="仿宋" w:hAnsi="仿宋" w:eastAsia="仿宋" w:cs="宋体"/>
          <w:sz w:val="24"/>
        </w:rPr>
        <w:t>3、</w:t>
      </w:r>
      <w:r>
        <w:rPr>
          <w:rFonts w:ascii="仿宋" w:hAnsi="仿宋" w:eastAsia="仿宋" w:cs="宋体"/>
          <w:sz w:val="24"/>
        </w:rPr>
        <w:t>开标时间：</w:t>
      </w:r>
      <w:r>
        <w:rPr>
          <w:rFonts w:hint="eastAsia" w:ascii="仿宋" w:hAnsi="仿宋" w:eastAsia="仿宋"/>
          <w:sz w:val="24"/>
          <w:highlight w:val="none"/>
        </w:rPr>
        <w:t>202</w:t>
      </w:r>
      <w:r>
        <w:rPr>
          <w:rFonts w:hint="eastAsia" w:ascii="仿宋" w:hAnsi="仿宋" w:eastAsia="仿宋"/>
          <w:sz w:val="24"/>
          <w:highlight w:val="none"/>
          <w:lang w:val="en-US" w:eastAsia="zh-CN"/>
        </w:rPr>
        <w:t>6</w:t>
      </w:r>
      <w:r>
        <w:rPr>
          <w:rFonts w:hint="eastAsia" w:ascii="仿宋" w:hAnsi="仿宋" w:eastAsia="仿宋"/>
          <w:sz w:val="24"/>
          <w:highlight w:val="none"/>
        </w:rPr>
        <w:t>年</w:t>
      </w:r>
      <w:r>
        <w:rPr>
          <w:rFonts w:hint="eastAsia" w:ascii="仿宋" w:hAnsi="仿宋" w:eastAsia="仿宋"/>
          <w:sz w:val="24"/>
          <w:highlight w:val="none"/>
          <w:lang w:val="en-US" w:eastAsia="zh-CN"/>
        </w:rPr>
        <w:t>1</w:t>
      </w:r>
      <w:r>
        <w:rPr>
          <w:rFonts w:hint="eastAsia" w:ascii="仿宋" w:hAnsi="仿宋" w:eastAsia="仿宋"/>
          <w:sz w:val="24"/>
          <w:highlight w:val="none"/>
        </w:rPr>
        <w:t>月</w:t>
      </w:r>
      <w:r>
        <w:rPr>
          <w:rFonts w:hint="eastAsia" w:ascii="仿宋" w:hAnsi="仿宋" w:eastAsia="仿宋"/>
          <w:sz w:val="24"/>
          <w:highlight w:val="none"/>
          <w:lang w:val="en-US" w:eastAsia="zh-CN"/>
        </w:rPr>
        <w:t>4</w:t>
      </w:r>
      <w:r>
        <w:rPr>
          <w:rFonts w:hint="eastAsia" w:ascii="仿宋" w:hAnsi="仿宋" w:eastAsia="仿宋"/>
          <w:sz w:val="24"/>
          <w:highlight w:val="none"/>
        </w:rPr>
        <w:t>日</w:t>
      </w:r>
      <w:r>
        <w:rPr>
          <w:rFonts w:hint="eastAsia" w:ascii="仿宋" w:hAnsi="仿宋" w:eastAsia="仿宋" w:cs="宋体"/>
          <w:sz w:val="24"/>
        </w:rPr>
        <w:t>09:30。</w:t>
      </w:r>
    </w:p>
    <w:p>
      <w:pPr>
        <w:wordWrap w:val="0"/>
        <w:spacing w:line="400" w:lineRule="exact"/>
        <w:ind w:firstLine="480" w:firstLineChars="200"/>
        <w:rPr>
          <w:rFonts w:ascii="仿宋" w:hAnsi="仿宋" w:eastAsia="仿宋" w:cs="宋体"/>
          <w:sz w:val="24"/>
        </w:rPr>
      </w:pPr>
      <w:r>
        <w:rPr>
          <w:rFonts w:ascii="仿宋" w:hAnsi="仿宋" w:eastAsia="仿宋" w:cs="宋体"/>
          <w:sz w:val="24"/>
        </w:rPr>
        <w:t>4</w:t>
      </w:r>
      <w:r>
        <w:rPr>
          <w:rFonts w:hint="eastAsia" w:ascii="仿宋" w:hAnsi="仿宋" w:eastAsia="仿宋" w:cs="宋体"/>
          <w:sz w:val="24"/>
        </w:rPr>
        <w:t>、开标地点：通过“广西政府采购云平台”在线开启</w:t>
      </w:r>
      <w:r>
        <w:rPr>
          <w:rFonts w:ascii="仿宋" w:hAnsi="仿宋" w:eastAsia="仿宋" w:cs="宋体"/>
          <w:sz w:val="24"/>
        </w:rPr>
        <w:t>投标文件</w:t>
      </w:r>
      <w:r>
        <w:rPr>
          <w:rFonts w:hint="eastAsia" w:ascii="仿宋" w:hAnsi="仿宋" w:eastAsia="仿宋" w:cs="宋体"/>
          <w:sz w:val="24"/>
        </w:rPr>
        <w:t>。</w:t>
      </w:r>
    </w:p>
    <w:p>
      <w:pPr>
        <w:wordWrap w:val="0"/>
        <w:spacing w:line="400" w:lineRule="exact"/>
        <w:rPr>
          <w:rFonts w:ascii="仿宋" w:hAnsi="仿宋" w:eastAsia="仿宋"/>
          <w:b/>
          <w:bCs/>
          <w:sz w:val="24"/>
        </w:rPr>
      </w:pPr>
      <w:r>
        <w:rPr>
          <w:rFonts w:hint="eastAsia" w:ascii="仿宋" w:hAnsi="仿宋" w:eastAsia="仿宋"/>
          <w:b/>
          <w:bCs/>
          <w:sz w:val="24"/>
        </w:rPr>
        <w:t>五、公告期限</w:t>
      </w:r>
      <w:bookmarkEnd w:id="43"/>
      <w:bookmarkEnd w:id="44"/>
      <w:bookmarkEnd w:id="45"/>
      <w:bookmarkEnd w:id="46"/>
    </w:p>
    <w:p>
      <w:pPr>
        <w:wordWrap w:val="0"/>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自本公告发布之日起5个工作日。</w:t>
      </w:r>
    </w:p>
    <w:p>
      <w:pPr>
        <w:wordWrap w:val="0"/>
        <w:spacing w:line="400" w:lineRule="exact"/>
        <w:rPr>
          <w:rFonts w:ascii="仿宋" w:hAnsi="仿宋" w:eastAsia="仿宋"/>
          <w:b/>
          <w:bCs/>
          <w:sz w:val="24"/>
        </w:rPr>
      </w:pPr>
      <w:bookmarkStart w:id="47" w:name="_Toc35393795"/>
      <w:bookmarkStart w:id="48" w:name="_Toc35393626"/>
      <w:r>
        <w:rPr>
          <w:rFonts w:hint="eastAsia" w:ascii="仿宋" w:hAnsi="仿宋" w:eastAsia="仿宋"/>
          <w:b/>
          <w:bCs/>
          <w:sz w:val="24"/>
        </w:rPr>
        <w:t>六、其他补充事宜</w:t>
      </w:r>
      <w:bookmarkEnd w:id="47"/>
      <w:bookmarkEnd w:id="48"/>
    </w:p>
    <w:p>
      <w:pPr>
        <w:wordWrap w:val="0"/>
        <w:spacing w:line="400" w:lineRule="exact"/>
        <w:ind w:firstLine="480" w:firstLineChars="200"/>
        <w:rPr>
          <w:rFonts w:ascii="仿宋" w:hAnsi="仿宋" w:eastAsia="仿宋" w:cs="宋体"/>
          <w:kern w:val="0"/>
          <w:sz w:val="24"/>
        </w:rPr>
      </w:pPr>
      <w:bookmarkStart w:id="49" w:name="_Hlk37429674"/>
      <w:r>
        <w:rPr>
          <w:rFonts w:hint="eastAsia" w:ascii="仿宋" w:hAnsi="仿宋" w:eastAsia="仿宋" w:cs="宋体"/>
          <w:kern w:val="0"/>
          <w:sz w:val="24"/>
        </w:rPr>
        <w:t>1、投标保证金（人民币）：本项目</w:t>
      </w:r>
      <w:r>
        <w:rPr>
          <w:rFonts w:ascii="仿宋" w:hAnsi="仿宋" w:eastAsia="仿宋" w:cs="宋体"/>
          <w:kern w:val="0"/>
          <w:sz w:val="24"/>
        </w:rPr>
        <w:t>无需缴纳投标</w:t>
      </w:r>
      <w:r>
        <w:rPr>
          <w:rFonts w:hint="eastAsia" w:ascii="仿宋" w:hAnsi="仿宋" w:eastAsia="仿宋" w:cs="宋体"/>
          <w:kern w:val="0"/>
          <w:sz w:val="24"/>
        </w:rPr>
        <w:t>保证</w:t>
      </w:r>
      <w:r>
        <w:rPr>
          <w:rFonts w:ascii="仿宋" w:hAnsi="仿宋" w:eastAsia="仿宋" w:cs="宋体"/>
          <w:kern w:val="0"/>
          <w:sz w:val="24"/>
        </w:rPr>
        <w:t>金</w:t>
      </w:r>
      <w:r>
        <w:rPr>
          <w:rFonts w:hint="eastAsia" w:ascii="仿宋" w:hAnsi="仿宋" w:eastAsia="仿宋" w:cs="宋体"/>
          <w:kern w:val="0"/>
          <w:sz w:val="24"/>
        </w:rPr>
        <w:t>。</w:t>
      </w:r>
    </w:p>
    <w:p>
      <w:pPr>
        <w:wordWrap w:val="0"/>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3、根据财政部《关于在政府采购活动中查询及使用信用记录有关问题的通知》（财库〔2016〕125号）的规定，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4、凡在桂林电子科技大学任职的教职工本人作为法定代表人的单位，不得参与此次采购项目。</w:t>
      </w:r>
    </w:p>
    <w:p>
      <w:pPr>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5、网上查询地址：中国政府采购网（www.ccgp.gov.cn）、广西政府采购网（zfcg.gxzf.gov.cn）。</w:t>
      </w:r>
    </w:p>
    <w:p>
      <w:pPr>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6、本项目需要落实的政府采购政策：</w:t>
      </w:r>
    </w:p>
    <w:p>
      <w:pPr>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（1）政府采购促进中小企业发展政策。</w:t>
      </w:r>
    </w:p>
    <w:p>
      <w:pPr>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（2）政府采购支持采用本国产品的政策。</w:t>
      </w:r>
    </w:p>
    <w:p>
      <w:pPr>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（3）强制采购节能产品；优先采购节能产品、环境标志产品。</w:t>
      </w:r>
    </w:p>
    <w:p>
      <w:pPr>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（4）政府采购促进残疾人就业政策。</w:t>
      </w:r>
    </w:p>
    <w:p>
      <w:pPr>
        <w:spacing w:line="400" w:lineRule="exact"/>
        <w:ind w:firstLine="480" w:firstLineChars="200"/>
        <w:rPr>
          <w:rFonts w:ascii="仿宋" w:hAnsi="仿宋" w:eastAsia="仿宋" w:cs="宋体"/>
          <w:kern w:val="0"/>
          <w:sz w:val="24"/>
        </w:rPr>
      </w:pPr>
      <w:r>
        <w:rPr>
          <w:rFonts w:hint="eastAsia" w:ascii="仿宋" w:hAnsi="仿宋" w:eastAsia="仿宋" w:cs="宋体"/>
          <w:kern w:val="0"/>
          <w:sz w:val="24"/>
        </w:rPr>
        <w:t>（5）政府采购支持监狱企业发展政策。</w:t>
      </w:r>
    </w:p>
    <w:p>
      <w:pPr>
        <w:widowControl/>
        <w:spacing w:line="400" w:lineRule="exact"/>
        <w:ind w:firstLine="480" w:firstLineChars="200"/>
        <w:rPr>
          <w:rFonts w:ascii="仿宋" w:hAnsi="仿宋" w:eastAsia="仿宋" w:cs="宋体"/>
          <w:sz w:val="24"/>
        </w:rPr>
      </w:pPr>
      <w:r>
        <w:rPr>
          <w:rFonts w:hint="eastAsia" w:ascii="仿宋" w:hAnsi="仿宋" w:eastAsia="仿宋" w:cs="宋体"/>
          <w:sz w:val="24"/>
        </w:rPr>
        <w:t>7、投标注意事项：</w:t>
      </w:r>
    </w:p>
    <w:bookmarkEnd w:id="49"/>
    <w:p>
      <w:pPr>
        <w:wordWrap w:val="0"/>
        <w:spacing w:line="400" w:lineRule="exact"/>
        <w:ind w:firstLine="480" w:firstLineChars="200"/>
        <w:rPr>
          <w:rFonts w:ascii="仿宋" w:hAnsi="仿宋" w:eastAsia="仿宋" w:cs="宋体"/>
          <w:sz w:val="24"/>
        </w:rPr>
      </w:pPr>
      <w:bookmarkStart w:id="50" w:name="_Toc28359085"/>
      <w:bookmarkStart w:id="51" w:name="_Toc28359008"/>
      <w:bookmarkStart w:id="52" w:name="_Toc35393796"/>
      <w:bookmarkStart w:id="53" w:name="_Toc35393627"/>
      <w:r>
        <w:rPr>
          <w:rFonts w:hint="eastAsia" w:ascii="仿宋" w:hAnsi="仿宋" w:eastAsia="仿宋" w:cs="宋体"/>
          <w:sz w:val="24"/>
        </w:rPr>
        <w:t>（1）投标文件提交方式：本项目为全流程电子化政府采购项目，通过</w:t>
      </w:r>
      <w:r>
        <w:rPr>
          <w:rFonts w:hint="eastAsia" w:ascii="仿宋" w:hAnsi="仿宋" w:eastAsia="仿宋"/>
          <w:sz w:val="24"/>
          <w:u w:val="single"/>
        </w:rPr>
        <w:t>广西政府采购云平台（https://www.gcy.zfcg.gxzf.gov.cn/</w:t>
      </w:r>
      <w:r>
        <w:rPr>
          <w:rFonts w:ascii="仿宋" w:hAnsi="仿宋" w:eastAsia="仿宋"/>
          <w:sz w:val="24"/>
          <w:u w:val="single"/>
        </w:rPr>
        <w:t>）</w:t>
      </w:r>
      <w:r>
        <w:rPr>
          <w:rFonts w:hint="eastAsia" w:ascii="仿宋" w:hAnsi="仿宋" w:eastAsia="仿宋" w:cs="宋体"/>
          <w:sz w:val="24"/>
        </w:rPr>
        <w:t>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供应商在“广西政府采购云平台”提交电子版投标文件时，请填写参加远程开标活动经办人联系方式。</w:t>
      </w:r>
    </w:p>
    <w:p>
      <w:pPr>
        <w:wordWrap w:val="0"/>
        <w:spacing w:line="400" w:lineRule="exact"/>
        <w:ind w:firstLine="480" w:firstLineChars="200"/>
        <w:rPr>
          <w:rFonts w:ascii="仿宋" w:hAnsi="仿宋" w:eastAsia="仿宋" w:cs="宋体"/>
          <w:sz w:val="24"/>
        </w:rPr>
      </w:pPr>
      <w:r>
        <w:rPr>
          <w:rFonts w:hint="eastAsia" w:ascii="仿宋" w:hAnsi="仿宋" w:eastAsia="仿宋" w:cs="宋体"/>
          <w:sz w:val="24"/>
        </w:rPr>
        <w:t>（2）供应商应及时熟悉掌握电子标系统操作指南（见广西政府采购云平台电子卖场首页右上角—服务中心—帮助文档—项目采购）：https://service.zcygov.cn/#/knowledges/tree?tag=AG1DtGwBFdiHxlNdhY0r；及时完成CA申领和绑定（见广西壮族自治区政府采购网—办事服务—下载专区-广西政府采购云平台CA证书办理操作指南）。</w:t>
      </w:r>
    </w:p>
    <w:p>
      <w:pPr>
        <w:wordWrap w:val="0"/>
        <w:spacing w:line="400" w:lineRule="exact"/>
        <w:ind w:firstLine="480" w:firstLineChars="200"/>
        <w:rPr>
          <w:rFonts w:ascii="仿宋" w:hAnsi="仿宋" w:eastAsia="仿宋" w:cs="宋体"/>
          <w:sz w:val="24"/>
        </w:rPr>
      </w:pPr>
      <w:r>
        <w:rPr>
          <w:rFonts w:hint="eastAsia" w:ascii="仿宋" w:hAnsi="仿宋" w:eastAsia="仿宋" w:cs="宋体"/>
          <w:sz w:val="24"/>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pPr>
        <w:wordWrap w:val="0"/>
        <w:spacing w:line="400" w:lineRule="exact"/>
        <w:ind w:firstLine="480" w:firstLineChars="200"/>
        <w:rPr>
          <w:rFonts w:ascii="仿宋" w:hAnsi="仿宋" w:eastAsia="仿宋" w:cs="宋体"/>
          <w:sz w:val="24"/>
        </w:rPr>
      </w:pPr>
      <w:r>
        <w:rPr>
          <w:rFonts w:hint="eastAsia" w:ascii="仿宋" w:hAnsi="仿宋" w:eastAsia="仿宋" w:cs="宋体"/>
          <w:sz w:val="24"/>
        </w:rPr>
        <w:t>（4）为确保网上操作合法、有效和安全，请投标人确保在电子投标过程中能够对相关数据电文进行加密和使用电子签章，妥善保管CA数字证书并使用有效的CA数字证书参与整个采购活动。</w:t>
      </w:r>
    </w:p>
    <w:p>
      <w:pPr>
        <w:wordWrap w:val="0"/>
        <w:spacing w:line="400" w:lineRule="exact"/>
        <w:rPr>
          <w:rFonts w:ascii="仿宋" w:hAnsi="仿宋" w:eastAsia="仿宋" w:cs="宋体"/>
          <w:sz w:val="24"/>
        </w:rPr>
      </w:pPr>
      <w:r>
        <w:rPr>
          <w:rFonts w:hint="eastAsia" w:ascii="仿宋" w:hAnsi="仿宋" w:eastAsia="仿宋" w:cs="宋体"/>
          <w:sz w:val="24"/>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pPr>
        <w:spacing w:line="400" w:lineRule="exact"/>
        <w:ind w:firstLine="480" w:firstLineChars="200"/>
        <w:rPr>
          <w:rFonts w:ascii="仿宋" w:hAnsi="仿宋" w:eastAsia="仿宋" w:cs="宋体"/>
          <w:sz w:val="24"/>
        </w:rPr>
      </w:pPr>
      <w:r>
        <w:rPr>
          <w:rFonts w:hint="eastAsia" w:ascii="仿宋" w:hAnsi="仿宋" w:eastAsia="仿宋" w:cs="宋体"/>
          <w:sz w:val="24"/>
        </w:rPr>
        <w:t>7、CA证书在线解密：供应商投标时，需携带制作投标文件时用来加密的有效数字证书（CA认证）登录“广西政府采购云平台”电子开标大厅现场按规定时间对加密的投标文件进行解密，否则后果自负。</w:t>
      </w:r>
    </w:p>
    <w:p>
      <w:pPr>
        <w:spacing w:line="400" w:lineRule="exact"/>
        <w:ind w:firstLine="480" w:firstLineChars="200"/>
        <w:rPr>
          <w:rFonts w:ascii="仿宋" w:hAnsi="仿宋" w:eastAsia="仿宋" w:cs="宋体"/>
          <w:sz w:val="24"/>
        </w:rPr>
      </w:pPr>
      <w:r>
        <w:rPr>
          <w:rFonts w:hint="eastAsia" w:ascii="仿宋" w:hAnsi="仿宋" w:eastAsia="仿宋" w:cs="宋体"/>
          <w:sz w:val="24"/>
        </w:rPr>
        <w:t>8、若对项目采购电子交易系统操作有疑问，可登录广西政府采购云平台（https://www.gcy.zfcg.gxzf.gov.cn/），点击右侧咨询小采，获取采小蜜智能服务管家帮助，或拨打广西政府采购云平台服务热线95763获取热线服务帮助。</w:t>
      </w:r>
    </w:p>
    <w:p>
      <w:pPr>
        <w:spacing w:line="400" w:lineRule="exact"/>
        <w:rPr>
          <w:rFonts w:ascii="仿宋" w:hAnsi="仿宋" w:eastAsia="仿宋"/>
          <w:b/>
          <w:bCs/>
          <w:sz w:val="24"/>
        </w:rPr>
      </w:pPr>
      <w:r>
        <w:rPr>
          <w:rFonts w:hint="eastAsia" w:ascii="仿宋" w:hAnsi="仿宋" w:eastAsia="仿宋"/>
          <w:b/>
          <w:bCs/>
          <w:sz w:val="24"/>
        </w:rPr>
        <w:t>七、对本次招标提出询问，请按</w:t>
      </w:r>
      <w:r>
        <w:rPr>
          <w:rFonts w:ascii="仿宋" w:hAnsi="仿宋" w:eastAsia="仿宋"/>
          <w:b/>
          <w:bCs/>
          <w:sz w:val="24"/>
        </w:rPr>
        <w:t>以下方式</w:t>
      </w:r>
      <w:r>
        <w:rPr>
          <w:rFonts w:hint="eastAsia" w:ascii="仿宋" w:hAnsi="仿宋" w:eastAsia="仿宋"/>
          <w:b/>
          <w:bCs/>
          <w:sz w:val="24"/>
        </w:rPr>
        <w:t>联系。</w:t>
      </w:r>
      <w:bookmarkEnd w:id="50"/>
      <w:bookmarkEnd w:id="51"/>
      <w:bookmarkEnd w:id="52"/>
      <w:bookmarkEnd w:id="53"/>
    </w:p>
    <w:p>
      <w:pPr>
        <w:spacing w:line="400" w:lineRule="exact"/>
        <w:ind w:firstLine="648" w:firstLineChars="270"/>
        <w:jc w:val="left"/>
        <w:rPr>
          <w:rFonts w:ascii="仿宋" w:hAnsi="仿宋" w:eastAsia="仿宋" w:cs="宋体"/>
          <w:sz w:val="24"/>
        </w:rPr>
      </w:pPr>
      <w:r>
        <w:rPr>
          <w:rFonts w:hint="eastAsia" w:ascii="仿宋" w:hAnsi="仿宋" w:eastAsia="仿宋" w:cs="宋体"/>
          <w:sz w:val="24"/>
        </w:rPr>
        <w:t>1.采购人信息</w:t>
      </w:r>
    </w:p>
    <w:p>
      <w:pPr>
        <w:spacing w:line="400" w:lineRule="exact"/>
        <w:ind w:firstLine="648" w:firstLineChars="270"/>
        <w:jc w:val="left"/>
        <w:rPr>
          <w:rFonts w:ascii="仿宋" w:hAnsi="仿宋" w:eastAsia="仿宋"/>
          <w:sz w:val="24"/>
        </w:rPr>
      </w:pPr>
      <w:r>
        <w:rPr>
          <w:rFonts w:hint="eastAsia" w:ascii="仿宋" w:hAnsi="仿宋" w:eastAsia="仿宋"/>
          <w:sz w:val="24"/>
        </w:rPr>
        <w:t>名 称：桂林电子</w:t>
      </w:r>
      <w:r>
        <w:rPr>
          <w:rFonts w:ascii="仿宋" w:hAnsi="仿宋" w:eastAsia="仿宋"/>
          <w:sz w:val="24"/>
        </w:rPr>
        <w:t>科技大学</w:t>
      </w:r>
    </w:p>
    <w:p>
      <w:pPr>
        <w:spacing w:line="400" w:lineRule="exact"/>
        <w:ind w:firstLine="648" w:firstLineChars="270"/>
        <w:jc w:val="left"/>
        <w:rPr>
          <w:rFonts w:ascii="仿宋" w:hAnsi="仿宋" w:eastAsia="仿宋"/>
          <w:sz w:val="24"/>
        </w:rPr>
      </w:pPr>
      <w:r>
        <w:rPr>
          <w:rFonts w:hint="eastAsia" w:ascii="仿宋" w:hAnsi="仿宋" w:eastAsia="仿宋"/>
          <w:sz w:val="24"/>
        </w:rPr>
        <w:t>地址：</w:t>
      </w:r>
      <w:r>
        <w:rPr>
          <w:rFonts w:hint="eastAsia" w:ascii="仿宋" w:hAnsi="仿宋" w:eastAsia="仿宋" w:cs="宋体"/>
          <w:sz w:val="24"/>
        </w:rPr>
        <w:t>桂林市七星</w:t>
      </w:r>
      <w:r>
        <w:rPr>
          <w:rFonts w:ascii="仿宋" w:hAnsi="仿宋" w:eastAsia="仿宋" w:cs="宋体"/>
          <w:sz w:val="24"/>
        </w:rPr>
        <w:t>区金鸡路</w:t>
      </w:r>
      <w:r>
        <w:rPr>
          <w:rFonts w:hint="eastAsia" w:ascii="仿宋" w:hAnsi="仿宋" w:eastAsia="仿宋" w:cs="宋体"/>
          <w:sz w:val="24"/>
        </w:rPr>
        <w:t>1号</w:t>
      </w:r>
    </w:p>
    <w:p>
      <w:pPr>
        <w:spacing w:line="400" w:lineRule="exact"/>
        <w:ind w:firstLine="648" w:firstLineChars="270"/>
        <w:jc w:val="left"/>
        <w:rPr>
          <w:rFonts w:ascii="仿宋" w:hAnsi="仿宋" w:eastAsia="仿宋"/>
          <w:sz w:val="24"/>
        </w:rPr>
      </w:pPr>
      <w:bookmarkStart w:id="54" w:name="_Toc28359086"/>
      <w:bookmarkStart w:id="55" w:name="_Toc28359009"/>
      <w:r>
        <w:rPr>
          <w:rFonts w:hint="eastAsia" w:ascii="仿宋" w:hAnsi="仿宋" w:eastAsia="仿宋"/>
          <w:sz w:val="24"/>
        </w:rPr>
        <w:t>项目联系人：刘老师</w:t>
      </w:r>
    </w:p>
    <w:p>
      <w:pPr>
        <w:spacing w:line="400" w:lineRule="exact"/>
        <w:ind w:firstLine="648" w:firstLineChars="270"/>
        <w:jc w:val="left"/>
        <w:rPr>
          <w:rFonts w:ascii="仿宋" w:hAnsi="仿宋" w:eastAsia="仿宋"/>
          <w:sz w:val="24"/>
        </w:rPr>
      </w:pPr>
      <w:r>
        <w:rPr>
          <w:rFonts w:hint="eastAsia" w:ascii="仿宋" w:hAnsi="仿宋" w:eastAsia="仿宋"/>
          <w:sz w:val="24"/>
        </w:rPr>
        <w:t>项目联系方式：</w:t>
      </w:r>
      <w:r>
        <w:rPr>
          <w:rFonts w:ascii="仿宋" w:hAnsi="仿宋" w:eastAsia="仿宋"/>
          <w:sz w:val="24"/>
        </w:rPr>
        <w:t>0773-2290675</w:t>
      </w:r>
    </w:p>
    <w:p>
      <w:pPr>
        <w:spacing w:line="400" w:lineRule="exact"/>
        <w:ind w:firstLine="648" w:firstLineChars="270"/>
        <w:jc w:val="left"/>
        <w:rPr>
          <w:rFonts w:ascii="仿宋" w:hAnsi="仿宋" w:eastAsia="仿宋"/>
          <w:sz w:val="24"/>
        </w:rPr>
      </w:pPr>
      <w:r>
        <w:rPr>
          <w:rFonts w:hint="eastAsia" w:ascii="仿宋" w:hAnsi="仿宋" w:eastAsia="仿宋" w:cs="宋体"/>
          <w:sz w:val="24"/>
        </w:rPr>
        <w:t>2.采购代理机构信息</w:t>
      </w:r>
      <w:bookmarkEnd w:id="54"/>
      <w:bookmarkEnd w:id="55"/>
    </w:p>
    <w:p>
      <w:pPr>
        <w:spacing w:line="400" w:lineRule="exact"/>
        <w:ind w:firstLine="648" w:firstLineChars="270"/>
        <w:rPr>
          <w:rFonts w:ascii="仿宋" w:hAnsi="仿宋" w:eastAsia="仿宋"/>
          <w:sz w:val="24"/>
        </w:rPr>
      </w:pPr>
      <w:r>
        <w:rPr>
          <w:rFonts w:hint="eastAsia" w:ascii="仿宋" w:hAnsi="仿宋" w:eastAsia="仿宋"/>
          <w:sz w:val="24"/>
        </w:rPr>
        <w:t>名  称：</w:t>
      </w:r>
      <w:r>
        <w:rPr>
          <w:rFonts w:hint="eastAsia" w:ascii="仿宋" w:hAnsi="仿宋" w:eastAsia="仿宋" w:cs="Arial"/>
          <w:sz w:val="24"/>
        </w:rPr>
        <w:t>广西科文</w:t>
      </w:r>
      <w:r>
        <w:rPr>
          <w:rFonts w:ascii="仿宋" w:hAnsi="仿宋" w:eastAsia="仿宋" w:cs="Arial"/>
          <w:sz w:val="24"/>
        </w:rPr>
        <w:t>招标有限公司</w:t>
      </w:r>
    </w:p>
    <w:p>
      <w:pPr>
        <w:spacing w:line="400" w:lineRule="exact"/>
        <w:ind w:firstLine="648" w:firstLineChars="270"/>
        <w:rPr>
          <w:rFonts w:ascii="仿宋" w:hAnsi="仿宋" w:eastAsia="仿宋"/>
          <w:sz w:val="24"/>
        </w:rPr>
      </w:pPr>
      <w:r>
        <w:rPr>
          <w:rFonts w:hint="eastAsia" w:ascii="仿宋" w:hAnsi="仿宋" w:eastAsia="仿宋"/>
          <w:sz w:val="24"/>
        </w:rPr>
        <w:t>地　址：桂林市七星区穿山东路41号彰泰</w:t>
      </w:r>
      <w:r>
        <w:rPr>
          <w:rFonts w:hint="eastAsia" w:ascii="微软雅黑" w:hAnsi="微软雅黑" w:eastAsia="微软雅黑" w:cs="微软雅黑"/>
          <w:sz w:val="24"/>
        </w:rPr>
        <w:t>•</w:t>
      </w:r>
      <w:r>
        <w:rPr>
          <w:rFonts w:hint="eastAsia" w:ascii="仿宋" w:hAnsi="仿宋" w:eastAsia="仿宋" w:cs="仿宋"/>
          <w:sz w:val="24"/>
        </w:rPr>
        <w:t>天街</w:t>
      </w:r>
      <w:r>
        <w:rPr>
          <w:rFonts w:hint="eastAsia" w:ascii="仿宋" w:hAnsi="仿宋" w:eastAsia="仿宋"/>
          <w:sz w:val="24"/>
        </w:rPr>
        <w:t>V+国际中心1#楼八层802号</w:t>
      </w:r>
    </w:p>
    <w:p>
      <w:pPr>
        <w:pStyle w:val="28"/>
        <w:spacing w:line="400" w:lineRule="exact"/>
        <w:ind w:firstLine="648" w:firstLineChars="270"/>
        <w:rPr>
          <w:rFonts w:ascii="仿宋" w:hAnsi="仿宋" w:eastAsia="仿宋"/>
          <w:sz w:val="24"/>
          <w:szCs w:val="24"/>
        </w:rPr>
      </w:pPr>
      <w:r>
        <w:rPr>
          <w:rFonts w:hint="eastAsia" w:ascii="仿宋" w:hAnsi="仿宋" w:eastAsia="仿宋"/>
          <w:sz w:val="24"/>
          <w:szCs w:val="24"/>
        </w:rPr>
        <w:t>项目联系人：李冰华</w:t>
      </w:r>
    </w:p>
    <w:p>
      <w:pPr>
        <w:spacing w:line="400" w:lineRule="exact"/>
        <w:ind w:firstLine="648" w:firstLineChars="270"/>
        <w:rPr>
          <w:rFonts w:ascii="仿宋" w:hAnsi="仿宋" w:eastAsia="仿宋"/>
          <w:sz w:val="24"/>
        </w:rPr>
      </w:pPr>
      <w:r>
        <w:rPr>
          <w:rFonts w:hint="eastAsia" w:ascii="仿宋" w:hAnsi="仿宋" w:eastAsia="仿宋"/>
          <w:sz w:val="24"/>
        </w:rPr>
        <w:t>电　话：0773-7593227</w:t>
      </w:r>
    </w:p>
    <w:p>
      <w:pPr>
        <w:wordWrap w:val="0"/>
        <w:spacing w:line="400" w:lineRule="exact"/>
        <w:jc w:val="right"/>
        <w:rPr>
          <w:rFonts w:ascii="仿宋" w:hAnsi="仿宋" w:eastAsia="仿宋"/>
          <w:sz w:val="24"/>
        </w:rPr>
      </w:pPr>
    </w:p>
    <w:p>
      <w:pPr>
        <w:pStyle w:val="4"/>
        <w:keepNext w:val="0"/>
        <w:keepLines w:val="0"/>
        <w:pageBreakBefore/>
        <w:numPr>
          <w:ilvl w:val="0"/>
          <w:numId w:val="4"/>
        </w:numPr>
        <w:spacing w:before="0" w:after="0" w:line="500" w:lineRule="exact"/>
        <w:jc w:val="center"/>
        <w:rPr>
          <w:rFonts w:ascii="仿宋" w:hAnsi="仿宋" w:eastAsia="仿宋"/>
        </w:rPr>
      </w:pPr>
      <w:bookmarkStart w:id="56" w:name="_Toc74320801"/>
      <w:r>
        <w:rPr>
          <w:rFonts w:hint="eastAsia" w:ascii="仿宋" w:hAnsi="仿宋" w:eastAsia="仿宋"/>
        </w:rPr>
        <w:t xml:space="preserve"> 采购需求</w:t>
      </w:r>
      <w:bookmarkEnd w:id="56"/>
    </w:p>
    <w:p>
      <w:pPr>
        <w:spacing w:line="360" w:lineRule="auto"/>
        <w:jc w:val="left"/>
        <w:rPr>
          <w:rFonts w:ascii="仿宋" w:hAnsi="仿宋" w:eastAsia="仿宋" w:cs="仿宋"/>
          <w:b/>
          <w:sz w:val="24"/>
        </w:rPr>
      </w:pPr>
      <w:r>
        <w:rPr>
          <w:rFonts w:hint="eastAsia" w:ascii="仿宋" w:hAnsi="仿宋" w:eastAsia="仿宋" w:cs="仿宋"/>
          <w:b/>
          <w:sz w:val="24"/>
        </w:rPr>
        <w:t>说明：</w:t>
      </w:r>
    </w:p>
    <w:p>
      <w:pPr>
        <w:spacing w:line="360" w:lineRule="auto"/>
        <w:ind w:firstLine="482" w:firstLineChars="200"/>
        <w:jc w:val="left"/>
        <w:rPr>
          <w:rFonts w:ascii="仿宋" w:hAnsi="仿宋" w:eastAsia="仿宋" w:cs="仿宋"/>
          <w:b/>
          <w:bCs/>
          <w:sz w:val="24"/>
          <w:highlight w:val="none"/>
        </w:rPr>
      </w:pPr>
      <w:r>
        <w:rPr>
          <w:rFonts w:hint="eastAsia" w:ascii="仿宋" w:hAnsi="仿宋" w:eastAsia="仿宋" w:cs="仿宋"/>
          <w:b/>
          <w:sz w:val="24"/>
          <w:highlight w:val="none"/>
        </w:rPr>
        <w:t>1、《</w:t>
      </w:r>
      <w:r>
        <w:rPr>
          <w:rFonts w:hint="eastAsia" w:ascii="仿宋" w:hAnsi="仿宋" w:eastAsia="仿宋" w:cs="仿宋"/>
          <w:b/>
          <w:bCs/>
          <w:sz w:val="24"/>
          <w:highlight w:val="none"/>
        </w:rPr>
        <w:t>第二章 采购需求</w:t>
      </w:r>
      <w:r>
        <w:rPr>
          <w:rFonts w:hint="eastAsia" w:ascii="仿宋" w:hAnsi="仿宋" w:eastAsia="仿宋" w:cs="仿宋"/>
          <w:b/>
          <w:sz w:val="24"/>
          <w:highlight w:val="none"/>
        </w:rPr>
        <w:t>》</w:t>
      </w:r>
      <w:r>
        <w:rPr>
          <w:rFonts w:hint="eastAsia" w:ascii="仿宋" w:hAnsi="仿宋" w:eastAsia="仿宋" w:cs="仿宋"/>
          <w:b/>
          <w:bCs/>
          <w:sz w:val="24"/>
          <w:highlight w:val="none"/>
        </w:rPr>
        <w:t>中&lt;项目要求及技术需求&gt;标注“★”条款为重要参数。</w:t>
      </w:r>
    </w:p>
    <w:p>
      <w:pPr>
        <w:spacing w:line="360" w:lineRule="exact"/>
        <w:ind w:left="-10" w:leftChars="-5" w:right="2" w:rightChars="1" w:firstLine="482" w:firstLineChars="200"/>
        <w:rPr>
          <w:rFonts w:ascii="仿宋" w:hAnsi="仿宋" w:eastAsia="仿宋" w:cs="仿宋"/>
          <w:b/>
          <w:bCs/>
          <w:sz w:val="24"/>
        </w:rPr>
      </w:pPr>
      <w:r>
        <w:rPr>
          <w:rFonts w:hint="eastAsia" w:ascii="仿宋" w:hAnsi="仿宋" w:eastAsia="仿宋" w:cs="仿宋"/>
          <w:b/>
          <w:bCs/>
          <w:sz w:val="24"/>
        </w:rPr>
        <w:t>2、本项目所属行业：软件及信息技术服务业</w:t>
      </w:r>
    </w:p>
    <w:tbl>
      <w:tblPr>
        <w:tblStyle w:val="54"/>
        <w:tblW w:w="103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
        <w:gridCol w:w="815"/>
        <w:gridCol w:w="764"/>
        <w:gridCol w:w="8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0323" w:type="dxa"/>
            <w:gridSpan w:val="4"/>
            <w:vAlign w:val="center"/>
          </w:tcPr>
          <w:p>
            <w:pPr>
              <w:wordWrap w:val="0"/>
              <w:snapToGrid w:val="0"/>
              <w:spacing w:line="380" w:lineRule="exact"/>
              <w:rPr>
                <w:rFonts w:ascii="仿宋" w:hAnsi="仿宋" w:eastAsia="仿宋" w:cs="仿宋"/>
                <w:b/>
                <w:bCs/>
                <w:sz w:val="24"/>
              </w:rPr>
            </w:pPr>
            <w:r>
              <w:rPr>
                <w:rFonts w:hint="eastAsia" w:ascii="仿宋" w:hAnsi="仿宋" w:eastAsia="仿宋" w:cs="仿宋"/>
                <w:b/>
                <w:bCs/>
                <w:sz w:val="24"/>
              </w:rPr>
              <w:t>一、项目要求及技术需求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5" w:hRule="atLeast"/>
          <w:jc w:val="center"/>
        </w:trPr>
        <w:tc>
          <w:tcPr>
            <w:tcW w:w="10323" w:type="dxa"/>
            <w:gridSpan w:val="4"/>
            <w:vAlign w:val="center"/>
          </w:tcPr>
          <w:p>
            <w:pPr>
              <w:spacing w:line="380" w:lineRule="exact"/>
              <w:rPr>
                <w:rFonts w:ascii="仿宋" w:hAnsi="仿宋" w:eastAsia="仿宋" w:cs="仿宋"/>
                <w:b/>
                <w:bCs/>
                <w:sz w:val="22"/>
                <w:szCs w:val="28"/>
              </w:rPr>
            </w:pPr>
            <w:r>
              <w:rPr>
                <w:rFonts w:hint="eastAsia" w:ascii="仿宋" w:hAnsi="仿宋" w:eastAsia="仿宋" w:cs="仿宋"/>
                <w:b/>
                <w:bCs/>
                <w:sz w:val="22"/>
                <w:szCs w:val="28"/>
              </w:rPr>
              <w:t>用途:</w:t>
            </w:r>
          </w:p>
          <w:p>
            <w:pPr>
              <w:spacing w:line="380" w:lineRule="exact"/>
              <w:rPr>
                <w:rFonts w:ascii="仿宋" w:hAnsi="仿宋" w:eastAsia="仿宋" w:cs="仿宋"/>
                <w:b/>
                <w:bCs/>
                <w:sz w:val="22"/>
                <w:szCs w:val="28"/>
                <w:lang w:eastAsia="zh-Hans"/>
              </w:rPr>
            </w:pPr>
            <w:r>
              <w:rPr>
                <w:rFonts w:hint="eastAsia" w:ascii="仿宋" w:hAnsi="仿宋" w:eastAsia="仿宋" w:cs="仿宋"/>
                <w:b/>
                <w:bCs/>
                <w:sz w:val="22"/>
                <w:szCs w:val="28"/>
              </w:rPr>
              <w:t>1、</w:t>
            </w:r>
            <w:r>
              <w:rPr>
                <w:rFonts w:hint="eastAsia" w:ascii="仿宋" w:hAnsi="仿宋" w:eastAsia="仿宋" w:cs="仿宋"/>
                <w:b/>
                <w:bCs/>
                <w:sz w:val="22"/>
                <w:szCs w:val="28"/>
                <w:lang w:eastAsia="zh-Hans"/>
              </w:rPr>
              <w:t>满足202</w:t>
            </w:r>
            <w:r>
              <w:rPr>
                <w:rFonts w:hint="eastAsia" w:ascii="仿宋" w:hAnsi="仿宋" w:eastAsia="仿宋" w:cs="仿宋"/>
                <w:b/>
                <w:bCs/>
                <w:sz w:val="22"/>
                <w:szCs w:val="28"/>
              </w:rPr>
              <w:t>6</w:t>
            </w:r>
            <w:r>
              <w:rPr>
                <w:rFonts w:hint="eastAsia" w:ascii="仿宋" w:hAnsi="仿宋" w:eastAsia="仿宋" w:cs="仿宋"/>
                <w:b/>
                <w:bCs/>
                <w:sz w:val="22"/>
                <w:szCs w:val="28"/>
                <w:lang w:eastAsia="zh-Hans"/>
              </w:rPr>
              <w:t>级、202</w:t>
            </w:r>
            <w:r>
              <w:rPr>
                <w:rFonts w:hint="eastAsia" w:ascii="仿宋" w:hAnsi="仿宋" w:eastAsia="仿宋" w:cs="仿宋"/>
                <w:b/>
                <w:bCs/>
                <w:sz w:val="22"/>
                <w:szCs w:val="28"/>
              </w:rPr>
              <w:t>7</w:t>
            </w:r>
            <w:r>
              <w:rPr>
                <w:rFonts w:hint="eastAsia" w:ascii="仿宋" w:hAnsi="仿宋" w:eastAsia="仿宋" w:cs="仿宋"/>
                <w:b/>
                <w:bCs/>
                <w:sz w:val="22"/>
                <w:szCs w:val="28"/>
                <w:lang w:eastAsia="zh-Hans"/>
              </w:rPr>
              <w:t>级、202</w:t>
            </w:r>
            <w:r>
              <w:rPr>
                <w:rFonts w:hint="eastAsia" w:ascii="仿宋" w:hAnsi="仿宋" w:eastAsia="仿宋" w:cs="仿宋"/>
                <w:b/>
                <w:bCs/>
                <w:sz w:val="22"/>
                <w:szCs w:val="28"/>
              </w:rPr>
              <w:t>8</w:t>
            </w:r>
            <w:r>
              <w:rPr>
                <w:rFonts w:hint="eastAsia" w:ascii="仿宋" w:hAnsi="仿宋" w:eastAsia="仿宋" w:cs="仿宋"/>
                <w:b/>
                <w:bCs/>
                <w:sz w:val="22"/>
                <w:szCs w:val="28"/>
                <w:lang w:eastAsia="zh-Hans"/>
              </w:rPr>
              <w:t>级高等学历继续教育学生在线学习平台与课程资源的使用，完成学业。一是基于云服务的网络教学管理平台建设；二是基于云服务的移动网络教学资源建设；三是从软硬件两个方面全面实现资源的云存储和远程托管。</w:t>
            </w:r>
          </w:p>
          <w:p>
            <w:pPr>
              <w:spacing w:line="380" w:lineRule="exact"/>
              <w:rPr>
                <w:rFonts w:ascii="仿宋" w:hAnsi="仿宋" w:eastAsia="仿宋" w:cs="仿宋"/>
                <w:b/>
                <w:bCs/>
                <w:sz w:val="22"/>
                <w:szCs w:val="28"/>
              </w:rPr>
            </w:pPr>
            <w:r>
              <w:rPr>
                <w:rFonts w:hint="eastAsia" w:ascii="仿宋" w:hAnsi="仿宋" w:eastAsia="仿宋" w:cs="仿宋"/>
                <w:b/>
                <w:bCs/>
                <w:sz w:val="22"/>
                <w:szCs w:val="28"/>
              </w:rPr>
              <w:t>2、服务期限</w:t>
            </w:r>
            <w:r>
              <w:rPr>
                <w:rFonts w:hint="eastAsia" w:ascii="仿宋" w:hAnsi="仿宋" w:eastAsia="仿宋" w:cs="仿宋"/>
                <w:b/>
                <w:bCs/>
                <w:sz w:val="22"/>
                <w:szCs w:val="28"/>
                <w:highlight w:val="none"/>
              </w:rPr>
              <w:t>：2026年1 月 1日至2029年10 月30 日。每个年级预估人数</w:t>
            </w:r>
            <w:r>
              <w:rPr>
                <w:rFonts w:hint="eastAsia" w:ascii="仿宋" w:hAnsi="仿宋" w:eastAsia="仿宋" w:cs="仿宋"/>
                <w:b/>
                <w:bCs/>
                <w:sz w:val="22"/>
                <w:szCs w:val="28"/>
                <w:highlight w:val="none"/>
                <w:u w:val="single"/>
              </w:rPr>
              <w:t xml:space="preserve">  6000  </w:t>
            </w:r>
            <w:r>
              <w:rPr>
                <w:rFonts w:hint="eastAsia" w:ascii="仿宋" w:hAnsi="仿宋" w:eastAsia="仿宋" w:cs="仿宋"/>
                <w:b/>
                <w:bCs/>
                <w:sz w:val="22"/>
                <w:szCs w:val="28"/>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393" w:type="dxa"/>
            <w:vAlign w:val="center"/>
          </w:tcPr>
          <w:p>
            <w:pPr>
              <w:wordWrap w:val="0"/>
              <w:snapToGrid w:val="0"/>
              <w:spacing w:line="380" w:lineRule="exact"/>
              <w:jc w:val="center"/>
              <w:rPr>
                <w:rFonts w:ascii="仿宋" w:hAnsi="仿宋" w:eastAsia="仿宋" w:cs="仿宋"/>
                <w:b/>
                <w:sz w:val="24"/>
              </w:rPr>
            </w:pPr>
            <w:r>
              <w:rPr>
                <w:rFonts w:hint="eastAsia" w:ascii="仿宋" w:hAnsi="仿宋" w:eastAsia="仿宋" w:cs="仿宋"/>
                <w:b/>
                <w:sz w:val="24"/>
              </w:rPr>
              <w:t>项号</w:t>
            </w:r>
          </w:p>
        </w:tc>
        <w:tc>
          <w:tcPr>
            <w:tcW w:w="815" w:type="dxa"/>
            <w:vAlign w:val="center"/>
          </w:tcPr>
          <w:p>
            <w:pPr>
              <w:wordWrap w:val="0"/>
              <w:snapToGrid w:val="0"/>
              <w:spacing w:line="380" w:lineRule="exact"/>
              <w:jc w:val="center"/>
              <w:rPr>
                <w:rFonts w:ascii="仿宋" w:hAnsi="仿宋" w:eastAsia="仿宋" w:cs="仿宋"/>
                <w:b/>
                <w:sz w:val="24"/>
              </w:rPr>
            </w:pPr>
            <w:r>
              <w:rPr>
                <w:rFonts w:hint="eastAsia" w:ascii="仿宋" w:hAnsi="仿宋" w:eastAsia="仿宋" w:cs="仿宋"/>
                <w:b/>
                <w:sz w:val="24"/>
              </w:rPr>
              <w:t>采购</w:t>
            </w:r>
          </w:p>
          <w:p>
            <w:pPr>
              <w:wordWrap w:val="0"/>
              <w:snapToGrid w:val="0"/>
              <w:spacing w:line="380" w:lineRule="exact"/>
              <w:jc w:val="center"/>
              <w:rPr>
                <w:rFonts w:ascii="仿宋" w:hAnsi="仿宋" w:eastAsia="仿宋" w:cs="仿宋"/>
                <w:b/>
                <w:sz w:val="24"/>
              </w:rPr>
            </w:pPr>
            <w:r>
              <w:rPr>
                <w:rFonts w:hint="eastAsia" w:ascii="仿宋" w:hAnsi="仿宋" w:eastAsia="仿宋" w:cs="仿宋"/>
                <w:b/>
                <w:sz w:val="24"/>
              </w:rPr>
              <w:t>内容</w:t>
            </w:r>
          </w:p>
        </w:tc>
        <w:tc>
          <w:tcPr>
            <w:tcW w:w="764" w:type="dxa"/>
            <w:vAlign w:val="center"/>
          </w:tcPr>
          <w:p>
            <w:pPr>
              <w:wordWrap w:val="0"/>
              <w:snapToGrid w:val="0"/>
              <w:spacing w:line="380" w:lineRule="exact"/>
              <w:jc w:val="center"/>
              <w:rPr>
                <w:rFonts w:ascii="仿宋" w:hAnsi="仿宋" w:eastAsia="仿宋" w:cs="仿宋"/>
                <w:b/>
                <w:sz w:val="24"/>
              </w:rPr>
            </w:pPr>
            <w:r>
              <w:rPr>
                <w:rFonts w:hint="eastAsia" w:ascii="仿宋" w:hAnsi="仿宋" w:eastAsia="仿宋" w:cs="仿宋"/>
                <w:b/>
                <w:sz w:val="24"/>
              </w:rPr>
              <w:t>单位及数量</w:t>
            </w:r>
          </w:p>
        </w:tc>
        <w:tc>
          <w:tcPr>
            <w:tcW w:w="8351" w:type="dxa"/>
            <w:vAlign w:val="center"/>
          </w:tcPr>
          <w:p>
            <w:pPr>
              <w:wordWrap w:val="0"/>
              <w:snapToGrid w:val="0"/>
              <w:spacing w:line="380" w:lineRule="exact"/>
              <w:jc w:val="center"/>
              <w:rPr>
                <w:rFonts w:ascii="仿宋" w:hAnsi="仿宋" w:eastAsia="仿宋" w:cs="仿宋"/>
                <w:b/>
                <w:sz w:val="24"/>
              </w:rPr>
            </w:pPr>
            <w:r>
              <w:rPr>
                <w:rFonts w:hint="eastAsia" w:ascii="仿宋" w:hAnsi="仿宋" w:eastAsia="仿宋" w:cs="仿宋"/>
                <w:b/>
                <w:sz w:val="24"/>
              </w:rPr>
              <w:t>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3" w:hRule="atLeast"/>
          <w:jc w:val="center"/>
        </w:trPr>
        <w:tc>
          <w:tcPr>
            <w:tcW w:w="393" w:type="dxa"/>
            <w:vAlign w:val="center"/>
          </w:tcPr>
          <w:p>
            <w:pPr>
              <w:wordWrap w:val="0"/>
              <w:snapToGrid w:val="0"/>
              <w:spacing w:line="380" w:lineRule="exact"/>
              <w:jc w:val="center"/>
              <w:rPr>
                <w:rFonts w:ascii="仿宋" w:hAnsi="仿宋" w:eastAsia="仿宋" w:cs="仿宋"/>
                <w:sz w:val="24"/>
              </w:rPr>
            </w:pPr>
            <w:r>
              <w:rPr>
                <w:rFonts w:hint="eastAsia" w:ascii="仿宋" w:hAnsi="仿宋" w:eastAsia="仿宋" w:cs="仿宋"/>
                <w:sz w:val="24"/>
              </w:rPr>
              <w:t>1</w:t>
            </w:r>
          </w:p>
        </w:tc>
        <w:tc>
          <w:tcPr>
            <w:tcW w:w="815" w:type="dxa"/>
            <w:vAlign w:val="center"/>
          </w:tcPr>
          <w:p>
            <w:pPr>
              <w:widowControl/>
              <w:wordWrap w:val="0"/>
              <w:spacing w:line="380" w:lineRule="exact"/>
              <w:jc w:val="center"/>
              <w:textAlignment w:val="center"/>
              <w:rPr>
                <w:rFonts w:ascii="仿宋" w:hAnsi="仿宋" w:eastAsia="仿宋" w:cs="仿宋"/>
                <w:sz w:val="24"/>
              </w:rPr>
            </w:pPr>
            <w:r>
              <w:rPr>
                <w:rFonts w:hint="eastAsia" w:ascii="仿宋" w:hAnsi="仿宋" w:eastAsia="仿宋" w:cs="仿宋"/>
                <w:sz w:val="24"/>
              </w:rPr>
              <w:t>高等学历继续教育综合学习平台与课程资源使用服务</w:t>
            </w:r>
          </w:p>
        </w:tc>
        <w:tc>
          <w:tcPr>
            <w:tcW w:w="764" w:type="dxa"/>
            <w:vAlign w:val="center"/>
          </w:tcPr>
          <w:p>
            <w:pPr>
              <w:wordWrap w:val="0"/>
              <w:snapToGrid w:val="0"/>
              <w:spacing w:line="380" w:lineRule="exact"/>
              <w:jc w:val="center"/>
              <w:rPr>
                <w:rFonts w:ascii="仿宋" w:hAnsi="仿宋" w:eastAsia="仿宋" w:cs="仿宋"/>
                <w:sz w:val="24"/>
              </w:rPr>
            </w:pPr>
            <w:r>
              <w:rPr>
                <w:rFonts w:hint="eastAsia" w:ascii="仿宋" w:hAnsi="仿宋" w:eastAsia="仿宋" w:cs="仿宋"/>
                <w:sz w:val="24"/>
              </w:rPr>
              <w:t>1套</w:t>
            </w:r>
          </w:p>
        </w:tc>
        <w:tc>
          <w:tcPr>
            <w:tcW w:w="8351" w:type="dxa"/>
            <w:vAlign w:val="center"/>
          </w:tcPr>
          <w:p>
            <w:pPr>
              <w:pStyle w:val="4"/>
              <w:wordWrap w:val="0"/>
              <w:spacing w:line="380" w:lineRule="exact"/>
              <w:rPr>
                <w:rFonts w:ascii="仿宋" w:hAnsi="仿宋" w:eastAsia="仿宋" w:cs="仿宋"/>
                <w:sz w:val="24"/>
                <w:szCs w:val="24"/>
              </w:rPr>
            </w:pPr>
            <w:r>
              <w:rPr>
                <w:rFonts w:hint="eastAsia" w:ascii="仿宋" w:hAnsi="仿宋" w:eastAsia="仿宋" w:cs="仿宋"/>
                <w:sz w:val="24"/>
                <w:szCs w:val="24"/>
              </w:rPr>
              <w:t>一、系统性能总体要求</w:t>
            </w:r>
          </w:p>
          <w:tbl>
            <w:tblPr>
              <w:tblStyle w:val="54"/>
              <w:tblW w:w="8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1050"/>
              <w:gridCol w:w="6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462" w:type="dxa"/>
                  <w:shd w:val="clear" w:color="auto" w:fill="auto"/>
                  <w:vAlign w:val="center"/>
                </w:tcPr>
                <w:p>
                  <w:pPr>
                    <w:wordWrap w:val="0"/>
                    <w:spacing w:line="380" w:lineRule="exact"/>
                    <w:jc w:val="center"/>
                    <w:rPr>
                      <w:rFonts w:ascii="仿宋" w:hAnsi="仿宋" w:eastAsia="仿宋" w:cs="仿宋"/>
                      <w:sz w:val="24"/>
                      <w:lang w:val="zh-CN"/>
                    </w:rPr>
                  </w:pPr>
                  <w:r>
                    <w:rPr>
                      <w:rFonts w:hint="eastAsia" w:ascii="仿宋" w:hAnsi="仿宋" w:eastAsia="仿宋" w:cs="仿宋"/>
                      <w:sz w:val="24"/>
                    </w:rPr>
                    <w:t>序号</w:t>
                  </w:r>
                </w:p>
              </w:tc>
              <w:tc>
                <w:tcPr>
                  <w:tcW w:w="1050" w:type="dxa"/>
                  <w:shd w:val="clear" w:color="auto" w:fill="auto"/>
                  <w:vAlign w:val="center"/>
                </w:tcPr>
                <w:p>
                  <w:pPr>
                    <w:wordWrap w:val="0"/>
                    <w:spacing w:line="380" w:lineRule="exact"/>
                    <w:jc w:val="center"/>
                    <w:rPr>
                      <w:rFonts w:ascii="仿宋" w:hAnsi="仿宋" w:eastAsia="仿宋" w:cs="仿宋"/>
                      <w:sz w:val="24"/>
                      <w:lang w:val="zh-CN"/>
                    </w:rPr>
                  </w:pPr>
                  <w:r>
                    <w:rPr>
                      <w:rFonts w:hint="eastAsia" w:ascii="仿宋" w:hAnsi="仿宋" w:eastAsia="仿宋" w:cs="仿宋"/>
                      <w:sz w:val="24"/>
                    </w:rPr>
                    <w:t>系统功能</w:t>
                  </w:r>
                </w:p>
              </w:tc>
              <w:tc>
                <w:tcPr>
                  <w:tcW w:w="6568" w:type="dxa"/>
                  <w:shd w:val="clear" w:color="auto" w:fill="auto"/>
                  <w:vAlign w:val="center"/>
                </w:tcPr>
                <w:p>
                  <w:pPr>
                    <w:wordWrap w:val="0"/>
                    <w:spacing w:line="380" w:lineRule="exact"/>
                    <w:ind w:firstLine="482"/>
                    <w:jc w:val="center"/>
                    <w:rPr>
                      <w:rFonts w:ascii="仿宋" w:hAnsi="仿宋" w:eastAsia="仿宋" w:cs="仿宋"/>
                      <w:sz w:val="24"/>
                      <w:lang w:val="zh-CN"/>
                    </w:rPr>
                  </w:pPr>
                  <w:r>
                    <w:rPr>
                      <w:rFonts w:hint="eastAsia" w:ascii="仿宋" w:hAnsi="仿宋" w:eastAsia="仿宋" w:cs="仿宋"/>
                      <w:sz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9" w:hRule="atLeast"/>
              </w:trPr>
              <w:tc>
                <w:tcPr>
                  <w:tcW w:w="462" w:type="dxa"/>
                  <w:shd w:val="clear" w:color="auto" w:fill="auto"/>
                  <w:vAlign w:val="center"/>
                </w:tcPr>
                <w:p>
                  <w:pPr>
                    <w:pStyle w:val="2"/>
                    <w:wordWrap w:val="0"/>
                    <w:jc w:val="center"/>
                    <w:rPr>
                      <w:rFonts w:ascii="仿宋" w:hAnsi="仿宋" w:eastAsia="仿宋" w:cs="仿宋"/>
                    </w:rPr>
                  </w:pPr>
                  <w:r>
                    <w:rPr>
                      <w:rFonts w:hint="eastAsia" w:ascii="仿宋" w:hAnsi="仿宋" w:eastAsia="仿宋" w:cs="仿宋"/>
                    </w:rPr>
                    <w:t>1</w:t>
                  </w:r>
                </w:p>
              </w:tc>
              <w:tc>
                <w:tcPr>
                  <w:tcW w:w="1050" w:type="dxa"/>
                  <w:shd w:val="clear" w:color="auto" w:fill="auto"/>
                  <w:vAlign w:val="center"/>
                </w:tcPr>
                <w:p>
                  <w:pPr>
                    <w:numPr>
                      <w:ilvl w:val="0"/>
                      <w:numId w:val="5"/>
                    </w:numPr>
                    <w:wordWrap w:val="0"/>
                    <w:spacing w:line="380" w:lineRule="exact"/>
                    <w:ind w:left="0"/>
                    <w:jc w:val="center"/>
                    <w:rPr>
                      <w:rFonts w:ascii="仿宋" w:hAnsi="仿宋" w:eastAsia="仿宋" w:cs="仿宋"/>
                      <w:sz w:val="24"/>
                    </w:rPr>
                  </w:pPr>
                  <w:r>
                    <w:rPr>
                      <w:rFonts w:hint="eastAsia" w:ascii="仿宋" w:hAnsi="仿宋" w:eastAsia="仿宋" w:cs="仿宋"/>
                      <w:sz w:val="24"/>
                    </w:rPr>
                    <w:t>系统架构</w:t>
                  </w:r>
                </w:p>
              </w:tc>
              <w:tc>
                <w:tcPr>
                  <w:tcW w:w="6568" w:type="dxa"/>
                  <w:shd w:val="clear" w:color="auto" w:fill="auto"/>
                  <w:vAlign w:val="center"/>
                </w:tcPr>
                <w:p>
                  <w:pPr>
                    <w:numPr>
                      <w:ilvl w:val="0"/>
                      <w:numId w:val="5"/>
                    </w:numPr>
                    <w:wordWrap w:val="0"/>
                    <w:spacing w:line="380" w:lineRule="exact"/>
                    <w:ind w:left="0"/>
                    <w:rPr>
                      <w:rFonts w:ascii="仿宋" w:hAnsi="仿宋" w:eastAsia="仿宋" w:cs="仿宋"/>
                      <w:sz w:val="24"/>
                    </w:rPr>
                  </w:pPr>
                  <w:r>
                    <w:rPr>
                      <w:rFonts w:hint="eastAsia" w:ascii="仿宋" w:hAnsi="仿宋" w:eastAsia="仿宋" w:cs="仿宋"/>
                      <w:sz w:val="24"/>
                    </w:rPr>
                    <w:t>1. 基于Linux或Windows2008 32bit/64bit及以上。</w:t>
                  </w:r>
                </w:p>
                <w:p>
                  <w:pPr>
                    <w:numPr>
                      <w:ilvl w:val="0"/>
                      <w:numId w:val="5"/>
                    </w:numPr>
                    <w:wordWrap w:val="0"/>
                    <w:spacing w:line="380" w:lineRule="exact"/>
                    <w:ind w:left="0"/>
                    <w:rPr>
                      <w:rFonts w:ascii="仿宋" w:hAnsi="仿宋" w:eastAsia="仿宋" w:cs="仿宋"/>
                      <w:sz w:val="24"/>
                    </w:rPr>
                  </w:pPr>
                  <w:r>
                    <w:rPr>
                      <w:rFonts w:hint="eastAsia" w:ascii="仿宋" w:hAnsi="仿宋" w:eastAsia="仿宋" w:cs="仿宋"/>
                      <w:sz w:val="24"/>
                    </w:rPr>
                    <w:t>2. 采用B/S结构，不需要另行安装插件就可以支持IE10及以上版本、safari、chrome等最新主流浏览器。包括PC端在线学习平台和所有模块的后台管理系统。</w:t>
                  </w:r>
                </w:p>
                <w:p>
                  <w:pPr>
                    <w:numPr>
                      <w:ilvl w:val="0"/>
                      <w:numId w:val="5"/>
                    </w:numPr>
                    <w:wordWrap w:val="0"/>
                    <w:spacing w:line="380" w:lineRule="exact"/>
                    <w:ind w:left="0"/>
                    <w:rPr>
                      <w:rFonts w:ascii="仿宋" w:hAnsi="仿宋" w:eastAsia="仿宋" w:cs="仿宋"/>
                      <w:sz w:val="24"/>
                    </w:rPr>
                  </w:pPr>
                  <w:r>
                    <w:rPr>
                      <w:rFonts w:hint="eastAsia" w:ascii="仿宋" w:hAnsi="仿宋" w:eastAsia="仿宋" w:cs="仿宋"/>
                      <w:sz w:val="24"/>
                    </w:rPr>
                    <w:t>3. 数据库采用常见大型主流数据库MS SQLServer、MySql、MongoDB、Redis等关系型和非关系型数据库系统，并搭建有负载均衡和高可用性能力的数据库集群系统；支持微服务分布式集群布署方案。</w:t>
                  </w:r>
                </w:p>
                <w:p>
                  <w:pPr>
                    <w:numPr>
                      <w:ilvl w:val="0"/>
                      <w:numId w:val="5"/>
                    </w:numPr>
                    <w:wordWrap w:val="0"/>
                    <w:spacing w:line="380" w:lineRule="exact"/>
                    <w:ind w:left="0"/>
                    <w:rPr>
                      <w:rFonts w:ascii="仿宋" w:hAnsi="仿宋" w:eastAsia="仿宋" w:cs="仿宋"/>
                      <w:sz w:val="24"/>
                    </w:rPr>
                  </w:pPr>
                  <w:r>
                    <w:rPr>
                      <w:rFonts w:hint="eastAsia" w:ascii="仿宋" w:hAnsi="仿宋" w:eastAsia="仿宋" w:cs="仿宋"/>
                      <w:sz w:val="24"/>
                    </w:rPr>
                    <w:t>4. 必须是投标人成熟、稳定的系统版本。</w:t>
                  </w:r>
                </w:p>
                <w:p>
                  <w:pPr>
                    <w:numPr>
                      <w:ilvl w:val="0"/>
                      <w:numId w:val="5"/>
                    </w:numPr>
                    <w:wordWrap w:val="0"/>
                    <w:spacing w:line="380" w:lineRule="exact"/>
                    <w:ind w:left="0"/>
                    <w:rPr>
                      <w:rFonts w:ascii="仿宋" w:hAnsi="仿宋" w:eastAsia="仿宋" w:cs="仿宋"/>
                      <w:sz w:val="24"/>
                      <w:lang w:val="zh-CN"/>
                    </w:rPr>
                  </w:pPr>
                  <w:r>
                    <w:rPr>
                      <w:rFonts w:hint="eastAsia" w:ascii="仿宋" w:hAnsi="仿宋" w:eastAsia="仿宋" w:cs="仿宋"/>
                      <w:sz w:val="24"/>
                    </w:rPr>
                    <w:t>5. 要求集群部署方案。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trPr>
              <w:tc>
                <w:tcPr>
                  <w:tcW w:w="462" w:type="dxa"/>
                  <w:shd w:val="clear" w:color="auto" w:fill="auto"/>
                  <w:vAlign w:val="center"/>
                </w:tcPr>
                <w:p>
                  <w:pPr>
                    <w:pStyle w:val="2"/>
                    <w:wordWrap w:val="0"/>
                    <w:jc w:val="center"/>
                    <w:rPr>
                      <w:rFonts w:ascii="仿宋" w:hAnsi="仿宋" w:eastAsia="仿宋" w:cs="仿宋"/>
                    </w:rPr>
                  </w:pPr>
                  <w:r>
                    <w:rPr>
                      <w:rFonts w:hint="eastAsia" w:ascii="仿宋" w:hAnsi="仿宋" w:eastAsia="仿宋" w:cs="仿宋"/>
                    </w:rPr>
                    <w:t>2</w:t>
                  </w:r>
                </w:p>
              </w:tc>
              <w:tc>
                <w:tcPr>
                  <w:tcW w:w="1050" w:type="dxa"/>
                  <w:shd w:val="clear" w:color="auto" w:fill="auto"/>
                  <w:vAlign w:val="center"/>
                </w:tcPr>
                <w:p>
                  <w:pPr>
                    <w:numPr>
                      <w:ilvl w:val="0"/>
                      <w:numId w:val="5"/>
                    </w:numPr>
                    <w:wordWrap w:val="0"/>
                    <w:spacing w:line="380" w:lineRule="exact"/>
                    <w:ind w:left="0"/>
                    <w:jc w:val="center"/>
                    <w:rPr>
                      <w:rFonts w:ascii="仿宋" w:hAnsi="仿宋" w:eastAsia="仿宋" w:cs="仿宋"/>
                      <w:sz w:val="24"/>
                    </w:rPr>
                  </w:pPr>
                  <w:r>
                    <w:rPr>
                      <w:rFonts w:hint="eastAsia" w:ascii="仿宋" w:hAnsi="仿宋" w:eastAsia="仿宋" w:cs="仿宋"/>
                      <w:sz w:val="24"/>
                    </w:rPr>
                    <w:t>应用服务器</w:t>
                  </w:r>
                </w:p>
              </w:tc>
              <w:tc>
                <w:tcPr>
                  <w:tcW w:w="6568" w:type="dxa"/>
                  <w:shd w:val="clear" w:color="auto" w:fill="auto"/>
                  <w:vAlign w:val="center"/>
                </w:tcPr>
                <w:p>
                  <w:pPr>
                    <w:numPr>
                      <w:ilvl w:val="0"/>
                      <w:numId w:val="5"/>
                    </w:numPr>
                    <w:wordWrap w:val="0"/>
                    <w:spacing w:line="380" w:lineRule="exact"/>
                    <w:ind w:left="0"/>
                    <w:rPr>
                      <w:rFonts w:ascii="仿宋" w:hAnsi="仿宋" w:eastAsia="仿宋" w:cs="仿宋"/>
                      <w:sz w:val="24"/>
                    </w:rPr>
                  </w:pPr>
                  <w:bookmarkStart w:id="57" w:name="OLE_LINK96"/>
                  <w:bookmarkStart w:id="58" w:name="OLE_LINK95"/>
                  <w:r>
                    <w:rPr>
                      <w:rFonts w:hint="eastAsia" w:ascii="仿宋" w:hAnsi="仿宋" w:eastAsia="仿宋" w:cs="仿宋"/>
                      <w:sz w:val="24"/>
                    </w:rPr>
                    <w:t>应用服务使用主流Web应用服务器如Tomcat最新稳定版本，以及其他主流服务容器如Docker等。</w:t>
                  </w:r>
                  <w:bookmarkEnd w:id="57"/>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trPr>
              <w:tc>
                <w:tcPr>
                  <w:tcW w:w="462" w:type="dxa"/>
                  <w:shd w:val="clear" w:color="auto" w:fill="auto"/>
                  <w:vAlign w:val="center"/>
                </w:tcPr>
                <w:p>
                  <w:pPr>
                    <w:pStyle w:val="2"/>
                    <w:wordWrap w:val="0"/>
                    <w:jc w:val="center"/>
                    <w:rPr>
                      <w:rFonts w:ascii="仿宋" w:hAnsi="仿宋" w:eastAsia="仿宋" w:cs="仿宋"/>
                    </w:rPr>
                  </w:pPr>
                  <w:r>
                    <w:rPr>
                      <w:rFonts w:hint="eastAsia" w:ascii="仿宋" w:hAnsi="仿宋" w:eastAsia="仿宋" w:cs="仿宋"/>
                    </w:rPr>
                    <w:t>3</w:t>
                  </w:r>
                </w:p>
              </w:tc>
              <w:tc>
                <w:tcPr>
                  <w:tcW w:w="1050" w:type="dxa"/>
                  <w:shd w:val="clear" w:color="auto" w:fill="auto"/>
                  <w:vAlign w:val="center"/>
                </w:tcPr>
                <w:p>
                  <w:pPr>
                    <w:numPr>
                      <w:ilvl w:val="0"/>
                      <w:numId w:val="5"/>
                    </w:numPr>
                    <w:wordWrap w:val="0"/>
                    <w:spacing w:line="380" w:lineRule="exact"/>
                    <w:ind w:left="0"/>
                    <w:jc w:val="center"/>
                    <w:rPr>
                      <w:rFonts w:ascii="仿宋" w:hAnsi="仿宋" w:eastAsia="仿宋" w:cs="仿宋"/>
                      <w:sz w:val="24"/>
                    </w:rPr>
                  </w:pPr>
                  <w:r>
                    <w:rPr>
                      <w:rFonts w:hint="eastAsia" w:ascii="仿宋" w:hAnsi="仿宋" w:eastAsia="仿宋" w:cs="仿宋"/>
                      <w:sz w:val="24"/>
                    </w:rPr>
                    <w:t>第三方产品</w:t>
                  </w:r>
                </w:p>
              </w:tc>
              <w:tc>
                <w:tcPr>
                  <w:tcW w:w="6568" w:type="dxa"/>
                  <w:shd w:val="clear" w:color="auto" w:fill="auto"/>
                  <w:vAlign w:val="center"/>
                </w:tcPr>
                <w:p>
                  <w:pPr>
                    <w:numPr>
                      <w:ilvl w:val="0"/>
                      <w:numId w:val="5"/>
                    </w:numPr>
                    <w:wordWrap w:val="0"/>
                    <w:spacing w:line="380" w:lineRule="exact"/>
                    <w:ind w:left="0"/>
                    <w:rPr>
                      <w:rFonts w:ascii="仿宋" w:hAnsi="仿宋" w:eastAsia="仿宋" w:cs="仿宋"/>
                      <w:sz w:val="24"/>
                    </w:rPr>
                  </w:pPr>
                  <w:r>
                    <w:rPr>
                      <w:rFonts w:hint="eastAsia" w:ascii="仿宋" w:hAnsi="仿宋" w:eastAsia="仿宋" w:cs="仿宋"/>
                      <w:sz w:val="24"/>
                    </w:rPr>
                    <w:t>投标人应提出系统运行所需要的硬件配置、第三方软件配置方案。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trPr>
              <w:tc>
                <w:tcPr>
                  <w:tcW w:w="462" w:type="dxa"/>
                  <w:shd w:val="clear" w:color="auto" w:fill="auto"/>
                  <w:vAlign w:val="center"/>
                </w:tcPr>
                <w:p>
                  <w:pPr>
                    <w:pStyle w:val="2"/>
                    <w:wordWrap w:val="0"/>
                    <w:jc w:val="center"/>
                    <w:rPr>
                      <w:rFonts w:ascii="仿宋" w:hAnsi="仿宋" w:eastAsia="仿宋" w:cs="仿宋"/>
                    </w:rPr>
                  </w:pPr>
                  <w:r>
                    <w:rPr>
                      <w:rFonts w:hint="eastAsia" w:ascii="仿宋" w:hAnsi="仿宋" w:eastAsia="仿宋" w:cs="仿宋"/>
                    </w:rPr>
                    <w:t>4</w:t>
                  </w:r>
                </w:p>
              </w:tc>
              <w:tc>
                <w:tcPr>
                  <w:tcW w:w="1050" w:type="dxa"/>
                  <w:shd w:val="clear" w:color="auto" w:fill="auto"/>
                  <w:vAlign w:val="center"/>
                </w:tcPr>
                <w:p>
                  <w:pPr>
                    <w:numPr>
                      <w:ilvl w:val="0"/>
                      <w:numId w:val="5"/>
                    </w:numPr>
                    <w:wordWrap w:val="0"/>
                    <w:spacing w:line="380" w:lineRule="exact"/>
                    <w:ind w:left="0"/>
                    <w:rPr>
                      <w:rFonts w:ascii="仿宋" w:hAnsi="仿宋" w:eastAsia="仿宋" w:cs="仿宋"/>
                      <w:sz w:val="24"/>
                    </w:rPr>
                  </w:pPr>
                  <w:r>
                    <w:rPr>
                      <w:rFonts w:hint="eastAsia" w:ascii="仿宋" w:hAnsi="仿宋" w:eastAsia="仿宋" w:cs="仿宋"/>
                      <w:sz w:val="24"/>
                    </w:rPr>
                    <w:t>扩展性要求</w:t>
                  </w:r>
                </w:p>
              </w:tc>
              <w:tc>
                <w:tcPr>
                  <w:tcW w:w="6568" w:type="dxa"/>
                  <w:shd w:val="clear" w:color="auto" w:fill="auto"/>
                  <w:vAlign w:val="center"/>
                </w:tcPr>
                <w:p>
                  <w:pPr>
                    <w:numPr>
                      <w:ilvl w:val="0"/>
                      <w:numId w:val="5"/>
                    </w:numPr>
                    <w:wordWrap w:val="0"/>
                    <w:spacing w:line="380" w:lineRule="exact"/>
                    <w:ind w:left="0"/>
                    <w:rPr>
                      <w:rFonts w:ascii="仿宋" w:hAnsi="仿宋" w:eastAsia="仿宋" w:cs="仿宋"/>
                      <w:sz w:val="24"/>
                    </w:rPr>
                  </w:pPr>
                  <w:r>
                    <w:rPr>
                      <w:rFonts w:hint="eastAsia" w:ascii="仿宋" w:hAnsi="仿宋" w:eastAsia="仿宋" w:cs="仿宋"/>
                      <w:sz w:val="24"/>
                    </w:rPr>
                    <w:t>系统应具有良好的扩展性，必须提供统一的系统版本。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1" w:hRule="atLeast"/>
              </w:trPr>
              <w:tc>
                <w:tcPr>
                  <w:tcW w:w="462" w:type="dxa"/>
                  <w:shd w:val="clear" w:color="auto" w:fill="auto"/>
                  <w:vAlign w:val="center"/>
                </w:tcPr>
                <w:p>
                  <w:pPr>
                    <w:pStyle w:val="2"/>
                    <w:wordWrap w:val="0"/>
                    <w:jc w:val="center"/>
                    <w:rPr>
                      <w:rFonts w:ascii="仿宋" w:hAnsi="仿宋" w:eastAsia="仿宋" w:cs="仿宋"/>
                    </w:rPr>
                  </w:pPr>
                  <w:r>
                    <w:rPr>
                      <w:rFonts w:hint="eastAsia" w:ascii="仿宋" w:hAnsi="仿宋" w:eastAsia="仿宋" w:cs="仿宋"/>
                    </w:rPr>
                    <w:t>5</w:t>
                  </w:r>
                </w:p>
              </w:tc>
              <w:tc>
                <w:tcPr>
                  <w:tcW w:w="1050" w:type="dxa"/>
                  <w:shd w:val="clear" w:color="auto" w:fill="auto"/>
                  <w:vAlign w:val="center"/>
                </w:tcPr>
                <w:p>
                  <w:pPr>
                    <w:wordWrap w:val="0"/>
                    <w:spacing w:line="380" w:lineRule="exact"/>
                    <w:jc w:val="center"/>
                    <w:rPr>
                      <w:rFonts w:ascii="仿宋" w:hAnsi="仿宋" w:eastAsia="仿宋" w:cs="仿宋"/>
                      <w:sz w:val="24"/>
                      <w:lang w:val="zh-CN"/>
                    </w:rPr>
                  </w:pPr>
                  <w:r>
                    <w:rPr>
                      <w:rFonts w:hint="eastAsia" w:ascii="仿宋" w:hAnsi="仿宋" w:eastAsia="仿宋" w:cs="仿宋"/>
                      <w:sz w:val="24"/>
                    </w:rPr>
                    <w:t>安全性</w:t>
                  </w:r>
                </w:p>
              </w:tc>
              <w:tc>
                <w:tcPr>
                  <w:tcW w:w="6568" w:type="dxa"/>
                  <w:shd w:val="clear" w:color="auto" w:fill="auto"/>
                  <w:vAlign w:val="center"/>
                </w:tcPr>
                <w:p>
                  <w:pPr>
                    <w:numPr>
                      <w:ilvl w:val="0"/>
                      <w:numId w:val="5"/>
                    </w:numPr>
                    <w:wordWrap w:val="0"/>
                    <w:spacing w:line="380" w:lineRule="exact"/>
                    <w:ind w:left="0"/>
                    <w:rPr>
                      <w:rFonts w:ascii="仿宋" w:hAnsi="仿宋" w:eastAsia="仿宋" w:cs="仿宋"/>
                      <w:sz w:val="24"/>
                    </w:rPr>
                  </w:pPr>
                  <w:r>
                    <w:rPr>
                      <w:rFonts w:hint="eastAsia" w:ascii="仿宋" w:hAnsi="仿宋" w:eastAsia="仿宋" w:cs="仿宋"/>
                      <w:sz w:val="24"/>
                    </w:rPr>
                    <w:t>1. 系统应提供系统数据与应用安全的解决方案。</w:t>
                  </w:r>
                </w:p>
                <w:p>
                  <w:pPr>
                    <w:numPr>
                      <w:ilvl w:val="0"/>
                      <w:numId w:val="5"/>
                    </w:numPr>
                    <w:wordWrap w:val="0"/>
                    <w:spacing w:line="380" w:lineRule="exact"/>
                    <w:ind w:left="0"/>
                    <w:rPr>
                      <w:rFonts w:ascii="仿宋" w:hAnsi="仿宋" w:eastAsia="仿宋" w:cs="仿宋"/>
                      <w:sz w:val="24"/>
                    </w:rPr>
                  </w:pPr>
                  <w:r>
                    <w:rPr>
                      <w:rFonts w:hint="eastAsia" w:ascii="仿宋" w:hAnsi="仿宋" w:eastAsia="仿宋" w:cs="仿宋"/>
                      <w:sz w:val="24"/>
                    </w:rPr>
                    <w:t>2. 平台应在采购方读写数据时强制执行适当级别的安全保护。访问控制列表定义可以访问数据或其包含用户、组和角色，及其可以执行的操作。可以加密存储库文件存储区中的敏感信息。</w:t>
                  </w:r>
                </w:p>
                <w:p>
                  <w:pPr>
                    <w:numPr>
                      <w:ilvl w:val="0"/>
                      <w:numId w:val="5"/>
                    </w:numPr>
                    <w:wordWrap w:val="0"/>
                    <w:spacing w:line="380" w:lineRule="exact"/>
                    <w:ind w:left="0"/>
                    <w:rPr>
                      <w:rFonts w:ascii="仿宋" w:hAnsi="仿宋" w:eastAsia="仿宋" w:cs="仿宋"/>
                      <w:sz w:val="24"/>
                    </w:rPr>
                  </w:pPr>
                  <w:r>
                    <w:rPr>
                      <w:rFonts w:hint="eastAsia" w:ascii="仿宋" w:hAnsi="仿宋" w:eastAsia="仿宋" w:cs="仿宋"/>
                      <w:sz w:val="24"/>
                    </w:rPr>
                    <w:t>3. 具有完备的备份机制，提供数据备份与还原手段（需提供第三方检测机构出具的检测报告），提供各级数据备份，实现每天的数据备份，包括手动备份和自动备份、数据库备份和单表备份。</w:t>
                  </w:r>
                </w:p>
                <w:p>
                  <w:pPr>
                    <w:numPr>
                      <w:ilvl w:val="0"/>
                      <w:numId w:val="5"/>
                    </w:numPr>
                    <w:wordWrap w:val="0"/>
                    <w:spacing w:line="380" w:lineRule="exact"/>
                    <w:ind w:left="0"/>
                    <w:rPr>
                      <w:rFonts w:ascii="仿宋" w:hAnsi="仿宋" w:eastAsia="仿宋" w:cs="仿宋"/>
                      <w:sz w:val="24"/>
                      <w:lang w:val="zh-CN"/>
                    </w:rPr>
                  </w:pPr>
                  <w:r>
                    <w:rPr>
                      <w:rFonts w:hint="eastAsia" w:ascii="仿宋" w:hAnsi="仿宋" w:eastAsia="仿宋" w:cs="仿宋"/>
                      <w:sz w:val="24"/>
                    </w:rPr>
                    <w:t>4. 提供监控平台,7 x 24小时监控平台运行状况,与各性能指标。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trPr>
              <w:tc>
                <w:tcPr>
                  <w:tcW w:w="462" w:type="dxa"/>
                  <w:shd w:val="clear" w:color="auto" w:fill="auto"/>
                  <w:vAlign w:val="center"/>
                </w:tcPr>
                <w:p>
                  <w:pPr>
                    <w:pStyle w:val="2"/>
                    <w:wordWrap w:val="0"/>
                    <w:jc w:val="center"/>
                    <w:rPr>
                      <w:rFonts w:ascii="仿宋" w:hAnsi="仿宋" w:eastAsia="仿宋" w:cs="仿宋"/>
                    </w:rPr>
                  </w:pPr>
                  <w:r>
                    <w:rPr>
                      <w:rFonts w:hint="eastAsia" w:ascii="仿宋" w:hAnsi="仿宋" w:eastAsia="仿宋" w:cs="仿宋"/>
                    </w:rPr>
                    <w:t>6</w:t>
                  </w:r>
                </w:p>
              </w:tc>
              <w:tc>
                <w:tcPr>
                  <w:tcW w:w="1050" w:type="dxa"/>
                  <w:shd w:val="clear" w:color="auto" w:fill="auto"/>
                  <w:vAlign w:val="center"/>
                </w:tcPr>
                <w:p>
                  <w:pPr>
                    <w:wordWrap w:val="0"/>
                    <w:spacing w:line="380" w:lineRule="exact"/>
                    <w:jc w:val="center"/>
                    <w:rPr>
                      <w:rFonts w:ascii="仿宋" w:hAnsi="仿宋" w:eastAsia="仿宋" w:cs="仿宋"/>
                      <w:sz w:val="24"/>
                      <w:lang w:val="zh-CN"/>
                    </w:rPr>
                  </w:pPr>
                  <w:r>
                    <w:rPr>
                      <w:rFonts w:hint="eastAsia" w:ascii="仿宋" w:hAnsi="仿宋" w:eastAsia="仿宋" w:cs="仿宋"/>
                      <w:sz w:val="24"/>
                    </w:rPr>
                    <w:t>数据输出要求</w:t>
                  </w:r>
                </w:p>
              </w:tc>
              <w:tc>
                <w:tcPr>
                  <w:tcW w:w="6568" w:type="dxa"/>
                  <w:shd w:val="clear" w:color="auto" w:fill="auto"/>
                  <w:vAlign w:val="center"/>
                </w:tcPr>
                <w:p>
                  <w:pPr>
                    <w:numPr>
                      <w:ilvl w:val="0"/>
                      <w:numId w:val="5"/>
                    </w:numPr>
                    <w:wordWrap w:val="0"/>
                    <w:spacing w:line="380" w:lineRule="exact"/>
                    <w:ind w:left="0"/>
                    <w:rPr>
                      <w:rFonts w:ascii="仿宋" w:hAnsi="仿宋" w:eastAsia="仿宋" w:cs="仿宋"/>
                      <w:sz w:val="24"/>
                      <w:lang w:val="zh-CN"/>
                    </w:rPr>
                  </w:pPr>
                  <w:r>
                    <w:rPr>
                      <w:rFonts w:hint="eastAsia" w:ascii="仿宋" w:hAnsi="仿宋" w:eastAsia="仿宋" w:cs="仿宋"/>
                      <w:sz w:val="24"/>
                    </w:rPr>
                    <w:t>系统除提供多种格式规范的业务报表并可导出打印之外，还应该提供常用上报数据的导出功能，支持在线打印功能。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trPr>
              <w:tc>
                <w:tcPr>
                  <w:tcW w:w="462" w:type="dxa"/>
                  <w:shd w:val="clear" w:color="auto" w:fill="auto"/>
                  <w:vAlign w:val="center"/>
                </w:tcPr>
                <w:p>
                  <w:pPr>
                    <w:pStyle w:val="2"/>
                    <w:wordWrap w:val="0"/>
                    <w:jc w:val="center"/>
                    <w:rPr>
                      <w:rFonts w:ascii="仿宋" w:hAnsi="仿宋" w:eastAsia="仿宋" w:cs="仿宋"/>
                    </w:rPr>
                  </w:pPr>
                  <w:r>
                    <w:rPr>
                      <w:rFonts w:hint="eastAsia" w:ascii="仿宋" w:hAnsi="仿宋" w:eastAsia="仿宋" w:cs="仿宋"/>
                    </w:rPr>
                    <w:t>7</w:t>
                  </w:r>
                </w:p>
              </w:tc>
              <w:tc>
                <w:tcPr>
                  <w:tcW w:w="1050" w:type="dxa"/>
                  <w:shd w:val="clear" w:color="auto" w:fill="auto"/>
                  <w:vAlign w:val="center"/>
                </w:tcPr>
                <w:p>
                  <w:pPr>
                    <w:wordWrap w:val="0"/>
                    <w:spacing w:line="380" w:lineRule="exact"/>
                    <w:jc w:val="center"/>
                    <w:rPr>
                      <w:rFonts w:ascii="仿宋" w:hAnsi="仿宋" w:eastAsia="仿宋" w:cs="仿宋"/>
                      <w:sz w:val="24"/>
                      <w:lang w:val="zh-CN"/>
                    </w:rPr>
                  </w:pPr>
                  <w:r>
                    <w:rPr>
                      <w:rFonts w:hint="eastAsia" w:ascii="仿宋" w:hAnsi="仿宋" w:eastAsia="仿宋" w:cs="仿宋"/>
                      <w:sz w:val="24"/>
                    </w:rPr>
                    <w:t>系统管理</w:t>
                  </w:r>
                </w:p>
              </w:tc>
              <w:tc>
                <w:tcPr>
                  <w:tcW w:w="6568" w:type="dxa"/>
                  <w:shd w:val="clear" w:color="auto" w:fill="auto"/>
                  <w:vAlign w:val="center"/>
                </w:tcPr>
                <w:p>
                  <w:pPr>
                    <w:numPr>
                      <w:ilvl w:val="0"/>
                      <w:numId w:val="5"/>
                    </w:numPr>
                    <w:wordWrap w:val="0"/>
                    <w:spacing w:line="380" w:lineRule="exact"/>
                    <w:ind w:left="0"/>
                    <w:rPr>
                      <w:rFonts w:ascii="仿宋" w:hAnsi="仿宋" w:eastAsia="仿宋" w:cs="仿宋"/>
                      <w:sz w:val="24"/>
                      <w:lang w:val="zh-CN"/>
                    </w:rPr>
                  </w:pPr>
                  <w:r>
                    <w:rPr>
                      <w:rFonts w:hint="eastAsia" w:ascii="仿宋" w:hAnsi="仿宋" w:eastAsia="仿宋" w:cs="仿宋"/>
                      <w:sz w:val="24"/>
                    </w:rPr>
                    <w:t>具备系统管理员维护功能，包括数据字典、控制参数、权限维护、数据库维护、数据导入、数据更新、数据备份恢复、操作日志、系统更新日志。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462" w:type="dxa"/>
                  <w:shd w:val="clear" w:color="auto" w:fill="auto"/>
                  <w:vAlign w:val="center"/>
                </w:tcPr>
                <w:p>
                  <w:pPr>
                    <w:pStyle w:val="2"/>
                    <w:wordWrap w:val="0"/>
                    <w:jc w:val="center"/>
                    <w:rPr>
                      <w:rFonts w:ascii="仿宋" w:hAnsi="仿宋" w:eastAsia="仿宋" w:cs="仿宋"/>
                    </w:rPr>
                  </w:pPr>
                  <w:r>
                    <w:rPr>
                      <w:rFonts w:hint="eastAsia" w:ascii="仿宋" w:hAnsi="仿宋" w:eastAsia="仿宋" w:cs="仿宋"/>
                    </w:rPr>
                    <w:t>8</w:t>
                  </w:r>
                </w:p>
              </w:tc>
              <w:tc>
                <w:tcPr>
                  <w:tcW w:w="1050" w:type="dxa"/>
                  <w:shd w:val="clear" w:color="auto" w:fill="auto"/>
                  <w:vAlign w:val="center"/>
                </w:tcPr>
                <w:p>
                  <w:pPr>
                    <w:numPr>
                      <w:ilvl w:val="0"/>
                      <w:numId w:val="5"/>
                    </w:numPr>
                    <w:wordWrap w:val="0"/>
                    <w:spacing w:line="380" w:lineRule="exact"/>
                    <w:ind w:left="0"/>
                    <w:jc w:val="center"/>
                    <w:rPr>
                      <w:rFonts w:ascii="仿宋" w:hAnsi="仿宋" w:eastAsia="仿宋" w:cs="仿宋"/>
                      <w:sz w:val="24"/>
                    </w:rPr>
                  </w:pPr>
                  <w:r>
                    <w:rPr>
                      <w:rFonts w:hint="eastAsia" w:ascii="仿宋" w:hAnsi="仿宋" w:eastAsia="仿宋" w:cs="仿宋"/>
                      <w:sz w:val="24"/>
                    </w:rPr>
                    <w:t>用户数</w:t>
                  </w:r>
                </w:p>
              </w:tc>
              <w:tc>
                <w:tcPr>
                  <w:tcW w:w="6568" w:type="dxa"/>
                  <w:shd w:val="clear" w:color="auto" w:fill="auto"/>
                  <w:vAlign w:val="center"/>
                </w:tcPr>
                <w:p>
                  <w:pPr>
                    <w:numPr>
                      <w:ilvl w:val="0"/>
                      <w:numId w:val="5"/>
                    </w:numPr>
                    <w:wordWrap w:val="0"/>
                    <w:spacing w:line="380" w:lineRule="exact"/>
                    <w:ind w:left="0"/>
                    <w:rPr>
                      <w:rFonts w:ascii="仿宋" w:hAnsi="仿宋" w:eastAsia="仿宋" w:cs="仿宋"/>
                      <w:sz w:val="24"/>
                    </w:rPr>
                  </w:pPr>
                  <w:r>
                    <w:rPr>
                      <w:rFonts w:hint="eastAsia" w:ascii="仿宋" w:hAnsi="仿宋" w:eastAsia="仿宋" w:cs="仿宋"/>
                      <w:sz w:val="24"/>
                    </w:rPr>
                    <w:t>满足采购方管理平台≥20万注册用户，同时在线人数≥100000人，同时在线视频用户≥20000人。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9" w:hRule="atLeast"/>
              </w:trPr>
              <w:tc>
                <w:tcPr>
                  <w:tcW w:w="462" w:type="dxa"/>
                  <w:shd w:val="clear" w:color="auto" w:fill="auto"/>
                  <w:vAlign w:val="center"/>
                </w:tcPr>
                <w:p>
                  <w:pPr>
                    <w:pStyle w:val="2"/>
                    <w:wordWrap w:val="0"/>
                    <w:jc w:val="center"/>
                    <w:rPr>
                      <w:rFonts w:ascii="仿宋" w:hAnsi="仿宋" w:eastAsia="仿宋" w:cs="仿宋"/>
                    </w:rPr>
                  </w:pPr>
                  <w:r>
                    <w:rPr>
                      <w:rFonts w:hint="eastAsia" w:ascii="仿宋" w:hAnsi="仿宋" w:eastAsia="仿宋" w:cs="仿宋"/>
                    </w:rPr>
                    <w:t>9</w:t>
                  </w:r>
                </w:p>
              </w:tc>
              <w:tc>
                <w:tcPr>
                  <w:tcW w:w="1050" w:type="dxa"/>
                  <w:shd w:val="clear" w:color="auto" w:fill="auto"/>
                  <w:vAlign w:val="center"/>
                </w:tcPr>
                <w:p>
                  <w:pPr>
                    <w:wordWrap w:val="0"/>
                    <w:spacing w:line="380" w:lineRule="exact"/>
                    <w:jc w:val="center"/>
                    <w:rPr>
                      <w:rFonts w:ascii="仿宋" w:hAnsi="仿宋" w:eastAsia="仿宋" w:cs="仿宋"/>
                      <w:sz w:val="24"/>
                      <w:lang w:val="zh-CN"/>
                    </w:rPr>
                  </w:pPr>
                  <w:r>
                    <w:rPr>
                      <w:rFonts w:hint="eastAsia" w:ascii="仿宋" w:hAnsi="仿宋" w:eastAsia="仿宋" w:cs="仿宋"/>
                      <w:sz w:val="24"/>
                    </w:rPr>
                    <w:t>兼容性</w:t>
                  </w:r>
                </w:p>
              </w:tc>
              <w:tc>
                <w:tcPr>
                  <w:tcW w:w="6568" w:type="dxa"/>
                  <w:shd w:val="clear" w:color="auto" w:fill="auto"/>
                  <w:vAlign w:val="center"/>
                </w:tcPr>
                <w:p>
                  <w:pPr>
                    <w:numPr>
                      <w:ilvl w:val="0"/>
                      <w:numId w:val="5"/>
                    </w:numPr>
                    <w:wordWrap w:val="0"/>
                    <w:spacing w:line="380" w:lineRule="exact"/>
                    <w:ind w:left="0"/>
                    <w:rPr>
                      <w:rFonts w:ascii="仿宋" w:hAnsi="仿宋" w:eastAsia="仿宋" w:cs="仿宋"/>
                      <w:sz w:val="24"/>
                    </w:rPr>
                  </w:pPr>
                  <w:r>
                    <w:rPr>
                      <w:rFonts w:hint="eastAsia" w:ascii="仿宋" w:hAnsi="仿宋" w:eastAsia="仿宋" w:cs="仿宋"/>
                      <w:sz w:val="24"/>
                    </w:rPr>
                    <w:t>1. 客户端支持Windows 7以上版本（32/64bit）系统、Linux、MacOS。</w:t>
                  </w:r>
                </w:p>
                <w:p>
                  <w:pPr>
                    <w:numPr>
                      <w:ilvl w:val="0"/>
                      <w:numId w:val="5"/>
                    </w:numPr>
                    <w:wordWrap w:val="0"/>
                    <w:spacing w:line="380" w:lineRule="exact"/>
                    <w:ind w:left="0"/>
                    <w:rPr>
                      <w:rFonts w:ascii="仿宋" w:hAnsi="仿宋" w:eastAsia="仿宋" w:cs="仿宋"/>
                      <w:sz w:val="24"/>
                    </w:rPr>
                  </w:pPr>
                  <w:r>
                    <w:rPr>
                      <w:rFonts w:hint="eastAsia" w:ascii="仿宋" w:hAnsi="仿宋" w:eastAsia="仿宋" w:cs="仿宋"/>
                      <w:sz w:val="24"/>
                    </w:rPr>
                    <w:t>2. 采用类似AJAX技术，提供更舒适的浏览体验。</w:t>
                  </w:r>
                </w:p>
                <w:p>
                  <w:pPr>
                    <w:numPr>
                      <w:ilvl w:val="0"/>
                      <w:numId w:val="5"/>
                    </w:numPr>
                    <w:wordWrap w:val="0"/>
                    <w:spacing w:line="380" w:lineRule="exact"/>
                    <w:ind w:left="0"/>
                    <w:rPr>
                      <w:rFonts w:ascii="仿宋" w:hAnsi="仿宋" w:eastAsia="仿宋" w:cs="仿宋"/>
                      <w:sz w:val="24"/>
                      <w:lang w:val="zh-CN"/>
                    </w:rPr>
                  </w:pPr>
                  <w:r>
                    <w:rPr>
                      <w:rFonts w:hint="eastAsia" w:ascii="仿宋" w:hAnsi="仿宋" w:eastAsia="仿宋" w:cs="仿宋"/>
                      <w:sz w:val="24"/>
                    </w:rPr>
                    <w:t>3. 浏览器兼容谷歌，火狐，360，IE8及IE8以上版本等主流浏览器。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trPr>
              <w:tc>
                <w:tcPr>
                  <w:tcW w:w="462" w:type="dxa"/>
                  <w:shd w:val="clear" w:color="auto" w:fill="auto"/>
                  <w:vAlign w:val="center"/>
                </w:tcPr>
                <w:p>
                  <w:pPr>
                    <w:pStyle w:val="2"/>
                    <w:wordWrap w:val="0"/>
                    <w:jc w:val="center"/>
                    <w:rPr>
                      <w:rFonts w:ascii="仿宋" w:hAnsi="仿宋" w:eastAsia="仿宋" w:cs="仿宋"/>
                    </w:rPr>
                  </w:pPr>
                  <w:r>
                    <w:rPr>
                      <w:rFonts w:hint="eastAsia" w:ascii="仿宋" w:hAnsi="仿宋" w:eastAsia="仿宋" w:cs="仿宋"/>
                    </w:rPr>
                    <w:t>10</w:t>
                  </w:r>
                </w:p>
              </w:tc>
              <w:tc>
                <w:tcPr>
                  <w:tcW w:w="1050" w:type="dxa"/>
                  <w:shd w:val="clear" w:color="auto" w:fill="auto"/>
                  <w:vAlign w:val="center"/>
                </w:tcPr>
                <w:p>
                  <w:pPr>
                    <w:wordWrap w:val="0"/>
                    <w:spacing w:line="380" w:lineRule="exact"/>
                    <w:jc w:val="center"/>
                    <w:rPr>
                      <w:rFonts w:ascii="仿宋" w:hAnsi="仿宋" w:eastAsia="仿宋" w:cs="仿宋"/>
                      <w:sz w:val="24"/>
                      <w:lang w:val="zh-CN"/>
                    </w:rPr>
                  </w:pPr>
                  <w:r>
                    <w:rPr>
                      <w:rFonts w:hint="eastAsia" w:ascii="仿宋" w:hAnsi="仿宋" w:eastAsia="仿宋" w:cs="仿宋"/>
                      <w:sz w:val="24"/>
                    </w:rPr>
                    <w:t>WEB服务器</w:t>
                  </w:r>
                </w:p>
              </w:tc>
              <w:tc>
                <w:tcPr>
                  <w:tcW w:w="6568" w:type="dxa"/>
                  <w:shd w:val="clear" w:color="auto" w:fill="auto"/>
                  <w:vAlign w:val="center"/>
                </w:tcPr>
                <w:p>
                  <w:pPr>
                    <w:wordWrap w:val="0"/>
                    <w:spacing w:line="380" w:lineRule="exact"/>
                    <w:rPr>
                      <w:rFonts w:ascii="仿宋" w:hAnsi="仿宋" w:eastAsia="仿宋" w:cs="仿宋"/>
                      <w:sz w:val="24"/>
                      <w:lang w:val="zh-CN"/>
                    </w:rPr>
                  </w:pPr>
                  <w:r>
                    <w:rPr>
                      <w:rFonts w:hint="eastAsia" w:ascii="仿宋" w:hAnsi="仿宋" w:eastAsia="仿宋" w:cs="仿宋"/>
                      <w:sz w:val="24"/>
                    </w:rPr>
                    <w:t>采用主流Web服务器部署如Tomcat、Jboss、Weblogic、IIS等。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462" w:type="dxa"/>
                  <w:shd w:val="clear" w:color="auto" w:fill="auto"/>
                  <w:vAlign w:val="center"/>
                </w:tcPr>
                <w:p>
                  <w:pPr>
                    <w:pStyle w:val="2"/>
                    <w:wordWrap w:val="0"/>
                    <w:jc w:val="center"/>
                    <w:rPr>
                      <w:rFonts w:ascii="仿宋" w:hAnsi="仿宋" w:eastAsia="仿宋" w:cs="仿宋"/>
                    </w:rPr>
                  </w:pPr>
                  <w:r>
                    <w:rPr>
                      <w:rFonts w:hint="eastAsia" w:ascii="仿宋" w:hAnsi="仿宋" w:eastAsia="仿宋" w:cs="仿宋"/>
                    </w:rPr>
                    <w:t>11</w:t>
                  </w:r>
                </w:p>
              </w:tc>
              <w:tc>
                <w:tcPr>
                  <w:tcW w:w="1050" w:type="dxa"/>
                  <w:shd w:val="clear" w:color="auto" w:fill="auto"/>
                  <w:vAlign w:val="center"/>
                </w:tcPr>
                <w:p>
                  <w:pPr>
                    <w:wordWrap w:val="0"/>
                    <w:spacing w:line="380" w:lineRule="exact"/>
                    <w:jc w:val="center"/>
                    <w:rPr>
                      <w:rFonts w:ascii="仿宋" w:hAnsi="仿宋" w:eastAsia="仿宋" w:cs="仿宋"/>
                      <w:sz w:val="24"/>
                      <w:lang w:val="zh-CN"/>
                    </w:rPr>
                  </w:pPr>
                  <w:r>
                    <w:rPr>
                      <w:rFonts w:hint="eastAsia" w:ascii="仿宋" w:hAnsi="仿宋" w:eastAsia="仿宋" w:cs="仿宋"/>
                      <w:sz w:val="24"/>
                    </w:rPr>
                    <w:t>系统并发支撑能力</w:t>
                  </w:r>
                </w:p>
              </w:tc>
              <w:tc>
                <w:tcPr>
                  <w:tcW w:w="6568" w:type="dxa"/>
                  <w:shd w:val="clear" w:color="auto" w:fill="auto"/>
                  <w:vAlign w:val="center"/>
                </w:tcPr>
                <w:p>
                  <w:pPr>
                    <w:numPr>
                      <w:ilvl w:val="0"/>
                      <w:numId w:val="5"/>
                    </w:numPr>
                    <w:wordWrap w:val="0"/>
                    <w:spacing w:line="380" w:lineRule="exact"/>
                    <w:ind w:left="0"/>
                    <w:rPr>
                      <w:rFonts w:ascii="仿宋" w:hAnsi="仿宋" w:eastAsia="仿宋" w:cs="仿宋"/>
                      <w:sz w:val="24"/>
                      <w:lang w:val="zh-CN"/>
                    </w:rPr>
                  </w:pPr>
                  <w:r>
                    <w:rPr>
                      <w:rFonts w:hint="eastAsia" w:ascii="仿宋" w:hAnsi="仿宋" w:eastAsia="仿宋" w:cs="仿宋"/>
                      <w:sz w:val="24"/>
                    </w:rPr>
                    <w:t>系统具备满足采购方10000用户并发运行（需提供第三方检测报告），系统响应时间为秒级响应。支撑学生学习的服务器接入带宽不低于500MB，连通率不低于97%。具有独立的公用网络IP地址和域名。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462" w:type="dxa"/>
                  <w:shd w:val="clear" w:color="auto" w:fill="auto"/>
                  <w:vAlign w:val="center"/>
                </w:tcPr>
                <w:p>
                  <w:pPr>
                    <w:pStyle w:val="2"/>
                    <w:wordWrap w:val="0"/>
                    <w:jc w:val="center"/>
                    <w:rPr>
                      <w:rFonts w:ascii="仿宋" w:hAnsi="仿宋" w:eastAsia="仿宋" w:cs="仿宋"/>
                    </w:rPr>
                  </w:pPr>
                  <w:r>
                    <w:rPr>
                      <w:rFonts w:hint="eastAsia" w:ascii="仿宋" w:hAnsi="仿宋" w:eastAsia="仿宋" w:cs="仿宋"/>
                    </w:rPr>
                    <w:t>12</w:t>
                  </w:r>
                </w:p>
              </w:tc>
              <w:tc>
                <w:tcPr>
                  <w:tcW w:w="1050" w:type="dxa"/>
                  <w:shd w:val="clear" w:color="auto" w:fill="auto"/>
                  <w:vAlign w:val="center"/>
                </w:tcPr>
                <w:p>
                  <w:pPr>
                    <w:numPr>
                      <w:ilvl w:val="0"/>
                      <w:numId w:val="5"/>
                    </w:numPr>
                    <w:wordWrap w:val="0"/>
                    <w:spacing w:line="380" w:lineRule="exact"/>
                    <w:ind w:left="0"/>
                    <w:jc w:val="center"/>
                    <w:rPr>
                      <w:rFonts w:ascii="仿宋" w:hAnsi="仿宋" w:eastAsia="仿宋" w:cs="仿宋"/>
                      <w:sz w:val="24"/>
                      <w:lang w:val="zh-CN"/>
                    </w:rPr>
                  </w:pPr>
                  <w:r>
                    <w:rPr>
                      <w:rFonts w:hint="eastAsia" w:ascii="仿宋" w:hAnsi="仿宋" w:eastAsia="仿宋" w:cs="仿宋"/>
                      <w:sz w:val="24"/>
                    </w:rPr>
                    <w:t>移动端</w:t>
                  </w:r>
                </w:p>
              </w:tc>
              <w:tc>
                <w:tcPr>
                  <w:tcW w:w="6568" w:type="dxa"/>
                  <w:shd w:val="clear" w:color="auto" w:fill="auto"/>
                  <w:vAlign w:val="center"/>
                </w:tcPr>
                <w:p>
                  <w:pPr>
                    <w:numPr>
                      <w:ilvl w:val="0"/>
                      <w:numId w:val="5"/>
                    </w:numPr>
                    <w:wordWrap w:val="0"/>
                    <w:spacing w:line="380" w:lineRule="exact"/>
                    <w:ind w:left="0"/>
                    <w:rPr>
                      <w:rFonts w:ascii="仿宋" w:hAnsi="仿宋" w:eastAsia="仿宋" w:cs="仿宋"/>
                      <w:sz w:val="24"/>
                      <w:lang w:val="zh-CN"/>
                    </w:rPr>
                  </w:pPr>
                  <w:r>
                    <w:rPr>
                      <w:rFonts w:hint="eastAsia" w:ascii="仿宋" w:hAnsi="仿宋" w:eastAsia="仿宋" w:cs="仿宋"/>
                      <w:sz w:val="24"/>
                    </w:rPr>
                    <w:t>支持IOS、安卓、鸿蒙等操作系统。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462" w:type="dxa"/>
                  <w:shd w:val="clear" w:color="auto" w:fill="auto"/>
                  <w:vAlign w:val="center"/>
                </w:tcPr>
                <w:p>
                  <w:pPr>
                    <w:pStyle w:val="2"/>
                    <w:wordWrap w:val="0"/>
                    <w:jc w:val="center"/>
                    <w:rPr>
                      <w:rFonts w:ascii="仿宋" w:hAnsi="仿宋" w:eastAsia="仿宋" w:cs="仿宋"/>
                    </w:rPr>
                  </w:pPr>
                  <w:r>
                    <w:rPr>
                      <w:rFonts w:hint="eastAsia" w:ascii="仿宋" w:hAnsi="仿宋" w:eastAsia="仿宋" w:cs="仿宋"/>
                    </w:rPr>
                    <w:t>13</w:t>
                  </w:r>
                </w:p>
              </w:tc>
              <w:tc>
                <w:tcPr>
                  <w:tcW w:w="1050" w:type="dxa"/>
                  <w:shd w:val="clear" w:color="auto" w:fill="auto"/>
                  <w:vAlign w:val="center"/>
                </w:tcPr>
                <w:p>
                  <w:pPr>
                    <w:wordWrap w:val="0"/>
                    <w:spacing w:line="380" w:lineRule="exact"/>
                    <w:jc w:val="center"/>
                    <w:rPr>
                      <w:rFonts w:ascii="仿宋" w:hAnsi="仿宋" w:eastAsia="仿宋" w:cs="仿宋"/>
                      <w:sz w:val="24"/>
                      <w:lang w:val="zh-CN"/>
                    </w:rPr>
                  </w:pPr>
                  <w:r>
                    <w:rPr>
                      <w:rFonts w:hint="eastAsia" w:ascii="仿宋" w:hAnsi="仿宋" w:eastAsia="仿宋" w:cs="仿宋"/>
                      <w:sz w:val="24"/>
                    </w:rPr>
                    <w:t>PC端</w:t>
                  </w:r>
                </w:p>
              </w:tc>
              <w:tc>
                <w:tcPr>
                  <w:tcW w:w="6568" w:type="dxa"/>
                  <w:shd w:val="clear" w:color="auto" w:fill="auto"/>
                  <w:vAlign w:val="center"/>
                </w:tcPr>
                <w:p>
                  <w:pPr>
                    <w:numPr>
                      <w:ilvl w:val="0"/>
                      <w:numId w:val="5"/>
                    </w:numPr>
                    <w:wordWrap w:val="0"/>
                    <w:spacing w:line="380" w:lineRule="exact"/>
                    <w:ind w:left="0"/>
                    <w:rPr>
                      <w:rFonts w:ascii="仿宋" w:hAnsi="仿宋" w:eastAsia="仿宋" w:cs="仿宋"/>
                      <w:sz w:val="24"/>
                      <w:lang w:val="zh-CN"/>
                    </w:rPr>
                  </w:pPr>
                  <w:r>
                    <w:rPr>
                      <w:rFonts w:hint="eastAsia" w:ascii="仿宋" w:hAnsi="仿宋" w:eastAsia="仿宋" w:cs="仿宋"/>
                      <w:sz w:val="24"/>
                    </w:rPr>
                    <w:t>支持Windows、MacOS等操作系统。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trPr>
              <w:tc>
                <w:tcPr>
                  <w:tcW w:w="462" w:type="dxa"/>
                  <w:shd w:val="clear" w:color="auto" w:fill="auto"/>
                  <w:vAlign w:val="center"/>
                </w:tcPr>
                <w:p>
                  <w:pPr>
                    <w:pStyle w:val="2"/>
                    <w:wordWrap w:val="0"/>
                    <w:jc w:val="center"/>
                    <w:rPr>
                      <w:rFonts w:ascii="仿宋" w:hAnsi="仿宋" w:eastAsia="仿宋" w:cs="仿宋"/>
                    </w:rPr>
                  </w:pPr>
                  <w:r>
                    <w:rPr>
                      <w:rFonts w:hint="eastAsia" w:ascii="仿宋" w:hAnsi="仿宋" w:eastAsia="仿宋" w:cs="仿宋"/>
                    </w:rPr>
                    <w:t>14</w:t>
                  </w:r>
                </w:p>
              </w:tc>
              <w:tc>
                <w:tcPr>
                  <w:tcW w:w="1050" w:type="dxa"/>
                  <w:shd w:val="clear" w:color="auto" w:fill="auto"/>
                  <w:vAlign w:val="center"/>
                </w:tcPr>
                <w:p>
                  <w:pPr>
                    <w:wordWrap w:val="0"/>
                    <w:spacing w:line="380" w:lineRule="exact"/>
                    <w:jc w:val="center"/>
                    <w:rPr>
                      <w:rFonts w:ascii="仿宋" w:hAnsi="仿宋" w:eastAsia="仿宋" w:cs="仿宋"/>
                      <w:sz w:val="24"/>
                      <w:lang w:val="zh-CN"/>
                    </w:rPr>
                  </w:pPr>
                  <w:r>
                    <w:rPr>
                      <w:rFonts w:hint="eastAsia" w:ascii="仿宋" w:hAnsi="仿宋" w:eastAsia="仿宋" w:cs="仿宋"/>
                      <w:sz w:val="24"/>
                    </w:rPr>
                    <w:t>信息标准</w:t>
                  </w:r>
                </w:p>
              </w:tc>
              <w:tc>
                <w:tcPr>
                  <w:tcW w:w="6568" w:type="dxa"/>
                  <w:shd w:val="clear" w:color="auto" w:fill="auto"/>
                  <w:vAlign w:val="center"/>
                </w:tcPr>
                <w:p>
                  <w:pPr>
                    <w:numPr>
                      <w:ilvl w:val="0"/>
                      <w:numId w:val="5"/>
                    </w:numPr>
                    <w:wordWrap w:val="0"/>
                    <w:spacing w:line="380" w:lineRule="exact"/>
                    <w:ind w:left="0"/>
                    <w:rPr>
                      <w:rFonts w:ascii="仿宋" w:hAnsi="仿宋" w:eastAsia="仿宋" w:cs="仿宋"/>
                      <w:sz w:val="24"/>
                      <w:lang w:val="zh-CN"/>
                    </w:rPr>
                  </w:pPr>
                  <w:r>
                    <w:rPr>
                      <w:rFonts w:hint="eastAsia" w:ascii="仿宋" w:hAnsi="仿宋" w:eastAsia="仿宋" w:cs="仿宋"/>
                      <w:sz w:val="24"/>
                    </w:rPr>
                    <w:t>系统必须遵守《教育管理信息化标准》和《高等学校管理信息标准》等信息化标准，并符合学校最新制定的信息标准。</w:t>
                  </w:r>
                </w:p>
              </w:tc>
            </w:tr>
          </w:tbl>
          <w:p>
            <w:pPr>
              <w:pStyle w:val="4"/>
              <w:wordWrap w:val="0"/>
              <w:spacing w:before="0" w:after="0" w:line="380" w:lineRule="exact"/>
              <w:rPr>
                <w:rFonts w:ascii="仿宋" w:hAnsi="仿宋" w:eastAsia="仿宋" w:cs="仿宋"/>
                <w:sz w:val="24"/>
                <w:szCs w:val="24"/>
              </w:rPr>
            </w:pPr>
            <w:r>
              <w:rPr>
                <w:rFonts w:hint="eastAsia" w:ascii="仿宋" w:hAnsi="仿宋" w:eastAsia="仿宋" w:cs="仿宋"/>
                <w:sz w:val="24"/>
                <w:szCs w:val="24"/>
              </w:rPr>
              <w:t>二、平台功能及技术要求</w:t>
            </w:r>
          </w:p>
          <w:p>
            <w:pPr>
              <w:pStyle w:val="5"/>
              <w:wordWrap w:val="0"/>
              <w:spacing w:before="0" w:after="0" w:line="380" w:lineRule="exact"/>
              <w:rPr>
                <w:rFonts w:ascii="仿宋" w:hAnsi="仿宋" w:eastAsia="仿宋" w:cs="仿宋"/>
                <w:sz w:val="24"/>
                <w:szCs w:val="24"/>
              </w:rPr>
            </w:pPr>
            <w:bookmarkStart w:id="59" w:name="_Toc11537"/>
            <w:bookmarkStart w:id="60" w:name="_Toc29445"/>
            <w:r>
              <w:rPr>
                <w:rFonts w:hint="eastAsia" w:ascii="仿宋" w:hAnsi="仿宋" w:eastAsia="仿宋" w:cs="仿宋"/>
                <w:sz w:val="24"/>
                <w:szCs w:val="24"/>
              </w:rPr>
              <w:t>（一）综合管理平台</w:t>
            </w:r>
            <w:bookmarkEnd w:id="59"/>
            <w:bookmarkEnd w:id="60"/>
          </w:p>
          <w:p>
            <w:pPr>
              <w:pStyle w:val="6"/>
              <w:numPr>
                <w:ilvl w:val="2"/>
                <w:numId w:val="6"/>
              </w:numPr>
              <w:wordWrap w:val="0"/>
              <w:spacing w:line="380" w:lineRule="exact"/>
              <w:rPr>
                <w:rFonts w:ascii="仿宋" w:hAnsi="仿宋" w:eastAsia="仿宋" w:cs="仿宋"/>
                <w:sz w:val="24"/>
                <w:szCs w:val="24"/>
              </w:rPr>
            </w:pPr>
            <w:bookmarkStart w:id="61" w:name="_Toc2423"/>
            <w:bookmarkStart w:id="62" w:name="_Toc16442"/>
            <w:r>
              <w:rPr>
                <w:rFonts w:hint="eastAsia" w:ascii="仿宋" w:hAnsi="仿宋" w:eastAsia="仿宋" w:cs="仿宋"/>
                <w:sz w:val="24"/>
                <w:szCs w:val="24"/>
              </w:rPr>
              <w:t>数据看板</w:t>
            </w:r>
            <w:bookmarkEnd w:id="61"/>
            <w:bookmarkEnd w:id="62"/>
          </w:p>
          <w:p>
            <w:pPr>
              <w:numPr>
                <w:ilvl w:val="0"/>
                <w:numId w:val="7"/>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首页数据看板展示：通过柱状图、折线图等多种形式，直观呈现学校当前的招生、学籍、教学、教务、财务、论文、毕业等各项数据情况，关键数据支持一键导出。涵盖但不限于：专业录取分数线、学生教学点地域分布、各教学点学籍确认情况、各时段教学点登录次数、学生考试通过率等。此外，看板卡片的位置和大小支持个性化自定义排版；</w:t>
            </w:r>
          </w:p>
          <w:p>
            <w:pPr>
              <w:numPr>
                <w:ilvl w:val="0"/>
                <w:numId w:val="7"/>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卡片管理：支持卡片按名称搜索，支持默认图表类型、可用单位、工作范围的查看；支持开放人数的查看，以及对具体人员添加或移除卡片，不同卡片支持预览；</w:t>
            </w:r>
          </w:p>
          <w:p>
            <w:pPr>
              <w:numPr>
                <w:ilvl w:val="0"/>
                <w:numId w:val="7"/>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数据看板模板的设置允许定制不同角色的看板样式，包括自定义添加看板名称，以及自定义选择支持的单位和工作范围；支持筛选和勾选可用单位、工作范围和角色；提供看板名称搜索功能，以及编辑预设看板模板的能力，涵盖看板名称、卡片数量和布局；还支持批量将模板分配给不同角色，作为他们的默认看板。</w:t>
            </w:r>
          </w:p>
          <w:p>
            <w:pPr>
              <w:numPr>
                <w:ilvl w:val="0"/>
                <w:numId w:val="7"/>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数据看板支持深色大屏模式显示，界面合理观感美观，方便投屏至硬件设备展示数据。</w:t>
            </w:r>
          </w:p>
          <w:p>
            <w:pPr>
              <w:pStyle w:val="6"/>
              <w:numPr>
                <w:ilvl w:val="2"/>
                <w:numId w:val="6"/>
              </w:numPr>
              <w:wordWrap w:val="0"/>
              <w:spacing w:line="380" w:lineRule="exact"/>
              <w:rPr>
                <w:rFonts w:ascii="仿宋" w:hAnsi="仿宋" w:eastAsia="仿宋" w:cs="仿宋"/>
                <w:sz w:val="24"/>
                <w:szCs w:val="24"/>
              </w:rPr>
            </w:pPr>
            <w:bookmarkStart w:id="63" w:name="_Toc1922"/>
            <w:bookmarkStart w:id="64" w:name="_Toc11629"/>
            <w:r>
              <w:rPr>
                <w:rFonts w:hint="eastAsia" w:ascii="仿宋" w:hAnsi="仿宋" w:eastAsia="仿宋" w:cs="仿宋"/>
                <w:sz w:val="24"/>
                <w:szCs w:val="24"/>
              </w:rPr>
              <w:t>系统管理</w:t>
            </w:r>
            <w:bookmarkEnd w:id="63"/>
            <w:bookmarkEnd w:id="64"/>
          </w:p>
          <w:p>
            <w:pPr>
              <w:numPr>
                <w:ilvl w:val="0"/>
                <w:numId w:val="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门户网站：实现学校主页可配置，支持设置院校信息，支持轮播图更换与排版，院校新闻，院校简介，招生简章，联系方式，并可以个性化定制插图，配置通知公告；支持热门专业信息主页展示，同时附带专业封面，公示合作站点；支持直接通过页面模块拖动的方式布局板块，采用丰富媒体编辑器，编辑器包含视频、文档、图片、音频、图书、公式、符号、附件、网页、动画等常用组件。</w:t>
            </w:r>
          </w:p>
          <w:p>
            <w:pPr>
              <w:numPr>
                <w:ilvl w:val="0"/>
                <w:numId w:val="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基础数据管理</w:t>
            </w:r>
          </w:p>
          <w:p>
            <w:pPr>
              <w:wordWrap w:val="0"/>
              <w:spacing w:line="380" w:lineRule="exact"/>
              <w:rPr>
                <w:rFonts w:ascii="仿宋" w:hAnsi="仿宋" w:eastAsia="仿宋" w:cs="仿宋"/>
                <w:sz w:val="24"/>
              </w:rPr>
            </w:pPr>
            <w:r>
              <w:rPr>
                <w:rFonts w:hint="eastAsia" w:ascii="仿宋" w:hAnsi="仿宋" w:eastAsia="仿宋" w:cs="仿宋"/>
                <w:sz w:val="24"/>
              </w:rPr>
              <w:t>A.支持对平台基础性数据进行管理，包括层次管理、专业管理、学期管理、课程类别、教师类型、得分规则、成绩等级设定、打印设置、高基报表管理、角色权限管理、公章配置、学号生成规则、标签管理，支持相关数据增、删、改、查操作；</w:t>
            </w:r>
          </w:p>
          <w:p>
            <w:pPr>
              <w:wordWrap w:val="0"/>
              <w:spacing w:line="380" w:lineRule="exact"/>
              <w:rPr>
                <w:rFonts w:ascii="仿宋" w:hAnsi="仿宋" w:eastAsia="仿宋" w:cs="仿宋"/>
                <w:sz w:val="24"/>
              </w:rPr>
            </w:pPr>
            <w:r>
              <w:rPr>
                <w:rFonts w:hint="eastAsia" w:ascii="仿宋" w:hAnsi="仿宋" w:eastAsia="仿宋" w:cs="仿宋"/>
                <w:sz w:val="24"/>
              </w:rPr>
              <w:t>B.层次管理支持设置备用名；支持专业管理，支持单个或批量添加专业信息。专业信息可对封面、专业名称、专业代码、专业门类、学位授予门类、专业介绍等进行编辑维护；</w:t>
            </w:r>
          </w:p>
          <w:p>
            <w:pPr>
              <w:wordWrap w:val="0"/>
              <w:spacing w:line="380" w:lineRule="exact"/>
              <w:rPr>
                <w:rFonts w:ascii="仿宋" w:hAnsi="仿宋" w:eastAsia="仿宋" w:cs="仿宋"/>
                <w:sz w:val="24"/>
              </w:rPr>
            </w:pPr>
            <w:r>
              <w:rPr>
                <w:rFonts w:hint="eastAsia" w:ascii="仿宋" w:hAnsi="仿宋" w:eastAsia="仿宋" w:cs="仿宋"/>
                <w:sz w:val="24"/>
              </w:rPr>
              <w:t>C.学期管理，支持独立设置各年级的学期时间，不同年级学期时间互不干涉。支持自定义学期、选课的开始时间与结束时间，可以设置是否当前学期，年级与入学批次名称支持自定义；</w:t>
            </w:r>
          </w:p>
          <w:p>
            <w:pPr>
              <w:wordWrap w:val="0"/>
              <w:spacing w:line="380" w:lineRule="exact"/>
              <w:rPr>
                <w:rFonts w:ascii="仿宋" w:hAnsi="仿宋" w:eastAsia="仿宋" w:cs="仿宋"/>
                <w:sz w:val="24"/>
              </w:rPr>
            </w:pPr>
            <w:r>
              <w:rPr>
                <w:rFonts w:hint="eastAsia" w:ascii="仿宋" w:hAnsi="仿宋" w:eastAsia="仿宋" w:cs="仿宋"/>
                <w:sz w:val="24"/>
              </w:rPr>
              <w:t>D.支持课程类别管理，可对课程类别进行编辑、删除、新增；</w:t>
            </w:r>
          </w:p>
          <w:p>
            <w:pPr>
              <w:wordWrap w:val="0"/>
              <w:spacing w:line="380" w:lineRule="exact"/>
              <w:rPr>
                <w:rFonts w:ascii="仿宋" w:hAnsi="仿宋" w:eastAsia="仿宋" w:cs="仿宋"/>
                <w:sz w:val="24"/>
              </w:rPr>
            </w:pPr>
            <w:r>
              <w:rPr>
                <w:rFonts w:hint="eastAsia" w:ascii="仿宋" w:hAnsi="仿宋" w:eastAsia="仿宋" w:cs="仿宋"/>
                <w:sz w:val="24"/>
              </w:rPr>
              <w:t>E.支持教师类型管理，可对教师类型进行编辑、删除、新增；</w:t>
            </w:r>
          </w:p>
          <w:p>
            <w:pPr>
              <w:wordWrap w:val="0"/>
              <w:spacing w:line="380" w:lineRule="exact"/>
              <w:rPr>
                <w:rFonts w:ascii="仿宋" w:hAnsi="仿宋" w:eastAsia="仿宋" w:cs="仿宋"/>
                <w:sz w:val="24"/>
              </w:rPr>
            </w:pPr>
            <w:r>
              <w:rPr>
                <w:rFonts w:hint="eastAsia" w:ascii="仿宋" w:hAnsi="仿宋" w:eastAsia="仿宋" w:cs="仿宋"/>
                <w:sz w:val="24"/>
              </w:rPr>
              <w:t>F.支持</w:t>
            </w:r>
            <w:r>
              <w:rPr>
                <w:rFonts w:hint="eastAsia" w:ascii="仿宋" w:hAnsi="仿宋" w:eastAsia="仿宋" w:cs="仿宋"/>
                <w:sz w:val="24"/>
                <w:lang w:eastAsia="zh-Hans"/>
              </w:rPr>
              <w:t>管理员设置得分规则，</w:t>
            </w:r>
            <w:r>
              <w:rPr>
                <w:rFonts w:hint="eastAsia" w:ascii="仿宋" w:hAnsi="仿宋" w:eastAsia="仿宋" w:cs="仿宋"/>
                <w:sz w:val="24"/>
              </w:rPr>
              <w:t>包括课程视频、登录、课程作业、讨论、直播录播观看、期末考试、签到考勤等</w:t>
            </w:r>
            <w:r>
              <w:rPr>
                <w:rFonts w:hint="eastAsia" w:ascii="仿宋" w:hAnsi="仿宋" w:eastAsia="仿宋" w:cs="仿宋"/>
                <w:sz w:val="24"/>
                <w:lang w:eastAsia="zh-Hans"/>
              </w:rPr>
              <w:t>分值</w:t>
            </w:r>
            <w:r>
              <w:rPr>
                <w:rFonts w:hint="eastAsia" w:ascii="仿宋" w:hAnsi="仿宋" w:eastAsia="仿宋" w:cs="仿宋"/>
                <w:sz w:val="24"/>
              </w:rPr>
              <w:t>。支持特殊情况的得分规则设置，总成绩评定方式，包括并不仅限于总成绩固定为补考成绩、补考成绩大于60分时总成绩固定为自定义分值；</w:t>
            </w:r>
          </w:p>
          <w:p>
            <w:pPr>
              <w:wordWrap w:val="0"/>
              <w:spacing w:line="380" w:lineRule="exact"/>
              <w:rPr>
                <w:rFonts w:ascii="仿宋" w:hAnsi="仿宋" w:eastAsia="仿宋" w:cs="仿宋"/>
                <w:sz w:val="24"/>
              </w:rPr>
            </w:pPr>
            <w:r>
              <w:rPr>
                <w:rFonts w:hint="eastAsia" w:ascii="仿宋" w:hAnsi="仿宋" w:eastAsia="仿宋" w:cs="仿宋"/>
                <w:sz w:val="24"/>
              </w:rPr>
              <w:t>G.支持打印模板设置，包括并不仅限于录取通知书模板、录取考生信息表模板、入学登记表模板、学籍卡模板、在读证明模板、个人成绩单模板、毕业生登记表模板等。模板内容支持自定义编辑，支持设置开放范围后直学生直接下载，支持设置模板水印；</w:t>
            </w:r>
          </w:p>
          <w:p>
            <w:pPr>
              <w:wordWrap w:val="0"/>
              <w:spacing w:line="380" w:lineRule="exact"/>
              <w:rPr>
                <w:rFonts w:ascii="仿宋" w:hAnsi="仿宋" w:eastAsia="仿宋" w:cs="仿宋"/>
                <w:sz w:val="24"/>
              </w:rPr>
            </w:pPr>
            <w:r>
              <w:rPr>
                <w:rFonts w:hint="eastAsia" w:ascii="仿宋" w:hAnsi="仿宋" w:eastAsia="仿宋" w:cs="仿宋"/>
                <w:sz w:val="24"/>
              </w:rPr>
              <w:t>H.★支持设置论文成绩单模板，支持设置论文批次信息、成绩单可选学生信息、论文信息，论文信息包括并不仅限于是否计划申请学位、论文选题、论文类型、选题来源、撰写语种、研究方向、选题状态等，组成论文成绩单模板；</w:t>
            </w:r>
          </w:p>
          <w:p>
            <w:pPr>
              <w:wordWrap w:val="0"/>
              <w:spacing w:line="380" w:lineRule="exact"/>
              <w:rPr>
                <w:rFonts w:ascii="仿宋" w:hAnsi="仿宋" w:eastAsia="仿宋" w:cs="仿宋"/>
                <w:sz w:val="24"/>
              </w:rPr>
            </w:pPr>
            <w:r>
              <w:rPr>
                <w:rFonts w:hint="eastAsia" w:ascii="仿宋" w:hAnsi="仿宋" w:eastAsia="仿宋" w:cs="仿宋"/>
                <w:sz w:val="24"/>
              </w:rPr>
              <w:t>I.支持上报教育部统计网的14个高基报表导出（包含高基报表3327、3328、3335、3334、3040、3343、3045、313、314、321、322、331、332、341），支持报表模板预览，可根据最新政策要求及时调整补充；</w:t>
            </w:r>
          </w:p>
          <w:p>
            <w:pPr>
              <w:wordWrap w:val="0"/>
              <w:spacing w:line="380" w:lineRule="exact"/>
              <w:rPr>
                <w:rFonts w:ascii="仿宋" w:hAnsi="仿宋" w:eastAsia="仿宋" w:cs="仿宋"/>
                <w:sz w:val="24"/>
              </w:rPr>
            </w:pPr>
            <w:r>
              <w:rPr>
                <w:rFonts w:hint="eastAsia" w:ascii="仿宋" w:hAnsi="仿宋" w:eastAsia="仿宋" w:cs="仿宋"/>
                <w:sz w:val="24"/>
              </w:rPr>
              <w:t>J.角色权限的管理，支持自定义角色，支持自定义各角色的功能模块，权限设置可细化到子模块；平台可设置不同权限的账号，使用人员具备不同的操作或管理权限；</w:t>
            </w:r>
          </w:p>
          <w:p>
            <w:pPr>
              <w:wordWrap w:val="0"/>
              <w:spacing w:line="380" w:lineRule="exact"/>
              <w:rPr>
                <w:rFonts w:ascii="仿宋" w:hAnsi="仿宋" w:eastAsia="仿宋" w:cs="仿宋"/>
                <w:sz w:val="24"/>
              </w:rPr>
            </w:pPr>
            <w:r>
              <w:rPr>
                <w:rFonts w:hint="eastAsia" w:ascii="仿宋" w:hAnsi="仿宋" w:eastAsia="仿宋" w:cs="仿宋"/>
                <w:sz w:val="24"/>
              </w:rPr>
              <w:t>K.自定义学号生成规则，可进行学号字段配置，包括：年级、专业、教学点代码、流水号等。</w:t>
            </w:r>
          </w:p>
          <w:p>
            <w:pPr>
              <w:wordWrap w:val="0"/>
              <w:spacing w:line="380" w:lineRule="exact"/>
              <w:rPr>
                <w:rFonts w:ascii="仿宋" w:hAnsi="仿宋" w:eastAsia="仿宋" w:cs="仿宋"/>
                <w:sz w:val="24"/>
              </w:rPr>
            </w:pPr>
            <w:r>
              <w:rPr>
                <w:rFonts w:hint="eastAsia" w:ascii="仿宋" w:hAnsi="仿宋" w:eastAsia="仿宋" w:cs="仿宋"/>
                <w:sz w:val="24"/>
              </w:rPr>
              <w:t>L.支持标签管理，实现根据不同业务需求对数据进行标签化处理，实现对数据的分类管理，包括支持设置学生标签、打印模板标签、课程资料标签、课程题目标签、课程试卷标签，可进行编辑、删除、新增；</w:t>
            </w:r>
          </w:p>
          <w:p>
            <w:pPr>
              <w:numPr>
                <w:ilvl w:val="0"/>
                <w:numId w:val="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支持设置智能表单，可快速复制已创建表单，表单可设置开放时间，人群限制，表单可通过链接与二维码进行分享。</w:t>
            </w:r>
          </w:p>
          <w:p>
            <w:pPr>
              <w:numPr>
                <w:ilvl w:val="0"/>
                <w:numId w:val="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消息通知</w:t>
            </w:r>
          </w:p>
          <w:p>
            <w:pPr>
              <w:numPr>
                <w:ilvl w:val="0"/>
                <w:numId w:val="9"/>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短消息内容管理：支持单个或批量发布短消息，消息内容支持富文本编辑，并支持图片、音视频文件上传；支持短消息外链，连接学校其他系统信息或者问卷等H5；支持查看已读和未读情况，已读和未读消息查看，包括接收人、学号、教学点、年级、专业信息；</w:t>
            </w:r>
          </w:p>
          <w:p>
            <w:pPr>
              <w:numPr>
                <w:ilvl w:val="0"/>
                <w:numId w:val="9"/>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院校新闻管理，支持发布院校新闻，支持选择新闻封面，可对重要新闻置顶。</w:t>
            </w:r>
          </w:p>
          <w:p>
            <w:pPr>
              <w:numPr>
                <w:ilvl w:val="0"/>
                <w:numId w:val="9"/>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通知公告管理，支持发布院校通知公告，支持超链接上传与图文、音视频文件上传，可对重要通知公告置顶；</w:t>
            </w:r>
          </w:p>
          <w:p>
            <w:pPr>
              <w:numPr>
                <w:ilvl w:val="0"/>
                <w:numId w:val="9"/>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支持对接学校短信平台，实现平台下发的通知以短信形式下发。</w:t>
            </w:r>
          </w:p>
          <w:p>
            <w:pPr>
              <w:numPr>
                <w:ilvl w:val="0"/>
                <w:numId w:val="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安全监管</w:t>
            </w:r>
          </w:p>
          <w:p>
            <w:pPr>
              <w:numPr>
                <w:ilvl w:val="0"/>
                <w:numId w:val="10"/>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支持管理员账号模拟登录学生账号，查看学生所有课程的学习记录和考试情况；</w:t>
            </w:r>
          </w:p>
          <w:p>
            <w:pPr>
              <w:numPr>
                <w:ilvl w:val="0"/>
                <w:numId w:val="10"/>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管理员账号可对学生及老师账号进行密码重置、手机号解绑工作；</w:t>
            </w:r>
          </w:p>
          <w:p>
            <w:pPr>
              <w:numPr>
                <w:ilvl w:val="0"/>
                <w:numId w:val="10"/>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★支持开启防录屏安全设置，防录屏必须同时包含开启动态水印、禁止回放下载、禁止 APP录屏， 自定义水印尺寸和不透明度，可预览查看课程视频中水印动态；支持自定义选择角色和老师赋予紧急终止直播权限；</w:t>
            </w:r>
          </w:p>
          <w:p>
            <w:pPr>
              <w:numPr>
                <w:ilvl w:val="0"/>
                <w:numId w:val="10"/>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隐私信息提取，支持提取类型选择，类型包括隐私信息导出和学生照片下载，支持自定义选择需提取的范围，范围包括年级、入学批次、层次、专业、教学点、班级；隐私信息提取需要短信验证和输入用途保证信息安全性；</w:t>
            </w:r>
          </w:p>
          <w:p>
            <w:pPr>
              <w:pStyle w:val="6"/>
              <w:numPr>
                <w:ilvl w:val="2"/>
                <w:numId w:val="6"/>
              </w:numPr>
              <w:wordWrap w:val="0"/>
              <w:spacing w:line="380" w:lineRule="exact"/>
              <w:rPr>
                <w:rFonts w:ascii="仿宋" w:hAnsi="仿宋" w:eastAsia="仿宋" w:cs="仿宋"/>
                <w:sz w:val="24"/>
                <w:szCs w:val="24"/>
              </w:rPr>
            </w:pPr>
            <w:bookmarkStart w:id="65" w:name="_Toc18046"/>
            <w:bookmarkStart w:id="66" w:name="_Toc16808"/>
            <w:r>
              <w:rPr>
                <w:rFonts w:hint="eastAsia" w:ascii="仿宋" w:hAnsi="仿宋" w:eastAsia="仿宋" w:cs="仿宋"/>
                <w:sz w:val="24"/>
                <w:szCs w:val="24"/>
              </w:rPr>
              <w:t>招生管理</w:t>
            </w:r>
            <w:bookmarkEnd w:id="65"/>
            <w:bookmarkEnd w:id="66"/>
          </w:p>
          <w:p>
            <w:pPr>
              <w:numPr>
                <w:ilvl w:val="0"/>
                <w:numId w:val="11"/>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招生计划管理，实现学校自定义添加设置入学批次，支持设置及修改招生计划申报、成考报名登记、录取学生学生分配、录取学生注册的开始及截止时间；支持设置学校的招生计划，包括各专业计划人数、收费标准；实现校外教学点上报的各计划招生人数及招生人员信息，支持学校对校外教学点直接分配招生名额，可精确到专业；</w:t>
            </w:r>
          </w:p>
          <w:p>
            <w:pPr>
              <w:numPr>
                <w:ilvl w:val="0"/>
                <w:numId w:val="11"/>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成考报名登记管理，实现学校、教学点批量或单个登记成考报名学生信息；成考报名登记字段支持增设备用字段满足学校特殊数据字段收集需要，支持学生自主自主填写报名信息包括个人基本信息、报考意向等；</w:t>
            </w:r>
          </w:p>
          <w:p>
            <w:pPr>
              <w:numPr>
                <w:ilvl w:val="0"/>
                <w:numId w:val="11"/>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实现为已报名的学生开通成人高考统考课程考前辅导，最终提高成考通过率。</w:t>
            </w:r>
          </w:p>
          <w:p>
            <w:pPr>
              <w:numPr>
                <w:ilvl w:val="0"/>
                <w:numId w:val="11"/>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录取管理</w:t>
            </w:r>
          </w:p>
          <w:p>
            <w:pPr>
              <w:numPr>
                <w:ilvl w:val="0"/>
                <w:numId w:val="1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实现直接上传考试院的录取DBF文件，系统自动拆分出录取信息；支持通过excel表上传录取信息；实现批量上传、下载录取照片；支持考生信息表下载；</w:t>
            </w:r>
          </w:p>
          <w:p>
            <w:pPr>
              <w:numPr>
                <w:ilvl w:val="0"/>
                <w:numId w:val="1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系统实现学生通过扫码校验进行人脸识别，系统自动比对是否本人，自动采集最新照片，同时学生可查看录取状态，下载电子录取通知书；支持老师批量审核比对未通过的学生；</w:t>
            </w:r>
          </w:p>
          <w:p>
            <w:pPr>
              <w:numPr>
                <w:ilvl w:val="0"/>
                <w:numId w:val="1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支持录取学生注册，实现导入学号注册，也可以根据学校的学号规则自动生成学号注册，支持对已注册学生进行撤销注册操作，</w:t>
            </w:r>
          </w:p>
          <w:p>
            <w:pPr>
              <w:numPr>
                <w:ilvl w:val="0"/>
                <w:numId w:val="1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实现学生账号生成规则自定义设置，账号生成规则支持学号、身份证号、固定文本+身份证号/学号多种形式，满足学校针对学生灵活的账号生成要求；</w:t>
            </w:r>
          </w:p>
          <w:p>
            <w:pPr>
              <w:numPr>
                <w:ilvl w:val="0"/>
                <w:numId w:val="1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录取通知书打印：实现学生二维码扫码查看电子录取通知书，管理员可查看电子通知书查看下载状态；并支持自定义设置通知书模板，批量导入通知书编号，批量打印录取通知书；</w:t>
            </w:r>
          </w:p>
          <w:p>
            <w:pPr>
              <w:numPr>
                <w:ilvl w:val="0"/>
                <w:numId w:val="1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录取学生可根据校外教学点成考报名情况自动分配，争议学生支持教学点进行申请认领，由学校审核判定最终的教学点归属。</w:t>
            </w:r>
          </w:p>
          <w:p>
            <w:pPr>
              <w:pStyle w:val="6"/>
              <w:numPr>
                <w:ilvl w:val="2"/>
                <w:numId w:val="6"/>
              </w:numPr>
              <w:wordWrap w:val="0"/>
              <w:spacing w:line="380" w:lineRule="exact"/>
              <w:rPr>
                <w:rFonts w:ascii="仿宋" w:hAnsi="仿宋" w:eastAsia="仿宋" w:cs="仿宋"/>
                <w:sz w:val="24"/>
                <w:szCs w:val="24"/>
              </w:rPr>
            </w:pPr>
            <w:bookmarkStart w:id="67" w:name="_Toc19732"/>
            <w:bookmarkStart w:id="68" w:name="_Toc6979"/>
            <w:r>
              <w:rPr>
                <w:rFonts w:hint="eastAsia" w:ascii="仿宋" w:hAnsi="仿宋" w:eastAsia="仿宋" w:cs="仿宋"/>
                <w:sz w:val="24"/>
                <w:szCs w:val="24"/>
              </w:rPr>
              <w:t>学籍管理</w:t>
            </w:r>
            <w:bookmarkEnd w:id="67"/>
            <w:bookmarkEnd w:id="68"/>
          </w:p>
          <w:p>
            <w:pPr>
              <w:numPr>
                <w:ilvl w:val="0"/>
                <w:numId w:val="13"/>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学生管理</w:t>
            </w:r>
          </w:p>
          <w:p>
            <w:pPr>
              <w:numPr>
                <w:ilvl w:val="0"/>
                <w:numId w:val="14"/>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支持学生信息查询，实现一个模块统一展示该学生的基础信息、成绩数据、缴费数据、论文信息；</w:t>
            </w:r>
          </w:p>
          <w:p>
            <w:pPr>
              <w:numPr>
                <w:ilvl w:val="0"/>
                <w:numId w:val="14"/>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支持设置学生端填写内容是否必填，包括个人信息的邮箱、地址、紧急联系人电话、工作单位，及学籍照片、原学历信息；同时可灵活开启关闭需收集内容。</w:t>
            </w:r>
          </w:p>
          <w:p>
            <w:pPr>
              <w:numPr>
                <w:ilvl w:val="0"/>
                <w:numId w:val="14"/>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支持学籍信息按不同条件组合查询：包括但不限于按照年级、层次、专业、教学点、学籍状态、学生姓名、学号、考生号等。实现自定义字段导出学生花名册，支持学生信息修改功能，支持学生在读证明的管理；</w:t>
            </w:r>
          </w:p>
          <w:p>
            <w:pPr>
              <w:numPr>
                <w:ilvl w:val="0"/>
                <w:numId w:val="14"/>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实现对录取照片、学籍照片、毕业照片的批量管理，支持学生自主上传学籍照片，系统自动进行照片相似度检测确保学生身份，管理端可批量审核照片是否通过；</w:t>
            </w:r>
          </w:p>
          <w:p>
            <w:pPr>
              <w:numPr>
                <w:ilvl w:val="0"/>
                <w:numId w:val="14"/>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支持导出学信网上报DBF数据文件。包括并不仅限于学籍注册、学籍异动、转专业等，所有文件内容格式与学信网上报格式一致。</w:t>
            </w:r>
          </w:p>
          <w:p>
            <w:pPr>
              <w:numPr>
                <w:ilvl w:val="0"/>
                <w:numId w:val="13"/>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进行学籍确认，登陆后即可确认完善学籍信息，管理员可设定触发学籍确认弹窗的时机，可灵活开启学籍确认要求，实现学生学籍照片审核通过、人脸识别确认后可进行学籍确认；支持学生在学籍确认时进行电子签名确认；支持对学籍确认结果批量审核。</w:t>
            </w:r>
          </w:p>
          <w:p>
            <w:pPr>
              <w:numPr>
                <w:ilvl w:val="0"/>
                <w:numId w:val="13"/>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学籍异动管理模块</w:t>
            </w:r>
          </w:p>
          <w:p>
            <w:pPr>
              <w:numPr>
                <w:ilvl w:val="0"/>
                <w:numId w:val="1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学籍异动包括并不仅限于转专业、休学、复学、退学换教学点等异动类型，支持设置各类型的开始与截止时间，支持自定义设置申请与审批流程、申请须知、申请模板、申请材料，支持设置多级审批人，申请、审核时支持设置电子签名，电子签名可留档；</w:t>
            </w:r>
          </w:p>
          <w:p>
            <w:pPr>
              <w:numPr>
                <w:ilvl w:val="0"/>
                <w:numId w:val="1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支持取消入学资格、保留入学资格、放弃入学资格的学信网学籍报送类型的标注及教学点申请；</w:t>
            </w:r>
          </w:p>
          <w:p>
            <w:pPr>
              <w:numPr>
                <w:ilvl w:val="0"/>
                <w:numId w:val="1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管理端在线查看、审批异动申请，预览申请表，可批量下载申请材料与申请表，支持导出异动详情与异动汇总表，实现异动审核通过后学生学籍状态同步变更，异动审批后系统自动发送异动审批结果通知给校外教学点及学生。</w:t>
            </w:r>
          </w:p>
          <w:p>
            <w:pPr>
              <w:numPr>
                <w:ilvl w:val="0"/>
                <w:numId w:val="13"/>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支持在线导入维护导入学生父母信息；</w:t>
            </w:r>
          </w:p>
          <w:p>
            <w:pPr>
              <w:numPr>
                <w:ilvl w:val="0"/>
                <w:numId w:val="13"/>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入学资格审查管理</w:t>
            </w:r>
          </w:p>
          <w:p>
            <w:pPr>
              <w:numPr>
                <w:ilvl w:val="0"/>
                <w:numId w:val="16"/>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设置流程开始及结束时间，支持管理员设置审核等级，实现入学登记表模板设置，可自定义添加、删除需收集材料，材料名称可自定义，收集材料设置是否必传，格式类型可限定word、PDF、图片、压缩文件格式；</w:t>
            </w:r>
          </w:p>
          <w:p>
            <w:pPr>
              <w:numPr>
                <w:ilvl w:val="0"/>
                <w:numId w:val="16"/>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★可针对统考生、免考生分别设置收集材料类型，实现学生所属类别上传不同的材料；</w:t>
            </w:r>
          </w:p>
          <w:p>
            <w:pPr>
              <w:numPr>
                <w:ilvl w:val="0"/>
                <w:numId w:val="16"/>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支持单独、批量审查学生的申请信息，电子签名及审查材料可预览，审批时支持填写审核意见，支持审查状态筛选批量下载登记表、材料及导出对应数据。</w:t>
            </w:r>
          </w:p>
          <w:p>
            <w:pPr>
              <w:numPr>
                <w:ilvl w:val="0"/>
                <w:numId w:val="13"/>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学生信息变更管理</w:t>
            </w:r>
          </w:p>
          <w:p>
            <w:pPr>
              <w:numPr>
                <w:ilvl w:val="0"/>
                <w:numId w:val="17"/>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对学生信息包括更改姓名、身份证、民族、政治面貌类型进行申请与审批管理。支持设置各类型的开始与截止时间，支持自定义设置申请与审批流程、申请须知、申请模板、申请材料，支持设置多级审批人，申请、审核时支持设置电子签名，电子签名可留档；</w:t>
            </w:r>
          </w:p>
          <w:p>
            <w:pPr>
              <w:numPr>
                <w:ilvl w:val="0"/>
                <w:numId w:val="17"/>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管理端在线查看、审批信息变更申请，预览申请表，可批量下载申请材料与申请表，支持导出详情与异动汇总表，实现审核通过后学生学籍信息的同步变更，审批后系统自动发送结果通知给对应校外教学点及学生；可查看学生的信息变更记录。</w:t>
            </w:r>
          </w:p>
          <w:p>
            <w:pPr>
              <w:numPr>
                <w:ilvl w:val="0"/>
                <w:numId w:val="13"/>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实现学生学籍卡的在线填写及审核管理。可设置学籍卡的审核等级，可设置学籍卡在线填写模板，设置允许学生提交的开始及截止时间与填写说明；可预览学生填写的学籍卡，学籍卡填写支持电子签名；支持批量审核、下载、打印。实现学生学籍卡的在线填写及审核管理。可设置学籍卡的审核等级，可设置学籍卡在线填写模板，设置允许学生提交的开始及截止时间与填写说明；可预览学生填写的学籍卡，学籍卡填写支持电子签名；支持批量审核、下载、打印。</w:t>
            </w:r>
          </w:p>
          <w:p>
            <w:pPr>
              <w:pStyle w:val="6"/>
              <w:numPr>
                <w:ilvl w:val="2"/>
                <w:numId w:val="6"/>
              </w:numPr>
              <w:wordWrap w:val="0"/>
              <w:spacing w:line="380" w:lineRule="exact"/>
              <w:rPr>
                <w:rFonts w:ascii="仿宋" w:hAnsi="仿宋" w:eastAsia="仿宋" w:cs="仿宋"/>
                <w:sz w:val="24"/>
                <w:szCs w:val="24"/>
              </w:rPr>
            </w:pPr>
            <w:bookmarkStart w:id="69" w:name="_Toc14629"/>
            <w:r>
              <w:rPr>
                <w:rFonts w:hint="eastAsia" w:ascii="仿宋" w:hAnsi="仿宋" w:eastAsia="仿宋" w:cs="仿宋"/>
                <w:sz w:val="24"/>
                <w:szCs w:val="24"/>
              </w:rPr>
              <w:t>教学管理</w:t>
            </w:r>
            <w:bookmarkEnd w:id="69"/>
          </w:p>
          <w:p>
            <w:pPr>
              <w:numPr>
                <w:ilvl w:val="0"/>
                <w:numId w:val="1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支持灵活的课程学习设置，可设置过去学期是否开放给学生学习，实现根据课程状态设置开放范围，可设置当前学期、未来学期的课程是否开放学习，灵活适应学校的教学安排；</w:t>
            </w:r>
          </w:p>
          <w:p>
            <w:pPr>
              <w:numPr>
                <w:ilvl w:val="0"/>
                <w:numId w:val="1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课程管理模块包括新增、编辑、删除、批量导出课程信息，包括课程名称、课件查看预览、课程代码维护、支持导入学校教材目录，同时支持设置课程的主讲教师以及助教角色，支持一门课程内容关联多个专业，支持查看课程关联的教学内容，包括课程资源和试题试卷；</w:t>
            </w:r>
          </w:p>
          <w:p>
            <w:pPr>
              <w:numPr>
                <w:ilvl w:val="0"/>
                <w:numId w:val="1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教学计划管理：管理员可以新增、编辑、删除各专业层次的教学计划信息和内容。实现查看、导出必修、选修课程安排，支持在线预览、打印教学进程表。</w:t>
            </w:r>
          </w:p>
          <w:p>
            <w:pPr>
              <w:numPr>
                <w:ilvl w:val="0"/>
                <w:numId w:val="1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支持选修计划管理，实现设置不同学期的选修课程及开放的专业范围，设置选修要求，可设置是否允许学生选修以及教学点代学生选修，支持设置允许选修的时间范围，支持批量退选课程，导出选修、退选明细；</w:t>
            </w:r>
          </w:p>
          <w:p>
            <w:pPr>
              <w:numPr>
                <w:ilvl w:val="0"/>
                <w:numId w:val="1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支持免修管理，可设置、批量导入免修成绩；</w:t>
            </w:r>
          </w:p>
          <w:p>
            <w:pPr>
              <w:numPr>
                <w:ilvl w:val="0"/>
                <w:numId w:val="1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排课管理模块支持单独新增或批量导入课表，支持批量按照周、月重复排课，支持线上直播或线下面授的统一安排，排课冲突系统自动提示，排课信息以日历形式直观显示并同步给学生与授课老师，实现设置课程表模板并支持在线打印；管理端可对教学老师的授课申请进行审核；</w:t>
            </w:r>
          </w:p>
          <w:p>
            <w:pPr>
              <w:numPr>
                <w:ilvl w:val="0"/>
                <w:numId w:val="1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对直播情况进行在线监管，包括并不限于可以看到直播授课的课次时长、学生的参与情况、学生签到情况等。同时可直接进入直播间实时查看直播授课画面，也可以协助教师进行禁言、发布公告、发起签到操作；可观看直播回放，导出授课数据；</w:t>
            </w:r>
          </w:p>
          <w:p>
            <w:pPr>
              <w:numPr>
                <w:ilvl w:val="0"/>
                <w:numId w:val="1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支持进行公开直播，可设置直播名称、直播开放时间、是否允许回放，支持设置主讲人/协助人，可跨批次专业等设置开放的学生及老师范围，可自定义取消学生、教师的观看权限；</w:t>
            </w:r>
          </w:p>
          <w:p>
            <w:pPr>
              <w:numPr>
                <w:ilvl w:val="0"/>
                <w:numId w:val="1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智能化督学督考，可根据课程学习进度或课程不及格门数对学生发起督学提醒，在考试期间支持智能督考，根据提醒范围可设置。督学督考提醒可按日、周、月重复，提醒内容支持自定义，提醒内容支持文本、图片、视频、文档附件等类型，提醒可附带提示不及格未通过课程；</w:t>
            </w:r>
          </w:p>
          <w:p>
            <w:pPr>
              <w:numPr>
                <w:ilvl w:val="0"/>
                <w:numId w:val="1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实现对课件资源进行管理，支持审核教师上传的课程，审核通过课程可分配给对应课程使用。</w:t>
            </w:r>
          </w:p>
          <w:p>
            <w:pPr>
              <w:pStyle w:val="6"/>
              <w:numPr>
                <w:ilvl w:val="2"/>
                <w:numId w:val="6"/>
              </w:numPr>
              <w:wordWrap w:val="0"/>
              <w:spacing w:line="380" w:lineRule="exact"/>
              <w:rPr>
                <w:rFonts w:ascii="仿宋" w:hAnsi="仿宋" w:eastAsia="仿宋" w:cs="仿宋"/>
                <w:sz w:val="24"/>
                <w:szCs w:val="24"/>
              </w:rPr>
            </w:pPr>
            <w:bookmarkStart w:id="70" w:name="_Toc26102"/>
            <w:bookmarkStart w:id="71" w:name="_Toc22050"/>
            <w:r>
              <w:rPr>
                <w:rFonts w:hint="eastAsia" w:ascii="仿宋" w:hAnsi="仿宋" w:eastAsia="仿宋" w:cs="仿宋"/>
                <w:sz w:val="24"/>
                <w:szCs w:val="24"/>
              </w:rPr>
              <w:t>教务管理</w:t>
            </w:r>
            <w:bookmarkEnd w:id="70"/>
            <w:bookmarkEnd w:id="71"/>
          </w:p>
          <w:p>
            <w:pPr>
              <w:numPr>
                <w:ilvl w:val="0"/>
                <w:numId w:val="19"/>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教学点管理</w:t>
            </w:r>
          </w:p>
          <w:p>
            <w:pPr>
              <w:numPr>
                <w:ilvl w:val="0"/>
                <w:numId w:val="20"/>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支持支持教学点基本信息管理，支持编辑包括并不仅限于教学点名称、 代码、简称、合作状态、封面、负责人及联系方式，以及可以自定义选择是否为跨省教学点，是否承接对口帮扶、行业紧缺人才培养任务， 是否为医学或涉医教学点等信息；支持教学点设点信息管理，支持编辑设点单位名称、地址、性质、法人名称并上传法人证书、联系人及联系方式；支持自定义设点单位经费分成比例，协议签署时间及协议有效期，上传设点协议；支持维护备案状态和备案号；支持编辑办学条件，包括但不限于：办学场所面积、专业教学实训用房面积、计算机数量、录播、直播室面积、教师教研办公用房面积、图书藏量等，是否符合相关安全标准；支持导出教学点备案表。</w:t>
            </w:r>
          </w:p>
          <w:p>
            <w:pPr>
              <w:numPr>
                <w:ilvl w:val="0"/>
                <w:numId w:val="20"/>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对校外教学点进行评估，实现学校设置教学点评估流程以及质量指标，支持自定义评估名称、年份、评估范围，支持设置三级评估指标及佐证材料上传；教学点可自行完善教学点信息和进行质量自评，并提交由学校进行评估审核，方便学校、教学点在线共同管理教学点信息和质量。</w:t>
            </w:r>
          </w:p>
          <w:p>
            <w:pPr>
              <w:wordWrap w:val="0"/>
              <w:spacing w:line="380" w:lineRule="exact"/>
              <w:ind w:left="480"/>
              <w:rPr>
                <w:rFonts w:ascii="仿宋" w:hAnsi="仿宋" w:eastAsia="仿宋" w:cs="仿宋"/>
                <w:sz w:val="24"/>
              </w:rPr>
            </w:pPr>
            <w:r>
              <w:rPr>
                <w:rFonts w:hint="eastAsia" w:ascii="仿宋" w:hAnsi="仿宋" w:eastAsia="仿宋" w:cs="仿宋"/>
                <w:sz w:val="24"/>
              </w:rPr>
              <w:t>(2)班级管理</w:t>
            </w:r>
          </w:p>
          <w:p>
            <w:pPr>
              <w:numPr>
                <w:ilvl w:val="0"/>
                <w:numId w:val="21"/>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支持按专业分班与按学生分班两种形式，可自定义创建班级名称、代码，其中按专业分班支持按照层次、专业、教学点、人数上线快速分班；</w:t>
            </w:r>
          </w:p>
          <w:p>
            <w:pPr>
              <w:numPr>
                <w:ilvl w:val="0"/>
                <w:numId w:val="21"/>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可以给班级指定班主任，查询班级学生信息，调整学生班级。</w:t>
            </w:r>
          </w:p>
          <w:p>
            <w:pPr>
              <w:wordWrap w:val="0"/>
              <w:spacing w:line="380" w:lineRule="exact"/>
              <w:ind w:firstLine="480"/>
              <w:rPr>
                <w:rFonts w:ascii="仿宋" w:hAnsi="仿宋" w:eastAsia="仿宋" w:cs="仿宋"/>
                <w:sz w:val="24"/>
              </w:rPr>
            </w:pPr>
            <w:r>
              <w:rPr>
                <w:rFonts w:hint="eastAsia" w:ascii="仿宋" w:hAnsi="仿宋" w:eastAsia="仿宋" w:cs="仿宋"/>
                <w:sz w:val="24"/>
              </w:rPr>
              <w:t>(3)支持教室管理，可单独或批量导入添加教室信息，包括：教室编号、名称、地址、容量、启用状态；支持对教室信息的编辑与删除操作，实现面授教室的在线维护。</w:t>
            </w:r>
          </w:p>
          <w:p>
            <w:pPr>
              <w:wordWrap w:val="0"/>
              <w:spacing w:line="380" w:lineRule="exact"/>
              <w:ind w:firstLine="480"/>
              <w:rPr>
                <w:rFonts w:ascii="仿宋" w:hAnsi="仿宋" w:eastAsia="仿宋" w:cs="仿宋"/>
                <w:sz w:val="24"/>
              </w:rPr>
            </w:pPr>
            <w:r>
              <w:rPr>
                <w:rFonts w:hint="eastAsia" w:ascii="仿宋" w:hAnsi="仿宋" w:eastAsia="仿宋" w:cs="仿宋"/>
                <w:sz w:val="24"/>
              </w:rPr>
              <w:t>(4)教师管理模块包括添加教师账号信息，支持教师角色选择，其中不同角色可设置不同功能权限，功能权限可细化到子模块；支持维护教师个人信息，支持教师聘任信息和教师资质录入，包括职称、教师资格证编号、最高学历、毕业院校、研究方向，以及教师证件照和教师资格证资质材料上传等。</w:t>
            </w:r>
          </w:p>
          <w:p>
            <w:pPr>
              <w:wordWrap w:val="0"/>
              <w:spacing w:line="380" w:lineRule="exact"/>
              <w:ind w:firstLine="480"/>
              <w:rPr>
                <w:rFonts w:ascii="仿宋" w:hAnsi="仿宋" w:eastAsia="仿宋" w:cs="仿宋"/>
                <w:sz w:val="24"/>
              </w:rPr>
            </w:pPr>
            <w:r>
              <w:rPr>
                <w:rFonts w:hint="eastAsia" w:ascii="仿宋" w:hAnsi="仿宋" w:eastAsia="仿宋" w:cs="仿宋"/>
                <w:sz w:val="24"/>
              </w:rPr>
              <w:t>(5)考务管理</w:t>
            </w:r>
          </w:p>
          <w:p>
            <w:pPr>
              <w:numPr>
                <w:ilvl w:val="0"/>
                <w:numId w:val="2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支持在线考试管理，实现按课程单个发布或按专业批量发布；可以设置考试的基础信息，包括考试名称、考试时间、考试时长、及格分；可灵活设置考试的学生范围；</w:t>
            </w:r>
          </w:p>
          <w:p>
            <w:pPr>
              <w:numPr>
                <w:ilvl w:val="0"/>
                <w:numId w:val="2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设置学生的参考限制，实现平时成绩大于固定数值才可以参加考试；同时支持细分得分规则项限制，如：签到得分、课件学习得分、直播录播学习得分、教学点评分、其他得分等，比如设置直播学习得分不满足条件不允许参加考试；支持同时设置多个参考条件；</w:t>
            </w:r>
          </w:p>
          <w:p>
            <w:pPr>
              <w:numPr>
                <w:ilvl w:val="0"/>
                <w:numId w:val="2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灵活设置考试技防措施，包括是否设置答题渠道、考题随机排序、是否开启人脸识别包括考前与考中人脸识别、是否禁止学生复制试题或答案，答题配置支持是否允许图片、音视频、文档、压缩包上传，可设置考试承诺书模板，设置学生考试前签署考试承诺书，管理端可批量下载。</w:t>
            </w:r>
          </w:p>
          <w:p>
            <w:pPr>
              <w:numPr>
                <w:ilvl w:val="0"/>
                <w:numId w:val="2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针对重要考试支持强化考务管理。线下考试管理按照考试、场次、教室、教室容量、监考教师自动排考，支持安排表导出及打印，支持学生自主打印准考证。线上考试管理支持人脸识别、线上巡考；支持监考警告、强行收卷；支持手动抓拍学生实时画面；支持查看考生系统异常记录，支持人工记录考生异常行为，支持批量导出考试监管信息。</w:t>
            </w:r>
          </w:p>
          <w:p>
            <w:pPr>
              <w:numPr>
                <w:ilvl w:val="0"/>
                <w:numId w:val="2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支持缓考考试发布，支持学生申请缓考，管理员审批通过后下一次进行考试，可批量下载学生缓考申请材料。</w:t>
            </w:r>
          </w:p>
          <w:p>
            <w:pPr>
              <w:numPr>
                <w:ilvl w:val="0"/>
                <w:numId w:val="2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支持补考管理，支持按照平时成绩与总成绩的参考限制发布补考，可导入补考名单以及针对特定学生取消补考。</w:t>
            </w:r>
          </w:p>
          <w:p>
            <w:pPr>
              <w:numPr>
                <w:ilvl w:val="0"/>
                <w:numId w:val="2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管理端可重置学生考试，包括期末、补考、缓考考试。</w:t>
            </w:r>
          </w:p>
          <w:p>
            <w:pPr>
              <w:numPr>
                <w:ilvl w:val="0"/>
                <w:numId w:val="2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支持考试人脸识别审核，系统智能对比检测考试过程是否本人，针对异常行为支持人工辅助审核。</w:t>
            </w:r>
          </w:p>
          <w:p>
            <w:pPr>
              <w:wordWrap w:val="0"/>
              <w:spacing w:line="380" w:lineRule="exact"/>
              <w:ind w:firstLine="480"/>
              <w:rPr>
                <w:rFonts w:ascii="仿宋" w:hAnsi="仿宋" w:eastAsia="仿宋" w:cs="仿宋"/>
                <w:sz w:val="24"/>
              </w:rPr>
            </w:pPr>
            <w:r>
              <w:rPr>
                <w:rFonts w:hint="eastAsia" w:ascii="仿宋" w:hAnsi="仿宋" w:eastAsia="仿宋" w:cs="仿宋"/>
                <w:sz w:val="24"/>
              </w:rPr>
              <w:t>(6)成绩管理</w:t>
            </w:r>
          </w:p>
          <w:p>
            <w:pPr>
              <w:numPr>
                <w:ilvl w:val="0"/>
                <w:numId w:val="23"/>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支持按照当前学期查看学生课程完成进度，包括学习进度与作业完成率，可筛选较低进度学生发送通知；</w:t>
            </w:r>
          </w:p>
          <w:p>
            <w:pPr>
              <w:numPr>
                <w:ilvl w:val="0"/>
                <w:numId w:val="23"/>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支持按学生，按课程等不同方式查看查询，支持各项成绩细则查询，总评成绩查询，支持按筛选范围查看及导出对应数据；</w:t>
            </w:r>
          </w:p>
          <w:p>
            <w:pPr>
              <w:numPr>
                <w:ilvl w:val="0"/>
                <w:numId w:val="23"/>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成绩单管理：支持学生个人成绩单、课程成绩单、年级成绩单的导出。支持打印个人成绩单以及PDF格式保存，文件支持按照学号、姓名、毕业证号进行排序，成绩单模板支持自定义设计，可设置自定义水印；</w:t>
            </w:r>
          </w:p>
          <w:p>
            <w:pPr>
              <w:numPr>
                <w:ilvl w:val="0"/>
                <w:numId w:val="23"/>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成绩录入管理：支持期末、补考、缓考成绩录入，支持其他自定义成绩录入，上述成绩录入功能支持下载包含学生课程信息的空白成绩模板；</w:t>
            </w:r>
          </w:p>
          <w:p>
            <w:pPr>
              <w:numPr>
                <w:ilvl w:val="0"/>
                <w:numId w:val="23"/>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支持设置成绩录入是否需要审核，同时设置多级审核人；需要审核的成绩须在审核通过后同步更新在已发布成绩，并保留审核记录；</w:t>
            </w:r>
          </w:p>
          <w:p>
            <w:pPr>
              <w:numPr>
                <w:ilvl w:val="0"/>
                <w:numId w:val="23"/>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支持成绩留档与更新，学校可根据实际教学安排，将学生当前成绩留档固定，或允许学生将过往学期补学课程成绩进行更新。</w:t>
            </w:r>
          </w:p>
          <w:p>
            <w:pPr>
              <w:pStyle w:val="6"/>
              <w:numPr>
                <w:ilvl w:val="2"/>
                <w:numId w:val="6"/>
              </w:numPr>
              <w:wordWrap w:val="0"/>
              <w:spacing w:line="380" w:lineRule="exact"/>
              <w:rPr>
                <w:rFonts w:ascii="仿宋" w:hAnsi="仿宋" w:eastAsia="仿宋" w:cs="仿宋"/>
                <w:sz w:val="24"/>
                <w:szCs w:val="24"/>
              </w:rPr>
            </w:pPr>
            <w:bookmarkStart w:id="72" w:name="_Toc30474"/>
            <w:r>
              <w:rPr>
                <w:rFonts w:hint="eastAsia" w:ascii="仿宋" w:hAnsi="仿宋" w:eastAsia="仿宋" w:cs="仿宋"/>
                <w:sz w:val="24"/>
                <w:szCs w:val="24"/>
              </w:rPr>
              <w:t>毕业学位管理</w:t>
            </w:r>
            <w:bookmarkEnd w:id="72"/>
          </w:p>
          <w:p>
            <w:pPr>
              <w:numPr>
                <w:ilvl w:val="0"/>
                <w:numId w:val="24"/>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毕业管理</w:t>
            </w:r>
          </w:p>
          <w:p>
            <w:pPr>
              <w:numPr>
                <w:ilvl w:val="0"/>
                <w:numId w:val="2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支持自定义毕业批次名称与学生范围，学生范围支持批量加入与撤回；</w:t>
            </w:r>
          </w:p>
          <w:p>
            <w:pPr>
              <w:numPr>
                <w:ilvl w:val="0"/>
                <w:numId w:val="2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可设置是否允许学生自主申请毕业，自主申请可设置论文成绩、课程通过、平均成绩、毕业时间的申请条件；</w:t>
            </w:r>
          </w:p>
          <w:p>
            <w:pPr>
              <w:numPr>
                <w:ilvl w:val="0"/>
                <w:numId w:val="2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支持灵活设置毕业审核环节，包括并不仅限于是否开启毕业生登记表、学费、课程、论文、毕业照片等环节，流程顺序可自定义；</w:t>
            </w:r>
          </w:p>
          <w:p>
            <w:pPr>
              <w:numPr>
                <w:ilvl w:val="0"/>
                <w:numId w:val="2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支持实习报告材料的收集，可自定义名称、审核等级、说明，支持设置模板供学生下载参考，支持多材料类型收集，包括并不仅限于图片、文档、压缩包等；支持设置收集时间、范围、审批人等；</w:t>
            </w:r>
          </w:p>
          <w:p>
            <w:pPr>
              <w:numPr>
                <w:ilvl w:val="0"/>
                <w:numId w:val="2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支持设置毕业信息核对表模板，实现学生在线填写提交，支持添加电子签名；</w:t>
            </w:r>
          </w:p>
          <w:p>
            <w:pPr>
              <w:numPr>
                <w:ilvl w:val="0"/>
                <w:numId w:val="2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支持设置毕业生登记表模板，登记方式支持模板登记或在线登记，支持添加电子签名，实现学生在线提交，管理端审核；</w:t>
            </w:r>
          </w:p>
          <w:p>
            <w:pPr>
              <w:numPr>
                <w:ilvl w:val="0"/>
                <w:numId w:val="2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支持毕业证号管理，可自定义毕业证号生成规则，系统批量自动生成，也支持导入、清理毕业证号；</w:t>
            </w:r>
          </w:p>
          <w:p>
            <w:pPr>
              <w:numPr>
                <w:ilvl w:val="0"/>
                <w:numId w:val="2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毕业生登记表审核支持预览毕业生登记表以及学生电子签名，审核支持添加审核人的电子签名；</w:t>
            </w:r>
          </w:p>
          <w:p>
            <w:pPr>
              <w:numPr>
                <w:ilvl w:val="0"/>
                <w:numId w:val="2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支持一键式审核与分阶段审核，支持多级审核流程（例如：教学点初审后由学校终审）；</w:t>
            </w:r>
          </w:p>
          <w:p>
            <w:pPr>
              <w:numPr>
                <w:ilvl w:val="0"/>
                <w:numId w:val="2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实现毕业学历注册信息导出：可导出应毕业的学生名单，支持Excel数据导出及DBF格式文件，DBF文件可直接上传学信网进行学历注册。</w:t>
            </w:r>
          </w:p>
          <w:p>
            <w:pPr>
              <w:numPr>
                <w:ilvl w:val="0"/>
                <w:numId w:val="24"/>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学位管理</w:t>
            </w:r>
          </w:p>
          <w:p>
            <w:pPr>
              <w:numPr>
                <w:ilvl w:val="0"/>
                <w:numId w:val="26"/>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支持自定义学位批次名称与学生范围，学生范围支持批量加入与撤回；</w:t>
            </w:r>
          </w:p>
          <w:p>
            <w:pPr>
              <w:numPr>
                <w:ilvl w:val="0"/>
                <w:numId w:val="26"/>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可设置是否允许学生自主申请学位，自主申请可设置论文成绩、课程通过、平均成绩、学位课成绩、学位课平均分、学位外语、毕业时间范围等申请条件；</w:t>
            </w:r>
          </w:p>
          <w:p>
            <w:pPr>
              <w:numPr>
                <w:ilvl w:val="0"/>
                <w:numId w:val="26"/>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支持灵活设置学位审核环节，包括并不仅限于学位申请书、学位外语、课程通过情况、毕业、学位考试、论文、等环节，流程顺序可自定义；</w:t>
            </w:r>
          </w:p>
          <w:p>
            <w:pPr>
              <w:numPr>
                <w:ilvl w:val="0"/>
                <w:numId w:val="26"/>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学位外语成绩管理：支持批量导入/修改学位外语成绩，查询学位外语成绩。支持学位外语成绩从考试系统直接同步；</w:t>
            </w:r>
          </w:p>
          <w:p>
            <w:pPr>
              <w:numPr>
                <w:ilvl w:val="0"/>
                <w:numId w:val="26"/>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学位课程考试成绩管理：支持批量导入/修改学位课考试成绩，查询学位课考试成绩，支持学位课程成绩从考试系统直接同步；</w:t>
            </w:r>
          </w:p>
          <w:p>
            <w:pPr>
              <w:numPr>
                <w:ilvl w:val="0"/>
                <w:numId w:val="26"/>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支持学位申请书模板，登记方式支持模板登记或在线登记，实现学生在线提交，管理端审核；支持添加设置其他证明材料；</w:t>
            </w:r>
          </w:p>
          <w:p>
            <w:pPr>
              <w:numPr>
                <w:ilvl w:val="0"/>
                <w:numId w:val="26"/>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支持学位证号管理，可自定义学位证号生成规则，系统批量自动生成，也支持导入、清理学位证号；</w:t>
            </w:r>
          </w:p>
          <w:p>
            <w:pPr>
              <w:numPr>
                <w:ilvl w:val="0"/>
                <w:numId w:val="26"/>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学位申请书审核支持预览学生填写后的申请书以及电子签名，审核支持添加审核人的电子签名；</w:t>
            </w:r>
          </w:p>
          <w:p>
            <w:pPr>
              <w:numPr>
                <w:ilvl w:val="0"/>
                <w:numId w:val="26"/>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支持一键式审核与分阶段审核，支持多级审核：可由学校审核，或由教学点审核通过后再由学校进行审核；</w:t>
            </w:r>
          </w:p>
          <w:p>
            <w:pPr>
              <w:numPr>
                <w:ilvl w:val="0"/>
                <w:numId w:val="26"/>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实现学位上报信息导出：可导出学位上报的学生名单，支持Excel数据导出及DBF格式文件，DBF文件格式与政策要求一致。</w:t>
            </w:r>
          </w:p>
          <w:p>
            <w:pPr>
              <w:pStyle w:val="6"/>
              <w:numPr>
                <w:ilvl w:val="2"/>
                <w:numId w:val="6"/>
              </w:numPr>
              <w:wordWrap w:val="0"/>
              <w:spacing w:line="380" w:lineRule="exact"/>
              <w:rPr>
                <w:rFonts w:ascii="仿宋" w:hAnsi="仿宋" w:eastAsia="仿宋" w:cs="仿宋"/>
                <w:sz w:val="24"/>
                <w:szCs w:val="24"/>
              </w:rPr>
            </w:pPr>
            <w:bookmarkStart w:id="73" w:name="_Toc6755"/>
            <w:bookmarkStart w:id="74" w:name="_Toc2107"/>
            <w:r>
              <w:rPr>
                <w:rFonts w:hint="eastAsia" w:ascii="仿宋" w:hAnsi="仿宋" w:eastAsia="仿宋" w:cs="仿宋"/>
                <w:sz w:val="24"/>
                <w:szCs w:val="24"/>
              </w:rPr>
              <w:t>财务缴费管理</w:t>
            </w:r>
            <w:bookmarkEnd w:id="73"/>
            <w:bookmarkEnd w:id="74"/>
          </w:p>
          <w:p>
            <w:pPr>
              <w:numPr>
                <w:ilvl w:val="0"/>
                <w:numId w:val="27"/>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支持学费按照年级、层次、专业、站点设置对应标准，也支持通过模板批量导入学费标准；</w:t>
            </w:r>
          </w:p>
          <w:p>
            <w:pPr>
              <w:numPr>
                <w:ilvl w:val="0"/>
                <w:numId w:val="27"/>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支持独立设置学生的学费标准；</w:t>
            </w:r>
          </w:p>
          <w:p>
            <w:pPr>
              <w:numPr>
                <w:ilvl w:val="0"/>
                <w:numId w:val="27"/>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缴费管理支持筛选查看学生缴费情况，包括学费总额、应缴学费、已缴学费、已退学费、欠费金额、缴费状态。支持汇总表与明细表导出；</w:t>
            </w:r>
          </w:p>
          <w:p>
            <w:pPr>
              <w:numPr>
                <w:ilvl w:val="0"/>
                <w:numId w:val="27"/>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支持单条录入或批量导入站点返款标准，系统自动计算缴费点返款金额，展示返款明细，其中缴费点返款金额可显示分成比例、学费总额、已缴学费总额、学生缴费率、应返款额等，并支持按筛选项导出数据；</w:t>
            </w:r>
          </w:p>
          <w:p>
            <w:pPr>
              <w:numPr>
                <w:ilvl w:val="0"/>
                <w:numId w:val="27"/>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在学校财务支持情况下，可实现系统与学校财务进行接口对接，实现学生在跳转学校财务缴费，自动获取学生缴费记录数据与明细，限制未缴费学生学习。</w:t>
            </w:r>
          </w:p>
          <w:p>
            <w:pPr>
              <w:pStyle w:val="6"/>
              <w:numPr>
                <w:ilvl w:val="2"/>
                <w:numId w:val="6"/>
              </w:numPr>
              <w:wordWrap w:val="0"/>
              <w:spacing w:line="380" w:lineRule="exact"/>
              <w:rPr>
                <w:rFonts w:ascii="仿宋" w:hAnsi="仿宋" w:eastAsia="仿宋" w:cs="仿宋"/>
                <w:sz w:val="24"/>
                <w:szCs w:val="24"/>
              </w:rPr>
            </w:pPr>
            <w:bookmarkStart w:id="75" w:name="_Toc15618"/>
            <w:bookmarkStart w:id="76" w:name="_Toc5397"/>
            <w:r>
              <w:rPr>
                <w:rFonts w:hint="eastAsia" w:ascii="仿宋" w:hAnsi="仿宋" w:eastAsia="仿宋" w:cs="仿宋"/>
                <w:sz w:val="24"/>
                <w:szCs w:val="24"/>
              </w:rPr>
              <w:t>统计分析管理</w:t>
            </w:r>
            <w:bookmarkEnd w:id="75"/>
            <w:bookmarkEnd w:id="76"/>
          </w:p>
          <w:p>
            <w:pPr>
              <w:wordWrap w:val="0"/>
              <w:spacing w:line="380" w:lineRule="exact"/>
              <w:ind w:firstLine="480"/>
              <w:rPr>
                <w:rFonts w:ascii="仿宋" w:hAnsi="仿宋" w:eastAsia="仿宋" w:cs="仿宋"/>
                <w:sz w:val="24"/>
              </w:rPr>
            </w:pPr>
            <w:r>
              <w:rPr>
                <w:rFonts w:hint="eastAsia" w:ascii="仿宋" w:hAnsi="仿宋" w:eastAsia="仿宋" w:cs="仿宋"/>
                <w:sz w:val="24"/>
              </w:rPr>
              <w:t>支持采用数据可视化技术，提供交互式的图形化和可视化的界面统计图表，如柱状图和折线图等。支持灵活的查询和筛选方式，同时提供数据导出功能，方便用户对统计数据进行二次处理和分析。采用前端框架和数据可视化库，确保统计数据的准确性和实时性，该模块支持按需求将子模块分配给对应角色，提高管理员和教师使用的效率和体验。</w:t>
            </w:r>
          </w:p>
          <w:p>
            <w:pPr>
              <w:numPr>
                <w:ilvl w:val="0"/>
                <w:numId w:val="2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招生统计功能旨在支持招生计划与录取情况的统计分析，能够细化至各个教学点，以评估招生计划的完成情况。此外，该功能还支持依据不同省份进行分类统计，从而提供学校学生录取人数的概览以及各专业的最低录取分数线。</w:t>
            </w:r>
          </w:p>
          <w:p>
            <w:pPr>
              <w:numPr>
                <w:ilvl w:val="0"/>
                <w:numId w:val="2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教学统计</w:t>
            </w:r>
          </w:p>
          <w:p>
            <w:pPr>
              <w:numPr>
                <w:ilvl w:val="0"/>
                <w:numId w:val="29"/>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支持教学环节学生各项数据统计，包括并不仅限于学生登录次数、课件学习时长、资料学习时长、直播学习时长、学生签到、学生答疑、学习进度、课程通过情况统计；</w:t>
            </w:r>
          </w:p>
          <w:p>
            <w:pPr>
              <w:numPr>
                <w:ilvl w:val="0"/>
                <w:numId w:val="29"/>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支持教学环节教师各项数据统计，包括并不仅限于教师答疑、教师直播、教学安排、教学学时安排、排课上课人数、教师课时安排情况统计；</w:t>
            </w:r>
          </w:p>
          <w:p>
            <w:pPr>
              <w:numPr>
                <w:ilvl w:val="0"/>
                <w:numId w:val="29"/>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统计支持按图表统计与数据列表两种形式；</w:t>
            </w:r>
          </w:p>
          <w:p>
            <w:pPr>
              <w:numPr>
                <w:ilvl w:val="0"/>
                <w:numId w:val="29"/>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统计时段支持按天、周、月或自定义时间范围，数据可筛选查看导出；</w:t>
            </w:r>
          </w:p>
          <w:p>
            <w:pPr>
              <w:numPr>
                <w:ilvl w:val="0"/>
                <w:numId w:val="29"/>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各统计模块数据支持按照筛选项搜索、在线查看及导出数据。</w:t>
            </w:r>
          </w:p>
          <w:p>
            <w:pPr>
              <w:numPr>
                <w:ilvl w:val="0"/>
                <w:numId w:val="2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教务统计</w:t>
            </w:r>
          </w:p>
          <w:p>
            <w:pPr>
              <w:numPr>
                <w:ilvl w:val="0"/>
                <w:numId w:val="30"/>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支持教务管理各项数据统计，包括并不仅限于个各教学点学生人数、学籍确认情况、学生注册情况、毕业情况、学位情况、教师师资、教师职称数据统计；</w:t>
            </w:r>
          </w:p>
          <w:p>
            <w:pPr>
              <w:numPr>
                <w:ilvl w:val="0"/>
                <w:numId w:val="30"/>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各统计模块数据支持按照筛选项搜索、在线查看及导出数据表。</w:t>
            </w:r>
          </w:p>
          <w:p>
            <w:pPr>
              <w:numPr>
                <w:ilvl w:val="0"/>
                <w:numId w:val="2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考务统计</w:t>
            </w:r>
          </w:p>
          <w:p>
            <w:pPr>
              <w:numPr>
                <w:ilvl w:val="0"/>
                <w:numId w:val="31"/>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支持学生的考试情况查询与导出，包含但不限于学生参考情况、学生通过情况、学生答卷情况、学生成绩分布情况，直观显示各阶段分值的学生人数与占比统计；</w:t>
            </w:r>
          </w:p>
          <w:p>
            <w:pPr>
              <w:numPr>
                <w:ilvl w:val="0"/>
                <w:numId w:val="31"/>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学生答卷统计支持导出学生考试答卷，便于试卷的留档保存；</w:t>
            </w:r>
          </w:p>
          <w:p>
            <w:pPr>
              <w:numPr>
                <w:ilvl w:val="0"/>
                <w:numId w:val="31"/>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支持教师阅卷进度、教师阅卷情况的统计，直观的展示考试需阅卷总数，已阅卷数量，可查看不同教师阅卷数量便于绩效结算；</w:t>
            </w:r>
          </w:p>
          <w:p>
            <w:pPr>
              <w:numPr>
                <w:ilvl w:val="0"/>
                <w:numId w:val="31"/>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统计支持按图表统计与数据列表两种形式；</w:t>
            </w:r>
          </w:p>
          <w:p>
            <w:pPr>
              <w:numPr>
                <w:ilvl w:val="0"/>
                <w:numId w:val="31"/>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统计时段支持按天、周、月或自定义时间范围，数据可按筛选查看导出；</w:t>
            </w:r>
          </w:p>
          <w:p>
            <w:pPr>
              <w:numPr>
                <w:ilvl w:val="0"/>
                <w:numId w:val="2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财务数据统计，</w:t>
            </w:r>
          </w:p>
          <w:p>
            <w:pPr>
              <w:numPr>
                <w:ilvl w:val="0"/>
                <w:numId w:val="3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支持学费缴费情况统计，包括按学年统计、按学生统计俩种形式；</w:t>
            </w:r>
          </w:p>
          <w:p>
            <w:pPr>
              <w:numPr>
                <w:ilvl w:val="0"/>
                <w:numId w:val="3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图表统计支持饼状图直观展示学生学费缴费情况，包括已缴费、未缴费、部分缴费的比例；</w:t>
            </w:r>
          </w:p>
          <w:p>
            <w:pPr>
              <w:numPr>
                <w:ilvl w:val="0"/>
                <w:numId w:val="3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数据列表统计支持按学生查看详细的应缴学费、已缴学费、已退学费、欠费金额与缴费状态，数据可筛选查看导出。</w:t>
            </w:r>
          </w:p>
          <w:p>
            <w:pPr>
              <w:numPr>
                <w:ilvl w:val="0"/>
                <w:numId w:val="2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论文数据统计</w:t>
            </w:r>
          </w:p>
          <w:p>
            <w:pPr>
              <w:numPr>
                <w:ilvl w:val="0"/>
                <w:numId w:val="33"/>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支持按批次查看论文环节进度情况统计，把握论文批次进展，支持环形图查看、导出批次下各环节人数占比，支持按批次查看、导出学生所处环节及环节审核状态；</w:t>
            </w:r>
          </w:p>
          <w:p>
            <w:pPr>
              <w:numPr>
                <w:ilvl w:val="0"/>
                <w:numId w:val="33"/>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★支持按批次查看查重、格式等论文质量情况，把握论文批次质量变化统计，支持折线图查看、导出批次下学生论文查重率、格式差错率；支持导出学生论文查重率、格式差错率；支持多批次同时查看比对。</w:t>
            </w:r>
          </w:p>
          <w:p>
            <w:pPr>
              <w:numPr>
                <w:ilvl w:val="0"/>
                <w:numId w:val="33"/>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支持按批次查看论文成绩分布情况统计，把握论文批次成绩变化，支持箱线图查看、导出批次下学生成绩的最高分、最低分、中位数以及四分位区间；支持多批次同时查看比对。</w:t>
            </w:r>
          </w:p>
          <w:p>
            <w:pPr>
              <w:pStyle w:val="6"/>
              <w:numPr>
                <w:ilvl w:val="2"/>
                <w:numId w:val="6"/>
              </w:numPr>
              <w:wordWrap w:val="0"/>
              <w:spacing w:line="380" w:lineRule="exact"/>
              <w:rPr>
                <w:rFonts w:ascii="仿宋" w:hAnsi="仿宋" w:eastAsia="仿宋" w:cs="仿宋"/>
                <w:sz w:val="24"/>
                <w:szCs w:val="24"/>
              </w:rPr>
            </w:pPr>
            <w:bookmarkStart w:id="77" w:name="_Toc1225"/>
            <w:bookmarkStart w:id="78" w:name="_Toc20985"/>
            <w:r>
              <w:rPr>
                <w:rFonts w:hint="eastAsia" w:ascii="仿宋" w:hAnsi="仿宋" w:eastAsia="仿宋" w:cs="仿宋"/>
                <w:sz w:val="24"/>
                <w:szCs w:val="24"/>
              </w:rPr>
              <w:t>督导评教管理</w:t>
            </w:r>
            <w:bookmarkEnd w:id="77"/>
            <w:bookmarkEnd w:id="78"/>
          </w:p>
          <w:p>
            <w:pPr>
              <w:numPr>
                <w:ilvl w:val="0"/>
                <w:numId w:val="34"/>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督导设置</w:t>
            </w:r>
          </w:p>
          <w:p>
            <w:pPr>
              <w:numPr>
                <w:ilvl w:val="0"/>
                <w:numId w:val="3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校进行督导管理设置，可启用听课前提醒功能，提醒时间可自定义设置为1天前、1小时前、15分钟前、5分钟前、或在开始时进行提醒；支持设置督导老师的督导范围，包括督导学期、督导单位、督导层次、督导专业；</w:t>
            </w:r>
          </w:p>
          <w:p>
            <w:pPr>
              <w:numPr>
                <w:ilvl w:val="0"/>
                <w:numId w:val="3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支持设置督导老师的督导次数，支持单独设置或统一设置；</w:t>
            </w:r>
          </w:p>
          <w:p>
            <w:pPr>
              <w:numPr>
                <w:ilvl w:val="0"/>
                <w:numId w:val="3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批量或单独添加督导任务，可选择按照课程或按教师添加两种形式，实现对教师授课课程的督导设置。可设置任务的开始与截止时间，支持设置是否必须完成、是否推门听课、是否需要反馈，反馈支持关联预设的督导模板；支持批量或单独指派督导员；</w:t>
            </w:r>
          </w:p>
          <w:p>
            <w:pPr>
              <w:numPr>
                <w:ilvl w:val="0"/>
                <w:numId w:val="3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支持督导员自行申请督导，由上课老师或管理员审核督导申请，实现流程化审批管理。</w:t>
            </w:r>
          </w:p>
          <w:p>
            <w:pPr>
              <w:numPr>
                <w:ilvl w:val="0"/>
                <w:numId w:val="34"/>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督导空间</w:t>
            </w:r>
          </w:p>
          <w:p>
            <w:pPr>
              <w:numPr>
                <w:ilvl w:val="0"/>
                <w:numId w:val="36"/>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督导员支持在督导课程中查看自己督导范围下的所有课程，可筛选定位想听评的对象；</w:t>
            </w:r>
          </w:p>
          <w:p>
            <w:pPr>
              <w:numPr>
                <w:ilvl w:val="0"/>
                <w:numId w:val="36"/>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督导员支持在督导课表中查看自己督导范围下线上授课的课表，可选择合适的课次加入评课计划，提交审核；</w:t>
            </w:r>
          </w:p>
          <w:p>
            <w:pPr>
              <w:numPr>
                <w:ilvl w:val="0"/>
                <w:numId w:val="36"/>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督导员支持我的任务中查看所有管理员指派给自己的评课任务，可选择接受或拒绝，必须完成的任务不能拒绝；</w:t>
            </w:r>
          </w:p>
          <w:p>
            <w:pPr>
              <w:numPr>
                <w:ilvl w:val="0"/>
                <w:numId w:val="36"/>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支持督导员自行申请督导，由上课老师或管理员审核督导申请，实现流程化审批管理；</w:t>
            </w:r>
          </w:p>
          <w:p>
            <w:pPr>
              <w:numPr>
                <w:ilvl w:val="0"/>
                <w:numId w:val="36"/>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支持督导计划的直观查看，可分别查看进行中、未完成、已完成的督导计划；支持点击评课进入在线课听课，听课完成后可进行在线评教。</w:t>
            </w:r>
          </w:p>
          <w:p>
            <w:pPr>
              <w:numPr>
                <w:ilvl w:val="0"/>
                <w:numId w:val="34"/>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评教管理</w:t>
            </w:r>
          </w:p>
          <w:p>
            <w:pPr>
              <w:numPr>
                <w:ilvl w:val="0"/>
                <w:numId w:val="37"/>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通过多种类型的问题组件根据目的设置对应的收集项/调研项，组件类型主要包括单选、多选和问答（建议以选择题为主），组装成表单后可分享给其他用户填写以收集结果；督导管理员引用上述创建的表单，作为督导听课填写评教结果的内容模板，即督评模板；</w:t>
            </w:r>
          </w:p>
          <w:p>
            <w:pPr>
              <w:numPr>
                <w:ilvl w:val="0"/>
                <w:numId w:val="37"/>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支持评教结果汇总，可根据模板或评教任务要素进行筛选查看，被评教师、修课学期、督导等；支持将筛选结果汇总进行统计，查看选定督评模板中各个项的评价情况；支持下载评教附件；</w:t>
            </w:r>
          </w:p>
          <w:p>
            <w:pPr>
              <w:numPr>
                <w:ilvl w:val="0"/>
                <w:numId w:val="37"/>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实现上课学生对教学老师的课程评价，支持教学老师自定义问题来创建自己的课堂评价问卷；支持在对应课次结束（或到达问卷开放收集时间）后，系统自动将评价问卷推送给上课班级的学生。并且老师可以开关“匿名填写”、“填写人可查看统计数据”等评价问卷设置。</w:t>
            </w:r>
          </w:p>
          <w:p>
            <w:pPr>
              <w:numPr>
                <w:ilvl w:val="0"/>
                <w:numId w:val="34"/>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评教统计分析</w:t>
            </w:r>
          </w:p>
          <w:p>
            <w:pPr>
              <w:numPr>
                <w:ilvl w:val="0"/>
                <w:numId w:val="3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可以查看各个督导的应督导次数、已督导次数和完成率，支持查看明细表和导出数据。</w:t>
            </w:r>
          </w:p>
          <w:p>
            <w:pPr>
              <w:pStyle w:val="5"/>
              <w:wordWrap w:val="0"/>
              <w:spacing w:before="0" w:after="0" w:line="380" w:lineRule="exact"/>
              <w:rPr>
                <w:rFonts w:ascii="仿宋" w:hAnsi="仿宋" w:eastAsia="仿宋" w:cs="仿宋"/>
                <w:sz w:val="24"/>
                <w:szCs w:val="24"/>
              </w:rPr>
            </w:pPr>
            <w:bookmarkStart w:id="79" w:name="_Toc10821"/>
            <w:r>
              <w:rPr>
                <w:rFonts w:hint="eastAsia" w:ascii="仿宋" w:hAnsi="仿宋" w:eastAsia="仿宋" w:cs="仿宋"/>
                <w:sz w:val="24"/>
                <w:szCs w:val="24"/>
              </w:rPr>
              <w:t>（二）教师教学平台</w:t>
            </w:r>
            <w:bookmarkEnd w:id="79"/>
          </w:p>
          <w:p>
            <w:pPr>
              <w:pStyle w:val="6"/>
              <w:numPr>
                <w:ilvl w:val="2"/>
                <w:numId w:val="6"/>
              </w:numPr>
              <w:wordWrap w:val="0"/>
              <w:spacing w:line="380" w:lineRule="exact"/>
              <w:rPr>
                <w:rFonts w:ascii="仿宋" w:hAnsi="仿宋" w:eastAsia="仿宋" w:cs="仿宋"/>
                <w:sz w:val="24"/>
                <w:szCs w:val="24"/>
              </w:rPr>
            </w:pPr>
            <w:bookmarkStart w:id="80" w:name="_Toc16098"/>
            <w:r>
              <w:rPr>
                <w:rFonts w:hint="eastAsia" w:ascii="仿宋" w:hAnsi="仿宋" w:eastAsia="仿宋" w:cs="仿宋"/>
                <w:sz w:val="24"/>
                <w:szCs w:val="24"/>
              </w:rPr>
              <w:t>教学</w:t>
            </w:r>
            <w:bookmarkEnd w:id="80"/>
            <w:r>
              <w:rPr>
                <w:rFonts w:hint="eastAsia" w:ascii="仿宋" w:hAnsi="仿宋" w:eastAsia="仿宋" w:cs="仿宋"/>
                <w:sz w:val="24"/>
                <w:szCs w:val="24"/>
              </w:rPr>
              <w:t>形式</w:t>
            </w:r>
          </w:p>
          <w:p>
            <w:pPr>
              <w:numPr>
                <w:ilvl w:val="0"/>
                <w:numId w:val="39"/>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支持多样化的教学模式，包括纯网络教学、线上线下同步教学、直播授课教学、录播教学，支持学校根据实际情况使用；</w:t>
            </w:r>
          </w:p>
          <w:p>
            <w:pPr>
              <w:numPr>
                <w:ilvl w:val="0"/>
                <w:numId w:val="39"/>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直播教学</w:t>
            </w:r>
          </w:p>
          <w:p>
            <w:pPr>
              <w:numPr>
                <w:ilvl w:val="0"/>
                <w:numId w:val="40"/>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教师可按照学生年级、专业、层次、教学点，设置直播授课课表，直播的章节名称支持自定义编辑，位置可根据实际教学安排拖动；</w:t>
            </w:r>
          </w:p>
          <w:p>
            <w:pPr>
              <w:numPr>
                <w:ilvl w:val="0"/>
                <w:numId w:val="41"/>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教师可通过快捷按钮快速查看课表信息，教师支持按学期、专业、班级筛选课表，提供周/月视图，可通过课表安排快捷建课；</w:t>
            </w:r>
          </w:p>
          <w:p>
            <w:pPr>
              <w:numPr>
                <w:ilvl w:val="0"/>
                <w:numId w:val="40"/>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直播教学支持网页端、移动端、PC客户端三种途径进行；</w:t>
            </w:r>
          </w:p>
          <w:p>
            <w:pPr>
              <w:numPr>
                <w:ilvl w:val="0"/>
                <w:numId w:val="40"/>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直播前系统可自动校验直播环境检测，包括麦克风检测、摄像头检测、共享屏幕环境检测；</w:t>
            </w:r>
          </w:p>
          <w:p>
            <w:pPr>
              <w:numPr>
                <w:ilvl w:val="0"/>
                <w:numId w:val="40"/>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直播支持共享屏幕画面，可选择开启或关闭摄像头，摄像头支持设置虚拟背景；</w:t>
            </w:r>
          </w:p>
          <w:p>
            <w:pPr>
              <w:numPr>
                <w:ilvl w:val="0"/>
                <w:numId w:val="40"/>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直播中支持暂停操作，暂停结束后支持继续直播，可灵活操作确保直播内容的一致性；</w:t>
            </w:r>
          </w:p>
          <w:p>
            <w:pPr>
              <w:numPr>
                <w:ilvl w:val="0"/>
                <w:numId w:val="40"/>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支持直播环境的自检，老师扫码后可查看直播间画面与声音，自行检测直播是否正常；</w:t>
            </w:r>
          </w:p>
          <w:p>
            <w:pPr>
              <w:numPr>
                <w:ilvl w:val="0"/>
                <w:numId w:val="40"/>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直播过程中支持查看在线人数，支持是否设置禁止举手、禁言、发布公告、签到等操作；其中发起签到可自定义时长；</w:t>
            </w:r>
          </w:p>
          <w:p>
            <w:pPr>
              <w:numPr>
                <w:ilvl w:val="0"/>
                <w:numId w:val="40"/>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直播支持使用画笔、使用白板操作；</w:t>
            </w:r>
          </w:p>
          <w:p>
            <w:pPr>
              <w:numPr>
                <w:ilvl w:val="0"/>
                <w:numId w:val="40"/>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直播结束后支持自动转成回放，便于学生后续观看以及满足课程建设自建课要求。</w:t>
            </w:r>
          </w:p>
          <w:p>
            <w:pPr>
              <w:numPr>
                <w:ilvl w:val="0"/>
                <w:numId w:val="39"/>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线上线下同步教学支持学生通过线上签到自动获得考勤分，节省线下人力成本。</w:t>
            </w:r>
          </w:p>
          <w:p>
            <w:pPr>
              <w:numPr>
                <w:ilvl w:val="0"/>
                <w:numId w:val="39"/>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支持线下课程排课功能，并支持面授上课时教师发起课程签到。</w:t>
            </w:r>
          </w:p>
          <w:p>
            <w:pPr>
              <w:pStyle w:val="6"/>
              <w:numPr>
                <w:ilvl w:val="2"/>
                <w:numId w:val="6"/>
              </w:numPr>
              <w:wordWrap w:val="0"/>
              <w:spacing w:line="380" w:lineRule="exact"/>
              <w:rPr>
                <w:rFonts w:ascii="仿宋" w:hAnsi="仿宋" w:eastAsia="仿宋" w:cs="仿宋"/>
                <w:sz w:val="24"/>
                <w:szCs w:val="24"/>
              </w:rPr>
            </w:pPr>
            <w:r>
              <w:rPr>
                <w:rFonts w:hint="eastAsia" w:ascii="仿宋" w:hAnsi="仿宋" w:eastAsia="仿宋" w:cs="仿宋"/>
                <w:sz w:val="24"/>
                <w:szCs w:val="24"/>
              </w:rPr>
              <w:t>教学资源</w:t>
            </w:r>
          </w:p>
          <w:p>
            <w:pPr>
              <w:wordWrap w:val="0"/>
              <w:spacing w:line="380" w:lineRule="exact"/>
              <w:ind w:firstLine="480"/>
              <w:rPr>
                <w:rFonts w:ascii="仿宋" w:hAnsi="仿宋" w:eastAsia="仿宋" w:cs="仿宋"/>
                <w:sz w:val="24"/>
              </w:rPr>
            </w:pPr>
            <w:r>
              <w:rPr>
                <w:rFonts w:hint="eastAsia" w:ascii="仿宋" w:hAnsi="仿宋" w:eastAsia="仿宋" w:cs="仿宋"/>
                <w:sz w:val="24"/>
              </w:rPr>
              <w:t>教学资源管理包括了课程资料、作业与考试试卷资源、授课素材资源管理。</w:t>
            </w:r>
          </w:p>
          <w:p>
            <w:pPr>
              <w:numPr>
                <w:ilvl w:val="0"/>
                <w:numId w:val="4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实现课程资料位置教师上传对应的资料，包括链接、附件资料，附件支持文档、压缩包、图片等内容；</w:t>
            </w:r>
          </w:p>
          <w:p>
            <w:pPr>
              <w:numPr>
                <w:ilvl w:val="0"/>
                <w:numId w:val="4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支持教师根据题库自主选择题目组成新试卷，或设置试卷要求后自动生成新的试卷，支持将生成的试卷导出成word文档用于线下考试；</w:t>
            </w:r>
          </w:p>
          <w:p>
            <w:pPr>
              <w:numPr>
                <w:ilvl w:val="0"/>
                <w:numId w:val="4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支持本地试卷的线下导入，系统支持展示对应的上传样板，导入AI自动识别本地试卷的试卷题目类型、答案等信息，形成在线试卷使用；</w:t>
            </w:r>
          </w:p>
          <w:p>
            <w:pPr>
              <w:numPr>
                <w:ilvl w:val="0"/>
                <w:numId w:val="4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支持教学素材管理，可将本地素材包括视频、PPT、图片等上传至在线空间，用于授课时调用；</w:t>
            </w:r>
          </w:p>
          <w:p>
            <w:pPr>
              <w:pStyle w:val="6"/>
              <w:numPr>
                <w:ilvl w:val="2"/>
                <w:numId w:val="6"/>
              </w:numPr>
              <w:wordWrap w:val="0"/>
              <w:spacing w:line="380" w:lineRule="exact"/>
              <w:ind w:firstLine="482" w:firstLineChars="200"/>
              <w:rPr>
                <w:rFonts w:ascii="仿宋" w:hAnsi="仿宋" w:eastAsia="仿宋" w:cs="仿宋"/>
                <w:sz w:val="24"/>
                <w:szCs w:val="24"/>
              </w:rPr>
            </w:pPr>
            <w:r>
              <w:rPr>
                <w:rFonts w:hint="eastAsia" w:ascii="仿宋" w:hAnsi="仿宋" w:eastAsia="仿宋" w:cs="仿宋"/>
                <w:sz w:val="24"/>
                <w:szCs w:val="24"/>
              </w:rPr>
              <w:t>教学互动</w:t>
            </w:r>
          </w:p>
          <w:p>
            <w:pPr>
              <w:numPr>
                <w:ilvl w:val="0"/>
                <w:numId w:val="43"/>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可针对课程发布在线作业，作业可来源于题库或上传本地作业，可查看学生作业的提交情况，并进行在线批改；</w:t>
            </w:r>
          </w:p>
          <w:p>
            <w:pPr>
              <w:numPr>
                <w:ilvl w:val="0"/>
                <w:numId w:val="43"/>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可在线批改学生考试，可查看学生考试完成状态，其中客观题系统自动阅卷，主观题支持自动阅卷或老师手动阅卷两种方式；</w:t>
            </w:r>
          </w:p>
          <w:p>
            <w:pPr>
              <w:numPr>
                <w:ilvl w:val="0"/>
                <w:numId w:val="43"/>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支持录入学生的线下课成绩，系统自动根据得分规则构成汇算总分；</w:t>
            </w:r>
          </w:p>
          <w:p>
            <w:pPr>
              <w:numPr>
                <w:ilvl w:val="0"/>
                <w:numId w:val="43"/>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支持针对课程发起答疑，也可在线回复学生的问题，查看学生的回复，进行线上互动；</w:t>
            </w:r>
          </w:p>
          <w:p>
            <w:pPr>
              <w:numPr>
                <w:ilvl w:val="0"/>
                <w:numId w:val="43"/>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支持查看学生的签到情况，支持针对线下课发起签到，学生可扫码签到，避免人工考勤；</w:t>
            </w:r>
          </w:p>
          <w:p>
            <w:pPr>
              <w:pStyle w:val="6"/>
              <w:numPr>
                <w:ilvl w:val="2"/>
                <w:numId w:val="6"/>
              </w:numPr>
              <w:wordWrap w:val="0"/>
              <w:spacing w:line="380" w:lineRule="exact"/>
              <w:rPr>
                <w:rFonts w:ascii="仿宋" w:hAnsi="仿宋" w:eastAsia="仿宋" w:cs="仿宋"/>
                <w:sz w:val="24"/>
                <w:szCs w:val="24"/>
              </w:rPr>
            </w:pPr>
            <w:r>
              <w:rPr>
                <w:rFonts w:hint="eastAsia" w:ascii="仿宋" w:hAnsi="仿宋" w:eastAsia="仿宋" w:cs="仿宋"/>
                <w:sz w:val="24"/>
                <w:szCs w:val="24"/>
              </w:rPr>
              <w:t>教学统计</w:t>
            </w:r>
          </w:p>
          <w:p>
            <w:pPr>
              <w:numPr>
                <w:ilvl w:val="0"/>
                <w:numId w:val="44"/>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支持统计学生对应课程的登录次数、课件学习时长、资料学习时长、直播学习时长、签到情况，支持数据导出；</w:t>
            </w:r>
          </w:p>
          <w:p>
            <w:pPr>
              <w:numPr>
                <w:ilvl w:val="0"/>
                <w:numId w:val="44"/>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支持筛选查看学生的学习进度，支持学生数据导出，可对学习进度较低的学生发送通知；</w:t>
            </w:r>
          </w:p>
          <w:p>
            <w:pPr>
              <w:pStyle w:val="6"/>
              <w:numPr>
                <w:ilvl w:val="2"/>
                <w:numId w:val="6"/>
              </w:numPr>
              <w:wordWrap w:val="0"/>
              <w:spacing w:line="380" w:lineRule="exact"/>
              <w:rPr>
                <w:rFonts w:ascii="仿宋" w:hAnsi="仿宋" w:eastAsia="仿宋" w:cs="仿宋"/>
                <w:sz w:val="24"/>
                <w:szCs w:val="24"/>
              </w:rPr>
            </w:pPr>
            <w:bookmarkStart w:id="81" w:name="_Toc17108"/>
            <w:r>
              <w:rPr>
                <w:rFonts w:hint="eastAsia" w:ascii="仿宋" w:hAnsi="仿宋" w:eastAsia="仿宋" w:cs="仿宋"/>
                <w:sz w:val="24"/>
                <w:szCs w:val="24"/>
              </w:rPr>
              <w:t>论文指导</w:t>
            </w:r>
            <w:bookmarkEnd w:id="81"/>
          </w:p>
          <w:p>
            <w:pPr>
              <w:pStyle w:val="7"/>
              <w:numPr>
                <w:ilvl w:val="3"/>
                <w:numId w:val="6"/>
              </w:numPr>
              <w:tabs>
                <w:tab w:val="left" w:pos="0"/>
                <w:tab w:val="clear" w:pos="420"/>
              </w:tabs>
              <w:wordWrap w:val="0"/>
              <w:spacing w:before="0" w:after="0" w:line="380" w:lineRule="exact"/>
              <w:rPr>
                <w:rFonts w:ascii="仿宋" w:hAnsi="仿宋" w:eastAsia="仿宋" w:cs="仿宋"/>
                <w:sz w:val="24"/>
                <w:szCs w:val="24"/>
              </w:rPr>
            </w:pPr>
            <w:bookmarkStart w:id="82" w:name="_Toc11874"/>
            <w:r>
              <w:rPr>
                <w:rFonts w:hint="eastAsia" w:ascii="仿宋" w:hAnsi="仿宋" w:eastAsia="仿宋" w:cs="仿宋"/>
                <w:sz w:val="24"/>
                <w:szCs w:val="24"/>
              </w:rPr>
              <w:t>过程管理</w:t>
            </w:r>
            <w:bookmarkEnd w:id="82"/>
          </w:p>
          <w:p>
            <w:pPr>
              <w:numPr>
                <w:ilvl w:val="0"/>
                <w:numId w:val="4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流程管理</w:t>
            </w:r>
          </w:p>
          <w:p>
            <w:pPr>
              <w:numPr>
                <w:ilvl w:val="0"/>
                <w:numId w:val="46"/>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自定义论文批次名称与学生范围，实现不同年级学生在同一论文批次内的管理。在流程范围内，学生可以批量加入或撤回，同时支持学生跨批次迁移，迁移后原论文数据得以保留。学校能够逐批次启动和监控论文流程，确保每个环节的顺利进行。</w:t>
            </w:r>
          </w:p>
          <w:p>
            <w:pPr>
              <w:numPr>
                <w:ilvl w:val="0"/>
                <w:numId w:val="46"/>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实现对不同批次论文写作流程的个性化配置，允许自定义各阶段的名称、审核标准，并且可以为每个阶段单独设定时间范围，确保与前一阶段文件的一致性；对于那些不需要学生线上参与的环节，例如论文答辩，可以限制学生查看，而不影响管理端对这些环节的控制。</w:t>
            </w:r>
          </w:p>
          <w:p>
            <w:pPr>
              <w:numPr>
                <w:ilvl w:val="0"/>
                <w:numId w:val="46"/>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论文指导环节可设置是否需要上传格式检测报告、第三方查重报告、校内查重报告，其中第三方查重报告可限制查重率高于对应百分比无法上传；</w:t>
            </w:r>
          </w:p>
          <w:p>
            <w:pPr>
              <w:numPr>
                <w:ilvl w:val="0"/>
                <w:numId w:val="46"/>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★支持独立设置指导、审核要求，如是否大数据辅助指导，指导、审核意见、环节分数是否需要与必填；</w:t>
            </w:r>
          </w:p>
          <w:p>
            <w:pPr>
              <w:numPr>
                <w:ilvl w:val="0"/>
                <w:numId w:val="46"/>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可设置论文流程是否开放学生权限，如是否开放填写计划申请学位、是否显示指导、评审老师等；</w:t>
            </w:r>
          </w:p>
          <w:p>
            <w:pPr>
              <w:numPr>
                <w:ilvl w:val="0"/>
                <w:numId w:val="46"/>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可自定义论文通过标准，设置不同环节论文成绩类型与占比；</w:t>
            </w:r>
          </w:p>
          <w:p>
            <w:pPr>
              <w:numPr>
                <w:ilvl w:val="0"/>
                <w:numId w:val="46"/>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可设置论文批次是否允许学生计划申请学位；</w:t>
            </w:r>
          </w:p>
          <w:p>
            <w:pPr>
              <w:numPr>
                <w:ilvl w:val="0"/>
                <w:numId w:val="46"/>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支持设置开启论文格式检测，可设置格式检测模板范围、上传方式等，保证论文的质量和学术水平；</w:t>
            </w:r>
          </w:p>
          <w:p>
            <w:pPr>
              <w:numPr>
                <w:ilvl w:val="0"/>
                <w:numId w:val="46"/>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支持设置开启论文查重检测，可设置查重检测的学生次数、上传方式等；</w:t>
            </w:r>
          </w:p>
          <w:p>
            <w:pPr>
              <w:numPr>
                <w:ilvl w:val="0"/>
                <w:numId w:val="4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资料模板管理：支持发布各环节资料模板供学生参考，可按照不同专业进行细分；</w:t>
            </w:r>
          </w:p>
          <w:p>
            <w:pPr>
              <w:numPr>
                <w:ilvl w:val="0"/>
                <w:numId w:val="4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过程资料管理：可依据学校要求设置不同类型过程资料，设置是否进行审核，支持批量下载与审核；</w:t>
            </w:r>
          </w:p>
          <w:p>
            <w:pPr>
              <w:numPr>
                <w:ilvl w:val="0"/>
                <w:numId w:val="4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论文老师分配管理：支持给学生分配论文指导教师与评审老师，支持批量分配、批量取消及批量导入；</w:t>
            </w:r>
          </w:p>
          <w:p>
            <w:pPr>
              <w:numPr>
                <w:ilvl w:val="0"/>
                <w:numId w:val="4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论文选题管理：提供论文选题库，包含论文题目、适用专业、关键词、研究方向、选题理由、选题适用人数；支持学生从学校选题库中自主选题。支持老师指定指定学生选题，包括研究方向、撰写语种等；支持批量导入选题信息；支持在线查看、批量导出选题数据，便于学校存档和统计分析。</w:t>
            </w:r>
          </w:p>
          <w:p>
            <w:pPr>
              <w:numPr>
                <w:ilvl w:val="0"/>
                <w:numId w:val="4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论文指导过程管理</w:t>
            </w:r>
          </w:p>
          <w:p>
            <w:pPr>
              <w:numPr>
                <w:ilvl w:val="0"/>
                <w:numId w:val="47"/>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学生可在线提交开题报告、中期报告、毕业论文（初稿、二稿、终稿）等毕业论文撰写过程中的文档内容；</w:t>
            </w:r>
          </w:p>
          <w:p>
            <w:pPr>
              <w:numPr>
                <w:ilvl w:val="0"/>
                <w:numId w:val="47"/>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实现学生论文开题报告管理，支持指导老师下载批阅与评审老师批量审核；</w:t>
            </w:r>
          </w:p>
          <w:p>
            <w:pPr>
              <w:numPr>
                <w:ilvl w:val="0"/>
                <w:numId w:val="47"/>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实现批量审核、上传、下载中期报告；</w:t>
            </w:r>
          </w:p>
          <w:p>
            <w:pPr>
              <w:numPr>
                <w:ilvl w:val="0"/>
                <w:numId w:val="47"/>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支持查看论文类型、选题来源、撰写语种、研究方向、字数关键词信息，方便论文指导评审；</w:t>
            </w:r>
          </w:p>
          <w:p>
            <w:pPr>
              <w:numPr>
                <w:ilvl w:val="0"/>
                <w:numId w:val="4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论文专家指导</w:t>
            </w:r>
          </w:p>
          <w:p>
            <w:pPr>
              <w:wordWrap w:val="0"/>
              <w:spacing w:line="380" w:lineRule="exact"/>
              <w:ind w:firstLine="480"/>
              <w:rPr>
                <w:rFonts w:ascii="仿宋" w:hAnsi="仿宋" w:eastAsia="仿宋" w:cs="仿宋"/>
                <w:sz w:val="24"/>
              </w:rPr>
            </w:pPr>
            <w:r>
              <w:rPr>
                <w:rFonts w:hint="eastAsia" w:ascii="仿宋" w:hAnsi="仿宋" w:eastAsia="仿宋" w:cs="仿宋"/>
                <w:sz w:val="24"/>
              </w:rPr>
              <w:t>包括支持通过大语言模型LLM的复杂网络结构，模拟人类大脑的语言处理机制，对论文进行深度纠正；高速解析文本中多层次深度语义，实现精细化语言分析、专业化知识指导。能够精准识别并强化论文的学科特色与风格，让论文符合学术规范；根据省厅论文评审标准以及抽检评议标准，层层拆解各项评议指标，在论文选题、层次体系构建、综合知识应用、文献调研深度等30+维度上逐点指导、评分。</w:t>
            </w:r>
          </w:p>
          <w:p>
            <w:pPr>
              <w:numPr>
                <w:ilvl w:val="0"/>
                <w:numId w:val="4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平台论文提供智慧论文指导，融合强大的智能分析能力，学生上传论文后，导师即可获得全文评估建议以及论文评分报告，提升指导效率；</w:t>
            </w:r>
          </w:p>
          <w:p>
            <w:pPr>
              <w:numPr>
                <w:ilvl w:val="0"/>
                <w:numId w:val="4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论文老师在线查看和下载学生的智慧论文指导意见，用于提供大数据指导参考。指导详情涵盖质量评估和优化建议，智慧论文提供学生论文的选题、摘要、绪论、段落语言、结论、参考文献等方面进行细致的质量评估和提出相应的优化建议。此外，老师可以通过批注形式，与学生论文的段落语句和结构进行一一对应分析，极大提升论文指导效率；支持指导老师直接引用智能指导意见以及智能论文评分报告给学生，也结合个性化修改意见进行补充后指导给学生，学生可针对性修改以及查看评分报告；</w:t>
            </w:r>
          </w:p>
          <w:p>
            <w:pPr>
              <w:numPr>
                <w:ilvl w:val="0"/>
                <w:numId w:val="4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提供智能评分报告服务，旨在使用大数据云计算技术针对学生论文进行全面客观的评估，规避人工主观判定因素。报告涵盖论文的层次结构、论点质量、论据质量、知识综合应用能力、问题分析解决能力以及创新能力，并提供相应的优化建议。系统能够根据省级教育部门的评审标准和抽检评议标准，对各项评议指标进行细致拆解。每份评分报告都附有一个独一无二的报告编码，便于验证报告的真实性。报告中直接显示学生论文的建议得分，并允许查看得分的详细构成，包括但不限于选题、写作安排、逻辑构建、专业能力以及学术规范性得分。在评分过程中，针对不同指标下的具体评制表，会输出详尽的评估意见，并支持查看不同得分项的评议详情分数，助于导师精确地识别论文中的问题和亮点，清晰了解分数背后的依据和考量，从而有效降低评分过程中的主观误差，确保评分结果的客观性。</w:t>
            </w:r>
          </w:p>
          <w:p>
            <w:pPr>
              <w:numPr>
                <w:ilvl w:val="0"/>
                <w:numId w:val="4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支持指导老师直接引用智能指导意见以及智能论文评分报告给学生，并结合个性化修改意见进行补充后指导给学生，学生可针对性修改以及查看评分报告；</w:t>
            </w:r>
          </w:p>
          <w:p>
            <w:pPr>
              <w:numPr>
                <w:ilvl w:val="0"/>
                <w:numId w:val="4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支持评审老师批量审核毕业论文；系统保留学生初稿、中间多稿以及终稿的所有稿件，以及保留对应指导过程中的资料，全过程留痕；评审结果系统自动通知给学生；</w:t>
            </w:r>
          </w:p>
          <w:p>
            <w:pPr>
              <w:numPr>
                <w:ilvl w:val="0"/>
                <w:numId w:val="4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支持根据筛选情况，导出学生论文数据情况表，也支持下载论文、指导意见的最新稿/所有稿以及评审文件；</w:t>
            </w:r>
          </w:p>
          <w:p>
            <w:pPr>
              <w:numPr>
                <w:ilvl w:val="0"/>
                <w:numId w:val="4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论文答辩</w:t>
            </w:r>
          </w:p>
          <w:p>
            <w:pPr>
              <w:numPr>
                <w:ilvl w:val="0"/>
                <w:numId w:val="49"/>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支持批量上传答辩文件；</w:t>
            </w:r>
          </w:p>
          <w:p>
            <w:pPr>
              <w:numPr>
                <w:ilvl w:val="0"/>
                <w:numId w:val="49"/>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支持批量录入审核结果、答辩综合评审意见，并给出答辩成绩；</w:t>
            </w:r>
          </w:p>
          <w:p>
            <w:pPr>
              <w:numPr>
                <w:ilvl w:val="0"/>
                <w:numId w:val="4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论文成绩</w:t>
            </w:r>
          </w:p>
          <w:p>
            <w:pPr>
              <w:numPr>
                <w:ilvl w:val="0"/>
                <w:numId w:val="50"/>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支持按照系统设定的比例填写论文成绩计算学生毕业论文总成绩；</w:t>
            </w:r>
          </w:p>
          <w:p>
            <w:pPr>
              <w:numPr>
                <w:ilvl w:val="0"/>
                <w:numId w:val="50"/>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允许论文成绩录入，指导教师或评审委员会在线输入学生的论文成绩，包括各阶段成绩（如开题报告、中期检查、论文评审、答辩表现等）和最终总成绩；</w:t>
            </w:r>
          </w:p>
          <w:p>
            <w:pPr>
              <w:numPr>
                <w:ilvl w:val="0"/>
                <w:numId w:val="50"/>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支持批量导入审核结果、审核意见、论文分数，可一键导出论文成绩数据。</w:t>
            </w:r>
          </w:p>
          <w:p>
            <w:pPr>
              <w:pStyle w:val="7"/>
              <w:numPr>
                <w:ilvl w:val="3"/>
                <w:numId w:val="6"/>
              </w:numPr>
              <w:tabs>
                <w:tab w:val="left" w:pos="0"/>
                <w:tab w:val="clear" w:pos="420"/>
              </w:tabs>
              <w:wordWrap w:val="0"/>
              <w:spacing w:before="0" w:after="0" w:line="380" w:lineRule="exact"/>
              <w:rPr>
                <w:rFonts w:ascii="仿宋" w:hAnsi="仿宋" w:eastAsia="仿宋" w:cs="仿宋"/>
                <w:sz w:val="24"/>
                <w:szCs w:val="24"/>
              </w:rPr>
            </w:pPr>
            <w:bookmarkStart w:id="83" w:name="_Toc21320"/>
            <w:r>
              <w:rPr>
                <w:rFonts w:hint="eastAsia" w:ascii="仿宋" w:hAnsi="仿宋" w:eastAsia="仿宋" w:cs="仿宋"/>
                <w:sz w:val="24"/>
                <w:szCs w:val="24"/>
              </w:rPr>
              <w:t>论文归档</w:t>
            </w:r>
            <w:bookmarkEnd w:id="83"/>
          </w:p>
          <w:p>
            <w:pPr>
              <w:wordWrap w:val="0"/>
              <w:spacing w:line="380" w:lineRule="exact"/>
              <w:ind w:firstLine="480"/>
              <w:rPr>
                <w:rFonts w:ascii="仿宋" w:hAnsi="仿宋" w:eastAsia="仿宋" w:cs="仿宋"/>
                <w:sz w:val="24"/>
              </w:rPr>
            </w:pPr>
            <w:r>
              <w:rPr>
                <w:rFonts w:hint="eastAsia" w:ascii="仿宋" w:hAnsi="仿宋" w:eastAsia="仿宋" w:cs="仿宋"/>
                <w:sz w:val="24"/>
              </w:rPr>
              <w:t>支持用户数据永久保存和导出功能。各流程线上数据按需导出，实现导出文档规范、整齐，直接打印存档。</w:t>
            </w:r>
          </w:p>
          <w:p>
            <w:pPr>
              <w:pStyle w:val="7"/>
              <w:numPr>
                <w:ilvl w:val="3"/>
                <w:numId w:val="6"/>
              </w:numPr>
              <w:tabs>
                <w:tab w:val="left" w:pos="0"/>
                <w:tab w:val="clear" w:pos="420"/>
              </w:tabs>
              <w:wordWrap w:val="0"/>
              <w:spacing w:before="0" w:after="0" w:line="380" w:lineRule="exact"/>
              <w:rPr>
                <w:rFonts w:ascii="仿宋" w:hAnsi="仿宋" w:eastAsia="仿宋" w:cs="仿宋"/>
                <w:sz w:val="24"/>
                <w:szCs w:val="24"/>
              </w:rPr>
            </w:pPr>
            <w:bookmarkStart w:id="84" w:name="_Toc12457"/>
            <w:r>
              <w:rPr>
                <w:rFonts w:hint="eastAsia" w:ascii="仿宋" w:hAnsi="仿宋" w:eastAsia="仿宋" w:cs="仿宋"/>
                <w:sz w:val="24"/>
                <w:szCs w:val="24"/>
              </w:rPr>
              <w:t>论文格式检测</w:t>
            </w:r>
            <w:bookmarkEnd w:id="84"/>
          </w:p>
          <w:p>
            <w:pPr>
              <w:numPr>
                <w:ilvl w:val="0"/>
                <w:numId w:val="51"/>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基础信息管理</w:t>
            </w:r>
          </w:p>
          <w:p>
            <w:pPr>
              <w:wordWrap w:val="0"/>
              <w:spacing w:line="380" w:lineRule="exact"/>
              <w:ind w:firstLine="480"/>
              <w:rPr>
                <w:rFonts w:ascii="仿宋" w:hAnsi="仿宋" w:eastAsia="仿宋" w:cs="仿宋"/>
                <w:sz w:val="24"/>
              </w:rPr>
            </w:pPr>
            <w:r>
              <w:rPr>
                <w:rFonts w:hint="eastAsia" w:ascii="仿宋" w:hAnsi="仿宋" w:eastAsia="仿宋" w:cs="仿宋"/>
                <w:sz w:val="24"/>
              </w:rPr>
              <w:t>支持学校管理员对模板、适用范围、检测次数的增删改查管理。</w:t>
            </w:r>
          </w:p>
          <w:p>
            <w:pPr>
              <w:numPr>
                <w:ilvl w:val="0"/>
                <w:numId w:val="51"/>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论文检测系统</w:t>
            </w:r>
          </w:p>
          <w:p>
            <w:pPr>
              <w:numPr>
                <w:ilvl w:val="0"/>
                <w:numId w:val="5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支持中英文格式检测；支持系统内提交.doc、.docx格式的文档检测，检测校正流程包括服务选择、检测执行、自动校正、报告生成与查看；</w:t>
            </w:r>
          </w:p>
          <w:p>
            <w:pPr>
              <w:numPr>
                <w:ilvl w:val="0"/>
                <w:numId w:val="5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支持下载原文检测报告和问题批注、校正检测报告、自动校正文件等多样性报告结果展示，检测报告中可查看检测结果、文档信息，论文结构分析对比信息，结构问题汇总，字数分析，页面设置分析，问题片段。</w:t>
            </w:r>
          </w:p>
          <w:p>
            <w:pPr>
              <w:numPr>
                <w:ilvl w:val="0"/>
                <w:numId w:val="5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可查看检测报告列表包括报告编码、检测论文、格式检测模板、错误数、差错率等；</w:t>
            </w:r>
          </w:p>
          <w:p>
            <w:pPr>
              <w:pStyle w:val="7"/>
              <w:numPr>
                <w:ilvl w:val="3"/>
                <w:numId w:val="6"/>
              </w:numPr>
              <w:tabs>
                <w:tab w:val="left" w:pos="0"/>
                <w:tab w:val="clear" w:pos="420"/>
              </w:tabs>
              <w:wordWrap w:val="0"/>
              <w:spacing w:before="0" w:after="0" w:line="380" w:lineRule="exact"/>
              <w:rPr>
                <w:rFonts w:ascii="仿宋" w:hAnsi="仿宋" w:eastAsia="仿宋" w:cs="仿宋"/>
                <w:sz w:val="24"/>
                <w:szCs w:val="24"/>
              </w:rPr>
            </w:pPr>
            <w:bookmarkStart w:id="85" w:name="_Toc12072"/>
            <w:r>
              <w:rPr>
                <w:rFonts w:hint="eastAsia" w:ascii="仿宋" w:hAnsi="仿宋" w:eastAsia="仿宋" w:cs="仿宋"/>
                <w:sz w:val="24"/>
                <w:szCs w:val="24"/>
              </w:rPr>
              <w:t>论文查重</w:t>
            </w:r>
            <w:bookmarkEnd w:id="85"/>
          </w:p>
          <w:p>
            <w:pPr>
              <w:numPr>
                <w:ilvl w:val="0"/>
                <w:numId w:val="53"/>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对接中国知网、维普论文查重接口。满足学生论文初稿、过程稿、最终稿、送审稿等环节全过程节点检测服务，并出具检测PDF报告单。</w:t>
            </w:r>
          </w:p>
          <w:p>
            <w:pPr>
              <w:pStyle w:val="5"/>
              <w:wordWrap w:val="0"/>
              <w:spacing w:before="0" w:after="0" w:line="380" w:lineRule="exact"/>
              <w:rPr>
                <w:rFonts w:ascii="仿宋" w:hAnsi="仿宋" w:eastAsia="仿宋" w:cs="仿宋"/>
                <w:sz w:val="24"/>
                <w:szCs w:val="24"/>
              </w:rPr>
            </w:pPr>
            <w:bookmarkStart w:id="86" w:name="_Toc8313"/>
            <w:r>
              <w:rPr>
                <w:rFonts w:hint="eastAsia" w:ascii="仿宋" w:hAnsi="仿宋" w:eastAsia="仿宋" w:cs="仿宋"/>
                <w:sz w:val="24"/>
                <w:szCs w:val="24"/>
              </w:rPr>
              <w:t>（三）学生学习平台</w:t>
            </w:r>
            <w:bookmarkEnd w:id="86"/>
          </w:p>
          <w:p>
            <w:pPr>
              <w:pStyle w:val="6"/>
              <w:numPr>
                <w:ilvl w:val="2"/>
                <w:numId w:val="6"/>
              </w:numPr>
              <w:wordWrap w:val="0"/>
              <w:spacing w:line="380" w:lineRule="exact"/>
              <w:rPr>
                <w:rFonts w:ascii="仿宋" w:hAnsi="仿宋" w:eastAsia="仿宋" w:cs="仿宋"/>
                <w:sz w:val="24"/>
                <w:szCs w:val="24"/>
              </w:rPr>
            </w:pPr>
            <w:r>
              <w:rPr>
                <w:rFonts w:hint="eastAsia" w:ascii="仿宋" w:hAnsi="仿宋" w:eastAsia="仿宋" w:cs="仿宋"/>
                <w:sz w:val="24"/>
                <w:szCs w:val="24"/>
              </w:rPr>
              <w:t>基础功能</w:t>
            </w:r>
          </w:p>
          <w:p>
            <w:pPr>
              <w:numPr>
                <w:ilvl w:val="0"/>
                <w:numId w:val="54"/>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具备移动学习客户端，支持 iOS 、Android以及鸿蒙操作系统，用于手机、Pad 等智能移动终端中， 实现在线移动学习；</w:t>
            </w:r>
          </w:p>
          <w:p>
            <w:pPr>
              <w:numPr>
                <w:ilvl w:val="0"/>
                <w:numId w:val="54"/>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支持PC端学习，支持Window操作系统IE8版以上、Chrome、360等主流浏览器访问，支持Mac OS操作系统Safari浏览器访问学习；</w:t>
            </w:r>
          </w:p>
          <w:p>
            <w:pPr>
              <w:numPr>
                <w:ilvl w:val="0"/>
                <w:numId w:val="54"/>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PC 端与移动端的学习进度保持同步，可以实现学习记录的持续性，学习时系统自动记录所有学习痕迹，完成后系统自动同步双端学习记录；</w:t>
            </w:r>
          </w:p>
          <w:p>
            <w:pPr>
              <w:pStyle w:val="6"/>
              <w:numPr>
                <w:ilvl w:val="2"/>
                <w:numId w:val="6"/>
              </w:numPr>
              <w:wordWrap w:val="0"/>
              <w:spacing w:line="380" w:lineRule="exact"/>
              <w:rPr>
                <w:rFonts w:ascii="仿宋" w:hAnsi="仿宋" w:eastAsia="仿宋" w:cs="仿宋"/>
                <w:sz w:val="24"/>
                <w:szCs w:val="24"/>
              </w:rPr>
            </w:pPr>
            <w:r>
              <w:rPr>
                <w:rFonts w:hint="eastAsia" w:ascii="仿宋" w:hAnsi="仿宋" w:eastAsia="仿宋" w:cs="仿宋"/>
                <w:sz w:val="24"/>
                <w:szCs w:val="24"/>
              </w:rPr>
              <w:t>课程学习</w:t>
            </w:r>
          </w:p>
          <w:p>
            <w:pPr>
              <w:numPr>
                <w:ilvl w:val="0"/>
                <w:numId w:val="5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支持学生查看当前学期的开始与结束时间；</w:t>
            </w:r>
          </w:p>
          <w:p>
            <w:pPr>
              <w:numPr>
                <w:ilvl w:val="0"/>
                <w:numId w:val="5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支持查看当前学期和历史学期的所有课程，支持预览查看学习进度；</w:t>
            </w:r>
          </w:p>
          <w:p>
            <w:pPr>
              <w:numPr>
                <w:ilvl w:val="0"/>
                <w:numId w:val="5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支持查看本学期的课程课表，课表以日历形式展示，面授课可查看面授地点、上课老师，直播课支持直接通过课表点击上课；</w:t>
            </w:r>
          </w:p>
          <w:p>
            <w:pPr>
              <w:numPr>
                <w:ilvl w:val="0"/>
                <w:numId w:val="5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支持学生查看课程表汇总，可下载打印课程表，课程表信息根据学校自定义样式产生；</w:t>
            </w:r>
          </w:p>
          <w:p>
            <w:pPr>
              <w:numPr>
                <w:ilvl w:val="0"/>
                <w:numId w:val="5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课程学习支持查看每门的课程封面、课程类别、课程得分规则，得分规则详细描述课程总分的构成比例，平时成绩的构成比例；</w:t>
            </w:r>
          </w:p>
          <w:p>
            <w:pPr>
              <w:numPr>
                <w:ilvl w:val="0"/>
                <w:numId w:val="5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课件学习可切换不同的章节播放，学习过程支持时长与次数的记录；</w:t>
            </w:r>
          </w:p>
          <w:p>
            <w:pPr>
              <w:numPr>
                <w:ilvl w:val="0"/>
                <w:numId w:val="5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课程学习支持定时弹窗确认，有防挂机设置；</w:t>
            </w:r>
          </w:p>
          <w:p>
            <w:pPr>
              <w:numPr>
                <w:ilvl w:val="0"/>
                <w:numId w:val="5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学生可学习老师发布的课程资料，资料同时支持附件和链接形式，链接可直接跳转访问；</w:t>
            </w:r>
          </w:p>
          <w:p>
            <w:pPr>
              <w:numPr>
                <w:ilvl w:val="0"/>
                <w:numId w:val="5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支持学生完成考核作业，作业可重复提交，巩固知识点；</w:t>
            </w:r>
          </w:p>
          <w:p>
            <w:pPr>
              <w:numPr>
                <w:ilvl w:val="0"/>
                <w:numId w:val="5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学生可以进行交流讨论，就学习过程遇到的问题进行讨论和互相反馈，教师可以进行答疑，获得学习支持服务。</w:t>
            </w:r>
          </w:p>
          <w:p>
            <w:pPr>
              <w:numPr>
                <w:ilvl w:val="0"/>
                <w:numId w:val="55"/>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单独课程支持查询详细的成绩构成细分情况，包括登录、签到、课件学习、学校资料、网络资料、课程作业、课程讨论、直播录播得分。</w:t>
            </w:r>
          </w:p>
          <w:p>
            <w:pPr>
              <w:pStyle w:val="6"/>
              <w:numPr>
                <w:ilvl w:val="2"/>
                <w:numId w:val="6"/>
              </w:numPr>
              <w:wordWrap w:val="0"/>
              <w:spacing w:line="380" w:lineRule="exact"/>
              <w:rPr>
                <w:rFonts w:ascii="仿宋" w:hAnsi="仿宋" w:eastAsia="仿宋" w:cs="仿宋"/>
                <w:sz w:val="24"/>
                <w:szCs w:val="24"/>
              </w:rPr>
            </w:pPr>
            <w:r>
              <w:rPr>
                <w:rFonts w:hint="eastAsia" w:ascii="仿宋" w:hAnsi="仿宋" w:eastAsia="仿宋" w:cs="仿宋"/>
                <w:sz w:val="24"/>
                <w:szCs w:val="24"/>
              </w:rPr>
              <w:t>直播学习</w:t>
            </w:r>
          </w:p>
          <w:p>
            <w:pPr>
              <w:numPr>
                <w:ilvl w:val="0"/>
                <w:numId w:val="56"/>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支持学生通过移动端与PC端两种形式参与直播，直播拥有单独模块位置方便学生学习；</w:t>
            </w:r>
          </w:p>
          <w:p>
            <w:pPr>
              <w:numPr>
                <w:ilvl w:val="0"/>
                <w:numId w:val="56"/>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学生可进行观看直播、直播间签到，查看直播公告、并实时进行举手提问、与老师进行连麦；其中签到支持自动计入考勤；</w:t>
            </w:r>
          </w:p>
          <w:p>
            <w:pPr>
              <w:numPr>
                <w:ilvl w:val="0"/>
                <w:numId w:val="56"/>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直播结束后支持学生进行录播课的学习，学习支持时长与比例的记录，录播课学习支持按照得分规则自动计入考勤；</w:t>
            </w:r>
          </w:p>
          <w:p>
            <w:pPr>
              <w:pStyle w:val="6"/>
              <w:numPr>
                <w:ilvl w:val="2"/>
                <w:numId w:val="6"/>
              </w:numPr>
              <w:wordWrap w:val="0"/>
              <w:spacing w:line="380" w:lineRule="exact"/>
              <w:rPr>
                <w:rFonts w:ascii="仿宋" w:hAnsi="仿宋" w:eastAsia="仿宋" w:cs="仿宋"/>
                <w:sz w:val="24"/>
                <w:szCs w:val="24"/>
              </w:rPr>
            </w:pPr>
            <w:r>
              <w:rPr>
                <w:rFonts w:hint="eastAsia" w:ascii="仿宋" w:hAnsi="仿宋" w:eastAsia="仿宋" w:cs="仿宋"/>
                <w:sz w:val="24"/>
                <w:szCs w:val="24"/>
              </w:rPr>
              <w:t>成绩查询</w:t>
            </w:r>
          </w:p>
          <w:p>
            <w:pPr>
              <w:numPr>
                <w:ilvl w:val="0"/>
                <w:numId w:val="57"/>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拥有单独的成绩查询模块，便于学生查询操作；</w:t>
            </w:r>
          </w:p>
          <w:p>
            <w:pPr>
              <w:numPr>
                <w:ilvl w:val="0"/>
                <w:numId w:val="57"/>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成绩查询支持课程成绩与其他成绩的查询，其中其他成绩支持显示论文成绩、学位考试成绩、学位外语成绩；</w:t>
            </w:r>
          </w:p>
          <w:p>
            <w:pPr>
              <w:numPr>
                <w:ilvl w:val="0"/>
                <w:numId w:val="57"/>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课程成绩支持查询课程的学期、学时、课程类别、课程的修课状态与详细的课程总分。</w:t>
            </w:r>
          </w:p>
          <w:p>
            <w:pPr>
              <w:pStyle w:val="6"/>
              <w:numPr>
                <w:ilvl w:val="2"/>
                <w:numId w:val="6"/>
              </w:numPr>
              <w:wordWrap w:val="0"/>
              <w:spacing w:line="380" w:lineRule="exact"/>
              <w:rPr>
                <w:rFonts w:ascii="仿宋" w:hAnsi="仿宋" w:eastAsia="仿宋" w:cs="仿宋"/>
                <w:sz w:val="24"/>
                <w:szCs w:val="24"/>
              </w:rPr>
            </w:pPr>
            <w:r>
              <w:rPr>
                <w:rFonts w:hint="eastAsia" w:ascii="仿宋" w:hAnsi="仿宋" w:eastAsia="仿宋" w:cs="仿宋"/>
                <w:sz w:val="24"/>
                <w:szCs w:val="24"/>
              </w:rPr>
              <w:t>考试</w:t>
            </w:r>
          </w:p>
          <w:p>
            <w:pPr>
              <w:numPr>
                <w:ilvl w:val="0"/>
                <w:numId w:val="5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支持学生在线考试，考试支持列表显示，可查看考试名称、考试状态、考试起止日期、考试时长、考试及格分数，考试结束后可查看分数；</w:t>
            </w:r>
          </w:p>
          <w:p>
            <w:pPr>
              <w:numPr>
                <w:ilvl w:val="0"/>
                <w:numId w:val="5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支持学生满足设置的所有参考条件时，方可参加考试，若不满足可明确显示不满足的要求，方便学生及时对照调整；</w:t>
            </w:r>
          </w:p>
          <w:p>
            <w:pPr>
              <w:numPr>
                <w:ilvl w:val="0"/>
                <w:numId w:val="5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学生参加考试时支持人脸识别监控、活体检测，比对不通过成绩支持作废；</w:t>
            </w:r>
          </w:p>
          <w:p>
            <w:pPr>
              <w:numPr>
                <w:ilvl w:val="0"/>
                <w:numId w:val="5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学生参加考试时支持查看考试须知，支持考试承诺书在线签名；</w:t>
            </w:r>
          </w:p>
          <w:p>
            <w:pPr>
              <w:numPr>
                <w:ilvl w:val="0"/>
                <w:numId w:val="58"/>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支持进行缓考申请，审核通过后方可进行缓考。</w:t>
            </w:r>
          </w:p>
          <w:p>
            <w:pPr>
              <w:pStyle w:val="6"/>
              <w:numPr>
                <w:ilvl w:val="2"/>
                <w:numId w:val="6"/>
              </w:numPr>
              <w:wordWrap w:val="0"/>
              <w:spacing w:line="380" w:lineRule="exact"/>
              <w:rPr>
                <w:rFonts w:ascii="仿宋" w:hAnsi="仿宋" w:eastAsia="仿宋" w:cs="仿宋"/>
                <w:sz w:val="24"/>
                <w:szCs w:val="24"/>
              </w:rPr>
            </w:pPr>
            <w:r>
              <w:rPr>
                <w:rFonts w:hint="eastAsia" w:ascii="仿宋" w:hAnsi="仿宋" w:eastAsia="仿宋" w:cs="仿宋"/>
                <w:sz w:val="24"/>
                <w:szCs w:val="24"/>
              </w:rPr>
              <w:t>学籍</w:t>
            </w:r>
          </w:p>
          <w:p>
            <w:pPr>
              <w:numPr>
                <w:ilvl w:val="0"/>
                <w:numId w:val="59"/>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支持学生进行学籍确认，学生可自行确认学籍信息，可实现人脸识别确认、电子签名确认，确保本人学籍信息的准确；错误信息学生可进行错误反馈；</w:t>
            </w:r>
          </w:p>
          <w:p>
            <w:pPr>
              <w:numPr>
                <w:ilvl w:val="0"/>
                <w:numId w:val="59"/>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支持学生进行入学资格审查，在线提交入学资格审查表以及其他审核材料，审查表可电子签名提交；</w:t>
            </w:r>
          </w:p>
          <w:p>
            <w:pPr>
              <w:numPr>
                <w:ilvl w:val="0"/>
                <w:numId w:val="59"/>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支持学生在线填写学籍卡信息，支持进行电子签名后提交；</w:t>
            </w:r>
          </w:p>
          <w:p>
            <w:pPr>
              <w:numPr>
                <w:ilvl w:val="0"/>
                <w:numId w:val="59"/>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支持学生在线发起学籍异动以及信息变更申请，提交申请材料，审核通过后系统自动通知反馈同时学籍信息/个人信息自动变更；</w:t>
            </w:r>
          </w:p>
          <w:p>
            <w:pPr>
              <w:pStyle w:val="6"/>
              <w:numPr>
                <w:ilvl w:val="2"/>
                <w:numId w:val="6"/>
              </w:numPr>
              <w:wordWrap w:val="0"/>
              <w:spacing w:line="380" w:lineRule="exact"/>
              <w:rPr>
                <w:rFonts w:ascii="仿宋" w:hAnsi="仿宋" w:eastAsia="仿宋" w:cs="仿宋"/>
                <w:sz w:val="24"/>
                <w:szCs w:val="24"/>
              </w:rPr>
            </w:pPr>
            <w:r>
              <w:rPr>
                <w:rFonts w:hint="eastAsia" w:ascii="仿宋" w:hAnsi="仿宋" w:eastAsia="仿宋" w:cs="仿宋"/>
                <w:sz w:val="24"/>
                <w:szCs w:val="24"/>
              </w:rPr>
              <w:t>论文</w:t>
            </w:r>
          </w:p>
          <w:p>
            <w:pPr>
              <w:numPr>
                <w:ilvl w:val="0"/>
                <w:numId w:val="60"/>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支持学生在线查看下载过程学校的论文资料，包括开题报告、中期检查、论文格式样例；</w:t>
            </w:r>
          </w:p>
          <w:p>
            <w:pPr>
              <w:numPr>
                <w:ilvl w:val="0"/>
                <w:numId w:val="60"/>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支持学生在线提交论文过程资料，支持资料文件上次；</w:t>
            </w:r>
          </w:p>
          <w:p>
            <w:pPr>
              <w:numPr>
                <w:ilvl w:val="0"/>
                <w:numId w:val="60"/>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支持学生提交论文开题报告、中期检查报告、论文稿件；</w:t>
            </w:r>
          </w:p>
          <w:p>
            <w:pPr>
              <w:numPr>
                <w:ilvl w:val="0"/>
                <w:numId w:val="60"/>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支持学生选择填写论文题目、论文类型、选题来源、撰写语种、研究方向、论文关键词信息；</w:t>
            </w:r>
          </w:p>
          <w:p>
            <w:pPr>
              <w:numPr>
                <w:ilvl w:val="0"/>
                <w:numId w:val="60"/>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支持学生查看论文指导意见；</w:t>
            </w:r>
          </w:p>
          <w:p>
            <w:pPr>
              <w:numPr>
                <w:ilvl w:val="0"/>
                <w:numId w:val="60"/>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支持学生论文初稿、过程稿件、终稿等，且每稿指导过程支持单独查看；</w:t>
            </w:r>
          </w:p>
          <w:p>
            <w:pPr>
              <w:numPr>
                <w:ilvl w:val="0"/>
                <w:numId w:val="60"/>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支持学生论文在线进行第三方查重，在线上传查重报告；</w:t>
            </w:r>
          </w:p>
          <w:p>
            <w:pPr>
              <w:numPr>
                <w:ilvl w:val="0"/>
                <w:numId w:val="60"/>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支持学生论文进行格式检测，支持下载原文检测报告和问题批注、校正检测报告、自动校正文件等多样性报告结果展示；</w:t>
            </w:r>
          </w:p>
          <w:p>
            <w:pPr>
              <w:pStyle w:val="6"/>
              <w:numPr>
                <w:ilvl w:val="2"/>
                <w:numId w:val="6"/>
              </w:numPr>
              <w:wordWrap w:val="0"/>
              <w:spacing w:line="380" w:lineRule="exact"/>
              <w:rPr>
                <w:rFonts w:ascii="仿宋" w:hAnsi="仿宋" w:eastAsia="仿宋" w:cs="仿宋"/>
                <w:sz w:val="24"/>
                <w:szCs w:val="24"/>
              </w:rPr>
            </w:pPr>
            <w:r>
              <w:rPr>
                <w:rFonts w:hint="eastAsia" w:ascii="仿宋" w:hAnsi="仿宋" w:eastAsia="仿宋" w:cs="仿宋"/>
                <w:sz w:val="24"/>
                <w:szCs w:val="24"/>
              </w:rPr>
              <w:t>毕业学位</w:t>
            </w:r>
          </w:p>
          <w:p>
            <w:pPr>
              <w:numPr>
                <w:ilvl w:val="0"/>
                <w:numId w:val="61"/>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支持学生根据学校设置的条件，自主申请毕业、申请学位；</w:t>
            </w:r>
          </w:p>
          <w:p>
            <w:pPr>
              <w:numPr>
                <w:ilvl w:val="0"/>
                <w:numId w:val="61"/>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支持学生在线填写提交毕业生登记表，登记支持电子签名；</w:t>
            </w:r>
          </w:p>
          <w:p>
            <w:pPr>
              <w:numPr>
                <w:ilvl w:val="0"/>
                <w:numId w:val="61"/>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支持学生进行实习报告材料学校模板的下载，实习报考材料的提交；</w:t>
            </w:r>
          </w:p>
          <w:p>
            <w:pPr>
              <w:numPr>
                <w:ilvl w:val="0"/>
                <w:numId w:val="61"/>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支持学生在线填写提交学位申请表，填写支持电子签名；</w:t>
            </w:r>
          </w:p>
          <w:p>
            <w:pPr>
              <w:numPr>
                <w:ilvl w:val="0"/>
                <w:numId w:val="61"/>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支持学生通过毕业、学位流程支持查看各环节审核状态，查看最终审核结果；</w:t>
            </w:r>
          </w:p>
          <w:p>
            <w:pPr>
              <w:pStyle w:val="6"/>
              <w:numPr>
                <w:ilvl w:val="2"/>
                <w:numId w:val="6"/>
              </w:numPr>
              <w:wordWrap w:val="0"/>
              <w:spacing w:line="380" w:lineRule="exact"/>
              <w:rPr>
                <w:rFonts w:ascii="仿宋" w:hAnsi="仿宋" w:eastAsia="仿宋" w:cs="仿宋"/>
                <w:sz w:val="24"/>
                <w:szCs w:val="24"/>
              </w:rPr>
            </w:pPr>
            <w:r>
              <w:rPr>
                <w:rFonts w:hint="eastAsia" w:ascii="仿宋" w:hAnsi="仿宋" w:eastAsia="仿宋" w:cs="仿宋"/>
                <w:sz w:val="24"/>
                <w:szCs w:val="24"/>
              </w:rPr>
              <w:t>辅助功能</w:t>
            </w:r>
          </w:p>
          <w:p>
            <w:pPr>
              <w:numPr>
                <w:ilvl w:val="0"/>
                <w:numId w:val="6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支持学生进行课程选修，可进行退选，查看选修课情况；</w:t>
            </w:r>
          </w:p>
          <w:p>
            <w:pPr>
              <w:numPr>
                <w:ilvl w:val="0"/>
                <w:numId w:val="6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支持学生查各个学年学费缴纳情况，包括学费金额、应缴学费、已缴学费、欠费金额等；</w:t>
            </w:r>
          </w:p>
          <w:p>
            <w:pPr>
              <w:numPr>
                <w:ilvl w:val="0"/>
                <w:numId w:val="6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支持学生查看管理员或系统自动发布的消息通知；</w:t>
            </w:r>
          </w:p>
          <w:p>
            <w:pPr>
              <w:numPr>
                <w:ilvl w:val="0"/>
                <w:numId w:val="6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支持学生进行电子证书的查看下载，包括并不仅限于：在读证明、录取通知书、成绩证明等；</w:t>
            </w:r>
          </w:p>
          <w:p>
            <w:pPr>
              <w:numPr>
                <w:ilvl w:val="0"/>
                <w:numId w:val="6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支持学生对老师课程进行评教，提交问卷；</w:t>
            </w:r>
          </w:p>
          <w:p>
            <w:pPr>
              <w:numPr>
                <w:ilvl w:val="0"/>
                <w:numId w:val="6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支持学生维护个人信息，包括对手机号、紧急联系人、邮箱、地址、工作单位信息的修改；</w:t>
            </w:r>
          </w:p>
          <w:p>
            <w:pPr>
              <w:numPr>
                <w:ilvl w:val="0"/>
                <w:numId w:val="6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支持学生自主修改</w:t>
            </w:r>
            <w:bookmarkStart w:id="87" w:name="OLE_LINK110"/>
            <w:bookmarkStart w:id="88" w:name="OLE_LINK109"/>
            <w:r>
              <w:rPr>
                <w:rFonts w:hint="eastAsia" w:ascii="仿宋" w:hAnsi="仿宋" w:eastAsia="仿宋" w:cs="仿宋"/>
                <w:sz w:val="24"/>
              </w:rPr>
              <w:t>密码；</w:t>
            </w:r>
          </w:p>
          <w:p>
            <w:pPr>
              <w:numPr>
                <w:ilvl w:val="0"/>
                <w:numId w:val="62"/>
              </w:numPr>
              <w:wordWrap w:val="0"/>
              <w:spacing w:line="380" w:lineRule="exact"/>
              <w:ind w:firstLine="480" w:firstLineChars="200"/>
              <w:rPr>
                <w:rFonts w:ascii="仿宋" w:hAnsi="仿宋" w:eastAsia="仿宋" w:cs="仿宋"/>
                <w:sz w:val="24"/>
              </w:rPr>
            </w:pPr>
            <w:r>
              <w:rPr>
                <w:rFonts w:hint="eastAsia" w:ascii="仿宋" w:hAnsi="仿宋" w:eastAsia="仿宋" w:cs="仿宋"/>
                <w:sz w:val="24"/>
              </w:rPr>
              <w:t>支持学生自主上传学籍照片，管理端通过审核后自动变更；支持登录后优先弹出“必填信息完善”弹窗，完善必填信息。</w:t>
            </w:r>
          </w:p>
          <w:bookmarkEnd w:id="87"/>
          <w:bookmarkEnd w:id="88"/>
          <w:p>
            <w:pPr>
              <w:pStyle w:val="5"/>
              <w:wordWrap w:val="0"/>
              <w:spacing w:before="0" w:after="0" w:line="380" w:lineRule="exact"/>
              <w:rPr>
                <w:rFonts w:ascii="仿宋" w:hAnsi="仿宋" w:eastAsia="仿宋" w:cs="仿宋"/>
                <w:sz w:val="24"/>
                <w:szCs w:val="24"/>
              </w:rPr>
            </w:pPr>
            <w:r>
              <w:rPr>
                <w:rFonts w:hint="eastAsia" w:ascii="仿宋" w:hAnsi="仿宋" w:eastAsia="仿宋" w:cs="仿宋"/>
                <w:sz w:val="24"/>
                <w:szCs w:val="24"/>
              </w:rPr>
              <w:t>三、网络课程资源</w:t>
            </w:r>
          </w:p>
          <w:p>
            <w:pPr>
              <w:pStyle w:val="6"/>
              <w:wordWrap w:val="0"/>
              <w:spacing w:line="380" w:lineRule="exact"/>
              <w:rPr>
                <w:rFonts w:ascii="仿宋" w:hAnsi="仿宋" w:eastAsia="仿宋" w:cs="仿宋"/>
                <w:sz w:val="24"/>
                <w:szCs w:val="24"/>
              </w:rPr>
            </w:pPr>
            <w:r>
              <w:rPr>
                <w:rFonts w:hint="eastAsia" w:ascii="仿宋" w:hAnsi="仿宋" w:eastAsia="仿宋" w:cs="仿宋"/>
                <w:sz w:val="24"/>
                <w:szCs w:val="24"/>
              </w:rPr>
              <w:t>1、线上课程资源建设</w:t>
            </w:r>
          </w:p>
          <w:p>
            <w:pPr>
              <w:wordWrap w:val="0"/>
              <w:spacing w:line="380" w:lineRule="exact"/>
              <w:ind w:left="21" w:leftChars="10" w:firstLine="480" w:firstLineChars="200"/>
              <w:rPr>
                <w:rFonts w:ascii="仿宋" w:hAnsi="仿宋" w:eastAsia="仿宋" w:cs="仿宋"/>
                <w:sz w:val="24"/>
              </w:rPr>
            </w:pPr>
            <w:bookmarkStart w:id="89" w:name="OLE_LINK107"/>
            <w:bookmarkStart w:id="90" w:name="OLE_LINK106"/>
            <w:r>
              <w:rPr>
                <w:rFonts w:hint="eastAsia" w:ascii="仿宋" w:hAnsi="仿宋" w:eastAsia="仿宋" w:cs="仿宋"/>
                <w:sz w:val="24"/>
              </w:rPr>
              <w:t>合同期内投标人对采购人成人高等教育自主线上课程建设提供全面的技术支持与服务</w:t>
            </w:r>
            <w:bookmarkStart w:id="91" w:name="OLE_LINK92"/>
            <w:bookmarkStart w:id="92" w:name="OLE_LINK91"/>
            <w:r>
              <w:rPr>
                <w:rFonts w:hint="eastAsia" w:ascii="仿宋" w:hAnsi="仿宋" w:eastAsia="仿宋" w:cs="仿宋"/>
                <w:sz w:val="24"/>
              </w:rPr>
              <w:t>，</w:t>
            </w:r>
            <w:bookmarkEnd w:id="91"/>
            <w:bookmarkEnd w:id="92"/>
            <w:r>
              <w:rPr>
                <w:rFonts w:hint="eastAsia" w:ascii="仿宋" w:hAnsi="仿宋" w:eastAsia="仿宋" w:cs="仿宋"/>
                <w:sz w:val="24"/>
              </w:rPr>
              <w:t>包括场地、设备、人员、后期编辑等支持与服务。</w:t>
            </w:r>
            <w:bookmarkEnd w:id="89"/>
            <w:bookmarkEnd w:id="90"/>
            <w:bookmarkStart w:id="93" w:name="OLE_LINK111"/>
            <w:bookmarkStart w:id="94" w:name="OLE_LINK112"/>
            <w:r>
              <w:rPr>
                <w:rFonts w:hint="eastAsia" w:ascii="仿宋" w:hAnsi="仿宋" w:eastAsia="仿宋" w:cs="仿宋"/>
                <w:sz w:val="24"/>
              </w:rPr>
              <w:t>投标人应具备一定的拍摄制作、剪辑等视频制作能力，拥有自己的专业的课程建设团队，提供课程资源制作的建设方案。</w:t>
            </w:r>
            <w:bookmarkEnd w:id="93"/>
            <w:bookmarkEnd w:id="94"/>
          </w:p>
          <w:p>
            <w:pPr>
              <w:pStyle w:val="6"/>
              <w:wordWrap w:val="0"/>
              <w:spacing w:line="380" w:lineRule="exact"/>
              <w:rPr>
                <w:rFonts w:ascii="仿宋" w:hAnsi="仿宋" w:eastAsia="仿宋" w:cs="仿宋"/>
                <w:sz w:val="24"/>
                <w:szCs w:val="24"/>
              </w:rPr>
            </w:pPr>
            <w:r>
              <w:rPr>
                <w:rFonts w:hint="eastAsia" w:ascii="仿宋" w:hAnsi="仿宋" w:eastAsia="仿宋" w:cs="仿宋"/>
                <w:sz w:val="24"/>
                <w:szCs w:val="24"/>
              </w:rPr>
              <w:t xml:space="preserve">2、课程电子资源内容 </w:t>
            </w:r>
          </w:p>
          <w:p>
            <w:pPr>
              <w:wordWrap w:val="0"/>
              <w:spacing w:line="380" w:lineRule="exact"/>
              <w:ind w:left="21" w:leftChars="10" w:firstLine="480" w:firstLineChars="200"/>
              <w:rPr>
                <w:rFonts w:ascii="仿宋" w:hAnsi="仿宋" w:eastAsia="仿宋" w:cs="仿宋"/>
                <w:sz w:val="24"/>
              </w:rPr>
            </w:pPr>
            <w:r>
              <w:rPr>
                <w:rFonts w:hint="eastAsia" w:ascii="仿宋" w:hAnsi="仿宋" w:eastAsia="仿宋" w:cs="仿宋"/>
                <w:sz w:val="24"/>
              </w:rPr>
              <w:t xml:space="preserve">（1）投标人按照采购方提供的课程列表（详见附件1）提前进行课程匹配，能提供附表中80%以上的课程资源，投标人投标文件中提供书面承诺书； </w:t>
            </w:r>
          </w:p>
          <w:p>
            <w:pPr>
              <w:wordWrap w:val="0"/>
              <w:spacing w:line="380" w:lineRule="exact"/>
              <w:ind w:left="21" w:leftChars="10" w:firstLine="480" w:firstLineChars="200"/>
              <w:rPr>
                <w:rFonts w:ascii="仿宋" w:hAnsi="仿宋" w:eastAsia="仿宋" w:cs="仿宋"/>
                <w:sz w:val="24"/>
              </w:rPr>
            </w:pPr>
            <w:r>
              <w:rPr>
                <w:rFonts w:hint="eastAsia" w:ascii="仿宋" w:hAnsi="仿宋" w:eastAsia="仿宋" w:cs="仿宋"/>
                <w:sz w:val="24"/>
              </w:rPr>
              <w:t>（2）</w:t>
            </w:r>
            <w:bookmarkStart w:id="95" w:name="OLE_LINK115"/>
            <w:bookmarkStart w:id="96" w:name="OLE_LINK116"/>
            <w:r>
              <w:rPr>
                <w:rFonts w:hint="eastAsia" w:ascii="仿宋" w:hAnsi="仿宋" w:eastAsia="仿宋" w:cs="仿宋"/>
                <w:sz w:val="24"/>
              </w:rPr>
              <w:t>投标人</w:t>
            </w:r>
            <w:r>
              <w:rPr>
                <w:rFonts w:hint="eastAsia" w:ascii="仿宋" w:hAnsi="仿宋" w:eastAsia="仿宋" w:cs="仿宋"/>
                <w:sz w:val="24"/>
                <w:lang w:eastAsia="zh-Hans"/>
              </w:rPr>
              <w:t>应</w:t>
            </w:r>
            <w:r>
              <w:rPr>
                <w:rFonts w:hint="eastAsia" w:ascii="仿宋" w:hAnsi="仿宋" w:eastAsia="仿宋" w:cs="仿宋"/>
                <w:sz w:val="24"/>
              </w:rPr>
              <w:t>具备完整的知识产权管理体系。投标人应</w:t>
            </w:r>
            <w:r>
              <w:rPr>
                <w:rFonts w:hint="eastAsia" w:ascii="仿宋" w:hAnsi="仿宋" w:eastAsia="仿宋" w:cs="仿宋"/>
                <w:sz w:val="24"/>
                <w:lang w:eastAsia="zh-Hans"/>
              </w:rPr>
              <w:t>保证所提供的课程资源中其任何一部分均不会侵犯任何第三方的专利权、商标权或著作权等、确保选用课程资源版权的合法性，若侵犯任何第三的权益所产生的损失由</w:t>
            </w:r>
            <w:r>
              <w:rPr>
                <w:rFonts w:hint="eastAsia" w:ascii="仿宋" w:hAnsi="仿宋" w:eastAsia="仿宋" w:cs="仿宋"/>
                <w:sz w:val="24"/>
              </w:rPr>
              <w:t>投标人</w:t>
            </w:r>
            <w:r>
              <w:rPr>
                <w:rFonts w:hint="eastAsia" w:ascii="仿宋" w:hAnsi="仿宋" w:eastAsia="仿宋" w:cs="仿宋"/>
                <w:sz w:val="24"/>
                <w:lang w:eastAsia="zh-Hans"/>
              </w:rPr>
              <w:t>承担，学校有权</w:t>
            </w:r>
            <w:r>
              <w:rPr>
                <w:rFonts w:hint="eastAsia" w:ascii="仿宋" w:hAnsi="仿宋" w:eastAsia="仿宋" w:cs="仿宋"/>
                <w:sz w:val="24"/>
              </w:rPr>
              <w:t>终</w:t>
            </w:r>
            <w:r>
              <w:rPr>
                <w:rFonts w:hint="eastAsia" w:ascii="仿宋" w:hAnsi="仿宋" w:eastAsia="仿宋" w:cs="仿宋"/>
                <w:sz w:val="24"/>
                <w:lang w:eastAsia="zh-Hans"/>
              </w:rPr>
              <w:t>止合同，</w:t>
            </w:r>
            <w:r>
              <w:rPr>
                <w:rFonts w:hint="eastAsia" w:ascii="仿宋" w:hAnsi="仿宋" w:eastAsia="仿宋" w:cs="仿宋"/>
                <w:sz w:val="24"/>
              </w:rPr>
              <w:t>投标人</w:t>
            </w:r>
            <w:r>
              <w:rPr>
                <w:rFonts w:hint="eastAsia" w:ascii="仿宋" w:hAnsi="仿宋" w:eastAsia="仿宋" w:cs="仿宋"/>
                <w:sz w:val="24"/>
                <w:lang w:eastAsia="zh-Hans"/>
              </w:rPr>
              <w:t>须赔偿学校的损失。</w:t>
            </w:r>
            <w:bookmarkEnd w:id="95"/>
            <w:bookmarkEnd w:id="96"/>
          </w:p>
          <w:p>
            <w:pPr>
              <w:wordWrap w:val="0"/>
              <w:spacing w:line="380" w:lineRule="exact"/>
              <w:ind w:left="21" w:leftChars="10" w:firstLine="480" w:firstLineChars="200"/>
              <w:rPr>
                <w:rFonts w:ascii="仿宋" w:hAnsi="仿宋" w:eastAsia="仿宋" w:cs="仿宋"/>
                <w:sz w:val="24"/>
              </w:rPr>
            </w:pPr>
            <w:r>
              <w:rPr>
                <w:rFonts w:hint="eastAsia" w:ascii="仿宋" w:hAnsi="仿宋" w:eastAsia="仿宋" w:cs="仿宋"/>
                <w:sz w:val="24"/>
              </w:rPr>
              <w:t>（3）平台上的课程，需配有相应的电子教材供学生参看，投标人投标文件中提供书面承诺书。</w:t>
            </w:r>
          </w:p>
          <w:p>
            <w:pPr>
              <w:pStyle w:val="4"/>
              <w:wordWrap w:val="0"/>
              <w:spacing w:before="0" w:after="0" w:line="380" w:lineRule="exact"/>
              <w:rPr>
                <w:rFonts w:ascii="仿宋" w:hAnsi="仿宋" w:eastAsia="仿宋" w:cs="仿宋"/>
                <w:sz w:val="24"/>
                <w:szCs w:val="24"/>
              </w:rPr>
            </w:pPr>
            <w:r>
              <w:rPr>
                <w:rFonts w:hint="eastAsia" w:ascii="仿宋" w:hAnsi="仿宋" w:eastAsia="仿宋" w:cs="仿宋"/>
                <w:sz w:val="24"/>
                <w:szCs w:val="24"/>
              </w:rPr>
              <w:t>（4）每门课总时长不小于40学时，视频分辨率高于1080P,音频采样率达到22kHz以上；习题不少于200道；组卷不少3套；课程资源须与时俱进，课程所授内容最晚更新时间为2022年。</w:t>
            </w:r>
          </w:p>
          <w:p>
            <w:pPr>
              <w:pStyle w:val="4"/>
              <w:wordWrap w:val="0"/>
              <w:spacing w:before="0" w:after="0" w:line="380" w:lineRule="exact"/>
              <w:rPr>
                <w:rFonts w:ascii="仿宋" w:hAnsi="仿宋" w:eastAsia="仿宋" w:cs="仿宋"/>
                <w:sz w:val="24"/>
                <w:szCs w:val="24"/>
              </w:rPr>
            </w:pPr>
            <w:r>
              <w:rPr>
                <w:rFonts w:hint="eastAsia" w:ascii="仿宋" w:hAnsi="仿宋" w:eastAsia="仿宋" w:cs="仿宋"/>
                <w:sz w:val="24"/>
                <w:szCs w:val="24"/>
              </w:rPr>
              <w:t>注：因涉及平台软件产品，需要在开标时要求投标人提供样品现场演示，详见《第三章、评标标准》。</w:t>
            </w:r>
          </w:p>
          <w:p>
            <w:pPr>
              <w:wordWrap w:val="0"/>
              <w:spacing w:line="380" w:lineRule="exact"/>
              <w:rPr>
                <w:rFonts w:hint="eastAsia" w:ascii="仿宋" w:hAnsi="仿宋" w:eastAsia="仿宋" w:cs="仿宋"/>
                <w:b/>
                <w:bCs/>
                <w:kern w:val="0"/>
                <w:sz w:val="24"/>
              </w:rPr>
            </w:pPr>
          </w:p>
          <w:p>
            <w:pPr>
              <w:wordWrap w:val="0"/>
              <w:spacing w:line="380" w:lineRule="exact"/>
              <w:rPr>
                <w:rFonts w:ascii="仿宋" w:hAnsi="仿宋" w:eastAsia="仿宋" w:cs="仿宋"/>
                <w:b/>
                <w:bCs/>
                <w:kern w:val="0"/>
                <w:sz w:val="24"/>
              </w:rPr>
            </w:pPr>
            <w:r>
              <w:rPr>
                <w:rFonts w:hint="eastAsia" w:ascii="仿宋" w:hAnsi="仿宋" w:eastAsia="仿宋" w:cs="仿宋"/>
                <w:b/>
                <w:bCs/>
                <w:kern w:val="0"/>
                <w:sz w:val="24"/>
              </w:rPr>
              <w:t>四、数字资源建设方案</w:t>
            </w:r>
          </w:p>
          <w:p>
            <w:pPr>
              <w:wordWrap w:val="0"/>
              <w:spacing w:line="380" w:lineRule="exact"/>
              <w:rPr>
                <w:rFonts w:ascii="仿宋" w:hAnsi="仿宋" w:eastAsia="仿宋" w:cs="仿宋"/>
                <w:b/>
                <w:bCs/>
                <w:sz w:val="24"/>
              </w:rPr>
            </w:pPr>
            <w:r>
              <w:rPr>
                <w:rFonts w:hint="eastAsia" w:ascii="仿宋" w:hAnsi="仿宋" w:eastAsia="仿宋" w:cs="仿宋"/>
                <w:b/>
                <w:bCs/>
                <w:sz w:val="24"/>
              </w:rPr>
              <w:t>1、网络课程建设</w:t>
            </w:r>
          </w:p>
          <w:p>
            <w:pPr>
              <w:wordWrap w:val="0"/>
              <w:spacing w:line="380" w:lineRule="exact"/>
              <w:ind w:left="21" w:leftChars="10" w:firstLine="480" w:firstLineChars="200"/>
              <w:rPr>
                <w:rFonts w:ascii="仿宋" w:hAnsi="仿宋" w:eastAsia="仿宋" w:cs="仿宋"/>
                <w:sz w:val="24"/>
              </w:rPr>
            </w:pPr>
            <w:r>
              <w:rPr>
                <w:rFonts w:hint="eastAsia" w:ascii="仿宋" w:hAnsi="仿宋" w:eastAsia="仿宋" w:cs="仿宋"/>
                <w:sz w:val="24"/>
              </w:rPr>
              <w:t>为促进优质数字资源共建共享，满足教育部《关于推进新时代普通高等学校学历继续教育改革的实施意见》的新要求，投标人须具备专业的视频与课程资源制作能力及专职团队，以支持采购人的自主课程资源建设。双方确认，合作产生的全部课程资源其版权与使用权均归属采购人所有。同时，投标人应承诺积极配合采购人进行课程资源的著作权登记与知识产权保护工作，履行其在《高等学校知识产权保护管理规定》下的协作义务。</w:t>
            </w:r>
          </w:p>
          <w:p>
            <w:pPr>
              <w:wordWrap w:val="0"/>
              <w:spacing w:line="380" w:lineRule="exact"/>
              <w:rPr>
                <w:rFonts w:ascii="仿宋" w:hAnsi="仿宋" w:eastAsia="仿宋" w:cs="仿宋"/>
                <w:b/>
                <w:bCs/>
                <w:sz w:val="24"/>
              </w:rPr>
            </w:pPr>
            <w:r>
              <w:rPr>
                <w:rFonts w:hint="eastAsia" w:ascii="仿宋" w:hAnsi="仿宋" w:eastAsia="仿宋" w:cs="仿宋"/>
                <w:b/>
                <w:bCs/>
                <w:sz w:val="24"/>
              </w:rPr>
              <w:t>2、数字资源建设</w:t>
            </w:r>
          </w:p>
          <w:p>
            <w:pPr>
              <w:wordWrap w:val="0"/>
              <w:spacing w:line="380" w:lineRule="exact"/>
              <w:ind w:left="21" w:leftChars="10" w:firstLine="480" w:firstLineChars="200"/>
              <w:rPr>
                <w:rFonts w:ascii="仿宋" w:hAnsi="仿宋" w:eastAsia="仿宋" w:cs="仿宋"/>
                <w:sz w:val="24"/>
              </w:rPr>
            </w:pPr>
            <w:r>
              <w:rPr>
                <w:rFonts w:hint="eastAsia" w:ascii="仿宋" w:hAnsi="仿宋" w:eastAsia="仿宋" w:cs="仿宋"/>
                <w:sz w:val="24"/>
              </w:rPr>
              <w:t>根据《教育部关于推进新时代普通高等学校学历继续教育改革的实施意见》（教职成〔2022〕2号）中“学校自主开发的网络课程占网络课程总量的比例不低于30%”的规定，投标人应提供全面的技术支持与服务，协助校方完成自主网络课程的开发与建设，并确保最终建成的自主课程总量达到政策要求的比例标准。</w:t>
            </w:r>
          </w:p>
          <w:p>
            <w:pPr>
              <w:wordWrap w:val="0"/>
              <w:spacing w:line="380" w:lineRule="exact"/>
              <w:rPr>
                <w:rFonts w:ascii="仿宋" w:hAnsi="仿宋" w:eastAsia="仿宋" w:cs="仿宋"/>
                <w:sz w:val="24"/>
                <w:highlight w:val="yellow"/>
              </w:rPr>
            </w:pPr>
            <w:bookmarkStart w:id="97" w:name="_Toc22923"/>
            <w:bookmarkStart w:id="98" w:name="_Toc17811"/>
            <w:r>
              <w:rPr>
                <w:rFonts w:hint="eastAsia" w:ascii="仿宋" w:hAnsi="仿宋" w:eastAsia="仿宋" w:cs="仿宋"/>
                <w:b/>
                <w:bCs/>
                <w:sz w:val="24"/>
              </w:rPr>
              <w:t>五、售后服务</w:t>
            </w:r>
            <w:bookmarkEnd w:id="97"/>
            <w:bookmarkEnd w:id="98"/>
          </w:p>
          <w:p>
            <w:pPr>
              <w:wordWrap w:val="0"/>
              <w:spacing w:line="380" w:lineRule="exact"/>
              <w:ind w:left="21" w:leftChars="10" w:firstLine="480" w:firstLineChars="200"/>
              <w:rPr>
                <w:rFonts w:ascii="仿宋" w:hAnsi="仿宋" w:eastAsia="仿宋" w:cs="仿宋"/>
                <w:sz w:val="24"/>
              </w:rPr>
            </w:pPr>
            <w:r>
              <w:rPr>
                <w:rFonts w:hint="eastAsia" w:ascii="仿宋" w:hAnsi="仿宋" w:eastAsia="仿宋" w:cs="仿宋"/>
                <w:sz w:val="24"/>
              </w:rPr>
              <w:t>1.建设周期：</w:t>
            </w:r>
            <w:r>
              <w:rPr>
                <w:rFonts w:hint="eastAsia" w:ascii="仿宋" w:hAnsi="仿宋" w:eastAsia="仿宋"/>
                <w:sz w:val="24"/>
              </w:rPr>
              <w:t>自签订合同之日起7个工作日必须到货，并全部安装调试合格完毕</w:t>
            </w:r>
            <w:r>
              <w:rPr>
                <w:rFonts w:hint="eastAsia" w:ascii="仿宋" w:hAnsi="仿宋" w:eastAsia="仿宋"/>
                <w:kern w:val="0"/>
                <w:sz w:val="24"/>
              </w:rPr>
              <w:t>。</w:t>
            </w:r>
            <w:bookmarkStart w:id="261" w:name="_GoBack"/>
            <w:bookmarkEnd w:id="261"/>
          </w:p>
          <w:p>
            <w:pPr>
              <w:wordWrap w:val="0"/>
              <w:spacing w:line="380" w:lineRule="exact"/>
              <w:ind w:left="21" w:leftChars="10" w:firstLine="480" w:firstLineChars="200"/>
              <w:rPr>
                <w:rFonts w:ascii="仿宋" w:hAnsi="仿宋" w:eastAsia="仿宋" w:cs="仿宋"/>
                <w:sz w:val="24"/>
              </w:rPr>
            </w:pPr>
            <w:r>
              <w:rPr>
                <w:rFonts w:hint="eastAsia" w:ascii="仿宋" w:hAnsi="仿宋" w:eastAsia="仿宋" w:cs="仿宋"/>
                <w:sz w:val="24"/>
              </w:rPr>
              <w:t>2.质保期：3年，质保期内免费提供系统维护等技术支持，提供软件终身技术支持，相关费用包含在报价中。包括维保期后系统维护、扩充等。</w:t>
            </w:r>
          </w:p>
          <w:p>
            <w:pPr>
              <w:wordWrap w:val="0"/>
              <w:spacing w:line="380" w:lineRule="exact"/>
              <w:ind w:left="21" w:leftChars="10" w:firstLine="480" w:firstLineChars="200"/>
              <w:rPr>
                <w:rFonts w:ascii="仿宋" w:hAnsi="仿宋" w:eastAsia="仿宋" w:cs="仿宋"/>
                <w:sz w:val="24"/>
              </w:rPr>
            </w:pPr>
            <w:r>
              <w:rPr>
                <w:rFonts w:hint="eastAsia" w:ascii="仿宋" w:hAnsi="仿宋" w:eastAsia="仿宋" w:cs="仿宋"/>
                <w:sz w:val="24"/>
              </w:rPr>
              <w:t>3.成果和文档资料</w:t>
            </w:r>
            <w:r>
              <w:rPr>
                <w:rFonts w:hint="eastAsia" w:ascii="仿宋" w:hAnsi="仿宋" w:eastAsia="仿宋" w:cs="仿宋"/>
                <w:sz w:val="24"/>
              </w:rPr>
              <w:tab/>
            </w:r>
          </w:p>
          <w:p>
            <w:pPr>
              <w:wordWrap w:val="0"/>
              <w:spacing w:line="380" w:lineRule="exact"/>
              <w:ind w:left="21" w:leftChars="10" w:firstLine="480" w:firstLineChars="200"/>
              <w:rPr>
                <w:rFonts w:ascii="仿宋" w:hAnsi="仿宋" w:eastAsia="仿宋" w:cs="仿宋"/>
                <w:sz w:val="24"/>
              </w:rPr>
            </w:pPr>
            <w:r>
              <w:rPr>
                <w:rFonts w:hint="eastAsia" w:ascii="仿宋" w:hAnsi="仿宋" w:eastAsia="仿宋" w:cs="仿宋"/>
                <w:sz w:val="24"/>
              </w:rPr>
              <w:t>本项目须严格遵守软件系统平台工程管理要求进行平台的定制、安装、调试、培训及售后服务等工作，提供相关的技术文档，包括管理员手册、含数据逻辑关系的维护说明书、接口数据结构说明等。所提交的资料要同所提供的系统一致，并在平台升级时提供补充文档。</w:t>
            </w:r>
          </w:p>
          <w:p>
            <w:pPr>
              <w:wordWrap w:val="0"/>
              <w:spacing w:line="380" w:lineRule="exact"/>
              <w:ind w:left="21" w:leftChars="10" w:firstLine="480" w:firstLineChars="200"/>
              <w:rPr>
                <w:rFonts w:ascii="仿宋" w:hAnsi="仿宋" w:eastAsia="仿宋" w:cs="仿宋"/>
                <w:sz w:val="24"/>
              </w:rPr>
            </w:pPr>
            <w:r>
              <w:rPr>
                <w:rFonts w:hint="eastAsia" w:ascii="仿宋" w:hAnsi="仿宋" w:eastAsia="仿宋" w:cs="仿宋"/>
                <w:sz w:val="24"/>
              </w:rPr>
              <w:t>4.服务验收</w:t>
            </w:r>
            <w:r>
              <w:rPr>
                <w:rFonts w:hint="eastAsia" w:ascii="仿宋" w:hAnsi="仿宋" w:eastAsia="仿宋" w:cs="仿宋"/>
                <w:sz w:val="24"/>
              </w:rPr>
              <w:tab/>
            </w:r>
          </w:p>
          <w:p>
            <w:pPr>
              <w:wordWrap w:val="0"/>
              <w:spacing w:line="380" w:lineRule="exact"/>
              <w:ind w:left="21" w:leftChars="10" w:firstLine="480" w:firstLineChars="200"/>
              <w:rPr>
                <w:rFonts w:ascii="仿宋" w:hAnsi="仿宋" w:eastAsia="仿宋" w:cs="仿宋"/>
                <w:sz w:val="24"/>
              </w:rPr>
            </w:pPr>
            <w:r>
              <w:rPr>
                <w:rFonts w:hint="eastAsia" w:ascii="仿宋" w:hAnsi="仿宋" w:eastAsia="仿宋" w:cs="仿宋"/>
                <w:sz w:val="24"/>
              </w:rPr>
              <w:t>（1）根据合同条款要求，所有检验和试验等费用都被认为包括在合同总价中。</w:t>
            </w:r>
          </w:p>
          <w:p>
            <w:pPr>
              <w:wordWrap w:val="0"/>
              <w:spacing w:line="380" w:lineRule="exact"/>
              <w:ind w:left="21" w:leftChars="10" w:firstLine="480" w:firstLineChars="200"/>
              <w:rPr>
                <w:rFonts w:ascii="仿宋" w:hAnsi="仿宋" w:eastAsia="仿宋" w:cs="仿宋"/>
                <w:sz w:val="24"/>
              </w:rPr>
            </w:pPr>
            <w:r>
              <w:rPr>
                <w:rFonts w:hint="eastAsia" w:ascii="仿宋" w:hAnsi="仿宋" w:eastAsia="仿宋" w:cs="仿宋"/>
                <w:sz w:val="24"/>
              </w:rPr>
              <w:t>（2）供应商必须在合同规定的时间内，以验收申请报告形式书面通知采购人以声明整个平台建设完毕，采购人确认申请报告的第三个工作日为验收测试开始日。</w:t>
            </w:r>
          </w:p>
          <w:p>
            <w:pPr>
              <w:wordWrap w:val="0"/>
              <w:spacing w:line="380" w:lineRule="exact"/>
              <w:ind w:left="21" w:leftChars="10" w:firstLine="480" w:firstLineChars="200"/>
              <w:rPr>
                <w:rFonts w:ascii="仿宋" w:hAnsi="仿宋" w:eastAsia="仿宋" w:cs="仿宋"/>
                <w:sz w:val="24"/>
              </w:rPr>
            </w:pPr>
            <w:r>
              <w:rPr>
                <w:rFonts w:hint="eastAsia" w:ascii="仿宋" w:hAnsi="仿宋" w:eastAsia="仿宋" w:cs="仿宋"/>
                <w:sz w:val="24"/>
              </w:rPr>
              <w:t>（3）供应商为用户提供数据迁移服务，并且数据迁移服务由供应商完全负责，包括原有学籍平台的数据结构分析、迁移方案的制定、数据迁移的实施。供应商须提供数据迁移承诺函。</w:t>
            </w:r>
          </w:p>
          <w:p>
            <w:pPr>
              <w:wordWrap w:val="0"/>
              <w:spacing w:line="380" w:lineRule="exact"/>
              <w:ind w:left="21" w:leftChars="10" w:firstLine="480" w:firstLineChars="200"/>
              <w:rPr>
                <w:rFonts w:ascii="仿宋" w:hAnsi="仿宋" w:eastAsia="仿宋" w:cs="仿宋"/>
                <w:sz w:val="24"/>
              </w:rPr>
            </w:pPr>
            <w:r>
              <w:rPr>
                <w:rFonts w:hint="eastAsia" w:ascii="仿宋" w:hAnsi="仿宋" w:eastAsia="仿宋" w:cs="仿宋"/>
                <w:sz w:val="24"/>
              </w:rPr>
              <w:t>5.供应商具备成熟的培训体系。</w:t>
            </w:r>
          </w:p>
          <w:p>
            <w:pPr>
              <w:pStyle w:val="56"/>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208" w:type="dxa"/>
            <w:gridSpan w:val="2"/>
            <w:vAlign w:val="center"/>
          </w:tcPr>
          <w:p>
            <w:pPr>
              <w:pStyle w:val="28"/>
              <w:wordWrap w:val="0"/>
              <w:snapToGrid w:val="0"/>
              <w:spacing w:line="380" w:lineRule="exact"/>
              <w:jc w:val="center"/>
              <w:outlineLvl w:val="0"/>
              <w:rPr>
                <w:rFonts w:ascii="仿宋" w:hAnsi="仿宋" w:eastAsia="仿宋" w:cs="仿宋"/>
                <w:sz w:val="24"/>
                <w:szCs w:val="24"/>
              </w:rPr>
            </w:pPr>
            <w:r>
              <w:rPr>
                <w:rFonts w:hint="eastAsia" w:ascii="仿宋" w:hAnsi="仿宋" w:eastAsia="仿宋" w:cs="仿宋"/>
                <w:sz w:val="24"/>
                <w:szCs w:val="24"/>
              </w:rPr>
              <w:t>质量标准</w:t>
            </w:r>
          </w:p>
        </w:tc>
        <w:tc>
          <w:tcPr>
            <w:tcW w:w="9115" w:type="dxa"/>
            <w:gridSpan w:val="2"/>
            <w:vAlign w:val="center"/>
          </w:tcPr>
          <w:p>
            <w:pPr>
              <w:wordWrap w:val="0"/>
              <w:snapToGrid w:val="0"/>
              <w:spacing w:line="380" w:lineRule="exact"/>
              <w:jc w:val="left"/>
              <w:rPr>
                <w:rFonts w:ascii="仿宋" w:hAnsi="仿宋" w:eastAsia="仿宋" w:cs="仿宋"/>
                <w:sz w:val="24"/>
              </w:rPr>
            </w:pPr>
            <w:r>
              <w:rPr>
                <w:rFonts w:hint="eastAsia" w:ascii="仿宋" w:hAnsi="仿宋" w:eastAsia="仿宋" w:cs="仿宋"/>
                <w:sz w:val="24"/>
              </w:rPr>
              <w:t>符合设备制造厂家合格产品的出厂质量标准。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jc w:val="center"/>
        </w:trPr>
        <w:tc>
          <w:tcPr>
            <w:tcW w:w="1208" w:type="dxa"/>
            <w:gridSpan w:val="2"/>
            <w:vAlign w:val="center"/>
          </w:tcPr>
          <w:p>
            <w:pPr>
              <w:pStyle w:val="28"/>
              <w:wordWrap w:val="0"/>
              <w:snapToGrid w:val="0"/>
              <w:spacing w:line="380" w:lineRule="exact"/>
              <w:jc w:val="center"/>
              <w:outlineLvl w:val="0"/>
              <w:rPr>
                <w:rFonts w:ascii="仿宋" w:hAnsi="仿宋" w:eastAsia="仿宋" w:cs="仿宋"/>
                <w:sz w:val="24"/>
                <w:szCs w:val="24"/>
              </w:rPr>
            </w:pPr>
            <w:r>
              <w:rPr>
                <w:rFonts w:hint="eastAsia" w:ascii="仿宋" w:hAnsi="仿宋" w:eastAsia="仿宋" w:cs="仿宋"/>
                <w:sz w:val="24"/>
                <w:szCs w:val="24"/>
              </w:rPr>
              <w:t>验收条件及标准</w:t>
            </w:r>
          </w:p>
        </w:tc>
        <w:tc>
          <w:tcPr>
            <w:tcW w:w="9115" w:type="dxa"/>
            <w:gridSpan w:val="2"/>
            <w:vAlign w:val="center"/>
          </w:tcPr>
          <w:p>
            <w:pPr>
              <w:wordWrap w:val="0"/>
              <w:snapToGrid w:val="0"/>
              <w:spacing w:line="380" w:lineRule="exact"/>
              <w:jc w:val="left"/>
              <w:rPr>
                <w:rFonts w:ascii="仿宋" w:hAnsi="仿宋" w:eastAsia="仿宋" w:cs="仿宋"/>
                <w:sz w:val="24"/>
              </w:rPr>
            </w:pPr>
            <w:r>
              <w:rPr>
                <w:rFonts w:hint="eastAsia" w:ascii="仿宋" w:hAnsi="仿宋" w:eastAsia="仿宋" w:cs="仿宋"/>
                <w:sz w:val="24"/>
              </w:rPr>
              <w:t>设备需全新、完好、无破损，按照技术要求的各项指标进行验收。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jc w:val="center"/>
        </w:trPr>
        <w:tc>
          <w:tcPr>
            <w:tcW w:w="1208" w:type="dxa"/>
            <w:gridSpan w:val="2"/>
            <w:vAlign w:val="center"/>
          </w:tcPr>
          <w:p>
            <w:pPr>
              <w:wordWrap w:val="0"/>
              <w:snapToGrid w:val="0"/>
              <w:spacing w:line="380" w:lineRule="exact"/>
              <w:jc w:val="center"/>
              <w:outlineLvl w:val="0"/>
              <w:rPr>
                <w:rFonts w:ascii="仿宋" w:hAnsi="仿宋" w:eastAsia="仿宋" w:cs="仿宋"/>
                <w:sz w:val="24"/>
              </w:rPr>
            </w:pPr>
            <w:r>
              <w:rPr>
                <w:rFonts w:hint="eastAsia" w:ascii="仿宋" w:hAnsi="仿宋" w:eastAsia="仿宋" w:cs="仿宋"/>
                <w:sz w:val="24"/>
              </w:rPr>
              <w:t>验收方法及方案</w:t>
            </w:r>
          </w:p>
        </w:tc>
        <w:tc>
          <w:tcPr>
            <w:tcW w:w="9115" w:type="dxa"/>
            <w:gridSpan w:val="2"/>
            <w:vAlign w:val="center"/>
          </w:tcPr>
          <w:p>
            <w:pPr>
              <w:tabs>
                <w:tab w:val="left" w:pos="1820"/>
              </w:tabs>
              <w:wordWrap w:val="0"/>
              <w:spacing w:line="380" w:lineRule="exact"/>
              <w:rPr>
                <w:rFonts w:ascii="仿宋" w:hAnsi="仿宋" w:eastAsia="仿宋" w:cs="仿宋"/>
                <w:sz w:val="24"/>
              </w:rPr>
            </w:pPr>
            <w:r>
              <w:rPr>
                <w:rFonts w:hint="eastAsia" w:ascii="仿宋" w:hAnsi="仿宋" w:eastAsia="仿宋" w:cs="仿宋"/>
                <w:sz w:val="24"/>
              </w:rPr>
              <w:t>设备开机试运行，测试设备的技术性能指标，确认各项功能正常运行，同时检查随机文件应齐整。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0323" w:type="dxa"/>
            <w:gridSpan w:val="4"/>
            <w:vAlign w:val="center"/>
          </w:tcPr>
          <w:p>
            <w:pPr>
              <w:wordWrap w:val="0"/>
              <w:snapToGrid w:val="0"/>
              <w:spacing w:line="380" w:lineRule="exact"/>
              <w:rPr>
                <w:rFonts w:ascii="仿宋" w:hAnsi="仿宋" w:eastAsia="仿宋" w:cs="仿宋"/>
                <w:b/>
                <w:bCs/>
                <w:sz w:val="24"/>
              </w:rPr>
            </w:pPr>
            <w:r>
              <w:rPr>
                <w:rFonts w:hint="eastAsia" w:ascii="仿宋" w:hAnsi="仿宋" w:eastAsia="仿宋" w:cs="仿宋"/>
                <w:b/>
                <w:bCs/>
                <w:sz w:val="24"/>
              </w:rPr>
              <w:t>二、</w:t>
            </w:r>
            <w:bookmarkStart w:id="99" w:name="OLE_LINK1"/>
            <w:r>
              <w:rPr>
                <w:rFonts w:hint="eastAsia" w:ascii="仿宋" w:hAnsi="仿宋" w:eastAsia="仿宋" w:cs="仿宋"/>
                <w:b/>
                <w:bCs/>
                <w:sz w:val="24"/>
              </w:rPr>
              <w:t>商务要求</w:t>
            </w:r>
            <w:bookmarkEnd w:id="99"/>
            <w:r>
              <w:rPr>
                <w:rFonts w:hint="eastAsia" w:ascii="仿宋" w:hAnsi="仿宋" w:eastAsia="仿宋" w:cs="仿宋"/>
                <w:b/>
                <w:bCs/>
                <w:sz w:val="24"/>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 w:hRule="atLeast"/>
          <w:jc w:val="center"/>
        </w:trPr>
        <w:tc>
          <w:tcPr>
            <w:tcW w:w="1208" w:type="dxa"/>
            <w:gridSpan w:val="2"/>
            <w:vAlign w:val="center"/>
          </w:tcPr>
          <w:p>
            <w:pPr>
              <w:wordWrap w:val="0"/>
              <w:snapToGrid w:val="0"/>
              <w:spacing w:line="380" w:lineRule="exact"/>
              <w:jc w:val="center"/>
              <w:rPr>
                <w:rFonts w:ascii="仿宋" w:hAnsi="仿宋" w:eastAsia="仿宋" w:cs="仿宋"/>
                <w:sz w:val="24"/>
              </w:rPr>
            </w:pPr>
            <w:r>
              <w:rPr>
                <w:rFonts w:hint="eastAsia" w:ascii="仿宋" w:hAnsi="仿宋" w:eastAsia="仿宋" w:cs="仿宋"/>
                <w:sz w:val="24"/>
              </w:rPr>
              <w:t>质保期</w:t>
            </w:r>
          </w:p>
        </w:tc>
        <w:tc>
          <w:tcPr>
            <w:tcW w:w="9115" w:type="dxa"/>
            <w:gridSpan w:val="2"/>
            <w:vAlign w:val="center"/>
          </w:tcPr>
          <w:p>
            <w:pPr>
              <w:wordWrap w:val="0"/>
              <w:snapToGrid w:val="0"/>
              <w:spacing w:line="380" w:lineRule="exact"/>
              <w:jc w:val="left"/>
              <w:rPr>
                <w:rFonts w:ascii="仿宋" w:hAnsi="仿宋" w:eastAsia="仿宋" w:cs="仿宋"/>
                <w:sz w:val="24"/>
                <w:highlight w:val="none"/>
              </w:rPr>
            </w:pPr>
            <w:r>
              <w:rPr>
                <w:rFonts w:hint="eastAsia" w:ascii="仿宋" w:hAnsi="仿宋" w:eastAsia="仿宋" w:cs="仿宋"/>
                <w:sz w:val="24"/>
                <w:highlight w:val="none"/>
              </w:rPr>
              <w:t>按国家有关产品“三包”规定执行“三包”，免费质保期最短不得少于</w:t>
            </w:r>
            <w:r>
              <w:rPr>
                <w:rFonts w:hint="eastAsia" w:ascii="仿宋" w:hAnsi="仿宋" w:eastAsia="仿宋" w:cs="仿宋"/>
                <w:sz w:val="24"/>
                <w:highlight w:val="none"/>
                <w:u w:val="single"/>
              </w:rPr>
              <w:t xml:space="preserve">  3  </w:t>
            </w:r>
            <w:r>
              <w:rPr>
                <w:rFonts w:hint="eastAsia" w:ascii="仿宋" w:hAnsi="仿宋" w:eastAsia="仿宋" w:cs="仿宋"/>
                <w:sz w:val="24"/>
                <w:highlight w:val="none"/>
              </w:rPr>
              <w:t>年，质保期内免费提供系统维护等技术支持，提供软件终身技术支持，相关费用包含在报价中；包括维保期后系统维护、扩充等。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9" w:hRule="atLeast"/>
          <w:jc w:val="center"/>
        </w:trPr>
        <w:tc>
          <w:tcPr>
            <w:tcW w:w="1208" w:type="dxa"/>
            <w:gridSpan w:val="2"/>
            <w:vAlign w:val="center"/>
          </w:tcPr>
          <w:p>
            <w:pPr>
              <w:wordWrap w:val="0"/>
              <w:snapToGrid w:val="0"/>
              <w:spacing w:line="380" w:lineRule="exact"/>
              <w:jc w:val="center"/>
              <w:rPr>
                <w:rFonts w:ascii="仿宋" w:hAnsi="仿宋" w:eastAsia="仿宋" w:cs="仿宋"/>
                <w:sz w:val="24"/>
              </w:rPr>
            </w:pPr>
            <w:r>
              <w:rPr>
                <w:rFonts w:hint="eastAsia" w:ascii="仿宋" w:hAnsi="仿宋" w:eastAsia="仿宋" w:cs="仿宋"/>
                <w:sz w:val="24"/>
              </w:rPr>
              <w:t>售后及技术服务</w:t>
            </w:r>
          </w:p>
          <w:p>
            <w:pPr>
              <w:wordWrap w:val="0"/>
              <w:snapToGrid w:val="0"/>
              <w:spacing w:line="380" w:lineRule="exact"/>
              <w:jc w:val="center"/>
              <w:rPr>
                <w:rFonts w:ascii="仿宋" w:hAnsi="仿宋" w:eastAsia="仿宋" w:cs="仿宋"/>
                <w:sz w:val="24"/>
              </w:rPr>
            </w:pPr>
            <w:r>
              <w:rPr>
                <w:rFonts w:hint="eastAsia" w:ascii="仿宋" w:hAnsi="仿宋" w:eastAsia="仿宋" w:cs="仿宋"/>
                <w:sz w:val="24"/>
              </w:rPr>
              <w:t>要求</w:t>
            </w:r>
          </w:p>
        </w:tc>
        <w:tc>
          <w:tcPr>
            <w:tcW w:w="9115" w:type="dxa"/>
            <w:gridSpan w:val="2"/>
            <w:vAlign w:val="center"/>
          </w:tcPr>
          <w:p>
            <w:pPr>
              <w:wordWrap w:val="0"/>
              <w:snapToGrid w:val="0"/>
              <w:spacing w:line="380" w:lineRule="exact"/>
              <w:jc w:val="left"/>
              <w:rPr>
                <w:rFonts w:ascii="仿宋" w:hAnsi="仿宋" w:eastAsia="仿宋" w:cs="仿宋"/>
                <w:sz w:val="24"/>
              </w:rPr>
            </w:pPr>
            <w:r>
              <w:rPr>
                <w:rFonts w:hint="eastAsia" w:ascii="仿宋" w:hAnsi="仿宋" w:eastAsia="仿宋" w:cs="仿宋"/>
                <w:sz w:val="24"/>
              </w:rPr>
              <w:t>1、免费送货上门，免费安装、免费调试，免费提供现场技术培训，保证使用人员正常操作设备的各种功能；若</w:t>
            </w:r>
            <w:r>
              <w:rPr>
                <w:rFonts w:hint="eastAsia" w:ascii="仿宋" w:hAnsi="仿宋" w:eastAsia="仿宋" w:cs="仿宋"/>
                <w:sz w:val="24"/>
                <w:lang w:val="zh-CN"/>
              </w:rPr>
              <w:t>设备自带</w:t>
            </w:r>
            <w:r>
              <w:rPr>
                <w:rFonts w:hint="eastAsia" w:ascii="仿宋" w:hAnsi="仿宋" w:eastAsia="仿宋" w:cs="仿宋"/>
                <w:sz w:val="24"/>
              </w:rPr>
              <w:t>软件，则在保修期免费升级；其余按投标人承诺进行。</w:t>
            </w:r>
          </w:p>
          <w:p>
            <w:pPr>
              <w:wordWrap w:val="0"/>
              <w:snapToGrid w:val="0"/>
              <w:spacing w:line="380" w:lineRule="exact"/>
              <w:jc w:val="left"/>
              <w:rPr>
                <w:rFonts w:ascii="仿宋" w:hAnsi="仿宋" w:eastAsia="仿宋" w:cs="仿宋"/>
                <w:sz w:val="24"/>
              </w:rPr>
            </w:pPr>
            <w:r>
              <w:rPr>
                <w:rFonts w:hint="eastAsia" w:ascii="仿宋" w:hAnsi="仿宋" w:eastAsia="仿宋" w:cs="仿宋"/>
                <w:sz w:val="24"/>
              </w:rPr>
              <w:t>2、提供售后服务联系电话及</w:t>
            </w:r>
            <w:bookmarkStart w:id="100" w:name="OLE_LINK123"/>
            <w:bookmarkStart w:id="101" w:name="OLE_LINK122"/>
            <w:r>
              <w:rPr>
                <w:rFonts w:hint="eastAsia" w:ascii="仿宋" w:hAnsi="仿宋" w:eastAsia="仿宋" w:cs="仿宋"/>
                <w:sz w:val="24"/>
              </w:rPr>
              <w:t>联系人，免费质保期内，接到报障电话在承诺时间内派工程技术人员上门维修解决问题。如果需要更换配件的，要求更换的配件应跟被更换的品牌、类型相一致或者是同类同档次的替代品，后者需征得用户方管理人员同意。</w:t>
            </w:r>
            <w:bookmarkEnd w:id="100"/>
            <w:bookmarkEnd w:id="101"/>
          </w:p>
          <w:p>
            <w:pPr>
              <w:wordWrap w:val="0"/>
              <w:snapToGrid w:val="0"/>
              <w:spacing w:line="380" w:lineRule="exact"/>
              <w:jc w:val="left"/>
              <w:rPr>
                <w:rFonts w:ascii="仿宋" w:hAnsi="仿宋" w:eastAsia="仿宋" w:cs="仿宋"/>
                <w:sz w:val="24"/>
              </w:rPr>
            </w:pPr>
            <w:r>
              <w:rPr>
                <w:rFonts w:hint="eastAsia" w:ascii="仿宋" w:hAnsi="仿宋" w:eastAsia="仿宋" w:cs="仿宋"/>
                <w:sz w:val="24"/>
              </w:rPr>
              <w:t>3、提供保修期外零配件优惠供应方案。</w:t>
            </w:r>
          </w:p>
          <w:p>
            <w:pPr>
              <w:wordWrap w:val="0"/>
              <w:snapToGrid w:val="0"/>
              <w:spacing w:line="380" w:lineRule="exact"/>
              <w:jc w:val="left"/>
            </w:pPr>
            <w:r>
              <w:rPr>
                <w:rFonts w:hint="eastAsia" w:ascii="仿宋" w:hAnsi="仿宋" w:eastAsia="仿宋" w:cs="仿宋"/>
                <w:sz w:val="24"/>
              </w:rPr>
              <w:t>4.供应商具备成熟的培训体系。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jc w:val="center"/>
        </w:trPr>
        <w:tc>
          <w:tcPr>
            <w:tcW w:w="1208" w:type="dxa"/>
            <w:gridSpan w:val="2"/>
            <w:vAlign w:val="center"/>
          </w:tcPr>
          <w:p>
            <w:pPr>
              <w:wordWrap w:val="0"/>
              <w:snapToGrid w:val="0"/>
              <w:spacing w:line="380" w:lineRule="exact"/>
              <w:jc w:val="center"/>
              <w:rPr>
                <w:rFonts w:ascii="仿宋" w:hAnsi="仿宋" w:eastAsia="仿宋" w:cs="仿宋"/>
                <w:sz w:val="24"/>
              </w:rPr>
            </w:pPr>
            <w:r>
              <w:rPr>
                <w:rFonts w:hint="eastAsia" w:ascii="仿宋" w:hAnsi="仿宋" w:eastAsia="仿宋" w:cs="仿宋"/>
                <w:sz w:val="24"/>
              </w:rPr>
              <w:t>交货时间及地点</w:t>
            </w:r>
          </w:p>
        </w:tc>
        <w:tc>
          <w:tcPr>
            <w:tcW w:w="9115" w:type="dxa"/>
            <w:gridSpan w:val="2"/>
          </w:tcPr>
          <w:p>
            <w:pPr>
              <w:wordWrap w:val="0"/>
              <w:snapToGrid w:val="0"/>
              <w:spacing w:line="380" w:lineRule="exact"/>
              <w:jc w:val="left"/>
              <w:rPr>
                <w:rFonts w:ascii="仿宋" w:hAnsi="仿宋" w:eastAsia="仿宋" w:cs="仿宋"/>
                <w:sz w:val="24"/>
                <w:highlight w:val="none"/>
              </w:rPr>
            </w:pPr>
            <w:r>
              <w:rPr>
                <w:rFonts w:hint="eastAsia" w:ascii="仿宋" w:hAnsi="仿宋" w:eastAsia="仿宋" w:cs="仿宋"/>
                <w:sz w:val="24"/>
                <w:highlight w:val="none"/>
              </w:rPr>
              <w:t>交货期：</w:t>
            </w:r>
            <w:r>
              <w:rPr>
                <w:rFonts w:hint="eastAsia" w:ascii="仿宋" w:hAnsi="仿宋" w:eastAsia="仿宋"/>
                <w:sz w:val="24"/>
              </w:rPr>
              <w:t>自签订合同之日起7个工作日必须到货，并全部安装调试合格完毕</w:t>
            </w:r>
            <w:r>
              <w:rPr>
                <w:rFonts w:hint="eastAsia" w:ascii="仿宋" w:hAnsi="仿宋" w:eastAsia="仿宋"/>
                <w:kern w:val="0"/>
                <w:sz w:val="24"/>
              </w:rPr>
              <w:t>。</w:t>
            </w:r>
          </w:p>
          <w:p>
            <w:pPr>
              <w:wordWrap w:val="0"/>
              <w:snapToGrid w:val="0"/>
              <w:spacing w:line="380" w:lineRule="exact"/>
              <w:jc w:val="left"/>
              <w:rPr>
                <w:rFonts w:ascii="仿宋" w:hAnsi="仿宋" w:eastAsia="仿宋" w:cs="仿宋"/>
                <w:sz w:val="24"/>
                <w:highlight w:val="none"/>
              </w:rPr>
            </w:pPr>
            <w:r>
              <w:rPr>
                <w:rFonts w:hint="eastAsia" w:ascii="仿宋" w:hAnsi="仿宋" w:eastAsia="仿宋" w:cs="仿宋"/>
                <w:sz w:val="24"/>
                <w:highlight w:val="none"/>
              </w:rPr>
              <w:t>交货地点：广西桂林市采购人指定地点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3" w:hRule="atLeast"/>
          <w:jc w:val="center"/>
        </w:trPr>
        <w:tc>
          <w:tcPr>
            <w:tcW w:w="1208" w:type="dxa"/>
            <w:gridSpan w:val="2"/>
            <w:vAlign w:val="center"/>
          </w:tcPr>
          <w:p>
            <w:pPr>
              <w:wordWrap w:val="0"/>
              <w:snapToGrid w:val="0"/>
              <w:spacing w:line="380" w:lineRule="exact"/>
              <w:jc w:val="center"/>
              <w:rPr>
                <w:rFonts w:ascii="仿宋" w:hAnsi="仿宋" w:eastAsia="仿宋" w:cs="仿宋"/>
                <w:sz w:val="24"/>
              </w:rPr>
            </w:pPr>
            <w:r>
              <w:rPr>
                <w:rFonts w:hint="eastAsia" w:ascii="仿宋" w:hAnsi="仿宋" w:eastAsia="仿宋" w:cs="仿宋"/>
                <w:sz w:val="24"/>
              </w:rPr>
              <w:t>付款条件</w:t>
            </w:r>
          </w:p>
        </w:tc>
        <w:tc>
          <w:tcPr>
            <w:tcW w:w="9115" w:type="dxa"/>
            <w:gridSpan w:val="2"/>
          </w:tcPr>
          <w:p>
            <w:pPr>
              <w:pStyle w:val="15"/>
              <w:wordWrap w:val="0"/>
              <w:spacing w:line="380" w:lineRule="exact"/>
              <w:rPr>
                <w:rFonts w:ascii="仿宋" w:hAnsi="仿宋" w:eastAsia="仿宋" w:cs="仿宋"/>
                <w:sz w:val="24"/>
              </w:rPr>
            </w:pPr>
            <w:bookmarkStart w:id="102" w:name="OLE_LINK119"/>
            <w:bookmarkStart w:id="103" w:name="OLE_LINK120"/>
            <w:r>
              <w:rPr>
                <w:rFonts w:hint="eastAsia" w:ascii="仿宋" w:hAnsi="仿宋" w:eastAsia="仿宋" w:cs="仿宋"/>
                <w:sz w:val="24"/>
              </w:rPr>
              <w:t>本项目按年度支付合同金额，每年的10月30日核定实际使用高等学历继续教育综合学习平台与课程资源使用服务的学生数量，根据“对应年度</w:t>
            </w:r>
            <w:bookmarkStart w:id="104" w:name="OLE_LINK125"/>
            <w:bookmarkStart w:id="105" w:name="OLE_LINK126"/>
            <w:bookmarkStart w:id="106" w:name="OLE_LINK124"/>
            <w:r>
              <w:rPr>
                <w:rFonts w:hint="eastAsia" w:ascii="仿宋" w:hAnsi="仿宋" w:eastAsia="仿宋" w:cs="仿宋"/>
                <w:sz w:val="24"/>
              </w:rPr>
              <w:t>实际使用高等学历继续教育综合学习平台与课程资源使用服务的学生数量</w:t>
            </w:r>
            <w:bookmarkEnd w:id="104"/>
            <w:bookmarkEnd w:id="105"/>
            <w:bookmarkEnd w:id="106"/>
            <w:r>
              <w:rPr>
                <w:rFonts w:hint="eastAsia" w:ascii="仿宋" w:hAnsi="仿宋" w:eastAsia="仿宋" w:cs="仿宋"/>
                <w:sz w:val="24"/>
              </w:rPr>
              <w:t>*投标报价*50%”的总金额，由中标供应商开具增值税专用发票给采购人，采购人收到增值税专用发票后20个工作日内支付对应年度合同金额（无息）。已累计支付投标报价金额的学生数量不计入对应年度应缴费的学生数量。</w:t>
            </w:r>
            <w:bookmarkEnd w:id="102"/>
            <w:bookmarkEnd w:id="1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0" w:hRule="atLeast"/>
          <w:jc w:val="center"/>
        </w:trPr>
        <w:tc>
          <w:tcPr>
            <w:tcW w:w="1208" w:type="dxa"/>
            <w:gridSpan w:val="2"/>
            <w:vAlign w:val="center"/>
          </w:tcPr>
          <w:p>
            <w:pPr>
              <w:wordWrap w:val="0"/>
              <w:snapToGrid w:val="0"/>
              <w:spacing w:line="380" w:lineRule="exact"/>
              <w:jc w:val="center"/>
              <w:rPr>
                <w:rFonts w:ascii="仿宋" w:hAnsi="仿宋" w:eastAsia="仿宋" w:cs="仿宋"/>
                <w:sz w:val="24"/>
                <w:highlight w:val="none"/>
              </w:rPr>
            </w:pPr>
            <w:r>
              <w:rPr>
                <w:rFonts w:hint="eastAsia" w:ascii="仿宋" w:hAnsi="仿宋" w:eastAsia="仿宋" w:cs="仿宋"/>
                <w:sz w:val="24"/>
                <w:highlight w:val="none"/>
              </w:rPr>
              <w:t>成果和文档资料</w:t>
            </w:r>
          </w:p>
        </w:tc>
        <w:tc>
          <w:tcPr>
            <w:tcW w:w="9115" w:type="dxa"/>
            <w:gridSpan w:val="2"/>
          </w:tcPr>
          <w:p>
            <w:pPr>
              <w:pStyle w:val="15"/>
              <w:wordWrap w:val="0"/>
              <w:spacing w:line="380" w:lineRule="exact"/>
              <w:rPr>
                <w:rFonts w:ascii="仿宋" w:hAnsi="仿宋" w:eastAsia="仿宋" w:cs="仿宋"/>
                <w:sz w:val="24"/>
                <w:highlight w:val="none"/>
              </w:rPr>
            </w:pPr>
            <w:r>
              <w:rPr>
                <w:rFonts w:hint="eastAsia" w:ascii="仿宋" w:hAnsi="仿宋" w:eastAsia="仿宋" w:cs="仿宋"/>
                <w:sz w:val="24"/>
                <w:highlight w:val="none"/>
              </w:rPr>
              <w:t>本项目须严格遵守软件系统平台工程管理要求进行平台的定制、安装、调试、培训及售后服务等工作，提供相关的技术文档，包括管理员手册、含数据逻辑关系的维护说明书、接口数据结构说明等。所提交的资料要同所提供的系统一致，并在平台升级时提供补充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7" w:hRule="atLeast"/>
          <w:jc w:val="center"/>
        </w:trPr>
        <w:tc>
          <w:tcPr>
            <w:tcW w:w="1208" w:type="dxa"/>
            <w:gridSpan w:val="2"/>
            <w:vAlign w:val="center"/>
          </w:tcPr>
          <w:p>
            <w:pPr>
              <w:wordWrap w:val="0"/>
              <w:snapToGrid w:val="0"/>
              <w:spacing w:line="380" w:lineRule="exact"/>
              <w:jc w:val="center"/>
              <w:rPr>
                <w:rFonts w:ascii="仿宋" w:hAnsi="仿宋" w:eastAsia="仿宋" w:cs="仿宋"/>
                <w:sz w:val="24"/>
                <w:highlight w:val="none"/>
              </w:rPr>
            </w:pPr>
            <w:r>
              <w:rPr>
                <w:rFonts w:hint="eastAsia" w:ascii="仿宋" w:hAnsi="仿宋" w:eastAsia="仿宋" w:cs="仿宋"/>
                <w:sz w:val="24"/>
                <w:highlight w:val="none"/>
              </w:rPr>
              <w:t>服务验收</w:t>
            </w:r>
          </w:p>
        </w:tc>
        <w:tc>
          <w:tcPr>
            <w:tcW w:w="9115" w:type="dxa"/>
            <w:gridSpan w:val="2"/>
          </w:tcPr>
          <w:p>
            <w:pPr>
              <w:pStyle w:val="15"/>
              <w:wordWrap w:val="0"/>
              <w:spacing w:line="380" w:lineRule="exact"/>
              <w:rPr>
                <w:rFonts w:ascii="仿宋" w:hAnsi="仿宋" w:eastAsia="仿宋" w:cs="仿宋"/>
                <w:sz w:val="24"/>
                <w:highlight w:val="none"/>
              </w:rPr>
            </w:pPr>
            <w:r>
              <w:rPr>
                <w:rFonts w:hint="eastAsia" w:ascii="仿宋" w:hAnsi="仿宋" w:eastAsia="仿宋" w:cs="仿宋"/>
                <w:sz w:val="24"/>
                <w:highlight w:val="none"/>
              </w:rPr>
              <w:t>（1）根据合同条款要求，所有检验和试验等费用都被认为包括在合同总价中。</w:t>
            </w:r>
          </w:p>
          <w:p>
            <w:pPr>
              <w:pStyle w:val="15"/>
              <w:wordWrap w:val="0"/>
              <w:spacing w:line="380" w:lineRule="exact"/>
              <w:rPr>
                <w:rFonts w:ascii="仿宋" w:hAnsi="仿宋" w:eastAsia="仿宋" w:cs="仿宋"/>
                <w:sz w:val="24"/>
                <w:highlight w:val="none"/>
              </w:rPr>
            </w:pPr>
            <w:r>
              <w:rPr>
                <w:rFonts w:hint="eastAsia" w:ascii="仿宋" w:hAnsi="仿宋" w:eastAsia="仿宋" w:cs="仿宋"/>
                <w:sz w:val="24"/>
                <w:highlight w:val="none"/>
              </w:rPr>
              <w:t>（2）供应商必须在合同规定的时间内，以验收申请报告形式书面通知采购人以声明整个平台建设完毕，采购人确认申请报告的第三个工作日为验收测试开始日。</w:t>
            </w:r>
          </w:p>
          <w:p>
            <w:pPr>
              <w:pStyle w:val="15"/>
              <w:wordWrap w:val="0"/>
              <w:spacing w:line="380" w:lineRule="exact"/>
              <w:rPr>
                <w:rFonts w:ascii="仿宋" w:hAnsi="仿宋" w:eastAsia="仿宋" w:cs="仿宋"/>
                <w:sz w:val="24"/>
                <w:highlight w:val="none"/>
              </w:rPr>
            </w:pPr>
            <w:r>
              <w:rPr>
                <w:rFonts w:hint="eastAsia" w:ascii="仿宋" w:hAnsi="仿宋" w:eastAsia="仿宋" w:cs="仿宋"/>
                <w:sz w:val="24"/>
                <w:highlight w:val="none"/>
              </w:rPr>
              <w:t>（3）供应商为用户提供数据迁移服务，并且数据迁移服务由供应商完全负责，包括原有学籍平台的数据结构分析、迁移方案的制定、数据迁移的实施。供应商必须提供数据迁移承诺函。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8" w:hRule="atLeast"/>
          <w:jc w:val="center"/>
        </w:trPr>
        <w:tc>
          <w:tcPr>
            <w:tcW w:w="1208" w:type="dxa"/>
            <w:gridSpan w:val="2"/>
            <w:vAlign w:val="center"/>
          </w:tcPr>
          <w:p>
            <w:pPr>
              <w:spacing w:line="380" w:lineRule="exact"/>
              <w:jc w:val="center"/>
              <w:rPr>
                <w:rFonts w:ascii="仿宋" w:hAnsi="仿宋" w:eastAsia="仿宋" w:cs="仿宋"/>
                <w:sz w:val="24"/>
              </w:rPr>
            </w:pPr>
            <w:r>
              <w:rPr>
                <w:rFonts w:hint="eastAsia" w:ascii="仿宋" w:hAnsi="仿宋" w:eastAsia="仿宋" w:cs="仿宋"/>
                <w:sz w:val="24"/>
              </w:rPr>
              <w:t>履约保证金收取及退付</w:t>
            </w:r>
          </w:p>
        </w:tc>
        <w:tc>
          <w:tcPr>
            <w:tcW w:w="9115" w:type="dxa"/>
            <w:gridSpan w:val="2"/>
            <w:vAlign w:val="center"/>
          </w:tcPr>
          <w:p>
            <w:pPr>
              <w:spacing w:line="380" w:lineRule="exact"/>
              <w:rPr>
                <w:rFonts w:ascii="仿宋" w:hAnsi="仿宋" w:eastAsia="仿宋" w:cs="仿宋"/>
                <w:sz w:val="24"/>
              </w:rPr>
            </w:pPr>
            <w:r>
              <w:rPr>
                <w:rFonts w:hint="eastAsia" w:ascii="仿宋" w:hAnsi="仿宋" w:eastAsia="仿宋" w:cs="仿宋"/>
                <w:b/>
                <w:bCs/>
                <w:sz w:val="24"/>
              </w:rPr>
              <w:t>1、履约保证金收取：</w:t>
            </w:r>
            <w:r>
              <w:rPr>
                <w:rFonts w:hint="eastAsia" w:ascii="仿宋" w:hAnsi="仿宋" w:eastAsia="仿宋" w:cs="仿宋"/>
                <w:sz w:val="24"/>
              </w:rPr>
              <w:t>由中标供应商在签订合同前按中标金额的5%收取（如中标供应商为中小微型企业的，按中标金额的2%收取）。</w:t>
            </w:r>
          </w:p>
          <w:p>
            <w:pPr>
              <w:spacing w:line="380" w:lineRule="exact"/>
              <w:rPr>
                <w:rFonts w:ascii="仿宋" w:hAnsi="仿宋" w:eastAsia="仿宋" w:cs="仿宋"/>
                <w:sz w:val="24"/>
              </w:rPr>
            </w:pPr>
            <w:r>
              <w:rPr>
                <w:rFonts w:hint="eastAsia" w:ascii="仿宋" w:hAnsi="仿宋" w:eastAsia="仿宋" w:cs="仿宋"/>
                <w:b/>
                <w:bCs/>
                <w:sz w:val="24"/>
              </w:rPr>
              <w:t>2、交纳方式：</w:t>
            </w:r>
            <w:r>
              <w:rPr>
                <w:rFonts w:hint="eastAsia" w:ascii="仿宋" w:hAnsi="仿宋" w:eastAsia="仿宋" w:cs="仿宋"/>
                <w:sz w:val="24"/>
              </w:rPr>
              <w:t>履约保证金可以采用银行转账、支票、汇票、本票或者银行、保险机构出具的保函等非现金形式。采购人开具履约保证金财务凭证给中标供应商。</w:t>
            </w:r>
          </w:p>
          <w:p>
            <w:pPr>
              <w:spacing w:line="380" w:lineRule="exact"/>
              <w:rPr>
                <w:rFonts w:ascii="仿宋" w:hAnsi="仿宋" w:eastAsia="仿宋" w:cs="仿宋"/>
                <w:sz w:val="24"/>
              </w:rPr>
            </w:pPr>
            <w:r>
              <w:rPr>
                <w:rFonts w:hint="eastAsia" w:ascii="仿宋" w:hAnsi="仿宋" w:eastAsia="仿宋" w:cs="仿宋"/>
                <w:b/>
                <w:bCs/>
                <w:sz w:val="24"/>
              </w:rPr>
              <w:t>3、履约保证金退付</w:t>
            </w:r>
            <w:r>
              <w:rPr>
                <w:rFonts w:hint="eastAsia" w:ascii="仿宋" w:hAnsi="仿宋" w:eastAsia="仿宋" w:cs="仿宋"/>
                <w:sz w:val="24"/>
              </w:rPr>
              <w:t>：中标供应商履行完合同约定权利义务事项且服务期满后无违约情况，凭《项目验收单》 和履约保证金交纳凭证向采购人申请办理退还手续，采购人不得额外要求中标供应商提交其他证明材料，并应当自收到退还资料之日起5个工作日内退还其履约保证金（无息）。如中标供应商不按双方签订的合同规定履约，则没收其全部履约保证金，履约保证金不足以赔偿损失的，按实际损失赔偿。</w:t>
            </w:r>
          </w:p>
          <w:p>
            <w:pPr>
              <w:spacing w:line="380" w:lineRule="exact"/>
              <w:rPr>
                <w:rFonts w:ascii="仿宋" w:hAnsi="仿宋" w:eastAsia="仿宋" w:cs="仿宋"/>
                <w:sz w:val="24"/>
              </w:rPr>
            </w:pPr>
            <w:r>
              <w:rPr>
                <w:rFonts w:hint="eastAsia" w:ascii="仿宋" w:hAnsi="仿宋" w:eastAsia="仿宋" w:cs="仿宋"/>
                <w:b/>
                <w:bCs/>
                <w:sz w:val="24"/>
              </w:rPr>
              <w:t>4、履约保证金递交方式：</w:t>
            </w:r>
            <w:r>
              <w:rPr>
                <w:rFonts w:hint="eastAsia" w:ascii="仿宋" w:hAnsi="仿宋" w:eastAsia="仿宋" w:cs="仿宋"/>
                <w:sz w:val="24"/>
              </w:rPr>
              <w:t>支票、汇票、本票等非现金方式。由中标供应商在签订合同前按规定的金额直接缴入以下采购人账户。凭履约保证金缴纳凭证签订合同。</w:t>
            </w:r>
          </w:p>
          <w:p>
            <w:pPr>
              <w:spacing w:line="380" w:lineRule="exact"/>
              <w:rPr>
                <w:rFonts w:ascii="仿宋" w:hAnsi="仿宋" w:eastAsia="仿宋" w:cs="仿宋"/>
                <w:sz w:val="24"/>
              </w:rPr>
            </w:pPr>
            <w:r>
              <w:rPr>
                <w:rFonts w:hint="eastAsia" w:ascii="仿宋" w:hAnsi="仿宋" w:eastAsia="仿宋" w:cs="仿宋"/>
                <w:sz w:val="24"/>
              </w:rPr>
              <w:t>开户名称：桂林电子科技大学</w:t>
            </w:r>
          </w:p>
          <w:p>
            <w:pPr>
              <w:spacing w:line="380" w:lineRule="exact"/>
              <w:rPr>
                <w:rFonts w:ascii="仿宋" w:hAnsi="仿宋" w:eastAsia="仿宋" w:cs="仿宋"/>
                <w:sz w:val="24"/>
              </w:rPr>
            </w:pPr>
            <w:r>
              <w:rPr>
                <w:rFonts w:hint="eastAsia" w:ascii="仿宋" w:hAnsi="仿宋" w:eastAsia="仿宋" w:cs="仿宋"/>
                <w:sz w:val="24"/>
              </w:rPr>
              <w:t xml:space="preserve">开户银行：桂林市工商银行屏风支行       </w:t>
            </w:r>
          </w:p>
          <w:p>
            <w:pPr>
              <w:spacing w:line="380" w:lineRule="exact"/>
              <w:rPr>
                <w:rFonts w:ascii="仿宋" w:hAnsi="仿宋" w:eastAsia="仿宋" w:cs="仿宋"/>
                <w:sz w:val="24"/>
              </w:rPr>
            </w:pPr>
            <w:r>
              <w:rPr>
                <w:rFonts w:hint="eastAsia" w:ascii="仿宋" w:hAnsi="仿宋" w:eastAsia="仿宋" w:cs="仿宋"/>
                <w:sz w:val="24"/>
              </w:rPr>
              <w:t>银行账号：2103 2152 0924 9017 694</w:t>
            </w: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6" w:hRule="atLeast"/>
          <w:jc w:val="center"/>
        </w:trPr>
        <w:tc>
          <w:tcPr>
            <w:tcW w:w="1208" w:type="dxa"/>
            <w:gridSpan w:val="2"/>
            <w:vAlign w:val="center"/>
          </w:tcPr>
          <w:p>
            <w:pPr>
              <w:spacing w:line="380" w:lineRule="exact"/>
              <w:jc w:val="center"/>
              <w:rPr>
                <w:rFonts w:ascii="仿宋" w:hAnsi="仿宋" w:eastAsia="仿宋" w:cs="仿宋"/>
                <w:sz w:val="24"/>
              </w:rPr>
            </w:pPr>
            <w:r>
              <w:rPr>
                <w:rFonts w:hint="eastAsia" w:ascii="仿宋" w:hAnsi="仿宋" w:eastAsia="仿宋" w:cs="仿宋"/>
                <w:sz w:val="24"/>
              </w:rPr>
              <w:t>其它</w:t>
            </w:r>
          </w:p>
        </w:tc>
        <w:tc>
          <w:tcPr>
            <w:tcW w:w="9115" w:type="dxa"/>
            <w:gridSpan w:val="2"/>
            <w:vAlign w:val="center"/>
          </w:tcPr>
          <w:p>
            <w:pPr>
              <w:spacing w:line="380" w:lineRule="exact"/>
              <w:rPr>
                <w:rFonts w:ascii="仿宋" w:hAnsi="仿宋" w:eastAsia="仿宋" w:cs="仿宋"/>
                <w:sz w:val="24"/>
                <w:highlight w:val="none"/>
              </w:rPr>
            </w:pPr>
            <w:r>
              <w:rPr>
                <w:rFonts w:hint="eastAsia" w:ascii="仿宋" w:hAnsi="仿宋" w:eastAsia="仿宋" w:cs="仿宋"/>
                <w:b/>
                <w:bCs/>
                <w:sz w:val="24"/>
                <w:highlight w:val="none"/>
              </w:rPr>
              <w:t>1、本项目预算总金额为人民币：叁佰贰拾肆万元整（￥3240000.00），预算单价：每个学生每年</w:t>
            </w:r>
            <w:r>
              <w:rPr>
                <w:rFonts w:hint="eastAsia" w:ascii="仿宋" w:hAnsi="仿宋" w:eastAsia="仿宋" w:cs="仿宋"/>
                <w:b/>
                <w:bCs/>
                <w:sz w:val="24"/>
                <w:highlight w:val="none"/>
                <w:u w:val="single"/>
              </w:rPr>
              <w:t xml:space="preserve">  180  </w:t>
            </w:r>
            <w:r>
              <w:rPr>
                <w:rFonts w:hint="eastAsia" w:ascii="仿宋" w:hAnsi="仿宋" w:eastAsia="仿宋" w:cs="仿宋"/>
                <w:b/>
                <w:bCs/>
                <w:sz w:val="24"/>
                <w:highlight w:val="none"/>
              </w:rPr>
              <w:t>元。投标总报价、预算单价超出预算金额的，作无效投标处理。</w:t>
            </w:r>
          </w:p>
        </w:tc>
      </w:tr>
    </w:tbl>
    <w:p>
      <w:pPr>
        <w:spacing w:line="360" w:lineRule="exact"/>
        <w:ind w:right="2" w:rightChars="1"/>
        <w:jc w:val="center"/>
        <w:rPr>
          <w:rFonts w:ascii="仿宋" w:hAnsi="仿宋" w:eastAsia="仿宋" w:cs="仿宋"/>
          <w:b/>
          <w:bCs/>
          <w:sz w:val="24"/>
        </w:rPr>
      </w:pPr>
      <w:r>
        <w:rPr>
          <w:rFonts w:hint="eastAsia" w:ascii="仿宋" w:hAnsi="仿宋" w:eastAsia="仿宋" w:cs="仿宋"/>
          <w:b/>
          <w:bCs/>
          <w:sz w:val="24"/>
        </w:rPr>
        <w:br w:type="page"/>
      </w:r>
    </w:p>
    <w:p>
      <w:pPr>
        <w:pStyle w:val="56"/>
        <w:rPr>
          <w:rFonts w:ascii="仿宋" w:hAnsi="仿宋" w:eastAsia="仿宋" w:cs="仿宋"/>
          <w:b/>
          <w:bCs/>
          <w:sz w:val="28"/>
          <w:szCs w:val="28"/>
          <w:highlight w:val="none"/>
        </w:rPr>
      </w:pPr>
      <w:r>
        <w:rPr>
          <w:rFonts w:hint="eastAsia" w:ascii="仿宋" w:hAnsi="仿宋" w:eastAsia="仿宋" w:cs="仿宋"/>
          <w:b/>
          <w:bCs/>
          <w:sz w:val="28"/>
          <w:szCs w:val="28"/>
          <w:highlight w:val="none"/>
        </w:rPr>
        <w:t>附件1：课程列表</w:t>
      </w:r>
    </w:p>
    <w:tbl>
      <w:tblPr>
        <w:tblStyle w:val="54"/>
        <w:tblW w:w="10420" w:type="dxa"/>
        <w:tblInd w:w="0" w:type="dxa"/>
        <w:tblLayout w:type="fixed"/>
        <w:tblCellMar>
          <w:top w:w="0" w:type="dxa"/>
          <w:left w:w="108" w:type="dxa"/>
          <w:bottom w:w="0" w:type="dxa"/>
          <w:right w:w="108" w:type="dxa"/>
        </w:tblCellMar>
      </w:tblPr>
      <w:tblGrid>
        <w:gridCol w:w="1458"/>
        <w:gridCol w:w="3779"/>
        <w:gridCol w:w="1457"/>
        <w:gridCol w:w="3726"/>
      </w:tblGrid>
      <w:tr>
        <w:tblPrEx>
          <w:tblLayout w:type="fixed"/>
          <w:tblCellMar>
            <w:top w:w="0" w:type="dxa"/>
            <w:left w:w="108" w:type="dxa"/>
            <w:bottom w:w="0" w:type="dxa"/>
            <w:right w:w="108" w:type="dxa"/>
          </w:tblCellMar>
        </w:tblPrEx>
        <w:trPr>
          <w:trHeight w:val="540" w:hRule="atLeast"/>
        </w:trPr>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3779" w:type="dxa"/>
            <w:tcBorders>
              <w:top w:val="single" w:color="auto" w:sz="4" w:space="0"/>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课程名称</w:t>
            </w:r>
          </w:p>
        </w:tc>
        <w:tc>
          <w:tcPr>
            <w:tcW w:w="1457" w:type="dxa"/>
            <w:tcBorders>
              <w:top w:val="single" w:color="auto" w:sz="4" w:space="0"/>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3726" w:type="dxa"/>
            <w:tcBorders>
              <w:top w:val="single" w:color="auto" w:sz="4" w:space="0"/>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课程名称</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思想道德与法治</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124</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专业英语（会计类）</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计算机基础</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125</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营销策划</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中国共产党历史</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126</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客户关系管理</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英语Ⅰ</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127</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专业英语（经管类）</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高等数学Ⅰ</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128</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网上支付与结算</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入学教育</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129</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网络营销</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C语言程序设计</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130</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政治经济学</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经济数学Ⅰ</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131</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人工智能导论</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土木工程概论</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132</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高级财务管理学</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英语Ⅲ</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133</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管理沟通</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高等数学Ⅱ</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134</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人力资源管理</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工程图学及CAD基础</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135</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薪酬管理</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13</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电工电子学</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136</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国际金融学</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14</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电路分析基础</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137</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财政与税收</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电机学</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138</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金融工程学</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电路与电子技术基础</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139</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企业管理</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17</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专业英语（电子类）</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140</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物流项目管理</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18</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线性代数</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141</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物流系统分析与规划</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19</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办公软件高级应用</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142</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物流大数据分析</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信息安全导论</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143</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智能仓储管理</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21</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经济数学Ⅱ</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144</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专业英语（物流类）</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22</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管理信息系统</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145</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商法学</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23</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会计学</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146</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国际法</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24</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财务管理</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147</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法律英语</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25</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管理学</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148</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中国法律思想史</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26</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微观经济学</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149</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工程测量学</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27</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宏观经济学</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150</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房屋建筑学</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28</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经济学</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151</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土力学与地基基础</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29</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Java程序设计基础</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152</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智能建造技术</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30</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现代物流管理</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153</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人工智能基础</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31</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物流信息系统</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154</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计算机组成原理</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32</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宪法学</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155</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高频电子电路</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33</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民法学</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156</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传感器应用技术</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34</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刑法学</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157</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现代数字电视技术</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35</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土木工程制图</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158</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宽带接入技术</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36</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建设工程法规与工程安全</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159</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可编程ASIC原理及应用</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37</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工程制图</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160</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店长管理实务</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38</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电路与电子学</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161</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会计原理与实务</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39</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市场营销</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162</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综合英语II</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40</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连锁企业品类管理</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163</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酒店英语</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41</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英语语音</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164</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国际贸易理论与实务</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42</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英语语法</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165</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中国近现代史纲要</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43</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英语口语I</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166</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统计学</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44</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英语视听I</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167</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机床数控技术</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45</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英语Ⅱ</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168</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机械制造工程学</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46</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马克思主义基本原理</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169</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机械制造装备设计</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47</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形势与政策</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170</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电力系统继电保护</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48</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离散数学</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171</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微机控制技术</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49</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经济数学II</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172</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配电网自动化技术</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基础会计</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173</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电气工程综合设计</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51</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英语Ⅳ</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174</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现代通信网络与技术</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52</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工程力学</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175</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移动通信系统</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53</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机械工程材料与热加工</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176</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信息论</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54</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测试技术与信号处理</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177</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图像处理技术</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55</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微机原理及应用</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178</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语音信号处理</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56</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数字逻辑</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179</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计算机图形学</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57</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模拟电子技术</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180</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数字图像处理</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58</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电力系统分析</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181</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机器学习</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59</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信号与系统分析</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182</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C#程序设计</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60</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通信电子电路</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183</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软件工程</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61</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面向对象程序设计</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184</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软件测试技术与应用</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62</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编译原理</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185</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微信小程序开发</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63</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数据结构</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186</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JavaEE框架技术</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64</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操作系统</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187</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网络安全法律与规范</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65</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SQLServer数据库原理及应用</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188</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网络安全技术</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66</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税法</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189</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审计学</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67</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管理会计</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190</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高级财务会计</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68</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营销管理</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191</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数据挖掘与数据分析</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69</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经济法</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192</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企业战略管理</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70</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物流管理</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193</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电子商务案例分析</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71</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运筹学</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194</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跨境电子商务</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72</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生产与运作管理</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195</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图形图像处理技术</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73</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数字经济导论</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196</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新媒体营销</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74</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金融学</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197</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数字经济大数据分析</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75</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数据库原理及应用</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198</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商务智能与数据挖掘</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76</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中级财务管理</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199</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企业数字化转型</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77</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成本会计</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200</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数字化商业模式</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78</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企业内部控制</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201</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财务金融数量分析软件与应用</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79</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组织行为学</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202</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资本运营</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80</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保险学原理</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203</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领导科学与艺术</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81</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公司金融</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204</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职业生涯规划</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82</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数据结构(Java)</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205</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绩效管理</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83</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信息资源管理</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206</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固定收益证券</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84</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供应链管理</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207</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证券投资与分析</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85</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物流运筹学</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208</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金融风险管理</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86</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物流运输与配送管理</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209</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投资学</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87</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民事诉讼法</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210</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信息系统分析与设计</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88</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刑事诉讼法</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211</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ERP原理与应用</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89</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行政法与行政诉讼法</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212</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物流成本管理</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90</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法理学</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213</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国际贸易实务</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91</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土木工程材料</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214</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报关实务与跨境快递联运</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92</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BIM技术</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215</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婚烟家庭法原理与实务</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93</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线性代数与概率论</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216</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知识产权法原理与实务</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94</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数字逻辑电路</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217</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法律文书写作</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95</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计算机网络</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218</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混凝土结构设计原理</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96</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连锁经营管理实务</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219</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土木工程概预算</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97</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消费心理与行为分析</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220</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工程项目管理</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98</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市场调研与预测</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221</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土木工程施工</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99</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商务谈判与推销技巧</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222</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深度学习与计算机视觉</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100</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综合英语I</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223</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自然语言处理</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101</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英语口语II</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224</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应用写作</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102</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英语视听II</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225</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音响技术</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103</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国际商务礼仪</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226</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单片机原理及应用</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104</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毛泽东思想和中国特色社会主义理论体系概论</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227</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信号处理</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105</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习近平新时代中国特色社会主义思想概论</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228</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现代移动通信系统</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106</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概率论与数理统计</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229</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现代光纤通信系统</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107</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中级财务会计</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230</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现代交换技术</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108</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机械设计基础</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231</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电子测量</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109</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低压电器与可编程控制技术</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232</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连锁企业物流与配送管理</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110</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液压与气压传动</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233</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连锁企业采购管理</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111</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专业英语（机械类）</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234</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连锁门店开发与设计</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112</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自动控制原理</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235</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英汉互译</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113</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专业英语（电气类）</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236</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外贸函电</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114</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电力电子技术</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237</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经贸英语</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115</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发电厂电气部分</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238</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财务报表编制与分析</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116</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数字信号处理</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239</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结构力学</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117</w:t>
            </w:r>
          </w:p>
        </w:tc>
        <w:tc>
          <w:tcPr>
            <w:tcW w:w="3779"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微机原理与接口技术</w:t>
            </w:r>
          </w:p>
        </w:tc>
        <w:tc>
          <w:tcPr>
            <w:tcW w:w="14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240</w:t>
            </w:r>
          </w:p>
        </w:tc>
        <w:tc>
          <w:tcPr>
            <w:tcW w:w="3726" w:type="dxa"/>
            <w:tcBorders>
              <w:top w:val="nil"/>
              <w:left w:val="nil"/>
              <w:bottom w:val="single" w:color="auto" w:sz="4" w:space="0"/>
              <w:right w:val="single" w:color="auto" w:sz="4" w:space="0"/>
            </w:tcBorders>
            <w:shd w:val="clear" w:color="auto" w:fill="auto"/>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路基路面工程</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000000" w:fill="FFFFFF"/>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118</w:t>
            </w:r>
          </w:p>
        </w:tc>
        <w:tc>
          <w:tcPr>
            <w:tcW w:w="3779" w:type="dxa"/>
            <w:tcBorders>
              <w:top w:val="nil"/>
              <w:left w:val="nil"/>
              <w:bottom w:val="single" w:color="auto" w:sz="4" w:space="0"/>
              <w:right w:val="single" w:color="auto" w:sz="4" w:space="0"/>
            </w:tcBorders>
            <w:shd w:val="clear" w:color="000000" w:fill="FFFFFF"/>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通信原理</w:t>
            </w:r>
          </w:p>
        </w:tc>
        <w:tc>
          <w:tcPr>
            <w:tcW w:w="145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241</w:t>
            </w:r>
          </w:p>
        </w:tc>
        <w:tc>
          <w:tcPr>
            <w:tcW w:w="3726" w:type="dxa"/>
            <w:tcBorders>
              <w:top w:val="nil"/>
              <w:left w:val="nil"/>
              <w:bottom w:val="single" w:color="auto" w:sz="4" w:space="0"/>
              <w:right w:val="single" w:color="auto" w:sz="4" w:space="0"/>
            </w:tcBorders>
            <w:shd w:val="clear" w:color="000000" w:fill="FFFFFF"/>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建设工程经济</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000000" w:fill="FFFFFF"/>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119</w:t>
            </w:r>
          </w:p>
        </w:tc>
        <w:tc>
          <w:tcPr>
            <w:tcW w:w="3779" w:type="dxa"/>
            <w:tcBorders>
              <w:top w:val="nil"/>
              <w:left w:val="nil"/>
              <w:bottom w:val="single" w:color="auto" w:sz="4" w:space="0"/>
              <w:right w:val="single" w:color="auto" w:sz="4" w:space="0"/>
            </w:tcBorders>
            <w:shd w:val="clear" w:color="000000" w:fill="FFFFFF"/>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单片机与嵌入式系统</w:t>
            </w:r>
          </w:p>
        </w:tc>
        <w:tc>
          <w:tcPr>
            <w:tcW w:w="1457"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242</w:t>
            </w:r>
          </w:p>
        </w:tc>
        <w:tc>
          <w:tcPr>
            <w:tcW w:w="3726" w:type="dxa"/>
            <w:tcBorders>
              <w:top w:val="nil"/>
              <w:left w:val="nil"/>
              <w:bottom w:val="single" w:color="auto" w:sz="4" w:space="0"/>
              <w:right w:val="single" w:color="808080" w:sz="4" w:space="0"/>
            </w:tcBorders>
            <w:shd w:val="clear" w:color="000000" w:fill="FFFFFF"/>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装配式建筑</w:t>
            </w: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000000" w:fill="FFFFFF"/>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120</w:t>
            </w:r>
          </w:p>
        </w:tc>
        <w:tc>
          <w:tcPr>
            <w:tcW w:w="3779" w:type="dxa"/>
            <w:tcBorders>
              <w:top w:val="nil"/>
              <w:left w:val="nil"/>
              <w:bottom w:val="single" w:color="auto" w:sz="4" w:space="0"/>
              <w:right w:val="single" w:color="auto" w:sz="4" w:space="0"/>
            </w:tcBorders>
            <w:shd w:val="clear" w:color="000000" w:fill="FFFFFF"/>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计算机组成原理</w:t>
            </w:r>
          </w:p>
        </w:tc>
        <w:tc>
          <w:tcPr>
            <w:tcW w:w="1457" w:type="dxa"/>
            <w:tcBorders>
              <w:top w:val="nil"/>
              <w:left w:val="nil"/>
              <w:bottom w:val="single" w:color="auto" w:sz="4" w:space="0"/>
              <w:right w:val="single" w:color="auto" w:sz="4" w:space="0"/>
            </w:tcBorders>
            <w:shd w:val="clear" w:color="000000" w:fill="FFFFFF"/>
            <w:vAlign w:val="center"/>
          </w:tcPr>
          <w:p>
            <w:pPr>
              <w:widowControl/>
              <w:spacing w:after="0" w:line="240" w:lineRule="auto"/>
              <w:jc w:val="center"/>
              <w:rPr>
                <w:rFonts w:hint="eastAsia" w:ascii="仿宋" w:hAnsi="仿宋" w:eastAsia="仿宋" w:cs="仿宋"/>
                <w:color w:val="000000"/>
                <w:kern w:val="0"/>
                <w:sz w:val="24"/>
                <w:szCs w:val="24"/>
              </w:rPr>
            </w:pPr>
          </w:p>
        </w:tc>
        <w:tc>
          <w:tcPr>
            <w:tcW w:w="3726" w:type="dxa"/>
            <w:tcBorders>
              <w:top w:val="nil"/>
              <w:left w:val="nil"/>
              <w:bottom w:val="single" w:color="808080" w:sz="4" w:space="0"/>
              <w:right w:val="single" w:color="808080" w:sz="4" w:space="0"/>
            </w:tcBorders>
            <w:shd w:val="clear" w:color="000000" w:fill="FFFFFF"/>
            <w:vAlign w:val="center"/>
          </w:tcPr>
          <w:p>
            <w:pPr>
              <w:widowControl/>
              <w:spacing w:after="0" w:line="240" w:lineRule="auto"/>
              <w:jc w:val="center"/>
              <w:rPr>
                <w:rFonts w:hint="eastAsia" w:ascii="仿宋" w:hAnsi="仿宋" w:eastAsia="仿宋" w:cs="仿宋"/>
                <w:color w:val="000000"/>
                <w:kern w:val="0"/>
                <w:sz w:val="24"/>
                <w:szCs w:val="24"/>
              </w:rPr>
            </w:pP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000000" w:fill="FFFFFF"/>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121</w:t>
            </w:r>
          </w:p>
        </w:tc>
        <w:tc>
          <w:tcPr>
            <w:tcW w:w="3779" w:type="dxa"/>
            <w:tcBorders>
              <w:top w:val="nil"/>
              <w:left w:val="nil"/>
              <w:bottom w:val="single" w:color="auto" w:sz="4" w:space="0"/>
              <w:right w:val="single" w:color="auto" w:sz="4" w:space="0"/>
            </w:tcBorders>
            <w:shd w:val="clear" w:color="000000" w:fill="FFFFFF"/>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web前端技术</w:t>
            </w:r>
          </w:p>
        </w:tc>
        <w:tc>
          <w:tcPr>
            <w:tcW w:w="1457" w:type="dxa"/>
            <w:tcBorders>
              <w:top w:val="nil"/>
              <w:left w:val="nil"/>
              <w:bottom w:val="single" w:color="auto" w:sz="4" w:space="0"/>
              <w:right w:val="single" w:color="auto" w:sz="4" w:space="0"/>
            </w:tcBorders>
            <w:shd w:val="clear" w:color="000000" w:fill="FFFFFF"/>
            <w:vAlign w:val="center"/>
          </w:tcPr>
          <w:p>
            <w:pPr>
              <w:widowControl/>
              <w:spacing w:after="0" w:line="240" w:lineRule="auto"/>
              <w:jc w:val="center"/>
              <w:rPr>
                <w:rFonts w:hint="eastAsia" w:ascii="仿宋" w:hAnsi="仿宋" w:eastAsia="仿宋" w:cs="仿宋"/>
                <w:color w:val="000000"/>
                <w:kern w:val="0"/>
                <w:sz w:val="24"/>
                <w:szCs w:val="24"/>
              </w:rPr>
            </w:pPr>
          </w:p>
        </w:tc>
        <w:tc>
          <w:tcPr>
            <w:tcW w:w="3726" w:type="dxa"/>
            <w:tcBorders>
              <w:top w:val="nil"/>
              <w:left w:val="nil"/>
              <w:bottom w:val="nil"/>
              <w:right w:val="nil"/>
            </w:tcBorders>
            <w:shd w:val="clear" w:color="000000" w:fill="FFFFFF"/>
            <w:vAlign w:val="center"/>
          </w:tcPr>
          <w:p>
            <w:pPr>
              <w:widowControl/>
              <w:spacing w:after="0" w:line="240" w:lineRule="auto"/>
              <w:jc w:val="center"/>
              <w:rPr>
                <w:rFonts w:hint="eastAsia" w:ascii="仿宋" w:hAnsi="仿宋" w:eastAsia="仿宋" w:cs="仿宋"/>
                <w:color w:val="000000"/>
                <w:kern w:val="0"/>
                <w:sz w:val="24"/>
                <w:szCs w:val="24"/>
              </w:rPr>
            </w:pP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000000" w:fill="FFFFFF"/>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122</w:t>
            </w:r>
          </w:p>
        </w:tc>
        <w:tc>
          <w:tcPr>
            <w:tcW w:w="3779" w:type="dxa"/>
            <w:tcBorders>
              <w:top w:val="nil"/>
              <w:left w:val="nil"/>
              <w:bottom w:val="single" w:color="auto" w:sz="4" w:space="0"/>
              <w:right w:val="single" w:color="auto" w:sz="4" w:space="0"/>
            </w:tcBorders>
            <w:shd w:val="clear" w:color="000000" w:fill="FFFFFF"/>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数据库技术及应用</w:t>
            </w:r>
          </w:p>
        </w:tc>
        <w:tc>
          <w:tcPr>
            <w:tcW w:w="1457" w:type="dxa"/>
            <w:tcBorders>
              <w:top w:val="nil"/>
              <w:left w:val="nil"/>
              <w:bottom w:val="single" w:color="auto" w:sz="4" w:space="0"/>
              <w:right w:val="single" w:color="auto" w:sz="4" w:space="0"/>
            </w:tcBorders>
            <w:shd w:val="clear" w:color="000000" w:fill="FFFFFF"/>
            <w:vAlign w:val="center"/>
          </w:tcPr>
          <w:p>
            <w:pPr>
              <w:widowControl/>
              <w:spacing w:after="0" w:line="240" w:lineRule="auto"/>
              <w:jc w:val="center"/>
              <w:rPr>
                <w:rFonts w:hint="eastAsia" w:ascii="仿宋" w:hAnsi="仿宋" w:eastAsia="仿宋" w:cs="仿宋"/>
                <w:color w:val="000000"/>
                <w:kern w:val="0"/>
                <w:sz w:val="24"/>
                <w:szCs w:val="24"/>
              </w:rPr>
            </w:pPr>
          </w:p>
        </w:tc>
        <w:tc>
          <w:tcPr>
            <w:tcW w:w="3726" w:type="dxa"/>
            <w:tcBorders>
              <w:top w:val="nil"/>
              <w:left w:val="nil"/>
              <w:bottom w:val="nil"/>
              <w:right w:val="nil"/>
            </w:tcBorders>
            <w:shd w:val="clear" w:color="000000" w:fill="FFFFFF"/>
            <w:vAlign w:val="center"/>
          </w:tcPr>
          <w:p>
            <w:pPr>
              <w:widowControl/>
              <w:spacing w:after="0" w:line="240" w:lineRule="auto"/>
              <w:jc w:val="center"/>
              <w:rPr>
                <w:rFonts w:hint="eastAsia" w:ascii="仿宋" w:hAnsi="仿宋" w:eastAsia="仿宋" w:cs="仿宋"/>
                <w:color w:val="000000"/>
                <w:kern w:val="0"/>
                <w:sz w:val="24"/>
                <w:szCs w:val="24"/>
              </w:rPr>
            </w:pPr>
          </w:p>
        </w:tc>
      </w:tr>
      <w:tr>
        <w:tblPrEx>
          <w:tblLayout w:type="fixed"/>
          <w:tblCellMar>
            <w:top w:w="0" w:type="dxa"/>
            <w:left w:w="108" w:type="dxa"/>
            <w:bottom w:w="0" w:type="dxa"/>
            <w:right w:w="108" w:type="dxa"/>
          </w:tblCellMar>
        </w:tblPrEx>
        <w:trPr>
          <w:trHeight w:val="240" w:hRule="atLeast"/>
        </w:trPr>
        <w:tc>
          <w:tcPr>
            <w:tcW w:w="1458" w:type="dxa"/>
            <w:tcBorders>
              <w:top w:val="nil"/>
              <w:left w:val="single" w:color="auto" w:sz="4" w:space="0"/>
              <w:bottom w:val="single" w:color="auto" w:sz="4" w:space="0"/>
              <w:right w:val="single" w:color="auto" w:sz="4" w:space="0"/>
            </w:tcBorders>
            <w:shd w:val="clear" w:color="000000" w:fill="FFFFFF"/>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123</w:t>
            </w:r>
          </w:p>
        </w:tc>
        <w:tc>
          <w:tcPr>
            <w:tcW w:w="3779" w:type="dxa"/>
            <w:tcBorders>
              <w:top w:val="nil"/>
              <w:left w:val="nil"/>
              <w:bottom w:val="single" w:color="auto" w:sz="4" w:space="0"/>
              <w:right w:val="single" w:color="auto" w:sz="4" w:space="0"/>
            </w:tcBorders>
            <w:shd w:val="clear" w:color="000000" w:fill="FFFFFF"/>
            <w:vAlign w:val="center"/>
          </w:tcPr>
          <w:p>
            <w:pPr>
              <w:widowControl/>
              <w:spacing w:after="0"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ASP.NET软件开发技术</w:t>
            </w:r>
          </w:p>
        </w:tc>
        <w:tc>
          <w:tcPr>
            <w:tcW w:w="1457" w:type="dxa"/>
            <w:tcBorders>
              <w:top w:val="nil"/>
              <w:left w:val="nil"/>
              <w:bottom w:val="single" w:color="auto" w:sz="4" w:space="0"/>
              <w:right w:val="single" w:color="auto" w:sz="4" w:space="0"/>
            </w:tcBorders>
            <w:shd w:val="clear" w:color="000000" w:fill="FFFFFF"/>
            <w:vAlign w:val="center"/>
          </w:tcPr>
          <w:p>
            <w:pPr>
              <w:widowControl/>
              <w:spacing w:after="0" w:line="240" w:lineRule="auto"/>
              <w:jc w:val="center"/>
              <w:rPr>
                <w:rFonts w:hint="eastAsia" w:ascii="仿宋" w:hAnsi="仿宋" w:eastAsia="仿宋" w:cs="仿宋"/>
                <w:color w:val="000000"/>
                <w:kern w:val="0"/>
                <w:sz w:val="24"/>
                <w:szCs w:val="24"/>
              </w:rPr>
            </w:pPr>
          </w:p>
        </w:tc>
        <w:tc>
          <w:tcPr>
            <w:tcW w:w="3726" w:type="dxa"/>
            <w:tcBorders>
              <w:top w:val="nil"/>
              <w:left w:val="nil"/>
              <w:bottom w:val="nil"/>
              <w:right w:val="nil"/>
            </w:tcBorders>
            <w:shd w:val="clear" w:color="000000" w:fill="FFFFFF"/>
            <w:vAlign w:val="center"/>
          </w:tcPr>
          <w:p>
            <w:pPr>
              <w:widowControl/>
              <w:spacing w:after="0" w:line="240" w:lineRule="auto"/>
              <w:jc w:val="center"/>
              <w:rPr>
                <w:rFonts w:hint="eastAsia" w:ascii="仿宋" w:hAnsi="仿宋" w:eastAsia="仿宋" w:cs="仿宋"/>
                <w:color w:val="000000"/>
                <w:kern w:val="0"/>
                <w:sz w:val="24"/>
                <w:szCs w:val="24"/>
              </w:rPr>
            </w:pPr>
          </w:p>
        </w:tc>
      </w:tr>
    </w:tbl>
    <w:p>
      <w:pPr>
        <w:pStyle w:val="56"/>
        <w:rPr>
          <w:rFonts w:ascii="仿宋" w:hAnsi="仿宋" w:eastAsia="仿宋" w:cs="仿宋"/>
          <w:highlight w:val="green"/>
        </w:rPr>
      </w:pPr>
    </w:p>
    <w:p>
      <w:r>
        <w:rPr>
          <w:rFonts w:hint="eastAsia" w:ascii="仿宋" w:hAnsi="仿宋" w:eastAsia="仿宋" w:cs="仿宋"/>
          <w:b/>
          <w:sz w:val="32"/>
          <w:szCs w:val="32"/>
          <w:highlight w:val="green"/>
        </w:rPr>
        <w:br w:type="page"/>
      </w:r>
    </w:p>
    <w:p>
      <w:pPr>
        <w:pageBreakBefore/>
        <w:spacing w:line="320" w:lineRule="exact"/>
        <w:rPr>
          <w:rFonts w:ascii="仿宋" w:hAnsi="仿宋" w:eastAsia="仿宋" w:cs="Arial"/>
          <w:b/>
          <w:bCs/>
          <w:sz w:val="24"/>
        </w:rPr>
      </w:pPr>
      <w:bookmarkStart w:id="107" w:name="_Toc254970490"/>
      <w:bookmarkStart w:id="108" w:name="_Toc254970631"/>
      <w:r>
        <w:rPr>
          <w:rFonts w:hint="eastAsia" w:ascii="仿宋" w:hAnsi="仿宋" w:eastAsia="仿宋" w:cs="Arial"/>
          <w:b/>
          <w:bCs/>
          <w:sz w:val="24"/>
        </w:rPr>
        <w:t>附件2：</w:t>
      </w:r>
    </w:p>
    <w:bookmarkEnd w:id="107"/>
    <w:bookmarkEnd w:id="108"/>
    <w:p>
      <w:pPr>
        <w:jc w:val="center"/>
        <w:rPr>
          <w:rFonts w:ascii="仿宋" w:hAnsi="仿宋" w:eastAsia="仿宋" w:cs="Arial Unicode MS"/>
          <w:b/>
          <w:sz w:val="24"/>
        </w:rPr>
      </w:pPr>
      <w:r>
        <w:rPr>
          <w:rFonts w:hint="eastAsia" w:ascii="仿宋" w:hAnsi="仿宋" w:eastAsia="仿宋" w:cs="Arial Unicode MS"/>
          <w:b/>
          <w:sz w:val="24"/>
        </w:rPr>
        <w:t>中小微企业划型标准</w:t>
      </w:r>
    </w:p>
    <w:tbl>
      <w:tblPr>
        <w:tblStyle w:val="54"/>
        <w:tblW w:w="103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1502"/>
        <w:gridCol w:w="778"/>
        <w:gridCol w:w="1234"/>
        <w:gridCol w:w="1867"/>
        <w:gridCol w:w="1686"/>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exact"/>
          <w:tblHeader/>
          <w:jc w:val="center"/>
        </w:trPr>
        <w:tc>
          <w:tcPr>
            <w:tcW w:w="2320" w:type="dxa"/>
            <w:shd w:val="clear" w:color="auto" w:fill="FFFFFF"/>
            <w:vAlign w:val="center"/>
          </w:tcPr>
          <w:p>
            <w:pPr>
              <w:widowControl/>
              <w:spacing w:line="240" w:lineRule="exact"/>
              <w:jc w:val="center"/>
              <w:rPr>
                <w:rFonts w:ascii="仿宋" w:hAnsi="仿宋" w:eastAsia="仿宋"/>
                <w:b/>
                <w:bCs/>
                <w:kern w:val="0"/>
                <w:szCs w:val="21"/>
              </w:rPr>
            </w:pPr>
            <w:r>
              <w:rPr>
                <w:rFonts w:ascii="仿宋" w:hAnsi="仿宋" w:eastAsia="仿宋"/>
                <w:b/>
                <w:bCs/>
                <w:kern w:val="0"/>
                <w:szCs w:val="21"/>
              </w:rPr>
              <w:t>行业名称</w:t>
            </w:r>
          </w:p>
        </w:tc>
        <w:tc>
          <w:tcPr>
            <w:tcW w:w="1502" w:type="dxa"/>
            <w:shd w:val="clear" w:color="auto" w:fill="FFFFFF"/>
            <w:vAlign w:val="center"/>
          </w:tcPr>
          <w:p>
            <w:pPr>
              <w:widowControl/>
              <w:spacing w:line="240" w:lineRule="exact"/>
              <w:jc w:val="center"/>
              <w:rPr>
                <w:rFonts w:ascii="仿宋" w:hAnsi="仿宋" w:eastAsia="仿宋"/>
                <w:b/>
                <w:bCs/>
                <w:kern w:val="0"/>
                <w:szCs w:val="21"/>
              </w:rPr>
            </w:pPr>
            <w:r>
              <w:rPr>
                <w:rFonts w:ascii="仿宋" w:hAnsi="仿宋" w:eastAsia="仿宋"/>
                <w:b/>
                <w:bCs/>
                <w:kern w:val="0"/>
                <w:szCs w:val="21"/>
              </w:rPr>
              <w:t>指标名称</w:t>
            </w:r>
          </w:p>
        </w:tc>
        <w:tc>
          <w:tcPr>
            <w:tcW w:w="778" w:type="dxa"/>
            <w:shd w:val="clear" w:color="auto" w:fill="FFFFFF"/>
            <w:vAlign w:val="center"/>
          </w:tcPr>
          <w:p>
            <w:pPr>
              <w:widowControl/>
              <w:spacing w:line="240" w:lineRule="exact"/>
              <w:jc w:val="center"/>
              <w:rPr>
                <w:rFonts w:ascii="仿宋" w:hAnsi="仿宋" w:eastAsia="仿宋"/>
                <w:b/>
                <w:bCs/>
                <w:kern w:val="0"/>
                <w:szCs w:val="21"/>
              </w:rPr>
            </w:pPr>
            <w:r>
              <w:rPr>
                <w:rFonts w:ascii="仿宋" w:hAnsi="仿宋" w:eastAsia="仿宋"/>
                <w:b/>
                <w:bCs/>
                <w:kern w:val="0"/>
                <w:szCs w:val="21"/>
              </w:rPr>
              <w:t>计量</w:t>
            </w:r>
            <w:r>
              <w:rPr>
                <w:rFonts w:ascii="仿宋" w:hAnsi="仿宋" w:eastAsia="仿宋"/>
                <w:b/>
                <w:bCs/>
                <w:kern w:val="0"/>
                <w:szCs w:val="21"/>
              </w:rPr>
              <w:br w:type="textWrapping"/>
            </w:r>
            <w:r>
              <w:rPr>
                <w:rFonts w:ascii="仿宋" w:hAnsi="仿宋" w:eastAsia="仿宋"/>
                <w:b/>
                <w:bCs/>
                <w:kern w:val="0"/>
                <w:szCs w:val="21"/>
              </w:rPr>
              <w:t>单位</w:t>
            </w:r>
          </w:p>
        </w:tc>
        <w:tc>
          <w:tcPr>
            <w:tcW w:w="1234" w:type="dxa"/>
            <w:shd w:val="clear" w:color="auto" w:fill="FFFFFF"/>
            <w:vAlign w:val="center"/>
          </w:tcPr>
          <w:p>
            <w:pPr>
              <w:widowControl/>
              <w:spacing w:line="240" w:lineRule="exact"/>
              <w:jc w:val="center"/>
              <w:rPr>
                <w:rFonts w:ascii="仿宋" w:hAnsi="仿宋" w:eastAsia="仿宋"/>
                <w:b/>
                <w:bCs/>
                <w:kern w:val="0"/>
                <w:szCs w:val="21"/>
              </w:rPr>
            </w:pPr>
            <w:r>
              <w:rPr>
                <w:rFonts w:ascii="仿宋" w:hAnsi="仿宋" w:eastAsia="仿宋"/>
                <w:b/>
                <w:bCs/>
                <w:kern w:val="0"/>
                <w:szCs w:val="21"/>
              </w:rPr>
              <w:t>大型</w:t>
            </w:r>
          </w:p>
        </w:tc>
        <w:tc>
          <w:tcPr>
            <w:tcW w:w="1867" w:type="dxa"/>
            <w:shd w:val="clear" w:color="auto" w:fill="FFFFFF"/>
            <w:vAlign w:val="center"/>
          </w:tcPr>
          <w:p>
            <w:pPr>
              <w:widowControl/>
              <w:spacing w:line="240" w:lineRule="exact"/>
              <w:jc w:val="center"/>
              <w:rPr>
                <w:rFonts w:ascii="仿宋" w:hAnsi="仿宋" w:eastAsia="仿宋"/>
                <w:b/>
                <w:bCs/>
                <w:kern w:val="0"/>
                <w:szCs w:val="21"/>
              </w:rPr>
            </w:pPr>
            <w:r>
              <w:rPr>
                <w:rFonts w:ascii="仿宋" w:hAnsi="仿宋" w:eastAsia="仿宋"/>
                <w:b/>
                <w:bCs/>
                <w:kern w:val="0"/>
                <w:szCs w:val="21"/>
              </w:rPr>
              <w:t>中型</w:t>
            </w:r>
          </w:p>
        </w:tc>
        <w:tc>
          <w:tcPr>
            <w:tcW w:w="1686" w:type="dxa"/>
            <w:shd w:val="clear" w:color="auto" w:fill="FFFFFF"/>
            <w:vAlign w:val="center"/>
          </w:tcPr>
          <w:p>
            <w:pPr>
              <w:widowControl/>
              <w:spacing w:line="240" w:lineRule="exact"/>
              <w:jc w:val="center"/>
              <w:rPr>
                <w:rFonts w:ascii="仿宋" w:hAnsi="仿宋" w:eastAsia="仿宋"/>
                <w:b/>
                <w:bCs/>
                <w:kern w:val="0"/>
                <w:szCs w:val="21"/>
              </w:rPr>
            </w:pPr>
            <w:r>
              <w:rPr>
                <w:rFonts w:ascii="仿宋" w:hAnsi="仿宋" w:eastAsia="仿宋"/>
                <w:b/>
                <w:bCs/>
                <w:kern w:val="0"/>
                <w:szCs w:val="21"/>
              </w:rPr>
              <w:t>小型</w:t>
            </w:r>
          </w:p>
        </w:tc>
        <w:tc>
          <w:tcPr>
            <w:tcW w:w="966" w:type="dxa"/>
            <w:shd w:val="clear" w:color="auto" w:fill="FFFFFF"/>
            <w:vAlign w:val="center"/>
          </w:tcPr>
          <w:p>
            <w:pPr>
              <w:widowControl/>
              <w:spacing w:line="240" w:lineRule="exact"/>
              <w:jc w:val="center"/>
              <w:rPr>
                <w:rFonts w:ascii="仿宋" w:hAnsi="仿宋" w:eastAsia="仿宋"/>
                <w:b/>
                <w:bCs/>
                <w:kern w:val="0"/>
                <w:szCs w:val="21"/>
              </w:rPr>
            </w:pPr>
            <w:r>
              <w:rPr>
                <w:rFonts w:ascii="仿宋" w:hAnsi="仿宋" w:eastAsia="仿宋"/>
                <w:b/>
                <w:bCs/>
                <w:kern w:val="0"/>
                <w:szCs w:val="21"/>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Align w:val="center"/>
          </w:tcPr>
          <w:p>
            <w:pPr>
              <w:widowControl/>
              <w:spacing w:line="240" w:lineRule="exact"/>
              <w:jc w:val="left"/>
              <w:rPr>
                <w:rFonts w:ascii="仿宋" w:hAnsi="仿宋" w:eastAsia="仿宋"/>
                <w:kern w:val="0"/>
                <w:szCs w:val="21"/>
              </w:rPr>
            </w:pPr>
            <w:r>
              <w:rPr>
                <w:rFonts w:ascii="仿宋" w:hAnsi="仿宋" w:eastAsia="仿宋"/>
                <w:kern w:val="0"/>
                <w:szCs w:val="21"/>
              </w:rPr>
              <w:t>农、林、牧、渔业</w:t>
            </w:r>
          </w:p>
        </w:tc>
        <w:tc>
          <w:tcPr>
            <w:tcW w:w="1502"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营业收入(Y)</w:t>
            </w:r>
          </w:p>
        </w:tc>
        <w:tc>
          <w:tcPr>
            <w:tcW w:w="778"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万元</w:t>
            </w:r>
          </w:p>
        </w:tc>
        <w:tc>
          <w:tcPr>
            <w:tcW w:w="1234"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Y≥20000</w:t>
            </w:r>
          </w:p>
        </w:tc>
        <w:tc>
          <w:tcPr>
            <w:tcW w:w="18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500≤Y＜20000</w:t>
            </w:r>
          </w:p>
        </w:tc>
        <w:tc>
          <w:tcPr>
            <w:tcW w:w="168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50≤Y＜500</w:t>
            </w:r>
          </w:p>
        </w:tc>
        <w:tc>
          <w:tcPr>
            <w:tcW w:w="96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ascii="仿宋" w:hAnsi="仿宋" w:eastAsia="仿宋"/>
                <w:kern w:val="0"/>
                <w:szCs w:val="21"/>
              </w:rPr>
            </w:pPr>
            <w:r>
              <w:rPr>
                <w:rFonts w:ascii="仿宋" w:hAnsi="仿宋" w:eastAsia="仿宋"/>
                <w:kern w:val="0"/>
                <w:szCs w:val="21"/>
              </w:rPr>
              <w:t>工业*</w:t>
            </w:r>
          </w:p>
        </w:tc>
        <w:tc>
          <w:tcPr>
            <w:tcW w:w="1502"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从业人员(X)</w:t>
            </w:r>
          </w:p>
        </w:tc>
        <w:tc>
          <w:tcPr>
            <w:tcW w:w="778"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人</w:t>
            </w:r>
          </w:p>
        </w:tc>
        <w:tc>
          <w:tcPr>
            <w:tcW w:w="1234"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X≥1000</w:t>
            </w:r>
          </w:p>
        </w:tc>
        <w:tc>
          <w:tcPr>
            <w:tcW w:w="18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300≤X＜1000</w:t>
            </w:r>
          </w:p>
        </w:tc>
        <w:tc>
          <w:tcPr>
            <w:tcW w:w="168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20≤X＜300</w:t>
            </w:r>
          </w:p>
        </w:tc>
        <w:tc>
          <w:tcPr>
            <w:tcW w:w="96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ascii="仿宋" w:hAnsi="仿宋" w:eastAsia="仿宋"/>
                <w:kern w:val="0"/>
                <w:szCs w:val="21"/>
              </w:rPr>
            </w:pPr>
          </w:p>
        </w:tc>
        <w:tc>
          <w:tcPr>
            <w:tcW w:w="1502"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营业收入(Y)</w:t>
            </w:r>
          </w:p>
        </w:tc>
        <w:tc>
          <w:tcPr>
            <w:tcW w:w="778"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万元</w:t>
            </w:r>
          </w:p>
        </w:tc>
        <w:tc>
          <w:tcPr>
            <w:tcW w:w="1234"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Y≥40000</w:t>
            </w:r>
          </w:p>
        </w:tc>
        <w:tc>
          <w:tcPr>
            <w:tcW w:w="18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2000≤Y＜40000</w:t>
            </w:r>
          </w:p>
        </w:tc>
        <w:tc>
          <w:tcPr>
            <w:tcW w:w="168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300≤Y＜2000</w:t>
            </w:r>
          </w:p>
        </w:tc>
        <w:tc>
          <w:tcPr>
            <w:tcW w:w="96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ascii="仿宋" w:hAnsi="仿宋" w:eastAsia="仿宋"/>
                <w:kern w:val="0"/>
                <w:szCs w:val="21"/>
              </w:rPr>
            </w:pPr>
            <w:r>
              <w:rPr>
                <w:rFonts w:ascii="仿宋" w:hAnsi="仿宋" w:eastAsia="仿宋"/>
                <w:kern w:val="0"/>
                <w:szCs w:val="21"/>
              </w:rPr>
              <w:t>建筑业</w:t>
            </w:r>
          </w:p>
        </w:tc>
        <w:tc>
          <w:tcPr>
            <w:tcW w:w="1502"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营业收入(Y)</w:t>
            </w:r>
          </w:p>
        </w:tc>
        <w:tc>
          <w:tcPr>
            <w:tcW w:w="778"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万元</w:t>
            </w:r>
          </w:p>
        </w:tc>
        <w:tc>
          <w:tcPr>
            <w:tcW w:w="1234"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Y≥80000</w:t>
            </w:r>
          </w:p>
        </w:tc>
        <w:tc>
          <w:tcPr>
            <w:tcW w:w="18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6000≤Y＜80000</w:t>
            </w:r>
          </w:p>
        </w:tc>
        <w:tc>
          <w:tcPr>
            <w:tcW w:w="168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300≤Y＜6000</w:t>
            </w:r>
          </w:p>
        </w:tc>
        <w:tc>
          <w:tcPr>
            <w:tcW w:w="96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ascii="仿宋" w:hAnsi="仿宋" w:eastAsia="仿宋"/>
                <w:kern w:val="0"/>
                <w:szCs w:val="21"/>
              </w:rPr>
            </w:pPr>
          </w:p>
        </w:tc>
        <w:tc>
          <w:tcPr>
            <w:tcW w:w="1502"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资产总额(Z)</w:t>
            </w:r>
          </w:p>
        </w:tc>
        <w:tc>
          <w:tcPr>
            <w:tcW w:w="778"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万元</w:t>
            </w:r>
          </w:p>
        </w:tc>
        <w:tc>
          <w:tcPr>
            <w:tcW w:w="1234"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Z≥80000</w:t>
            </w:r>
          </w:p>
        </w:tc>
        <w:tc>
          <w:tcPr>
            <w:tcW w:w="18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5000≤Z＜80000</w:t>
            </w:r>
          </w:p>
        </w:tc>
        <w:tc>
          <w:tcPr>
            <w:tcW w:w="168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300≤Z＜5000</w:t>
            </w:r>
          </w:p>
        </w:tc>
        <w:tc>
          <w:tcPr>
            <w:tcW w:w="96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ascii="仿宋" w:hAnsi="仿宋" w:eastAsia="仿宋"/>
                <w:kern w:val="0"/>
                <w:szCs w:val="21"/>
              </w:rPr>
            </w:pPr>
            <w:r>
              <w:rPr>
                <w:rFonts w:ascii="仿宋" w:hAnsi="仿宋" w:eastAsia="仿宋"/>
                <w:kern w:val="0"/>
                <w:szCs w:val="21"/>
              </w:rPr>
              <w:t>批发业</w:t>
            </w:r>
          </w:p>
        </w:tc>
        <w:tc>
          <w:tcPr>
            <w:tcW w:w="1502"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从业人员(X)</w:t>
            </w:r>
          </w:p>
        </w:tc>
        <w:tc>
          <w:tcPr>
            <w:tcW w:w="778"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人</w:t>
            </w:r>
          </w:p>
        </w:tc>
        <w:tc>
          <w:tcPr>
            <w:tcW w:w="1234"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X≥200</w:t>
            </w:r>
          </w:p>
        </w:tc>
        <w:tc>
          <w:tcPr>
            <w:tcW w:w="18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20≤X＜200</w:t>
            </w:r>
          </w:p>
        </w:tc>
        <w:tc>
          <w:tcPr>
            <w:tcW w:w="168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5≤X＜20</w:t>
            </w:r>
          </w:p>
        </w:tc>
        <w:tc>
          <w:tcPr>
            <w:tcW w:w="96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ascii="仿宋" w:hAnsi="仿宋" w:eastAsia="仿宋"/>
                <w:kern w:val="0"/>
                <w:szCs w:val="21"/>
              </w:rPr>
            </w:pPr>
          </w:p>
        </w:tc>
        <w:tc>
          <w:tcPr>
            <w:tcW w:w="1502"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营业收入(Y)</w:t>
            </w:r>
          </w:p>
        </w:tc>
        <w:tc>
          <w:tcPr>
            <w:tcW w:w="778"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万元</w:t>
            </w:r>
          </w:p>
        </w:tc>
        <w:tc>
          <w:tcPr>
            <w:tcW w:w="1234"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Y≥40000</w:t>
            </w:r>
          </w:p>
        </w:tc>
        <w:tc>
          <w:tcPr>
            <w:tcW w:w="18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5000≤Y＜40000</w:t>
            </w:r>
          </w:p>
        </w:tc>
        <w:tc>
          <w:tcPr>
            <w:tcW w:w="1686" w:type="dxa"/>
            <w:vAlign w:val="center"/>
          </w:tcPr>
          <w:p>
            <w:pPr>
              <w:widowControl/>
              <w:spacing w:line="240" w:lineRule="exact"/>
              <w:ind w:left="-1" w:leftChars="-1" w:hanging="1"/>
              <w:jc w:val="center"/>
              <w:rPr>
                <w:rFonts w:ascii="仿宋" w:hAnsi="仿宋" w:eastAsia="仿宋"/>
                <w:kern w:val="0"/>
                <w:szCs w:val="21"/>
              </w:rPr>
            </w:pPr>
            <w:r>
              <w:rPr>
                <w:rFonts w:ascii="仿宋" w:hAnsi="仿宋" w:eastAsia="仿宋"/>
                <w:kern w:val="0"/>
                <w:szCs w:val="21"/>
              </w:rPr>
              <w:t>1000≤Y＜5000</w:t>
            </w:r>
          </w:p>
        </w:tc>
        <w:tc>
          <w:tcPr>
            <w:tcW w:w="96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ascii="仿宋" w:hAnsi="仿宋" w:eastAsia="仿宋"/>
                <w:kern w:val="0"/>
                <w:szCs w:val="21"/>
              </w:rPr>
            </w:pPr>
            <w:r>
              <w:rPr>
                <w:rFonts w:ascii="仿宋" w:hAnsi="仿宋" w:eastAsia="仿宋"/>
                <w:kern w:val="0"/>
                <w:szCs w:val="21"/>
              </w:rPr>
              <w:t>零售业</w:t>
            </w:r>
          </w:p>
        </w:tc>
        <w:tc>
          <w:tcPr>
            <w:tcW w:w="1502"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从业人员(X)</w:t>
            </w:r>
          </w:p>
        </w:tc>
        <w:tc>
          <w:tcPr>
            <w:tcW w:w="778"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人</w:t>
            </w:r>
          </w:p>
        </w:tc>
        <w:tc>
          <w:tcPr>
            <w:tcW w:w="1234"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X≥300</w:t>
            </w:r>
          </w:p>
        </w:tc>
        <w:tc>
          <w:tcPr>
            <w:tcW w:w="18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50≤X＜300</w:t>
            </w:r>
          </w:p>
        </w:tc>
        <w:tc>
          <w:tcPr>
            <w:tcW w:w="1686" w:type="dxa"/>
            <w:vAlign w:val="center"/>
          </w:tcPr>
          <w:p>
            <w:pPr>
              <w:widowControl/>
              <w:spacing w:line="240" w:lineRule="exact"/>
              <w:ind w:left="-1" w:leftChars="-1" w:hanging="1"/>
              <w:jc w:val="center"/>
              <w:rPr>
                <w:rFonts w:ascii="仿宋" w:hAnsi="仿宋" w:eastAsia="仿宋"/>
                <w:kern w:val="0"/>
                <w:szCs w:val="21"/>
              </w:rPr>
            </w:pPr>
            <w:r>
              <w:rPr>
                <w:rFonts w:ascii="仿宋" w:hAnsi="仿宋" w:eastAsia="仿宋"/>
                <w:kern w:val="0"/>
                <w:szCs w:val="21"/>
              </w:rPr>
              <w:t xml:space="preserve">10≤X＜50 </w:t>
            </w:r>
          </w:p>
        </w:tc>
        <w:tc>
          <w:tcPr>
            <w:tcW w:w="96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ascii="仿宋" w:hAnsi="仿宋" w:eastAsia="仿宋"/>
                <w:kern w:val="0"/>
                <w:szCs w:val="21"/>
              </w:rPr>
            </w:pPr>
          </w:p>
        </w:tc>
        <w:tc>
          <w:tcPr>
            <w:tcW w:w="1502"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营业收入(Y)</w:t>
            </w:r>
          </w:p>
        </w:tc>
        <w:tc>
          <w:tcPr>
            <w:tcW w:w="778"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万元</w:t>
            </w:r>
          </w:p>
        </w:tc>
        <w:tc>
          <w:tcPr>
            <w:tcW w:w="1234"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Y≥20000</w:t>
            </w:r>
          </w:p>
        </w:tc>
        <w:tc>
          <w:tcPr>
            <w:tcW w:w="18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500≤Y＜20000</w:t>
            </w:r>
          </w:p>
        </w:tc>
        <w:tc>
          <w:tcPr>
            <w:tcW w:w="1686" w:type="dxa"/>
            <w:vAlign w:val="center"/>
          </w:tcPr>
          <w:p>
            <w:pPr>
              <w:widowControl/>
              <w:spacing w:line="240" w:lineRule="exact"/>
              <w:ind w:left="-1" w:leftChars="-1" w:hanging="1"/>
              <w:jc w:val="center"/>
              <w:rPr>
                <w:rFonts w:ascii="仿宋" w:hAnsi="仿宋" w:eastAsia="仿宋"/>
                <w:kern w:val="0"/>
                <w:szCs w:val="21"/>
              </w:rPr>
            </w:pPr>
            <w:r>
              <w:rPr>
                <w:rFonts w:ascii="仿宋" w:hAnsi="仿宋" w:eastAsia="仿宋"/>
                <w:kern w:val="0"/>
                <w:szCs w:val="21"/>
              </w:rPr>
              <w:t>100≤Y＜500</w:t>
            </w:r>
          </w:p>
        </w:tc>
        <w:tc>
          <w:tcPr>
            <w:tcW w:w="96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ascii="仿宋" w:hAnsi="仿宋" w:eastAsia="仿宋"/>
                <w:kern w:val="0"/>
                <w:szCs w:val="21"/>
              </w:rPr>
            </w:pPr>
            <w:r>
              <w:rPr>
                <w:rFonts w:ascii="仿宋" w:hAnsi="仿宋" w:eastAsia="仿宋"/>
                <w:kern w:val="0"/>
                <w:szCs w:val="21"/>
              </w:rPr>
              <w:t>交通运输业*</w:t>
            </w:r>
          </w:p>
        </w:tc>
        <w:tc>
          <w:tcPr>
            <w:tcW w:w="1502"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从业人员(X)</w:t>
            </w:r>
          </w:p>
        </w:tc>
        <w:tc>
          <w:tcPr>
            <w:tcW w:w="778"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人</w:t>
            </w:r>
          </w:p>
        </w:tc>
        <w:tc>
          <w:tcPr>
            <w:tcW w:w="1234"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X≥1000</w:t>
            </w:r>
          </w:p>
        </w:tc>
        <w:tc>
          <w:tcPr>
            <w:tcW w:w="18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300≤X＜1000</w:t>
            </w:r>
          </w:p>
        </w:tc>
        <w:tc>
          <w:tcPr>
            <w:tcW w:w="168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20≤X＜300</w:t>
            </w:r>
          </w:p>
        </w:tc>
        <w:tc>
          <w:tcPr>
            <w:tcW w:w="96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ascii="仿宋" w:hAnsi="仿宋" w:eastAsia="仿宋"/>
                <w:kern w:val="0"/>
                <w:szCs w:val="21"/>
              </w:rPr>
            </w:pPr>
          </w:p>
        </w:tc>
        <w:tc>
          <w:tcPr>
            <w:tcW w:w="1502"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营业收入(Y)</w:t>
            </w:r>
          </w:p>
        </w:tc>
        <w:tc>
          <w:tcPr>
            <w:tcW w:w="778"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万元</w:t>
            </w:r>
          </w:p>
        </w:tc>
        <w:tc>
          <w:tcPr>
            <w:tcW w:w="1234"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Y≥30000</w:t>
            </w:r>
          </w:p>
        </w:tc>
        <w:tc>
          <w:tcPr>
            <w:tcW w:w="18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3000≤Y＜30000</w:t>
            </w:r>
          </w:p>
        </w:tc>
        <w:tc>
          <w:tcPr>
            <w:tcW w:w="168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200≤Y＜3000</w:t>
            </w:r>
          </w:p>
        </w:tc>
        <w:tc>
          <w:tcPr>
            <w:tcW w:w="96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ascii="仿宋" w:hAnsi="仿宋" w:eastAsia="仿宋"/>
                <w:kern w:val="0"/>
                <w:szCs w:val="21"/>
              </w:rPr>
            </w:pPr>
            <w:r>
              <w:rPr>
                <w:rFonts w:ascii="仿宋" w:hAnsi="仿宋" w:eastAsia="仿宋"/>
                <w:kern w:val="0"/>
                <w:szCs w:val="21"/>
              </w:rPr>
              <w:t>仓储业*</w:t>
            </w:r>
          </w:p>
        </w:tc>
        <w:tc>
          <w:tcPr>
            <w:tcW w:w="1502"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从业人员(X)</w:t>
            </w:r>
          </w:p>
        </w:tc>
        <w:tc>
          <w:tcPr>
            <w:tcW w:w="778"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人</w:t>
            </w:r>
          </w:p>
        </w:tc>
        <w:tc>
          <w:tcPr>
            <w:tcW w:w="1234"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X≥200</w:t>
            </w:r>
          </w:p>
        </w:tc>
        <w:tc>
          <w:tcPr>
            <w:tcW w:w="1867" w:type="dxa"/>
            <w:vAlign w:val="center"/>
          </w:tcPr>
          <w:p>
            <w:pPr>
              <w:widowControl/>
              <w:spacing w:line="240" w:lineRule="exact"/>
              <w:ind w:left="19" w:leftChars="-51" w:hanging="126" w:hangingChars="60"/>
              <w:jc w:val="center"/>
              <w:rPr>
                <w:rFonts w:ascii="仿宋" w:hAnsi="仿宋" w:eastAsia="仿宋"/>
                <w:kern w:val="0"/>
                <w:szCs w:val="21"/>
              </w:rPr>
            </w:pPr>
            <w:r>
              <w:rPr>
                <w:rFonts w:ascii="仿宋" w:hAnsi="仿宋" w:eastAsia="仿宋"/>
                <w:kern w:val="0"/>
                <w:szCs w:val="21"/>
              </w:rPr>
              <w:t>100≤X＜200</w:t>
            </w:r>
          </w:p>
        </w:tc>
        <w:tc>
          <w:tcPr>
            <w:tcW w:w="168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20≤X＜100</w:t>
            </w:r>
          </w:p>
        </w:tc>
        <w:tc>
          <w:tcPr>
            <w:tcW w:w="96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ascii="仿宋" w:hAnsi="仿宋" w:eastAsia="仿宋"/>
                <w:kern w:val="0"/>
                <w:szCs w:val="21"/>
              </w:rPr>
            </w:pPr>
          </w:p>
        </w:tc>
        <w:tc>
          <w:tcPr>
            <w:tcW w:w="1502"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营业收入(Y)</w:t>
            </w:r>
          </w:p>
        </w:tc>
        <w:tc>
          <w:tcPr>
            <w:tcW w:w="778"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万元</w:t>
            </w:r>
          </w:p>
        </w:tc>
        <w:tc>
          <w:tcPr>
            <w:tcW w:w="1234"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Y≥30000</w:t>
            </w:r>
          </w:p>
        </w:tc>
        <w:tc>
          <w:tcPr>
            <w:tcW w:w="18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1000≤Y＜30000</w:t>
            </w:r>
          </w:p>
        </w:tc>
        <w:tc>
          <w:tcPr>
            <w:tcW w:w="168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100≤Y＜1000</w:t>
            </w:r>
          </w:p>
        </w:tc>
        <w:tc>
          <w:tcPr>
            <w:tcW w:w="96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ascii="仿宋" w:hAnsi="仿宋" w:eastAsia="仿宋"/>
                <w:kern w:val="0"/>
                <w:szCs w:val="21"/>
              </w:rPr>
            </w:pPr>
            <w:r>
              <w:rPr>
                <w:rFonts w:ascii="仿宋" w:hAnsi="仿宋" w:eastAsia="仿宋"/>
                <w:kern w:val="0"/>
                <w:szCs w:val="21"/>
              </w:rPr>
              <w:t>邮政业</w:t>
            </w:r>
          </w:p>
        </w:tc>
        <w:tc>
          <w:tcPr>
            <w:tcW w:w="1502"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从业人员(X)</w:t>
            </w:r>
          </w:p>
        </w:tc>
        <w:tc>
          <w:tcPr>
            <w:tcW w:w="778"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人</w:t>
            </w:r>
          </w:p>
        </w:tc>
        <w:tc>
          <w:tcPr>
            <w:tcW w:w="1234"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X≥1000</w:t>
            </w:r>
          </w:p>
        </w:tc>
        <w:tc>
          <w:tcPr>
            <w:tcW w:w="18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300≤X＜1000</w:t>
            </w:r>
          </w:p>
        </w:tc>
        <w:tc>
          <w:tcPr>
            <w:tcW w:w="168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20≤X＜300</w:t>
            </w:r>
          </w:p>
        </w:tc>
        <w:tc>
          <w:tcPr>
            <w:tcW w:w="96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ascii="仿宋" w:hAnsi="仿宋" w:eastAsia="仿宋"/>
                <w:kern w:val="0"/>
                <w:szCs w:val="21"/>
              </w:rPr>
            </w:pPr>
          </w:p>
        </w:tc>
        <w:tc>
          <w:tcPr>
            <w:tcW w:w="1502"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营业收入(Y)</w:t>
            </w:r>
          </w:p>
        </w:tc>
        <w:tc>
          <w:tcPr>
            <w:tcW w:w="778"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万元</w:t>
            </w:r>
          </w:p>
        </w:tc>
        <w:tc>
          <w:tcPr>
            <w:tcW w:w="1234"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Y≥30000</w:t>
            </w:r>
          </w:p>
        </w:tc>
        <w:tc>
          <w:tcPr>
            <w:tcW w:w="18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2000≤Y＜30000</w:t>
            </w:r>
          </w:p>
        </w:tc>
        <w:tc>
          <w:tcPr>
            <w:tcW w:w="168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100≤Y＜2000</w:t>
            </w:r>
          </w:p>
        </w:tc>
        <w:tc>
          <w:tcPr>
            <w:tcW w:w="96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ascii="仿宋" w:hAnsi="仿宋" w:eastAsia="仿宋"/>
                <w:kern w:val="0"/>
                <w:szCs w:val="21"/>
              </w:rPr>
            </w:pPr>
            <w:r>
              <w:rPr>
                <w:rFonts w:ascii="仿宋" w:hAnsi="仿宋" w:eastAsia="仿宋"/>
                <w:kern w:val="0"/>
                <w:szCs w:val="21"/>
              </w:rPr>
              <w:t>住宿业</w:t>
            </w:r>
          </w:p>
        </w:tc>
        <w:tc>
          <w:tcPr>
            <w:tcW w:w="1502"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从业人员(X)</w:t>
            </w:r>
          </w:p>
        </w:tc>
        <w:tc>
          <w:tcPr>
            <w:tcW w:w="778"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人</w:t>
            </w:r>
          </w:p>
        </w:tc>
        <w:tc>
          <w:tcPr>
            <w:tcW w:w="1234"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X≥300</w:t>
            </w:r>
          </w:p>
        </w:tc>
        <w:tc>
          <w:tcPr>
            <w:tcW w:w="1867" w:type="dxa"/>
            <w:vAlign w:val="center"/>
          </w:tcPr>
          <w:p>
            <w:pPr>
              <w:widowControl/>
              <w:spacing w:line="240" w:lineRule="exact"/>
              <w:ind w:left="19" w:leftChars="-51" w:hanging="126" w:hangingChars="60"/>
              <w:jc w:val="center"/>
              <w:rPr>
                <w:rFonts w:ascii="仿宋" w:hAnsi="仿宋" w:eastAsia="仿宋"/>
                <w:kern w:val="0"/>
                <w:szCs w:val="21"/>
              </w:rPr>
            </w:pPr>
            <w:r>
              <w:rPr>
                <w:rFonts w:ascii="仿宋" w:hAnsi="仿宋" w:eastAsia="仿宋"/>
                <w:kern w:val="0"/>
                <w:szCs w:val="21"/>
              </w:rPr>
              <w:t>100≤X＜300</w:t>
            </w:r>
          </w:p>
        </w:tc>
        <w:tc>
          <w:tcPr>
            <w:tcW w:w="168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10≤X＜100</w:t>
            </w:r>
          </w:p>
        </w:tc>
        <w:tc>
          <w:tcPr>
            <w:tcW w:w="96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ascii="仿宋" w:hAnsi="仿宋" w:eastAsia="仿宋"/>
                <w:kern w:val="0"/>
                <w:szCs w:val="21"/>
              </w:rPr>
            </w:pPr>
          </w:p>
        </w:tc>
        <w:tc>
          <w:tcPr>
            <w:tcW w:w="1502"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营业收入(Y)</w:t>
            </w:r>
          </w:p>
        </w:tc>
        <w:tc>
          <w:tcPr>
            <w:tcW w:w="778"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万元</w:t>
            </w:r>
          </w:p>
        </w:tc>
        <w:tc>
          <w:tcPr>
            <w:tcW w:w="1234"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Y≥10000</w:t>
            </w:r>
          </w:p>
        </w:tc>
        <w:tc>
          <w:tcPr>
            <w:tcW w:w="18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2000≤Y＜10000</w:t>
            </w:r>
          </w:p>
        </w:tc>
        <w:tc>
          <w:tcPr>
            <w:tcW w:w="168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100≤Y＜2000</w:t>
            </w:r>
          </w:p>
        </w:tc>
        <w:tc>
          <w:tcPr>
            <w:tcW w:w="96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ascii="仿宋" w:hAnsi="仿宋" w:eastAsia="仿宋"/>
                <w:kern w:val="0"/>
                <w:szCs w:val="21"/>
              </w:rPr>
            </w:pPr>
            <w:r>
              <w:rPr>
                <w:rFonts w:ascii="仿宋" w:hAnsi="仿宋" w:eastAsia="仿宋"/>
                <w:kern w:val="0"/>
                <w:szCs w:val="21"/>
              </w:rPr>
              <w:t>餐饮业</w:t>
            </w:r>
          </w:p>
        </w:tc>
        <w:tc>
          <w:tcPr>
            <w:tcW w:w="1502"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从业人员(X)</w:t>
            </w:r>
          </w:p>
        </w:tc>
        <w:tc>
          <w:tcPr>
            <w:tcW w:w="778"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人</w:t>
            </w:r>
          </w:p>
        </w:tc>
        <w:tc>
          <w:tcPr>
            <w:tcW w:w="1234"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X≥300</w:t>
            </w:r>
          </w:p>
        </w:tc>
        <w:tc>
          <w:tcPr>
            <w:tcW w:w="1867" w:type="dxa"/>
            <w:vAlign w:val="center"/>
          </w:tcPr>
          <w:p>
            <w:pPr>
              <w:widowControl/>
              <w:spacing w:line="240" w:lineRule="exact"/>
              <w:ind w:left="19" w:leftChars="-51" w:hanging="126" w:hangingChars="60"/>
              <w:jc w:val="center"/>
              <w:rPr>
                <w:rFonts w:ascii="仿宋" w:hAnsi="仿宋" w:eastAsia="仿宋"/>
                <w:kern w:val="0"/>
                <w:szCs w:val="21"/>
              </w:rPr>
            </w:pPr>
            <w:r>
              <w:rPr>
                <w:rFonts w:ascii="仿宋" w:hAnsi="仿宋" w:eastAsia="仿宋"/>
                <w:kern w:val="0"/>
                <w:szCs w:val="21"/>
              </w:rPr>
              <w:t xml:space="preserve">100≤X＜300 </w:t>
            </w:r>
          </w:p>
        </w:tc>
        <w:tc>
          <w:tcPr>
            <w:tcW w:w="168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10≤X＜100</w:t>
            </w:r>
          </w:p>
        </w:tc>
        <w:tc>
          <w:tcPr>
            <w:tcW w:w="96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ascii="仿宋" w:hAnsi="仿宋" w:eastAsia="仿宋"/>
                <w:kern w:val="0"/>
                <w:szCs w:val="21"/>
              </w:rPr>
            </w:pPr>
          </w:p>
        </w:tc>
        <w:tc>
          <w:tcPr>
            <w:tcW w:w="1502"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营业收入(Y)</w:t>
            </w:r>
          </w:p>
        </w:tc>
        <w:tc>
          <w:tcPr>
            <w:tcW w:w="778"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万元</w:t>
            </w:r>
          </w:p>
        </w:tc>
        <w:tc>
          <w:tcPr>
            <w:tcW w:w="1234"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Y≥10000</w:t>
            </w:r>
          </w:p>
        </w:tc>
        <w:tc>
          <w:tcPr>
            <w:tcW w:w="18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2000≤Y＜10000</w:t>
            </w:r>
          </w:p>
        </w:tc>
        <w:tc>
          <w:tcPr>
            <w:tcW w:w="168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100≤Y＜2000</w:t>
            </w:r>
          </w:p>
        </w:tc>
        <w:tc>
          <w:tcPr>
            <w:tcW w:w="96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restart"/>
            <w:vAlign w:val="center"/>
          </w:tcPr>
          <w:p>
            <w:pPr>
              <w:widowControl/>
              <w:spacing w:line="240" w:lineRule="exact"/>
              <w:jc w:val="left"/>
              <w:rPr>
                <w:rFonts w:ascii="仿宋" w:hAnsi="仿宋" w:eastAsia="仿宋"/>
                <w:kern w:val="0"/>
                <w:szCs w:val="21"/>
              </w:rPr>
            </w:pPr>
            <w:r>
              <w:rPr>
                <w:rFonts w:ascii="仿宋" w:hAnsi="仿宋" w:eastAsia="仿宋"/>
                <w:kern w:val="0"/>
                <w:szCs w:val="21"/>
              </w:rPr>
              <w:t>信息传输业*</w:t>
            </w:r>
          </w:p>
        </w:tc>
        <w:tc>
          <w:tcPr>
            <w:tcW w:w="1502"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从业人员(X)</w:t>
            </w:r>
          </w:p>
        </w:tc>
        <w:tc>
          <w:tcPr>
            <w:tcW w:w="778"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人</w:t>
            </w:r>
          </w:p>
        </w:tc>
        <w:tc>
          <w:tcPr>
            <w:tcW w:w="1234"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X≥2000</w:t>
            </w:r>
          </w:p>
        </w:tc>
        <w:tc>
          <w:tcPr>
            <w:tcW w:w="18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100≤X＜2000</w:t>
            </w:r>
          </w:p>
        </w:tc>
        <w:tc>
          <w:tcPr>
            <w:tcW w:w="168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10≤X＜100</w:t>
            </w:r>
          </w:p>
        </w:tc>
        <w:tc>
          <w:tcPr>
            <w:tcW w:w="96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Merge w:val="continue"/>
            <w:vAlign w:val="center"/>
          </w:tcPr>
          <w:p>
            <w:pPr>
              <w:widowControl/>
              <w:spacing w:line="240" w:lineRule="exact"/>
              <w:jc w:val="left"/>
              <w:rPr>
                <w:rFonts w:ascii="仿宋" w:hAnsi="仿宋" w:eastAsia="仿宋"/>
                <w:kern w:val="0"/>
                <w:szCs w:val="21"/>
              </w:rPr>
            </w:pPr>
          </w:p>
        </w:tc>
        <w:tc>
          <w:tcPr>
            <w:tcW w:w="1502"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营业收入(Y)</w:t>
            </w:r>
          </w:p>
        </w:tc>
        <w:tc>
          <w:tcPr>
            <w:tcW w:w="778"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万元</w:t>
            </w:r>
          </w:p>
        </w:tc>
        <w:tc>
          <w:tcPr>
            <w:tcW w:w="1234"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Y≥100000</w:t>
            </w:r>
          </w:p>
        </w:tc>
        <w:tc>
          <w:tcPr>
            <w:tcW w:w="18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1000≤Y＜100000</w:t>
            </w:r>
          </w:p>
        </w:tc>
        <w:tc>
          <w:tcPr>
            <w:tcW w:w="168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100≤Y＜1000</w:t>
            </w:r>
          </w:p>
        </w:tc>
        <w:tc>
          <w:tcPr>
            <w:tcW w:w="96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exact"/>
          <w:jc w:val="center"/>
        </w:trPr>
        <w:tc>
          <w:tcPr>
            <w:tcW w:w="2320" w:type="dxa"/>
            <w:vMerge w:val="restart"/>
            <w:vAlign w:val="center"/>
          </w:tcPr>
          <w:p>
            <w:pPr>
              <w:widowControl/>
              <w:spacing w:line="240" w:lineRule="exact"/>
              <w:jc w:val="left"/>
              <w:rPr>
                <w:rFonts w:ascii="仿宋" w:hAnsi="仿宋" w:eastAsia="仿宋"/>
                <w:spacing w:val="-12"/>
                <w:kern w:val="0"/>
                <w:szCs w:val="21"/>
              </w:rPr>
            </w:pPr>
            <w:r>
              <w:rPr>
                <w:rFonts w:ascii="仿宋" w:hAnsi="仿宋" w:eastAsia="仿宋"/>
                <w:spacing w:val="-12"/>
                <w:kern w:val="0"/>
                <w:szCs w:val="21"/>
              </w:rPr>
              <w:t>软件和信息技术服</w:t>
            </w:r>
            <w:r>
              <w:rPr>
                <w:rFonts w:ascii="仿宋" w:hAnsi="仿宋" w:eastAsia="仿宋"/>
                <w:kern w:val="0"/>
                <w:szCs w:val="21"/>
              </w:rPr>
              <w:t>务业</w:t>
            </w:r>
          </w:p>
        </w:tc>
        <w:tc>
          <w:tcPr>
            <w:tcW w:w="1502"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从业人员(X)</w:t>
            </w:r>
          </w:p>
        </w:tc>
        <w:tc>
          <w:tcPr>
            <w:tcW w:w="778"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人</w:t>
            </w:r>
          </w:p>
        </w:tc>
        <w:tc>
          <w:tcPr>
            <w:tcW w:w="1234"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X≥300</w:t>
            </w:r>
          </w:p>
        </w:tc>
        <w:tc>
          <w:tcPr>
            <w:tcW w:w="1867" w:type="dxa"/>
            <w:vAlign w:val="center"/>
          </w:tcPr>
          <w:p>
            <w:pPr>
              <w:widowControl/>
              <w:spacing w:line="240" w:lineRule="exact"/>
              <w:ind w:left="19" w:leftChars="-51" w:hanging="126" w:hangingChars="60"/>
              <w:jc w:val="center"/>
              <w:rPr>
                <w:rFonts w:ascii="仿宋" w:hAnsi="仿宋" w:eastAsia="仿宋"/>
                <w:kern w:val="0"/>
                <w:szCs w:val="21"/>
              </w:rPr>
            </w:pPr>
            <w:r>
              <w:rPr>
                <w:rFonts w:ascii="仿宋" w:hAnsi="仿宋" w:eastAsia="仿宋"/>
                <w:kern w:val="0"/>
                <w:szCs w:val="21"/>
              </w:rPr>
              <w:t xml:space="preserve">100≤X＜300 </w:t>
            </w:r>
          </w:p>
        </w:tc>
        <w:tc>
          <w:tcPr>
            <w:tcW w:w="168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10≤X＜100</w:t>
            </w:r>
          </w:p>
        </w:tc>
        <w:tc>
          <w:tcPr>
            <w:tcW w:w="96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exact"/>
          <w:jc w:val="center"/>
        </w:trPr>
        <w:tc>
          <w:tcPr>
            <w:tcW w:w="2320" w:type="dxa"/>
            <w:vMerge w:val="continue"/>
            <w:vAlign w:val="center"/>
          </w:tcPr>
          <w:p>
            <w:pPr>
              <w:widowControl/>
              <w:spacing w:line="240" w:lineRule="exact"/>
              <w:jc w:val="left"/>
              <w:rPr>
                <w:rFonts w:ascii="仿宋" w:hAnsi="仿宋" w:eastAsia="仿宋"/>
                <w:spacing w:val="-12"/>
                <w:kern w:val="0"/>
                <w:szCs w:val="21"/>
              </w:rPr>
            </w:pPr>
          </w:p>
        </w:tc>
        <w:tc>
          <w:tcPr>
            <w:tcW w:w="1502"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营业收入(Y)</w:t>
            </w:r>
          </w:p>
        </w:tc>
        <w:tc>
          <w:tcPr>
            <w:tcW w:w="778"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万元</w:t>
            </w:r>
          </w:p>
        </w:tc>
        <w:tc>
          <w:tcPr>
            <w:tcW w:w="1234"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Y≥10000</w:t>
            </w:r>
          </w:p>
        </w:tc>
        <w:tc>
          <w:tcPr>
            <w:tcW w:w="18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1000≤Y＜10000</w:t>
            </w:r>
          </w:p>
        </w:tc>
        <w:tc>
          <w:tcPr>
            <w:tcW w:w="168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50≤Y＜1000</w:t>
            </w:r>
          </w:p>
        </w:tc>
        <w:tc>
          <w:tcPr>
            <w:tcW w:w="96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exact"/>
          <w:jc w:val="center"/>
        </w:trPr>
        <w:tc>
          <w:tcPr>
            <w:tcW w:w="2320" w:type="dxa"/>
            <w:vMerge w:val="restart"/>
            <w:vAlign w:val="center"/>
          </w:tcPr>
          <w:p>
            <w:pPr>
              <w:widowControl/>
              <w:spacing w:line="240" w:lineRule="exact"/>
              <w:jc w:val="left"/>
              <w:rPr>
                <w:rFonts w:ascii="仿宋" w:hAnsi="仿宋" w:eastAsia="仿宋"/>
                <w:kern w:val="0"/>
                <w:szCs w:val="21"/>
              </w:rPr>
            </w:pPr>
            <w:r>
              <w:rPr>
                <w:rFonts w:ascii="仿宋" w:hAnsi="仿宋" w:eastAsia="仿宋"/>
                <w:kern w:val="0"/>
                <w:szCs w:val="21"/>
              </w:rPr>
              <w:t>房地产开发经营</w:t>
            </w:r>
          </w:p>
        </w:tc>
        <w:tc>
          <w:tcPr>
            <w:tcW w:w="1502"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营业收入(Y)</w:t>
            </w:r>
          </w:p>
        </w:tc>
        <w:tc>
          <w:tcPr>
            <w:tcW w:w="778"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万元</w:t>
            </w:r>
          </w:p>
        </w:tc>
        <w:tc>
          <w:tcPr>
            <w:tcW w:w="1234"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Y≥200000</w:t>
            </w:r>
          </w:p>
        </w:tc>
        <w:tc>
          <w:tcPr>
            <w:tcW w:w="18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1000≤Y＜200000</w:t>
            </w:r>
          </w:p>
        </w:tc>
        <w:tc>
          <w:tcPr>
            <w:tcW w:w="168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100≤Y＜1000</w:t>
            </w:r>
          </w:p>
        </w:tc>
        <w:tc>
          <w:tcPr>
            <w:tcW w:w="96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exact"/>
          <w:jc w:val="center"/>
        </w:trPr>
        <w:tc>
          <w:tcPr>
            <w:tcW w:w="2320" w:type="dxa"/>
            <w:vMerge w:val="continue"/>
            <w:vAlign w:val="center"/>
          </w:tcPr>
          <w:p>
            <w:pPr>
              <w:widowControl/>
              <w:spacing w:line="240" w:lineRule="exact"/>
              <w:jc w:val="left"/>
              <w:rPr>
                <w:rFonts w:ascii="仿宋" w:hAnsi="仿宋" w:eastAsia="仿宋"/>
                <w:kern w:val="0"/>
                <w:szCs w:val="21"/>
              </w:rPr>
            </w:pPr>
          </w:p>
        </w:tc>
        <w:tc>
          <w:tcPr>
            <w:tcW w:w="1502"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资产总额(Z)</w:t>
            </w:r>
          </w:p>
        </w:tc>
        <w:tc>
          <w:tcPr>
            <w:tcW w:w="778"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万元</w:t>
            </w:r>
          </w:p>
        </w:tc>
        <w:tc>
          <w:tcPr>
            <w:tcW w:w="1234"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Z≥10000</w:t>
            </w:r>
          </w:p>
        </w:tc>
        <w:tc>
          <w:tcPr>
            <w:tcW w:w="18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5000≤Z＜10000</w:t>
            </w:r>
          </w:p>
        </w:tc>
        <w:tc>
          <w:tcPr>
            <w:tcW w:w="168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2000≤Z＜</w:t>
            </w:r>
            <w:r>
              <w:rPr>
                <w:rFonts w:hint="eastAsia" w:ascii="仿宋" w:hAnsi="仿宋" w:eastAsia="仿宋"/>
                <w:kern w:val="0"/>
                <w:szCs w:val="21"/>
              </w:rPr>
              <w:t>5000</w:t>
            </w:r>
          </w:p>
        </w:tc>
        <w:tc>
          <w:tcPr>
            <w:tcW w:w="96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exact"/>
          <w:jc w:val="center"/>
        </w:trPr>
        <w:tc>
          <w:tcPr>
            <w:tcW w:w="2320" w:type="dxa"/>
            <w:vMerge w:val="restart"/>
            <w:vAlign w:val="center"/>
          </w:tcPr>
          <w:p>
            <w:pPr>
              <w:widowControl/>
              <w:spacing w:line="240" w:lineRule="exact"/>
              <w:jc w:val="left"/>
              <w:rPr>
                <w:rFonts w:ascii="仿宋" w:hAnsi="仿宋" w:eastAsia="仿宋"/>
                <w:kern w:val="0"/>
                <w:szCs w:val="21"/>
              </w:rPr>
            </w:pPr>
            <w:r>
              <w:rPr>
                <w:rFonts w:ascii="仿宋" w:hAnsi="仿宋" w:eastAsia="仿宋"/>
                <w:kern w:val="0"/>
                <w:szCs w:val="21"/>
              </w:rPr>
              <w:t>物业管理</w:t>
            </w:r>
          </w:p>
        </w:tc>
        <w:tc>
          <w:tcPr>
            <w:tcW w:w="1502"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从业人员(X)</w:t>
            </w:r>
          </w:p>
        </w:tc>
        <w:tc>
          <w:tcPr>
            <w:tcW w:w="778"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人</w:t>
            </w:r>
          </w:p>
        </w:tc>
        <w:tc>
          <w:tcPr>
            <w:tcW w:w="1234"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X≥1000</w:t>
            </w:r>
          </w:p>
        </w:tc>
        <w:tc>
          <w:tcPr>
            <w:tcW w:w="18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300≤X＜1000</w:t>
            </w:r>
          </w:p>
        </w:tc>
        <w:tc>
          <w:tcPr>
            <w:tcW w:w="168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100≤X＜300</w:t>
            </w:r>
          </w:p>
        </w:tc>
        <w:tc>
          <w:tcPr>
            <w:tcW w:w="96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exact"/>
          <w:jc w:val="center"/>
        </w:trPr>
        <w:tc>
          <w:tcPr>
            <w:tcW w:w="2320" w:type="dxa"/>
            <w:vMerge w:val="continue"/>
            <w:vAlign w:val="center"/>
          </w:tcPr>
          <w:p>
            <w:pPr>
              <w:widowControl/>
              <w:spacing w:line="240" w:lineRule="exact"/>
              <w:jc w:val="left"/>
              <w:rPr>
                <w:rFonts w:ascii="仿宋" w:hAnsi="仿宋" w:eastAsia="仿宋"/>
                <w:kern w:val="0"/>
                <w:szCs w:val="21"/>
              </w:rPr>
            </w:pPr>
          </w:p>
        </w:tc>
        <w:tc>
          <w:tcPr>
            <w:tcW w:w="1502"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营业收入(Y)</w:t>
            </w:r>
          </w:p>
        </w:tc>
        <w:tc>
          <w:tcPr>
            <w:tcW w:w="778"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万元</w:t>
            </w:r>
          </w:p>
        </w:tc>
        <w:tc>
          <w:tcPr>
            <w:tcW w:w="1234"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Y≥5000</w:t>
            </w:r>
          </w:p>
        </w:tc>
        <w:tc>
          <w:tcPr>
            <w:tcW w:w="1867" w:type="dxa"/>
            <w:vAlign w:val="center"/>
          </w:tcPr>
          <w:p>
            <w:pPr>
              <w:widowControl/>
              <w:spacing w:line="240" w:lineRule="exact"/>
              <w:ind w:left="19" w:leftChars="-51" w:hanging="126" w:hangingChars="60"/>
              <w:jc w:val="center"/>
              <w:rPr>
                <w:rFonts w:ascii="仿宋" w:hAnsi="仿宋" w:eastAsia="仿宋"/>
                <w:kern w:val="0"/>
                <w:szCs w:val="21"/>
              </w:rPr>
            </w:pPr>
            <w:r>
              <w:rPr>
                <w:rFonts w:ascii="仿宋" w:hAnsi="仿宋" w:eastAsia="仿宋"/>
                <w:kern w:val="0"/>
                <w:szCs w:val="21"/>
              </w:rPr>
              <w:t>1000≤Y＜5000</w:t>
            </w:r>
          </w:p>
        </w:tc>
        <w:tc>
          <w:tcPr>
            <w:tcW w:w="168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500≤Y＜1000</w:t>
            </w:r>
          </w:p>
        </w:tc>
        <w:tc>
          <w:tcPr>
            <w:tcW w:w="96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exact"/>
          <w:jc w:val="center"/>
        </w:trPr>
        <w:tc>
          <w:tcPr>
            <w:tcW w:w="2320" w:type="dxa"/>
            <w:vMerge w:val="restart"/>
            <w:vAlign w:val="center"/>
          </w:tcPr>
          <w:p>
            <w:pPr>
              <w:widowControl/>
              <w:spacing w:line="240" w:lineRule="exact"/>
              <w:jc w:val="left"/>
              <w:rPr>
                <w:rFonts w:ascii="仿宋" w:hAnsi="仿宋" w:eastAsia="仿宋"/>
                <w:kern w:val="0"/>
                <w:szCs w:val="21"/>
              </w:rPr>
            </w:pPr>
            <w:r>
              <w:rPr>
                <w:rFonts w:ascii="仿宋" w:hAnsi="仿宋" w:eastAsia="仿宋"/>
                <w:kern w:val="0"/>
                <w:szCs w:val="21"/>
              </w:rPr>
              <w:t>租赁和商务服务业</w:t>
            </w:r>
          </w:p>
        </w:tc>
        <w:tc>
          <w:tcPr>
            <w:tcW w:w="1502"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从业人员(X)</w:t>
            </w:r>
          </w:p>
        </w:tc>
        <w:tc>
          <w:tcPr>
            <w:tcW w:w="778"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人</w:t>
            </w:r>
          </w:p>
        </w:tc>
        <w:tc>
          <w:tcPr>
            <w:tcW w:w="1234"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X≥300</w:t>
            </w:r>
          </w:p>
        </w:tc>
        <w:tc>
          <w:tcPr>
            <w:tcW w:w="1867" w:type="dxa"/>
            <w:vAlign w:val="center"/>
          </w:tcPr>
          <w:p>
            <w:pPr>
              <w:widowControl/>
              <w:spacing w:line="240" w:lineRule="exact"/>
              <w:ind w:left="19" w:leftChars="-51" w:hanging="126" w:hangingChars="60"/>
              <w:jc w:val="center"/>
              <w:rPr>
                <w:rFonts w:ascii="仿宋" w:hAnsi="仿宋" w:eastAsia="仿宋"/>
                <w:kern w:val="0"/>
                <w:szCs w:val="21"/>
              </w:rPr>
            </w:pPr>
            <w:r>
              <w:rPr>
                <w:rFonts w:ascii="仿宋" w:hAnsi="仿宋" w:eastAsia="仿宋"/>
                <w:kern w:val="0"/>
                <w:szCs w:val="21"/>
              </w:rPr>
              <w:t>100≤X＜300</w:t>
            </w:r>
          </w:p>
        </w:tc>
        <w:tc>
          <w:tcPr>
            <w:tcW w:w="168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10≤X＜100</w:t>
            </w:r>
          </w:p>
        </w:tc>
        <w:tc>
          <w:tcPr>
            <w:tcW w:w="96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exact"/>
          <w:jc w:val="center"/>
        </w:trPr>
        <w:tc>
          <w:tcPr>
            <w:tcW w:w="2320" w:type="dxa"/>
            <w:vMerge w:val="continue"/>
            <w:vAlign w:val="center"/>
          </w:tcPr>
          <w:p>
            <w:pPr>
              <w:widowControl/>
              <w:spacing w:line="240" w:lineRule="exact"/>
              <w:jc w:val="left"/>
              <w:rPr>
                <w:rFonts w:ascii="仿宋" w:hAnsi="仿宋" w:eastAsia="仿宋"/>
                <w:kern w:val="0"/>
                <w:szCs w:val="21"/>
              </w:rPr>
            </w:pPr>
          </w:p>
        </w:tc>
        <w:tc>
          <w:tcPr>
            <w:tcW w:w="1502"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资产总额(Z)</w:t>
            </w:r>
          </w:p>
        </w:tc>
        <w:tc>
          <w:tcPr>
            <w:tcW w:w="778"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万元</w:t>
            </w:r>
          </w:p>
        </w:tc>
        <w:tc>
          <w:tcPr>
            <w:tcW w:w="1234"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Z≥120000</w:t>
            </w:r>
          </w:p>
        </w:tc>
        <w:tc>
          <w:tcPr>
            <w:tcW w:w="18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8000≤Z＜120000</w:t>
            </w:r>
          </w:p>
        </w:tc>
        <w:tc>
          <w:tcPr>
            <w:tcW w:w="168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100≤Z＜8000</w:t>
            </w:r>
          </w:p>
        </w:tc>
        <w:tc>
          <w:tcPr>
            <w:tcW w:w="96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exact"/>
          <w:jc w:val="center"/>
        </w:trPr>
        <w:tc>
          <w:tcPr>
            <w:tcW w:w="2320" w:type="dxa"/>
            <w:vAlign w:val="center"/>
          </w:tcPr>
          <w:p>
            <w:pPr>
              <w:widowControl/>
              <w:spacing w:line="240" w:lineRule="exact"/>
              <w:jc w:val="left"/>
              <w:rPr>
                <w:rFonts w:ascii="仿宋" w:hAnsi="仿宋" w:eastAsia="仿宋"/>
                <w:kern w:val="0"/>
                <w:szCs w:val="21"/>
              </w:rPr>
            </w:pPr>
            <w:r>
              <w:rPr>
                <w:rFonts w:ascii="仿宋" w:hAnsi="仿宋" w:eastAsia="仿宋"/>
                <w:kern w:val="0"/>
                <w:szCs w:val="21"/>
              </w:rPr>
              <w:t>其他未列明行业*</w:t>
            </w:r>
          </w:p>
        </w:tc>
        <w:tc>
          <w:tcPr>
            <w:tcW w:w="1502"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从业人员(X)</w:t>
            </w:r>
          </w:p>
        </w:tc>
        <w:tc>
          <w:tcPr>
            <w:tcW w:w="778"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人</w:t>
            </w:r>
          </w:p>
        </w:tc>
        <w:tc>
          <w:tcPr>
            <w:tcW w:w="1234"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X≥300</w:t>
            </w:r>
          </w:p>
        </w:tc>
        <w:tc>
          <w:tcPr>
            <w:tcW w:w="1867" w:type="dxa"/>
            <w:vAlign w:val="center"/>
          </w:tcPr>
          <w:p>
            <w:pPr>
              <w:widowControl/>
              <w:spacing w:line="240" w:lineRule="exact"/>
              <w:ind w:left="19" w:leftChars="-51" w:hanging="126" w:hangingChars="60"/>
              <w:jc w:val="center"/>
              <w:rPr>
                <w:rFonts w:ascii="仿宋" w:hAnsi="仿宋" w:eastAsia="仿宋"/>
                <w:kern w:val="0"/>
                <w:szCs w:val="21"/>
              </w:rPr>
            </w:pPr>
            <w:r>
              <w:rPr>
                <w:rFonts w:ascii="仿宋" w:hAnsi="仿宋" w:eastAsia="仿宋"/>
                <w:kern w:val="0"/>
                <w:szCs w:val="21"/>
              </w:rPr>
              <w:t>100≤X＜300</w:t>
            </w:r>
          </w:p>
        </w:tc>
        <w:tc>
          <w:tcPr>
            <w:tcW w:w="168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10≤X＜100</w:t>
            </w:r>
          </w:p>
        </w:tc>
        <w:tc>
          <w:tcPr>
            <w:tcW w:w="96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X＜10</w:t>
            </w:r>
          </w:p>
        </w:tc>
      </w:tr>
    </w:tbl>
    <w:p>
      <w:pPr>
        <w:spacing w:line="260" w:lineRule="exact"/>
        <w:rPr>
          <w:rFonts w:ascii="仿宋" w:hAnsi="仿宋" w:eastAsia="仿宋"/>
        </w:rPr>
      </w:pPr>
      <w:r>
        <w:rPr>
          <w:rFonts w:hint="eastAsia" w:ascii="仿宋" w:hAnsi="仿宋" w:eastAsia="仿宋" w:cs="宋体"/>
          <w:spacing w:val="8"/>
          <w:kern w:val="0"/>
          <w:szCs w:val="21"/>
        </w:rPr>
        <w:t>说明：</w:t>
      </w:r>
      <w:r>
        <w:rPr>
          <w:rFonts w:hint="eastAsia" w:ascii="仿宋" w:hAnsi="仿宋" w:eastAsia="仿宋" w:cs="宋体"/>
          <w:spacing w:val="8"/>
          <w:szCs w:val="21"/>
        </w:rPr>
        <w:t>1.大型、中型和小型企业须同时满足所列指标的下限，否则下划一档；微型企业只须满足所列指标中的一项即可。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r>
        <w:rPr>
          <w:rFonts w:hint="eastAsia" w:ascii="仿宋" w:hAnsi="仿宋" w:eastAsia="仿宋"/>
          <w:spacing w:val="8"/>
          <w:szCs w:val="21"/>
        </w:rPr>
        <w:t>3.</w:t>
      </w:r>
      <w:r>
        <w:rPr>
          <w:rFonts w:hint="eastAsia" w:ascii="仿宋" w:hAnsi="仿宋" w:eastAsia="仿宋" w:cs="宋体"/>
          <w:spacing w:val="8"/>
          <w:szCs w:val="21"/>
        </w:rPr>
        <w:t>企业划分指标以现行统计制度为准。（</w:t>
      </w:r>
      <w:r>
        <w:rPr>
          <w:rFonts w:hint="eastAsia" w:ascii="仿宋" w:hAnsi="仿宋" w:eastAsia="仿宋"/>
          <w:spacing w:val="8"/>
          <w:szCs w:val="21"/>
        </w:rPr>
        <w:t>1</w:t>
      </w:r>
      <w:r>
        <w:rPr>
          <w:rFonts w:hint="eastAsia" w:ascii="仿宋" w:hAnsi="仿宋" w:eastAsia="仿宋" w:cs="宋体"/>
          <w:spacing w:val="8"/>
          <w:szCs w:val="21"/>
        </w:rPr>
        <w:t>）从业人员，是指期末从业人员数，没有期末从业人员数的，采用全年平均人员数代替。（</w:t>
      </w:r>
      <w:r>
        <w:rPr>
          <w:rFonts w:hint="eastAsia" w:ascii="仿宋" w:hAnsi="仿宋" w:eastAsia="仿宋"/>
          <w:spacing w:val="8"/>
          <w:szCs w:val="21"/>
        </w:rPr>
        <w:t>2</w:t>
      </w:r>
      <w:r>
        <w:rPr>
          <w:rFonts w:hint="eastAsia" w:ascii="仿宋" w:hAnsi="仿宋" w:eastAsia="仿宋" w:cs="宋体"/>
          <w:spacing w:val="8"/>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ascii="仿宋" w:hAnsi="仿宋" w:eastAsia="仿宋"/>
          <w:spacing w:val="8"/>
          <w:szCs w:val="21"/>
        </w:rPr>
        <w:t>3</w:t>
      </w:r>
      <w:r>
        <w:rPr>
          <w:rFonts w:hint="eastAsia" w:ascii="仿宋" w:hAnsi="仿宋" w:eastAsia="仿宋" w:cs="宋体"/>
          <w:spacing w:val="8"/>
          <w:szCs w:val="21"/>
        </w:rPr>
        <w:t>）资产总额，采用资产总计代替。</w:t>
      </w:r>
    </w:p>
    <w:p>
      <w:pPr>
        <w:pageBreakBefore/>
        <w:spacing w:line="428" w:lineRule="exact"/>
        <w:jc w:val="center"/>
        <w:rPr>
          <w:rFonts w:ascii="仿宋" w:hAnsi="仿宋" w:eastAsia="仿宋"/>
          <w:b/>
          <w:sz w:val="44"/>
          <w:szCs w:val="44"/>
        </w:rPr>
      </w:pPr>
      <w:bookmarkStart w:id="109" w:name="_Toc74320802"/>
      <w:r>
        <w:rPr>
          <w:rFonts w:hint="eastAsia" w:ascii="仿宋" w:hAnsi="仿宋" w:eastAsia="仿宋"/>
          <w:b/>
          <w:sz w:val="44"/>
          <w:szCs w:val="44"/>
        </w:rPr>
        <w:t>第三章  投标人须知</w:t>
      </w:r>
      <w:bookmarkEnd w:id="109"/>
    </w:p>
    <w:p>
      <w:pPr>
        <w:spacing w:before="120" w:beforeLines="50"/>
        <w:jc w:val="center"/>
        <w:rPr>
          <w:rFonts w:ascii="仿宋" w:hAnsi="仿宋" w:eastAsia="仿宋"/>
          <w:b/>
          <w:sz w:val="24"/>
        </w:rPr>
      </w:pPr>
      <w:bookmarkStart w:id="110" w:name="_Toc254970526"/>
      <w:bookmarkStart w:id="111" w:name="_Toc254970667"/>
      <w:r>
        <w:rPr>
          <w:rFonts w:hint="eastAsia" w:ascii="仿宋" w:hAnsi="仿宋" w:eastAsia="仿宋"/>
          <w:b/>
          <w:sz w:val="24"/>
        </w:rPr>
        <w:t>投标人须知前附表</w:t>
      </w:r>
      <w:bookmarkEnd w:id="110"/>
      <w:bookmarkEnd w:id="111"/>
    </w:p>
    <w:tbl>
      <w:tblPr>
        <w:tblStyle w:val="54"/>
        <w:tblW w:w="1033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6"/>
        <w:gridCol w:w="92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jc w:val="center"/>
              <w:rPr>
                <w:rFonts w:ascii="仿宋" w:hAnsi="仿宋" w:eastAsia="仿宋"/>
                <w:sz w:val="24"/>
              </w:rPr>
            </w:pPr>
            <w:r>
              <w:rPr>
                <w:rFonts w:hint="eastAsia" w:ascii="仿宋" w:hAnsi="仿宋" w:eastAsia="仿宋"/>
                <w:sz w:val="24"/>
              </w:rPr>
              <w:t>条款号</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jc w:val="center"/>
              <w:rPr>
                <w:rFonts w:ascii="仿宋" w:hAnsi="仿宋" w:eastAsia="仿宋"/>
                <w:sz w:val="24"/>
              </w:rPr>
            </w:pPr>
            <w:r>
              <w:rPr>
                <w:rFonts w:hint="eastAsia" w:ascii="仿宋" w:hAnsi="仿宋" w:eastAsia="仿宋"/>
                <w:sz w:val="24"/>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ascii="仿宋" w:hAnsi="仿宋" w:eastAsia="仿宋"/>
                <w:sz w:val="24"/>
              </w:rPr>
            </w:pPr>
            <w:r>
              <w:rPr>
                <w:rFonts w:hint="eastAsia" w:ascii="仿宋" w:hAnsi="仿宋" w:eastAsia="仿宋"/>
                <w:sz w:val="24"/>
              </w:rPr>
              <w:t>3</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jc w:val="left"/>
              <w:rPr>
                <w:rFonts w:ascii="仿宋" w:hAnsi="仿宋" w:eastAsia="仿宋"/>
                <w:sz w:val="24"/>
              </w:rPr>
            </w:pPr>
            <w:r>
              <w:rPr>
                <w:rFonts w:hint="eastAsia" w:ascii="仿宋" w:hAnsi="仿宋" w:eastAsia="仿宋"/>
                <w:sz w:val="24"/>
              </w:rPr>
              <w:t>投标人的资格要求：详见招标公告。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ascii="仿宋" w:hAnsi="仿宋" w:eastAsia="仿宋"/>
                <w:sz w:val="24"/>
              </w:rPr>
            </w:pPr>
            <w:bookmarkStart w:id="112" w:name="_9.2"/>
            <w:bookmarkEnd w:id="112"/>
            <w:bookmarkStart w:id="113" w:name="_5"/>
            <w:bookmarkEnd w:id="113"/>
            <w:bookmarkStart w:id="114" w:name="_8.1"/>
            <w:bookmarkEnd w:id="114"/>
            <w:r>
              <w:rPr>
                <w:rFonts w:hint="eastAsia" w:ascii="仿宋" w:hAnsi="仿宋" w:eastAsia="仿宋"/>
                <w:sz w:val="24"/>
              </w:rPr>
              <w:t>6.1</w:t>
            </w:r>
          </w:p>
        </w:tc>
        <w:tc>
          <w:tcPr>
            <w:tcW w:w="9275" w:type="dxa"/>
            <w:tcBorders>
              <w:top w:val="single" w:color="auto" w:sz="4" w:space="0"/>
              <w:left w:val="single" w:color="auto" w:sz="4" w:space="0"/>
              <w:bottom w:val="single" w:color="auto" w:sz="4" w:space="0"/>
              <w:right w:val="single" w:color="auto" w:sz="4" w:space="0"/>
            </w:tcBorders>
            <w:vAlign w:val="center"/>
          </w:tcPr>
          <w:p>
            <w:pPr>
              <w:pStyle w:val="15"/>
              <w:spacing w:line="390" w:lineRule="exact"/>
              <w:rPr>
                <w:rFonts w:ascii="仿宋" w:hAnsi="仿宋" w:eastAsia="仿宋"/>
                <w:sz w:val="24"/>
              </w:rPr>
            </w:pPr>
            <w:r>
              <w:rPr>
                <w:rFonts w:hint="eastAsia" w:ascii="仿宋" w:hAnsi="仿宋" w:eastAsia="仿宋"/>
                <w:sz w:val="24"/>
              </w:rPr>
              <w:t>本项目是否接受联合体投标：详见招标公告。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ascii="仿宋" w:hAnsi="仿宋" w:eastAsia="仿宋"/>
                <w:sz w:val="24"/>
              </w:rPr>
            </w:pPr>
            <w:r>
              <w:rPr>
                <w:rFonts w:ascii="仿宋" w:hAnsi="仿宋" w:eastAsia="仿宋"/>
                <w:sz w:val="24"/>
              </w:rPr>
              <w:t>6.2</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90" w:lineRule="exact"/>
              <w:textAlignment w:val="bottom"/>
              <w:rPr>
                <w:rFonts w:ascii="仿宋" w:hAnsi="仿宋" w:eastAsia="仿宋"/>
                <w:sz w:val="24"/>
              </w:rPr>
            </w:pPr>
            <w:bookmarkStart w:id="115" w:name="_Hlk54105293"/>
            <w:r>
              <w:rPr>
                <w:rFonts w:hint="eastAsia" w:ascii="仿宋" w:hAnsi="仿宋" w:eastAsia="仿宋"/>
                <w:sz w:val="24"/>
              </w:rPr>
              <w:t>如接受联合体投标，</w:t>
            </w:r>
            <w:bookmarkEnd w:id="115"/>
            <w:r>
              <w:rPr>
                <w:rFonts w:hint="eastAsia" w:ascii="仿宋" w:hAnsi="仿宋" w:eastAsia="仿宋"/>
                <w:sz w:val="24"/>
              </w:rPr>
              <w:t>联合体投标要求如下：</w:t>
            </w:r>
          </w:p>
          <w:p>
            <w:pPr>
              <w:autoSpaceDE w:val="0"/>
              <w:autoSpaceDN w:val="0"/>
              <w:snapToGrid w:val="0"/>
              <w:spacing w:line="390" w:lineRule="exact"/>
              <w:textAlignment w:val="bottom"/>
              <w:rPr>
                <w:rFonts w:ascii="仿宋" w:hAnsi="仿宋" w:eastAsia="仿宋"/>
                <w:sz w:val="24"/>
              </w:rPr>
            </w:pPr>
            <w:r>
              <w:rPr>
                <w:rFonts w:hint="eastAsia" w:ascii="仿宋" w:hAnsi="仿宋" w:eastAsia="仿宋"/>
                <w:sz w:val="24"/>
              </w:rPr>
              <w:t>1、两个以上投标人可以组成一个投标联合体，以一个投标人的身份共同参加投标，联合体投标人的名称应统一按“XXX 公司与 XXX 公司的联合体”的规则填写。</w:t>
            </w:r>
            <w:r>
              <w:rPr>
                <w:rFonts w:hint="eastAsia" w:ascii="仿宋" w:hAnsi="仿宋" w:eastAsia="仿宋"/>
                <w:sz w:val="24"/>
              </w:rPr>
              <w:tab/>
            </w:r>
          </w:p>
          <w:p>
            <w:pPr>
              <w:autoSpaceDE w:val="0"/>
              <w:autoSpaceDN w:val="0"/>
              <w:snapToGrid w:val="0"/>
              <w:spacing w:line="390" w:lineRule="exact"/>
              <w:textAlignment w:val="bottom"/>
              <w:rPr>
                <w:rFonts w:ascii="仿宋" w:hAnsi="仿宋" w:eastAsia="仿宋"/>
                <w:sz w:val="24"/>
              </w:rPr>
            </w:pPr>
            <w:r>
              <w:rPr>
                <w:rFonts w:hint="eastAsia" w:ascii="仿宋" w:hAnsi="仿宋" w:eastAsia="仿宋"/>
                <w:sz w:val="24"/>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3、本项目的特定资格要求”的要求。</w:t>
            </w:r>
          </w:p>
          <w:p>
            <w:pPr>
              <w:autoSpaceDE w:val="0"/>
              <w:autoSpaceDN w:val="0"/>
              <w:snapToGrid w:val="0"/>
              <w:spacing w:line="390" w:lineRule="exact"/>
              <w:textAlignment w:val="bottom"/>
              <w:rPr>
                <w:rFonts w:ascii="仿宋" w:hAnsi="仿宋" w:eastAsia="仿宋"/>
                <w:sz w:val="24"/>
              </w:rPr>
            </w:pPr>
            <w:r>
              <w:rPr>
                <w:rFonts w:hint="eastAsia" w:ascii="仿宋" w:hAnsi="仿宋" w:eastAsia="仿宋"/>
                <w:sz w:val="24"/>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pPr>
              <w:autoSpaceDE w:val="0"/>
              <w:autoSpaceDN w:val="0"/>
              <w:snapToGrid w:val="0"/>
              <w:spacing w:line="390" w:lineRule="exact"/>
              <w:textAlignment w:val="bottom"/>
              <w:rPr>
                <w:rFonts w:ascii="仿宋" w:hAnsi="仿宋" w:eastAsia="仿宋"/>
                <w:sz w:val="24"/>
              </w:rPr>
            </w:pPr>
            <w:r>
              <w:rPr>
                <w:rFonts w:hint="eastAsia" w:ascii="仿宋" w:hAnsi="仿宋" w:eastAsia="仿宋"/>
                <w:sz w:val="24"/>
              </w:rPr>
              <w:t>4、以联合体形式参加政府采购活动的，联合体各方不得再单独参加或者与其他投标人另外组成联合体参加同一合同项下的政府采购活动，否则与之相关的投标文件作废。</w:t>
            </w:r>
          </w:p>
          <w:p>
            <w:pPr>
              <w:autoSpaceDE w:val="0"/>
              <w:autoSpaceDN w:val="0"/>
              <w:snapToGrid w:val="0"/>
              <w:spacing w:line="390" w:lineRule="exact"/>
              <w:textAlignment w:val="bottom"/>
              <w:rPr>
                <w:rFonts w:ascii="仿宋" w:hAnsi="仿宋" w:eastAsia="仿宋"/>
                <w:sz w:val="24"/>
              </w:rPr>
            </w:pPr>
            <w:r>
              <w:rPr>
                <w:rFonts w:hint="eastAsia" w:ascii="仿宋" w:hAnsi="仿宋" w:eastAsia="仿宋"/>
                <w:sz w:val="24"/>
              </w:rPr>
              <w:t>5、联合体中有同类资质的投标人按照联合体分工承担相同工作的，应当按照资质等级较低的投标人确定资质等级。</w:t>
            </w:r>
          </w:p>
          <w:p>
            <w:pPr>
              <w:autoSpaceDE w:val="0"/>
              <w:autoSpaceDN w:val="0"/>
              <w:snapToGrid w:val="0"/>
              <w:spacing w:line="390" w:lineRule="exact"/>
              <w:textAlignment w:val="bottom"/>
              <w:rPr>
                <w:rFonts w:ascii="仿宋" w:hAnsi="仿宋" w:eastAsia="仿宋"/>
                <w:sz w:val="24"/>
              </w:rPr>
            </w:pPr>
            <w:r>
              <w:rPr>
                <w:rFonts w:hint="eastAsia" w:ascii="仿宋" w:hAnsi="仿宋" w:eastAsia="仿宋"/>
                <w:sz w:val="24"/>
              </w:rPr>
              <w:t>6、联合体投标业绩、履约能力按照联合体各方其中较高的一方认定并计算（招标文件另有规定的除外）。</w:t>
            </w:r>
          </w:p>
          <w:p>
            <w:pPr>
              <w:autoSpaceDE w:val="0"/>
              <w:autoSpaceDN w:val="0"/>
              <w:snapToGrid w:val="0"/>
              <w:spacing w:line="390" w:lineRule="exact"/>
              <w:textAlignment w:val="bottom"/>
              <w:rPr>
                <w:rFonts w:ascii="仿宋" w:hAnsi="仿宋" w:eastAsia="仿宋"/>
                <w:sz w:val="24"/>
              </w:rPr>
            </w:pPr>
            <w:r>
              <w:rPr>
                <w:rFonts w:hint="eastAsia" w:ascii="仿宋" w:hAnsi="仿宋" w:eastAsia="仿宋"/>
                <w:sz w:val="24"/>
              </w:rPr>
              <w:t>7、联合体各方均应按照招标文件的规定提交资格证明文件。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ascii="仿宋" w:hAnsi="仿宋" w:eastAsia="仿宋"/>
                <w:sz w:val="24"/>
              </w:rPr>
            </w:pPr>
            <w:r>
              <w:rPr>
                <w:rFonts w:hint="eastAsia" w:ascii="仿宋" w:hAnsi="仿宋" w:eastAsia="仿宋"/>
                <w:sz w:val="24"/>
              </w:rPr>
              <w:t>7.2</w:t>
            </w:r>
          </w:p>
        </w:tc>
        <w:tc>
          <w:tcPr>
            <w:tcW w:w="9275" w:type="dxa"/>
            <w:tcBorders>
              <w:top w:val="single" w:color="auto" w:sz="4" w:space="0"/>
              <w:left w:val="single" w:color="auto" w:sz="4" w:space="0"/>
              <w:bottom w:val="single" w:color="auto" w:sz="4" w:space="0"/>
              <w:right w:val="single" w:color="auto" w:sz="4" w:space="0"/>
            </w:tcBorders>
            <w:vAlign w:val="center"/>
          </w:tcPr>
          <w:p>
            <w:pPr>
              <w:pStyle w:val="15"/>
              <w:spacing w:line="390" w:lineRule="exact"/>
              <w:rPr>
                <w:rFonts w:ascii="仿宋" w:hAnsi="仿宋" w:eastAsia="仿宋"/>
                <w:sz w:val="24"/>
              </w:rPr>
            </w:pPr>
            <w:r>
              <w:rPr>
                <w:rFonts w:ascii="仿宋" w:hAnsi="仿宋" w:eastAsia="仿宋"/>
                <w:sz w:val="24"/>
              </w:rPr>
              <w:fldChar w:fldCharType="begin"/>
            </w:r>
            <w:r>
              <w:rPr>
                <w:rFonts w:hint="eastAsia" w:ascii="仿宋" w:hAnsi="仿宋" w:eastAsia="仿宋"/>
                <w:sz w:val="24"/>
              </w:rPr>
              <w:instrText xml:space="preserve">eq \o\ac(□,</w:instrText>
            </w:r>
            <w:r>
              <w:rPr>
                <w:rFonts w:hint="eastAsia" w:ascii="仿宋" w:hAnsi="仿宋" w:eastAsia="仿宋"/>
                <w:position w:val="2"/>
                <w:sz w:val="24"/>
              </w:rPr>
              <w:instrText xml:space="preserve">√</w:instrText>
            </w:r>
            <w:r>
              <w:rPr>
                <w:rFonts w:hint="eastAsia" w:ascii="仿宋" w:hAnsi="仿宋" w:eastAsia="仿宋"/>
                <w:sz w:val="24"/>
              </w:rPr>
              <w:instrText xml:space="preserve">)</w:instrText>
            </w:r>
            <w:r>
              <w:rPr>
                <w:rFonts w:ascii="仿宋" w:hAnsi="仿宋" w:eastAsia="仿宋"/>
                <w:sz w:val="24"/>
              </w:rPr>
              <w:fldChar w:fldCharType="end"/>
            </w:r>
            <w:r>
              <w:rPr>
                <w:rFonts w:hint="eastAsia" w:ascii="仿宋" w:hAnsi="仿宋" w:eastAsia="仿宋"/>
                <w:sz w:val="24"/>
              </w:rPr>
              <w:t>本项目不允许分包。</w:t>
            </w:r>
          </w:p>
          <w:p>
            <w:pPr>
              <w:pStyle w:val="15"/>
              <w:spacing w:line="390" w:lineRule="exact"/>
              <w:rPr>
                <w:rFonts w:ascii="仿宋" w:hAnsi="仿宋" w:eastAsia="仿宋"/>
                <w:sz w:val="24"/>
              </w:rPr>
            </w:pPr>
            <w:r>
              <w:rPr>
                <w:rFonts w:hint="eastAsia" w:ascii="仿宋" w:hAnsi="仿宋" w:eastAsia="仿宋"/>
                <w:sz w:val="24"/>
              </w:rPr>
              <w:t>□本项目允许分包：</w:t>
            </w:r>
          </w:p>
          <w:p>
            <w:pPr>
              <w:pStyle w:val="15"/>
              <w:spacing w:line="390" w:lineRule="exact"/>
              <w:rPr>
                <w:rFonts w:ascii="仿宋" w:hAnsi="仿宋" w:eastAsia="仿宋"/>
                <w:sz w:val="24"/>
                <w:u w:val="single"/>
              </w:rPr>
            </w:pPr>
            <w:r>
              <w:rPr>
                <w:rFonts w:hint="eastAsia" w:ascii="仿宋" w:hAnsi="仿宋" w:eastAsia="仿宋"/>
                <w:sz w:val="24"/>
              </w:rPr>
              <w:t>分包内容：</w:t>
            </w:r>
            <w:r>
              <w:rPr>
                <w:rFonts w:hint="eastAsia" w:ascii="仿宋" w:hAnsi="仿宋" w:eastAsia="仿宋"/>
                <w:sz w:val="24"/>
                <w:u w:val="single"/>
              </w:rPr>
              <w:t xml:space="preserve">     /     </w:t>
            </w:r>
            <w:r>
              <w:rPr>
                <w:rFonts w:hint="eastAsia" w:ascii="仿宋" w:hAnsi="仿宋" w:eastAsia="仿宋"/>
                <w:sz w:val="24"/>
              </w:rPr>
              <w:t>。</w:t>
            </w:r>
          </w:p>
          <w:p>
            <w:pPr>
              <w:pStyle w:val="15"/>
              <w:spacing w:line="390" w:lineRule="exact"/>
              <w:jc w:val="both"/>
              <w:rPr>
                <w:rFonts w:ascii="仿宋" w:hAnsi="仿宋" w:eastAsia="仿宋"/>
                <w:sz w:val="24"/>
                <w:u w:val="single"/>
              </w:rPr>
            </w:pPr>
            <w:r>
              <w:rPr>
                <w:rFonts w:hint="eastAsia" w:ascii="仿宋" w:hAnsi="仿宋" w:eastAsia="仿宋"/>
                <w:sz w:val="24"/>
              </w:rPr>
              <w:t>分包金额或者比例：</w:t>
            </w:r>
            <w:r>
              <w:rPr>
                <w:rFonts w:ascii="仿宋" w:hAnsi="仿宋" w:eastAsia="仿宋"/>
                <w:sz w:val="24"/>
                <w:u w:val="single"/>
              </w:rPr>
              <w:t>/</w:t>
            </w: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 w:hRule="atLeast"/>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ascii="仿宋" w:hAnsi="仿宋" w:eastAsia="仿宋"/>
                <w:sz w:val="24"/>
              </w:rPr>
            </w:pPr>
            <w:r>
              <w:rPr>
                <w:rFonts w:hint="eastAsia" w:ascii="仿宋" w:hAnsi="仿宋" w:eastAsia="仿宋"/>
                <w:sz w:val="24"/>
              </w:rPr>
              <w:t>8.1</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90" w:lineRule="exact"/>
              <w:textAlignment w:val="bottom"/>
              <w:rPr>
                <w:rFonts w:ascii="仿宋" w:hAnsi="仿宋" w:eastAsia="仿宋"/>
                <w:sz w:val="24"/>
              </w:rPr>
            </w:pPr>
            <w:r>
              <w:rPr>
                <w:rFonts w:hint="eastAsia" w:ascii="仿宋" w:hAnsi="仿宋" w:eastAsia="仿宋"/>
                <w:sz w:val="24"/>
              </w:rPr>
              <w:t>□1、采用最低评标价法的采购项目，通过资格审查、符合性审查的不同投标人参加同一合同项下投标的，投标人评标价相同时，按照下列方式确定投标人获得中标人推荐资格：评标委员会随机抽取/按</w:t>
            </w:r>
            <w:r>
              <w:rPr>
                <w:rFonts w:ascii="仿宋" w:hAnsi="仿宋" w:eastAsia="仿宋"/>
                <w:sz w:val="24"/>
              </w:rPr>
              <w:t>投标报价低</w:t>
            </w:r>
            <w:r>
              <w:rPr>
                <w:rFonts w:hint="eastAsia" w:ascii="仿宋" w:hAnsi="仿宋" w:eastAsia="仿宋"/>
                <w:sz w:val="24"/>
              </w:rPr>
              <w:t>的原则确定，</w:t>
            </w:r>
            <w:r>
              <w:rPr>
                <w:rFonts w:ascii="仿宋" w:hAnsi="仿宋" w:eastAsia="仿宋"/>
                <w:sz w:val="24"/>
              </w:rPr>
              <w:t>投标报价相同的</w:t>
            </w:r>
            <w:r>
              <w:rPr>
                <w:rFonts w:hint="eastAsia" w:ascii="仿宋" w:hAnsi="仿宋" w:eastAsia="仿宋" w:cs="宋体"/>
                <w:sz w:val="24"/>
              </w:rPr>
              <w:t>按服务方案好</w:t>
            </w:r>
            <w:r>
              <w:rPr>
                <w:rFonts w:ascii="仿宋" w:hAnsi="仿宋" w:eastAsia="仿宋"/>
                <w:sz w:val="24"/>
              </w:rPr>
              <w:t>优先、拟</w:t>
            </w:r>
            <w:r>
              <w:rPr>
                <w:rFonts w:hint="eastAsia" w:ascii="仿宋" w:hAnsi="仿宋" w:eastAsia="仿宋"/>
                <w:sz w:val="24"/>
              </w:rPr>
              <w:t>指派参与服务人数多</w:t>
            </w:r>
            <w:r>
              <w:rPr>
                <w:rFonts w:ascii="仿宋" w:hAnsi="仿宋" w:eastAsia="仿宋"/>
                <w:sz w:val="24"/>
              </w:rPr>
              <w:t>优先、同类业绩多优先的</w:t>
            </w:r>
            <w:r>
              <w:rPr>
                <w:rFonts w:hint="eastAsia" w:ascii="仿宋" w:hAnsi="仿宋" w:eastAsia="仿宋" w:cs="宋体"/>
                <w:sz w:val="24"/>
              </w:rPr>
              <w:t>顺序依次确定。</w:t>
            </w:r>
          </w:p>
          <w:p>
            <w:pPr>
              <w:autoSpaceDE w:val="0"/>
              <w:autoSpaceDN w:val="0"/>
              <w:snapToGrid w:val="0"/>
              <w:spacing w:line="390" w:lineRule="exact"/>
              <w:textAlignment w:val="bottom"/>
              <w:rPr>
                <w:rFonts w:ascii="仿宋" w:hAnsi="仿宋" w:eastAsia="仿宋"/>
                <w:sz w:val="24"/>
              </w:rPr>
            </w:pPr>
            <w:r>
              <w:rPr>
                <w:rFonts w:ascii="仿宋" w:hAnsi="仿宋" w:eastAsia="仿宋"/>
                <w:sz w:val="24"/>
              </w:rPr>
              <w:fldChar w:fldCharType="begin"/>
            </w:r>
            <w:r>
              <w:rPr>
                <w:rFonts w:hint="eastAsia" w:ascii="仿宋" w:hAnsi="仿宋" w:eastAsia="仿宋"/>
                <w:sz w:val="24"/>
              </w:rPr>
              <w:instrText xml:space="preserve">eq \o\ac(□,</w:instrText>
            </w:r>
            <w:r>
              <w:rPr>
                <w:rFonts w:hint="eastAsia" w:ascii="仿宋" w:hAnsi="仿宋" w:eastAsia="仿宋"/>
                <w:position w:val="2"/>
                <w:sz w:val="24"/>
              </w:rPr>
              <w:instrText xml:space="preserve">√</w:instrText>
            </w:r>
            <w:r>
              <w:rPr>
                <w:rFonts w:hint="eastAsia" w:ascii="仿宋" w:hAnsi="仿宋" w:eastAsia="仿宋"/>
                <w:sz w:val="24"/>
              </w:rPr>
              <w:instrText xml:space="preserve">)</w:instrText>
            </w:r>
            <w:r>
              <w:rPr>
                <w:rFonts w:ascii="仿宋" w:hAnsi="仿宋" w:eastAsia="仿宋"/>
                <w:sz w:val="24"/>
              </w:rPr>
              <w:fldChar w:fldCharType="end"/>
            </w:r>
            <w:r>
              <w:rPr>
                <w:rFonts w:hint="eastAsia" w:ascii="仿宋" w:hAnsi="仿宋" w:eastAsia="仿宋"/>
                <w:sz w:val="24"/>
              </w:rPr>
              <w:t>2、采用综合评分法的采购项目，不同投标人评审得分相同时，按照下列方式确定投标人获得中标人推荐资格：□评标委员会随机抽取/</w:t>
            </w:r>
            <w:r>
              <w:rPr>
                <w:rFonts w:ascii="仿宋" w:hAnsi="仿宋" w:eastAsia="仿宋"/>
                <w:sz w:val="24"/>
              </w:rPr>
              <w:fldChar w:fldCharType="begin"/>
            </w:r>
            <w:r>
              <w:rPr>
                <w:rFonts w:hint="eastAsia" w:ascii="仿宋" w:hAnsi="仿宋" w:eastAsia="仿宋"/>
                <w:sz w:val="24"/>
              </w:rPr>
              <w:instrText xml:space="preserve">eq \o\ac(□,</w:instrText>
            </w:r>
            <w:r>
              <w:rPr>
                <w:rFonts w:hint="eastAsia" w:ascii="仿宋" w:hAnsi="仿宋" w:eastAsia="仿宋"/>
                <w:position w:val="2"/>
                <w:sz w:val="24"/>
              </w:rPr>
              <w:instrText xml:space="preserve">√</w:instrText>
            </w:r>
            <w:r>
              <w:rPr>
                <w:rFonts w:hint="eastAsia" w:ascii="仿宋" w:hAnsi="仿宋" w:eastAsia="仿宋"/>
                <w:sz w:val="24"/>
              </w:rPr>
              <w:instrText xml:space="preserve">)</w:instrText>
            </w:r>
            <w:r>
              <w:rPr>
                <w:rFonts w:ascii="仿宋" w:hAnsi="仿宋" w:eastAsia="仿宋"/>
                <w:sz w:val="24"/>
              </w:rPr>
              <w:fldChar w:fldCharType="end"/>
            </w:r>
            <w:r>
              <w:rPr>
                <w:rFonts w:hint="eastAsia" w:ascii="仿宋" w:hAnsi="仿宋" w:eastAsia="仿宋"/>
                <w:sz w:val="24"/>
              </w:rPr>
              <w:t>按</w:t>
            </w:r>
            <w:r>
              <w:rPr>
                <w:rFonts w:ascii="仿宋" w:hAnsi="仿宋" w:eastAsia="仿宋"/>
                <w:sz w:val="24"/>
              </w:rPr>
              <w:t>投标报价低</w:t>
            </w:r>
            <w:r>
              <w:rPr>
                <w:rFonts w:hint="eastAsia" w:ascii="仿宋" w:hAnsi="仿宋" w:eastAsia="仿宋"/>
                <w:sz w:val="24"/>
              </w:rPr>
              <w:t>的原则确定，</w:t>
            </w:r>
            <w:r>
              <w:rPr>
                <w:rFonts w:ascii="仿宋" w:hAnsi="仿宋" w:eastAsia="仿宋"/>
                <w:sz w:val="24"/>
              </w:rPr>
              <w:t>投标报价相同的</w:t>
            </w:r>
            <w:r>
              <w:rPr>
                <w:rFonts w:hint="eastAsia" w:ascii="仿宋" w:hAnsi="仿宋" w:eastAsia="仿宋"/>
                <w:sz w:val="24"/>
              </w:rPr>
              <w:t>按技术、商务得分高低依次确定。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4" w:hRule="atLeast"/>
          <w:jc w:val="center"/>
        </w:trPr>
        <w:tc>
          <w:tcPr>
            <w:tcW w:w="1056" w:type="dxa"/>
            <w:vMerge w:val="restart"/>
            <w:tcBorders>
              <w:top w:val="single" w:color="auto" w:sz="4" w:space="0"/>
              <w:left w:val="single" w:color="auto" w:sz="4" w:space="0"/>
              <w:right w:val="single" w:color="auto" w:sz="4" w:space="0"/>
            </w:tcBorders>
            <w:vAlign w:val="center"/>
          </w:tcPr>
          <w:p>
            <w:pPr>
              <w:spacing w:line="390" w:lineRule="exact"/>
              <w:jc w:val="center"/>
              <w:rPr>
                <w:rFonts w:ascii="仿宋" w:hAnsi="仿宋" w:eastAsia="仿宋"/>
                <w:sz w:val="24"/>
              </w:rPr>
            </w:pPr>
            <w:r>
              <w:rPr>
                <w:rFonts w:hint="eastAsia" w:ascii="仿宋" w:hAnsi="仿宋" w:eastAsia="仿宋"/>
                <w:sz w:val="24"/>
              </w:rPr>
              <w:t>1</w:t>
            </w:r>
            <w:r>
              <w:rPr>
                <w:rFonts w:ascii="仿宋" w:hAnsi="仿宋" w:eastAsia="仿宋"/>
                <w:sz w:val="24"/>
              </w:rPr>
              <w:t>1.</w:t>
            </w:r>
            <w:r>
              <w:rPr>
                <w:rFonts w:hint="eastAsia" w:ascii="仿宋" w:hAnsi="仿宋" w:eastAsia="仿宋"/>
                <w:sz w:val="24"/>
              </w:rPr>
              <w:t>5</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rPr>
                <w:rFonts w:ascii="仿宋" w:hAnsi="仿宋" w:eastAsia="仿宋"/>
                <w:sz w:val="24"/>
              </w:rPr>
            </w:pPr>
            <w:r>
              <w:rPr>
                <w:rFonts w:hint="eastAsia" w:ascii="仿宋" w:hAnsi="仿宋" w:eastAsia="仿宋"/>
                <w:sz w:val="24"/>
              </w:rPr>
              <w:t>□本项目不组织现场考察。</w:t>
            </w:r>
          </w:p>
          <w:p>
            <w:pPr>
              <w:snapToGrid w:val="0"/>
              <w:spacing w:line="390" w:lineRule="exact"/>
              <w:rPr>
                <w:rFonts w:ascii="仿宋" w:hAnsi="仿宋" w:eastAsia="仿宋"/>
                <w:sz w:val="24"/>
              </w:rPr>
            </w:pPr>
            <w:r>
              <w:rPr>
                <w:rFonts w:ascii="仿宋" w:hAnsi="仿宋" w:eastAsia="仿宋"/>
                <w:sz w:val="24"/>
              </w:rPr>
              <w:fldChar w:fldCharType="begin"/>
            </w:r>
            <w:r>
              <w:rPr>
                <w:rFonts w:hint="eastAsia" w:ascii="仿宋" w:hAnsi="仿宋" w:eastAsia="仿宋"/>
                <w:sz w:val="24"/>
              </w:rPr>
              <w:instrText xml:space="preserve">eq \o\ac(□,</w:instrText>
            </w:r>
            <w:r>
              <w:rPr>
                <w:rFonts w:hint="eastAsia" w:ascii="仿宋" w:hAnsi="仿宋" w:eastAsia="仿宋"/>
                <w:position w:val="2"/>
                <w:sz w:val="24"/>
              </w:rPr>
              <w:instrText xml:space="preserve">√</w:instrText>
            </w:r>
            <w:r>
              <w:rPr>
                <w:rFonts w:hint="eastAsia" w:ascii="仿宋" w:hAnsi="仿宋" w:eastAsia="仿宋"/>
                <w:sz w:val="24"/>
              </w:rPr>
              <w:instrText xml:space="preserve">)</w:instrText>
            </w:r>
            <w:r>
              <w:rPr>
                <w:rFonts w:ascii="仿宋" w:hAnsi="仿宋" w:eastAsia="仿宋"/>
                <w:sz w:val="24"/>
              </w:rPr>
              <w:fldChar w:fldCharType="end"/>
            </w:r>
            <w:r>
              <w:rPr>
                <w:rFonts w:hint="eastAsia" w:ascii="仿宋" w:hAnsi="仿宋" w:eastAsia="仿宋"/>
                <w:sz w:val="24"/>
              </w:rPr>
              <w:t>本项目组织现场考察：</w:t>
            </w:r>
            <w:r>
              <w:rPr>
                <w:rFonts w:hint="eastAsia" w:ascii="仿宋" w:hAnsi="仿宋" w:eastAsia="仿宋"/>
                <w:sz w:val="24"/>
                <w:u w:val="single"/>
              </w:rPr>
              <w:t xml:space="preserve"> 具体</w:t>
            </w:r>
            <w:r>
              <w:rPr>
                <w:rFonts w:ascii="仿宋" w:hAnsi="仿宋" w:eastAsia="仿宋"/>
                <w:sz w:val="24"/>
                <w:u w:val="single"/>
              </w:rPr>
              <w:t>内容</w:t>
            </w:r>
            <w:r>
              <w:rPr>
                <w:rFonts w:hint="eastAsia" w:ascii="仿宋" w:hAnsi="仿宋" w:eastAsia="仿宋"/>
                <w:sz w:val="24"/>
                <w:u w:val="single"/>
              </w:rPr>
              <w:t>详见第二章</w:t>
            </w:r>
            <w:r>
              <w:rPr>
                <w:rFonts w:ascii="仿宋" w:hAnsi="仿宋" w:eastAsia="仿宋"/>
                <w:sz w:val="24"/>
                <w:u w:val="single"/>
              </w:rPr>
              <w:t>“</w:t>
            </w:r>
            <w:r>
              <w:rPr>
                <w:rFonts w:hint="eastAsia" w:ascii="仿宋" w:hAnsi="仿宋" w:eastAsia="仿宋"/>
                <w:sz w:val="24"/>
                <w:u w:val="single"/>
              </w:rPr>
              <w:t>采购需求</w:t>
            </w:r>
            <w:r>
              <w:rPr>
                <w:rFonts w:ascii="仿宋" w:hAnsi="仿宋" w:eastAsia="仿宋"/>
                <w:sz w:val="24"/>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64" w:hRule="atLeast"/>
          <w:jc w:val="center"/>
        </w:trPr>
        <w:tc>
          <w:tcPr>
            <w:tcW w:w="1056" w:type="dxa"/>
            <w:vMerge w:val="continue"/>
            <w:tcBorders>
              <w:left w:val="single" w:color="auto" w:sz="4" w:space="0"/>
              <w:bottom w:val="single" w:color="auto" w:sz="4" w:space="0"/>
              <w:right w:val="single" w:color="auto" w:sz="4" w:space="0"/>
            </w:tcBorders>
            <w:vAlign w:val="center"/>
          </w:tcPr>
          <w:p>
            <w:pPr>
              <w:spacing w:line="390" w:lineRule="exact"/>
              <w:jc w:val="center"/>
              <w:rPr>
                <w:rFonts w:ascii="仿宋" w:hAnsi="仿宋" w:eastAsia="仿宋"/>
                <w:sz w:val="24"/>
              </w:rPr>
            </w:pP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rPr>
                <w:rFonts w:ascii="仿宋" w:hAnsi="仿宋" w:eastAsia="仿宋"/>
                <w:sz w:val="24"/>
              </w:rPr>
            </w:pPr>
            <w:r>
              <w:rPr>
                <w:rFonts w:hint="eastAsia" w:ascii="仿宋" w:hAnsi="仿宋" w:eastAsia="仿宋"/>
                <w:sz w:val="24"/>
              </w:rPr>
              <w:t>本项目</w:t>
            </w:r>
            <w:r>
              <w:rPr>
                <w:rFonts w:ascii="仿宋" w:hAnsi="仿宋" w:eastAsia="仿宋"/>
                <w:sz w:val="24"/>
              </w:rPr>
              <w:fldChar w:fldCharType="begin"/>
            </w:r>
            <w:r>
              <w:rPr>
                <w:rFonts w:hint="eastAsia" w:ascii="仿宋" w:hAnsi="仿宋" w:eastAsia="仿宋"/>
                <w:sz w:val="24"/>
              </w:rPr>
              <w:instrText xml:space="preserve">eq \o\ac(□,</w:instrText>
            </w:r>
            <w:r>
              <w:rPr>
                <w:rFonts w:hint="eastAsia" w:ascii="仿宋" w:hAnsi="仿宋" w:eastAsia="仿宋"/>
                <w:position w:val="2"/>
                <w:sz w:val="24"/>
              </w:rPr>
              <w:instrText xml:space="preserve">√</w:instrText>
            </w:r>
            <w:r>
              <w:rPr>
                <w:rFonts w:hint="eastAsia" w:ascii="仿宋" w:hAnsi="仿宋" w:eastAsia="仿宋"/>
                <w:sz w:val="24"/>
              </w:rPr>
              <w:instrText xml:space="preserve">)</w:instrText>
            </w:r>
            <w:r>
              <w:rPr>
                <w:rFonts w:ascii="仿宋" w:hAnsi="仿宋" w:eastAsia="仿宋"/>
                <w:sz w:val="24"/>
              </w:rPr>
              <w:fldChar w:fldCharType="end"/>
            </w:r>
            <w:r>
              <w:rPr>
                <w:rFonts w:hint="eastAsia" w:ascii="仿宋" w:hAnsi="仿宋" w:eastAsia="仿宋"/>
                <w:sz w:val="24"/>
              </w:rPr>
              <w:t>不组织召开开标前答疑会/□组织召开开标前答疑会</w:t>
            </w:r>
          </w:p>
          <w:p>
            <w:pPr>
              <w:snapToGrid w:val="0"/>
              <w:spacing w:line="390" w:lineRule="exact"/>
              <w:rPr>
                <w:rFonts w:ascii="仿宋" w:hAnsi="仿宋" w:eastAsia="仿宋"/>
                <w:sz w:val="24"/>
                <w:u w:val="single"/>
              </w:rPr>
            </w:pPr>
            <w:r>
              <w:rPr>
                <w:rFonts w:hint="eastAsia" w:ascii="仿宋" w:hAnsi="仿宋" w:eastAsia="仿宋"/>
                <w:sz w:val="24"/>
              </w:rPr>
              <w:t>会议开始时间：</w:t>
            </w:r>
            <w:r>
              <w:rPr>
                <w:rFonts w:ascii="仿宋" w:hAnsi="仿宋" w:eastAsia="仿宋"/>
                <w:sz w:val="24"/>
                <w:u w:val="single"/>
              </w:rPr>
              <w:t>/</w:t>
            </w:r>
            <w:r>
              <w:rPr>
                <w:rFonts w:hint="eastAsia" w:ascii="仿宋" w:hAnsi="仿宋" w:eastAsia="仿宋"/>
                <w:sz w:val="24"/>
              </w:rPr>
              <w:t>年</w:t>
            </w:r>
            <w:r>
              <w:rPr>
                <w:rFonts w:ascii="仿宋" w:hAnsi="仿宋" w:eastAsia="仿宋"/>
                <w:sz w:val="24"/>
                <w:u w:val="single"/>
              </w:rPr>
              <w:t>/</w:t>
            </w:r>
            <w:r>
              <w:rPr>
                <w:rFonts w:hint="eastAsia" w:ascii="仿宋" w:hAnsi="仿宋" w:eastAsia="仿宋"/>
                <w:sz w:val="24"/>
              </w:rPr>
              <w:t>月</w:t>
            </w:r>
            <w:r>
              <w:rPr>
                <w:rFonts w:ascii="仿宋" w:hAnsi="仿宋" w:eastAsia="仿宋"/>
                <w:sz w:val="24"/>
                <w:u w:val="single"/>
              </w:rPr>
              <w:t>/</w:t>
            </w:r>
            <w:r>
              <w:rPr>
                <w:rFonts w:hint="eastAsia" w:ascii="仿宋" w:hAnsi="仿宋" w:eastAsia="仿宋"/>
                <w:sz w:val="24"/>
              </w:rPr>
              <w:t>日</w:t>
            </w:r>
            <w:r>
              <w:rPr>
                <w:rFonts w:ascii="仿宋" w:hAnsi="仿宋" w:eastAsia="仿宋"/>
                <w:sz w:val="24"/>
                <w:u w:val="single"/>
              </w:rPr>
              <w:t>/</w:t>
            </w:r>
            <w:r>
              <w:rPr>
                <w:rFonts w:hint="eastAsia" w:ascii="仿宋" w:hAnsi="仿宋" w:eastAsia="仿宋"/>
                <w:sz w:val="24"/>
              </w:rPr>
              <w:t>时</w:t>
            </w:r>
            <w:r>
              <w:rPr>
                <w:rFonts w:ascii="仿宋" w:hAnsi="仿宋" w:eastAsia="仿宋"/>
                <w:sz w:val="24"/>
                <w:u w:val="single"/>
              </w:rPr>
              <w:t>/</w:t>
            </w:r>
            <w:r>
              <w:rPr>
                <w:rFonts w:hint="eastAsia" w:ascii="仿宋" w:hAnsi="仿宋" w:eastAsia="仿宋"/>
                <w:sz w:val="24"/>
              </w:rPr>
              <w:t>分，逾期后果自负。会议地点：</w:t>
            </w:r>
            <w:r>
              <w:rPr>
                <w:rFonts w:ascii="仿宋" w:hAnsi="仿宋" w:eastAsia="仿宋"/>
                <w:sz w:val="24"/>
                <w:u w:val="single"/>
              </w:rPr>
              <w:t xml:space="preserve">    /    </w:t>
            </w:r>
          </w:p>
          <w:p>
            <w:pPr>
              <w:snapToGrid w:val="0"/>
              <w:spacing w:line="390" w:lineRule="exact"/>
              <w:rPr>
                <w:rFonts w:ascii="仿宋" w:hAnsi="仿宋" w:eastAsia="仿宋"/>
                <w:sz w:val="24"/>
              </w:rPr>
            </w:pPr>
            <w:r>
              <w:rPr>
                <w:rFonts w:hint="eastAsia" w:ascii="仿宋" w:hAnsi="仿宋" w:eastAsia="仿宋"/>
                <w:sz w:val="24"/>
              </w:rPr>
              <w:t>联系人：</w:t>
            </w:r>
            <w:r>
              <w:rPr>
                <w:rFonts w:ascii="仿宋" w:hAnsi="仿宋" w:eastAsia="仿宋"/>
                <w:sz w:val="24"/>
                <w:u w:val="single"/>
              </w:rPr>
              <w:t xml:space="preserve">     /         </w:t>
            </w:r>
            <w:r>
              <w:rPr>
                <w:rFonts w:hint="eastAsia" w:ascii="仿宋" w:hAnsi="仿宋" w:eastAsia="仿宋"/>
                <w:sz w:val="24"/>
              </w:rPr>
              <w:t>；联系电话：</w:t>
            </w:r>
            <w:r>
              <w:rPr>
                <w:rFonts w:ascii="仿宋" w:hAnsi="仿宋" w:eastAsia="仿宋"/>
                <w:sz w:val="24"/>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vMerge w:val="restart"/>
            <w:tcBorders>
              <w:top w:val="single" w:color="auto" w:sz="4" w:space="0"/>
              <w:left w:val="single" w:color="auto" w:sz="4" w:space="0"/>
              <w:right w:val="single" w:color="auto" w:sz="4" w:space="0"/>
            </w:tcBorders>
            <w:vAlign w:val="center"/>
          </w:tcPr>
          <w:p>
            <w:pPr>
              <w:spacing w:line="390" w:lineRule="exact"/>
              <w:jc w:val="center"/>
              <w:rPr>
                <w:rFonts w:ascii="仿宋" w:hAnsi="仿宋" w:eastAsia="仿宋"/>
                <w:sz w:val="24"/>
              </w:rPr>
            </w:pPr>
            <w:bookmarkStart w:id="116" w:name="_13.1"/>
            <w:bookmarkEnd w:id="116"/>
            <w:r>
              <w:rPr>
                <w:rFonts w:hint="eastAsia" w:ascii="仿宋" w:hAnsi="仿宋" w:eastAsia="仿宋"/>
                <w:sz w:val="24"/>
              </w:rPr>
              <w:t>13.</w:t>
            </w:r>
            <w:bookmarkStart w:id="117" w:name="_Hlt19632543"/>
            <w:r>
              <w:rPr>
                <w:rFonts w:hint="eastAsia" w:ascii="仿宋" w:hAnsi="仿宋" w:eastAsia="仿宋"/>
                <w:sz w:val="24"/>
              </w:rPr>
              <w:t>1</w:t>
            </w:r>
            <w:bookmarkEnd w:id="117"/>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jc w:val="left"/>
              <w:rPr>
                <w:rFonts w:ascii="仿宋" w:hAnsi="仿宋" w:eastAsia="仿宋" w:cs="Courier New"/>
                <w:b/>
                <w:sz w:val="24"/>
              </w:rPr>
            </w:pPr>
            <w:r>
              <w:rPr>
                <w:rFonts w:hint="eastAsia" w:ascii="仿宋" w:hAnsi="仿宋" w:eastAsia="仿宋" w:cs="Courier New"/>
                <w:b/>
                <w:sz w:val="24"/>
              </w:rPr>
              <w:t xml:space="preserve">报价文件: </w:t>
            </w:r>
          </w:p>
          <w:p>
            <w:pPr>
              <w:tabs>
                <w:tab w:val="left" w:pos="459"/>
              </w:tabs>
              <w:snapToGrid w:val="0"/>
              <w:spacing w:line="390" w:lineRule="exact"/>
              <w:jc w:val="left"/>
              <w:rPr>
                <w:rFonts w:ascii="仿宋" w:hAnsi="仿宋" w:eastAsia="仿宋"/>
                <w:sz w:val="24"/>
              </w:rPr>
            </w:pPr>
            <w:r>
              <w:rPr>
                <w:rFonts w:hint="eastAsia" w:ascii="仿宋" w:hAnsi="仿宋" w:eastAsia="仿宋"/>
                <w:sz w:val="24"/>
              </w:rPr>
              <w:t>1、投标函（格式</w:t>
            </w:r>
            <w:r>
              <w:rPr>
                <w:rFonts w:hint="eastAsia" w:ascii="仿宋" w:hAnsi="仿宋" w:eastAsia="仿宋" w:cs="宋体"/>
                <w:sz w:val="24"/>
              </w:rPr>
              <w:t>详见第六章</w:t>
            </w:r>
            <w:r>
              <w:rPr>
                <w:rFonts w:hint="eastAsia" w:ascii="仿宋" w:hAnsi="仿宋" w:eastAsia="仿宋"/>
                <w:sz w:val="24"/>
              </w:rPr>
              <w:t>）；</w:t>
            </w:r>
            <w:r>
              <w:rPr>
                <w:rFonts w:hint="eastAsia" w:ascii="仿宋" w:hAnsi="仿宋" w:eastAsia="仿宋"/>
                <w:b/>
                <w:sz w:val="24"/>
              </w:rPr>
              <w:t>（必须提供，否则投标</w:t>
            </w:r>
            <w:r>
              <w:rPr>
                <w:rFonts w:ascii="仿宋" w:hAnsi="仿宋" w:eastAsia="仿宋"/>
                <w:b/>
                <w:sz w:val="24"/>
              </w:rPr>
              <w:t>文件</w:t>
            </w:r>
            <w:r>
              <w:rPr>
                <w:rFonts w:hint="eastAsia" w:ascii="仿宋" w:hAnsi="仿宋" w:eastAsia="仿宋"/>
                <w:b/>
                <w:sz w:val="24"/>
              </w:rPr>
              <w:t>按无效投标处理）</w:t>
            </w:r>
          </w:p>
          <w:p>
            <w:pPr>
              <w:tabs>
                <w:tab w:val="left" w:pos="459"/>
              </w:tabs>
              <w:snapToGrid w:val="0"/>
              <w:spacing w:line="390" w:lineRule="exact"/>
              <w:jc w:val="left"/>
              <w:rPr>
                <w:rFonts w:ascii="仿宋" w:hAnsi="仿宋" w:eastAsia="仿宋"/>
                <w:sz w:val="24"/>
              </w:rPr>
            </w:pPr>
            <w:bookmarkStart w:id="118" w:name="_Hlk71299233"/>
            <w:r>
              <w:rPr>
                <w:rFonts w:hint="eastAsia" w:ascii="仿宋" w:hAnsi="仿宋" w:eastAsia="仿宋"/>
                <w:sz w:val="24"/>
              </w:rPr>
              <w:t>2、开标一览表</w:t>
            </w:r>
            <w:bookmarkEnd w:id="118"/>
            <w:r>
              <w:rPr>
                <w:rFonts w:hint="eastAsia" w:ascii="仿宋" w:hAnsi="仿宋" w:eastAsia="仿宋"/>
                <w:sz w:val="24"/>
              </w:rPr>
              <w:t>（格式</w:t>
            </w:r>
            <w:r>
              <w:rPr>
                <w:rFonts w:hint="eastAsia" w:ascii="仿宋" w:hAnsi="仿宋" w:eastAsia="仿宋" w:cs="宋体"/>
                <w:sz w:val="24"/>
              </w:rPr>
              <w:t>详见第六章</w:t>
            </w:r>
            <w:r>
              <w:rPr>
                <w:rFonts w:hint="eastAsia" w:ascii="仿宋" w:hAnsi="仿宋" w:eastAsia="仿宋"/>
                <w:sz w:val="24"/>
              </w:rPr>
              <w:t>）；</w:t>
            </w:r>
            <w:r>
              <w:rPr>
                <w:rFonts w:hint="eastAsia" w:ascii="仿宋" w:hAnsi="仿宋" w:eastAsia="仿宋"/>
                <w:b/>
                <w:sz w:val="24"/>
              </w:rPr>
              <w:t>（必须提供，否则投标</w:t>
            </w:r>
            <w:r>
              <w:rPr>
                <w:rFonts w:ascii="仿宋" w:hAnsi="仿宋" w:eastAsia="仿宋"/>
                <w:b/>
                <w:sz w:val="24"/>
              </w:rPr>
              <w:t>文件</w:t>
            </w:r>
            <w:r>
              <w:rPr>
                <w:rFonts w:hint="eastAsia" w:ascii="仿宋" w:hAnsi="仿宋" w:eastAsia="仿宋"/>
                <w:b/>
                <w:sz w:val="24"/>
              </w:rPr>
              <w:t>按无效投标处理）</w:t>
            </w:r>
          </w:p>
          <w:p>
            <w:pPr>
              <w:tabs>
                <w:tab w:val="left" w:pos="459"/>
              </w:tabs>
              <w:snapToGrid w:val="0"/>
              <w:spacing w:line="390" w:lineRule="exact"/>
              <w:jc w:val="left"/>
              <w:rPr>
                <w:rFonts w:ascii="仿宋" w:hAnsi="仿宋" w:eastAsia="仿宋"/>
                <w:sz w:val="24"/>
              </w:rPr>
            </w:pPr>
            <w:r>
              <w:rPr>
                <w:rFonts w:hint="eastAsia" w:ascii="仿宋" w:hAnsi="仿宋" w:eastAsia="仿宋"/>
                <w:sz w:val="24"/>
              </w:rPr>
              <w:t>3、投标人针对报价需要说明的其他文件和说明（格式自拟）。</w:t>
            </w:r>
          </w:p>
          <w:p>
            <w:pPr>
              <w:snapToGrid w:val="0"/>
              <w:spacing w:line="390" w:lineRule="exact"/>
              <w:ind w:firstLine="482" w:firstLineChars="200"/>
              <w:jc w:val="left"/>
              <w:rPr>
                <w:rFonts w:ascii="仿宋" w:hAnsi="仿宋" w:eastAsia="仿宋"/>
                <w:sz w:val="24"/>
              </w:rPr>
            </w:pPr>
            <w:r>
              <w:rPr>
                <w:rFonts w:hint="eastAsia" w:ascii="仿宋" w:hAnsi="仿宋" w:eastAsia="仿宋"/>
                <w:b/>
                <w:bCs/>
                <w:sz w:val="24"/>
              </w:rPr>
              <w:t>注：投标函、开标一览表必须由法定代表人或者委托代理人在规定签章处逐一签字并加盖投标人公章，否则按无效投标</w:t>
            </w:r>
            <w:r>
              <w:rPr>
                <w:rFonts w:hint="eastAsia" w:ascii="仿宋" w:hAnsi="仿宋" w:eastAsia="仿宋" w:cs="Courier New"/>
                <w:b/>
                <w:sz w:val="24"/>
              </w:rPr>
              <w:t>处理</w:t>
            </w:r>
            <w:r>
              <w:rPr>
                <w:rFonts w:hint="eastAsia" w:ascii="仿宋" w:hAnsi="仿宋" w:eastAsia="仿宋"/>
                <w:b/>
                <w:bCs/>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vMerge w:val="continue"/>
            <w:tcBorders>
              <w:left w:val="single" w:color="auto" w:sz="4" w:space="0"/>
              <w:right w:val="single" w:color="auto" w:sz="4" w:space="0"/>
            </w:tcBorders>
            <w:vAlign w:val="center"/>
          </w:tcPr>
          <w:p>
            <w:pPr>
              <w:spacing w:line="390" w:lineRule="exact"/>
              <w:rPr>
                <w:rFonts w:ascii="仿宋" w:hAnsi="仿宋" w:eastAsia="仿宋"/>
                <w:sz w:val="24"/>
              </w:rPr>
            </w:pPr>
            <w:bookmarkStart w:id="119" w:name="_13.2"/>
            <w:bookmarkEnd w:id="119"/>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jc w:val="left"/>
              <w:rPr>
                <w:rFonts w:ascii="仿宋" w:hAnsi="仿宋" w:eastAsia="仿宋" w:cs="Courier New"/>
                <w:b/>
                <w:sz w:val="24"/>
              </w:rPr>
            </w:pPr>
            <w:r>
              <w:rPr>
                <w:rFonts w:hint="eastAsia" w:ascii="仿宋" w:hAnsi="仿宋" w:eastAsia="仿宋" w:cs="Courier New"/>
                <w:b/>
                <w:sz w:val="24"/>
              </w:rPr>
              <w:t>资格证明文件：</w:t>
            </w:r>
          </w:p>
          <w:p>
            <w:pPr>
              <w:autoSpaceDE w:val="0"/>
              <w:autoSpaceDN w:val="0"/>
              <w:snapToGrid w:val="0"/>
              <w:spacing w:line="390" w:lineRule="exact"/>
              <w:textAlignment w:val="bottom"/>
              <w:rPr>
                <w:rFonts w:ascii="仿宋" w:hAnsi="仿宋" w:eastAsia="仿宋"/>
                <w:b/>
                <w:sz w:val="24"/>
              </w:rPr>
            </w:pPr>
            <w:r>
              <w:rPr>
                <w:rFonts w:hint="eastAsia" w:ascii="仿宋" w:hAnsi="仿宋" w:eastAsia="仿宋" w:cs="宋体"/>
                <w:sz w:val="24"/>
              </w:rPr>
              <w:t>1、供应商为法人或者其他组织的，</w:t>
            </w:r>
            <w:r>
              <w:rPr>
                <w:rFonts w:hint="eastAsia" w:ascii="仿宋" w:hAnsi="仿宋" w:eastAsia="仿宋"/>
                <w:sz w:val="24"/>
              </w:rPr>
              <w:t>证明文件为其营业执照复印件（如营业执照或者事业单位法人证书或者执业许可证等）；供应商为自然人的，证明文件为其身份证复印件；</w:t>
            </w:r>
            <w:r>
              <w:rPr>
                <w:rFonts w:hint="eastAsia" w:ascii="仿宋" w:hAnsi="仿宋" w:eastAsia="仿宋"/>
                <w:b/>
                <w:sz w:val="24"/>
              </w:rPr>
              <w:t>（必须提供，否则投标文件按无效响应处理</w:t>
            </w:r>
            <w:r>
              <w:rPr>
                <w:rFonts w:ascii="仿宋" w:hAnsi="仿宋" w:eastAsia="仿宋"/>
                <w:b/>
                <w:sz w:val="24"/>
              </w:rPr>
              <w:t>）</w:t>
            </w:r>
          </w:p>
          <w:p>
            <w:pPr>
              <w:autoSpaceDE w:val="0"/>
              <w:autoSpaceDN w:val="0"/>
              <w:snapToGrid w:val="0"/>
              <w:spacing w:line="390" w:lineRule="exact"/>
              <w:textAlignment w:val="bottom"/>
              <w:rPr>
                <w:rFonts w:ascii="仿宋" w:hAnsi="仿宋" w:eastAsia="仿宋" w:cs="宋体"/>
                <w:b/>
                <w:sz w:val="24"/>
              </w:rPr>
            </w:pPr>
            <w:r>
              <w:rPr>
                <w:rFonts w:hint="eastAsia" w:ascii="仿宋" w:hAnsi="仿宋" w:eastAsia="仿宋" w:cs="宋体"/>
                <w:sz w:val="24"/>
              </w:rPr>
              <w:t>2、投标人依法缴纳税收的相关材料（至投标截止之日止半年内任意连续三个月依法缴纳税收的完税凭证复印件；依法免税的供应商，必须提供相应文件证明其依法免税。从</w:t>
            </w:r>
            <w:r>
              <w:rPr>
                <w:rFonts w:ascii="仿宋" w:hAnsi="仿宋" w:eastAsia="仿宋" w:cs="宋体"/>
                <w:sz w:val="24"/>
              </w:rPr>
              <w:t>成立</w:t>
            </w:r>
            <w:r>
              <w:rPr>
                <w:rFonts w:hint="eastAsia" w:ascii="仿宋" w:hAnsi="仿宋" w:eastAsia="仿宋" w:cs="宋体"/>
                <w:sz w:val="24"/>
              </w:rPr>
              <w:t>之日起到投标文件提交截止时间止不足要求月数的，只需提供从</w:t>
            </w:r>
            <w:r>
              <w:rPr>
                <w:rFonts w:ascii="仿宋" w:hAnsi="仿宋" w:eastAsia="仿宋" w:cs="宋体"/>
                <w:sz w:val="24"/>
              </w:rPr>
              <w:t>成立</w:t>
            </w:r>
            <w:r>
              <w:rPr>
                <w:rFonts w:hint="eastAsia" w:ascii="仿宋" w:hAnsi="仿宋" w:eastAsia="仿宋" w:cs="宋体"/>
                <w:sz w:val="24"/>
              </w:rPr>
              <w:t>之日起的依法缴纳税收相应证明文件）；</w:t>
            </w:r>
            <w:r>
              <w:rPr>
                <w:rFonts w:hint="eastAsia" w:ascii="仿宋" w:hAnsi="仿宋" w:eastAsia="仿宋" w:cs="宋体"/>
                <w:b/>
                <w:sz w:val="24"/>
              </w:rPr>
              <w:t>（必须提供，否则</w:t>
            </w:r>
            <w:r>
              <w:rPr>
                <w:rFonts w:hint="eastAsia" w:ascii="仿宋" w:hAnsi="仿宋" w:eastAsia="仿宋"/>
                <w:b/>
                <w:sz w:val="24"/>
              </w:rPr>
              <w:t>投标文件</w:t>
            </w:r>
            <w:r>
              <w:rPr>
                <w:rFonts w:hint="eastAsia" w:ascii="仿宋" w:hAnsi="仿宋" w:eastAsia="仿宋" w:cs="宋体"/>
                <w:b/>
                <w:sz w:val="24"/>
              </w:rPr>
              <w:t>按无效投标处理）</w:t>
            </w:r>
          </w:p>
          <w:p>
            <w:pPr>
              <w:autoSpaceDE w:val="0"/>
              <w:autoSpaceDN w:val="0"/>
              <w:snapToGrid w:val="0"/>
              <w:spacing w:line="390" w:lineRule="exact"/>
              <w:textAlignment w:val="bottom"/>
              <w:rPr>
                <w:rFonts w:ascii="仿宋" w:hAnsi="仿宋" w:eastAsia="仿宋" w:cs="宋体"/>
                <w:b/>
                <w:sz w:val="24"/>
              </w:rPr>
            </w:pPr>
            <w:r>
              <w:rPr>
                <w:rFonts w:hint="eastAsia" w:ascii="仿宋" w:hAnsi="仿宋" w:eastAsia="仿宋" w:cs="宋体"/>
                <w:sz w:val="24"/>
              </w:rPr>
              <w:t>3、投标人依法缴纳社会保障资金的相关材料[至投标截止之日止半年内任意连续三个月依法缴纳社会保障资金的缴费凭证复印件（缴费凭证指专用收据、完税证明或者社会保险缴纳清单）；依法不需要缴纳社会保障资金的供应商，必须提供相应文件证明不需要缴纳社会保障资金。从</w:t>
            </w:r>
            <w:r>
              <w:rPr>
                <w:rFonts w:ascii="仿宋" w:hAnsi="仿宋" w:eastAsia="仿宋" w:cs="宋体"/>
                <w:sz w:val="24"/>
              </w:rPr>
              <w:t>成立</w:t>
            </w:r>
            <w:r>
              <w:rPr>
                <w:rFonts w:hint="eastAsia" w:ascii="仿宋" w:hAnsi="仿宋" w:eastAsia="仿宋" w:cs="宋体"/>
                <w:sz w:val="24"/>
              </w:rPr>
              <w:t>之日起到投标文件提交截止时间止不足要求月数的只需提供从</w:t>
            </w:r>
            <w:r>
              <w:rPr>
                <w:rFonts w:ascii="仿宋" w:hAnsi="仿宋" w:eastAsia="仿宋" w:cs="宋体"/>
                <w:sz w:val="24"/>
              </w:rPr>
              <w:t>成立</w:t>
            </w:r>
            <w:r>
              <w:rPr>
                <w:rFonts w:hint="eastAsia" w:ascii="仿宋" w:hAnsi="仿宋" w:eastAsia="仿宋" w:cs="宋体"/>
                <w:sz w:val="24"/>
              </w:rPr>
              <w:t>之日起的依法缴纳社会保障资金的相应证明文件]；</w:t>
            </w:r>
            <w:r>
              <w:rPr>
                <w:rFonts w:hint="eastAsia" w:ascii="仿宋" w:hAnsi="仿宋" w:eastAsia="仿宋" w:cs="宋体"/>
                <w:b/>
                <w:sz w:val="24"/>
              </w:rPr>
              <w:t>（必须提供，否则</w:t>
            </w:r>
            <w:r>
              <w:rPr>
                <w:rFonts w:hint="eastAsia" w:ascii="仿宋" w:hAnsi="仿宋" w:eastAsia="仿宋"/>
                <w:b/>
                <w:sz w:val="24"/>
              </w:rPr>
              <w:t>投标文件</w:t>
            </w:r>
            <w:r>
              <w:rPr>
                <w:rFonts w:hint="eastAsia" w:ascii="仿宋" w:hAnsi="仿宋" w:eastAsia="仿宋" w:cs="宋体"/>
                <w:b/>
                <w:sz w:val="24"/>
              </w:rPr>
              <w:t>按无效投标处理）</w:t>
            </w:r>
          </w:p>
          <w:p>
            <w:pPr>
              <w:autoSpaceDE w:val="0"/>
              <w:autoSpaceDN w:val="0"/>
              <w:snapToGrid w:val="0"/>
              <w:spacing w:line="390" w:lineRule="exact"/>
              <w:textAlignment w:val="bottom"/>
              <w:rPr>
                <w:rFonts w:ascii="仿宋" w:hAnsi="仿宋" w:eastAsia="仿宋" w:cs="宋体"/>
                <w:b/>
                <w:sz w:val="24"/>
              </w:rPr>
            </w:pPr>
            <w:r>
              <w:rPr>
                <w:rFonts w:hint="eastAsia" w:ascii="仿宋" w:hAnsi="仿宋" w:eastAsia="仿宋" w:cs="宋体"/>
                <w:sz w:val="24"/>
              </w:rPr>
              <w:t>4、投标人财务状况报告【2024年度经审计的财务报告复印件（包括“四表一注”或“三表一注”）或者银行出具的资信证明；投标人属于成立</w:t>
            </w:r>
            <w:r>
              <w:rPr>
                <w:rFonts w:ascii="仿宋" w:hAnsi="仿宋" w:eastAsia="仿宋" w:cs="宋体"/>
                <w:sz w:val="24"/>
              </w:rPr>
              <w:t>时间</w:t>
            </w:r>
            <w:r>
              <w:rPr>
                <w:rFonts w:hint="eastAsia" w:ascii="仿宋" w:hAnsi="仿宋" w:eastAsia="仿宋" w:cs="宋体"/>
                <w:sz w:val="24"/>
              </w:rPr>
              <w:t>在规定年度之后</w:t>
            </w:r>
            <w:r>
              <w:rPr>
                <w:rFonts w:ascii="仿宋" w:hAnsi="仿宋" w:eastAsia="仿宋" w:cs="宋体"/>
                <w:sz w:val="24"/>
              </w:rPr>
              <w:t>的</w:t>
            </w:r>
            <w:r>
              <w:rPr>
                <w:rFonts w:hint="eastAsia" w:ascii="仿宋" w:hAnsi="仿宋" w:eastAsia="仿宋" w:cs="宋体"/>
                <w:sz w:val="24"/>
              </w:rPr>
              <w:t>法人或其他组织</w:t>
            </w:r>
            <w:r>
              <w:rPr>
                <w:rFonts w:ascii="仿宋" w:hAnsi="仿宋" w:eastAsia="仿宋" w:cs="宋体"/>
                <w:sz w:val="24"/>
              </w:rPr>
              <w:t>，需提供成立</w:t>
            </w:r>
            <w:r>
              <w:rPr>
                <w:rFonts w:hint="eastAsia" w:ascii="仿宋" w:hAnsi="仿宋" w:eastAsia="仿宋" w:cs="宋体"/>
                <w:sz w:val="24"/>
              </w:rPr>
              <w:t>之日起至投标截止时间前</w:t>
            </w:r>
            <w:r>
              <w:rPr>
                <w:rFonts w:ascii="仿宋" w:hAnsi="仿宋" w:eastAsia="仿宋" w:cs="宋体"/>
                <w:sz w:val="24"/>
              </w:rPr>
              <w:t>的月报表</w:t>
            </w:r>
            <w:r>
              <w:rPr>
                <w:rFonts w:hint="eastAsia" w:ascii="仿宋" w:hAnsi="仿宋" w:eastAsia="仿宋" w:cs="宋体"/>
                <w:sz w:val="24"/>
              </w:rPr>
              <w:t>或银行出具的资信证明；资信证明应在有效期内，未注明有效期的，银行出具时间至投标截止时间不超过一年】；</w:t>
            </w:r>
            <w:r>
              <w:rPr>
                <w:rFonts w:hint="eastAsia" w:ascii="仿宋" w:hAnsi="仿宋" w:eastAsia="仿宋" w:cs="宋体"/>
                <w:b/>
                <w:sz w:val="24"/>
              </w:rPr>
              <w:t>（除自然人外必须提供，否则</w:t>
            </w:r>
            <w:r>
              <w:rPr>
                <w:rFonts w:hint="eastAsia" w:ascii="仿宋" w:hAnsi="仿宋" w:eastAsia="仿宋"/>
                <w:b/>
                <w:sz w:val="24"/>
              </w:rPr>
              <w:t>投标文件</w:t>
            </w:r>
            <w:r>
              <w:rPr>
                <w:rFonts w:hint="eastAsia" w:ascii="仿宋" w:hAnsi="仿宋" w:eastAsia="仿宋" w:cs="宋体"/>
                <w:b/>
                <w:sz w:val="24"/>
              </w:rPr>
              <w:t>按无效投标处理）</w:t>
            </w:r>
          </w:p>
          <w:p>
            <w:pPr>
              <w:autoSpaceDE w:val="0"/>
              <w:autoSpaceDN w:val="0"/>
              <w:snapToGrid w:val="0"/>
              <w:spacing w:line="390" w:lineRule="exact"/>
              <w:textAlignment w:val="bottom"/>
              <w:rPr>
                <w:rFonts w:ascii="仿宋" w:hAnsi="仿宋" w:eastAsia="仿宋" w:cs="宋体"/>
                <w:b/>
                <w:sz w:val="24"/>
              </w:rPr>
            </w:pPr>
            <w:r>
              <w:rPr>
                <w:rFonts w:hint="eastAsia" w:ascii="仿宋" w:hAnsi="仿宋" w:eastAsia="仿宋" w:cs="宋体"/>
                <w:sz w:val="24"/>
              </w:rPr>
              <w:t>5、投标人直接控股、管理关系信息表（格式详见第六章）；</w:t>
            </w:r>
            <w:r>
              <w:rPr>
                <w:rFonts w:hint="eastAsia" w:ascii="仿宋" w:hAnsi="仿宋" w:eastAsia="仿宋" w:cs="宋体"/>
                <w:b/>
                <w:sz w:val="24"/>
              </w:rPr>
              <w:t>（必须提供，否则</w:t>
            </w:r>
            <w:r>
              <w:rPr>
                <w:rFonts w:hint="eastAsia" w:ascii="仿宋" w:hAnsi="仿宋" w:eastAsia="仿宋"/>
                <w:b/>
                <w:sz w:val="24"/>
              </w:rPr>
              <w:t>投标文件</w:t>
            </w:r>
            <w:r>
              <w:rPr>
                <w:rFonts w:hint="eastAsia" w:ascii="仿宋" w:hAnsi="仿宋" w:eastAsia="仿宋" w:cs="宋体"/>
                <w:b/>
                <w:sz w:val="24"/>
              </w:rPr>
              <w:t>按无效投标处理）</w:t>
            </w:r>
          </w:p>
          <w:p>
            <w:pPr>
              <w:autoSpaceDE w:val="0"/>
              <w:autoSpaceDN w:val="0"/>
              <w:snapToGrid w:val="0"/>
              <w:spacing w:line="390" w:lineRule="exact"/>
              <w:textAlignment w:val="bottom"/>
              <w:rPr>
                <w:rFonts w:ascii="仿宋" w:hAnsi="仿宋" w:eastAsia="仿宋" w:cs="宋体"/>
                <w:b/>
                <w:sz w:val="24"/>
              </w:rPr>
            </w:pPr>
            <w:r>
              <w:rPr>
                <w:rFonts w:hint="eastAsia" w:ascii="仿宋" w:hAnsi="仿宋" w:eastAsia="仿宋" w:cs="宋体"/>
                <w:sz w:val="24"/>
              </w:rPr>
              <w:t>6、投标声明（格式详见第六章）；</w:t>
            </w:r>
            <w:r>
              <w:rPr>
                <w:rFonts w:hint="eastAsia" w:ascii="仿宋" w:hAnsi="仿宋" w:eastAsia="仿宋" w:cs="宋体"/>
                <w:b/>
                <w:sz w:val="24"/>
              </w:rPr>
              <w:t>（必须提供，否则</w:t>
            </w:r>
            <w:r>
              <w:rPr>
                <w:rFonts w:hint="eastAsia" w:ascii="仿宋" w:hAnsi="仿宋" w:eastAsia="仿宋"/>
                <w:b/>
                <w:sz w:val="24"/>
              </w:rPr>
              <w:t>投标文件</w:t>
            </w:r>
            <w:r>
              <w:rPr>
                <w:rFonts w:hint="eastAsia" w:ascii="仿宋" w:hAnsi="仿宋" w:eastAsia="仿宋" w:cs="宋体"/>
                <w:b/>
                <w:sz w:val="24"/>
              </w:rPr>
              <w:t>按无效投标处理）</w:t>
            </w:r>
          </w:p>
          <w:p>
            <w:pPr>
              <w:autoSpaceDE w:val="0"/>
              <w:autoSpaceDN w:val="0"/>
              <w:snapToGrid w:val="0"/>
              <w:spacing w:line="390" w:lineRule="exact"/>
              <w:textAlignment w:val="bottom"/>
              <w:rPr>
                <w:rFonts w:ascii="仿宋" w:hAnsi="仿宋" w:eastAsia="仿宋" w:cs="宋体"/>
                <w:b/>
                <w:sz w:val="24"/>
              </w:rPr>
            </w:pPr>
            <w:r>
              <w:rPr>
                <w:rFonts w:hint="eastAsia" w:ascii="仿宋" w:hAnsi="仿宋" w:eastAsia="仿宋" w:cs="宋体"/>
                <w:sz w:val="24"/>
              </w:rPr>
              <w:t>7、投标人参加本项目无回避事项的承诺函（格式详见第六章）；</w:t>
            </w:r>
            <w:r>
              <w:rPr>
                <w:rFonts w:hint="eastAsia" w:ascii="仿宋" w:hAnsi="仿宋" w:eastAsia="仿宋" w:cs="宋体"/>
                <w:b/>
                <w:sz w:val="24"/>
              </w:rPr>
              <w:t>（必须提供，否则</w:t>
            </w:r>
            <w:r>
              <w:rPr>
                <w:rFonts w:hint="eastAsia" w:ascii="仿宋" w:hAnsi="仿宋" w:eastAsia="仿宋"/>
                <w:b/>
                <w:sz w:val="24"/>
              </w:rPr>
              <w:t>投标文件</w:t>
            </w:r>
            <w:r>
              <w:rPr>
                <w:rFonts w:hint="eastAsia" w:ascii="仿宋" w:hAnsi="仿宋" w:eastAsia="仿宋" w:cs="宋体"/>
                <w:b/>
                <w:sz w:val="24"/>
              </w:rPr>
              <w:t>按无效投标处理）</w:t>
            </w:r>
          </w:p>
          <w:p>
            <w:pPr>
              <w:autoSpaceDE w:val="0"/>
              <w:autoSpaceDN w:val="0"/>
              <w:snapToGrid w:val="0"/>
              <w:spacing w:line="390" w:lineRule="exact"/>
              <w:textAlignment w:val="bottom"/>
              <w:rPr>
                <w:rFonts w:ascii="仿宋" w:hAnsi="仿宋" w:eastAsia="仿宋" w:cs="宋体"/>
                <w:b/>
                <w:sz w:val="24"/>
              </w:rPr>
            </w:pPr>
            <w:r>
              <w:rPr>
                <w:rFonts w:hint="eastAsia" w:ascii="仿宋" w:hAnsi="仿宋" w:eastAsia="仿宋" w:cs="宋体"/>
                <w:sz w:val="24"/>
              </w:rPr>
              <w:t>8、特定</w:t>
            </w:r>
            <w:r>
              <w:rPr>
                <w:rFonts w:ascii="仿宋" w:hAnsi="仿宋" w:eastAsia="仿宋" w:cs="宋体"/>
                <w:sz w:val="24"/>
              </w:rPr>
              <w:t>资格要求证明</w:t>
            </w:r>
            <w:r>
              <w:rPr>
                <w:rFonts w:hint="eastAsia" w:ascii="仿宋" w:hAnsi="仿宋" w:eastAsia="仿宋" w:cs="宋体"/>
                <w:sz w:val="24"/>
              </w:rPr>
              <w:t>材料</w:t>
            </w:r>
            <w:r>
              <w:rPr>
                <w:rFonts w:ascii="仿宋" w:hAnsi="仿宋" w:eastAsia="仿宋" w:cs="宋体"/>
                <w:sz w:val="24"/>
              </w:rPr>
              <w:t>：</w:t>
            </w:r>
            <w:r>
              <w:rPr>
                <w:rFonts w:hint="eastAsia" w:ascii="仿宋" w:hAnsi="仿宋" w:eastAsia="仿宋" w:cs="宋体"/>
                <w:b/>
                <w:sz w:val="24"/>
              </w:rPr>
              <w:t>（如有，请提供）。</w:t>
            </w:r>
          </w:p>
          <w:p>
            <w:pPr>
              <w:autoSpaceDE w:val="0"/>
              <w:autoSpaceDN w:val="0"/>
              <w:snapToGrid w:val="0"/>
              <w:spacing w:line="390" w:lineRule="exact"/>
              <w:textAlignment w:val="bottom"/>
              <w:rPr>
                <w:rFonts w:ascii="仿宋" w:hAnsi="仿宋" w:eastAsia="仿宋" w:cs="宋体"/>
                <w:sz w:val="24"/>
              </w:rPr>
            </w:pPr>
            <w:r>
              <w:rPr>
                <w:rFonts w:hint="eastAsia" w:ascii="仿宋" w:hAnsi="仿宋" w:eastAsia="仿宋" w:cs="宋体"/>
                <w:sz w:val="24"/>
              </w:rPr>
              <w:t>9、除招标文件规定必须提供以外，投标人认为需要提供的其他证明材料。</w:t>
            </w:r>
          </w:p>
          <w:p>
            <w:pPr>
              <w:snapToGrid w:val="0"/>
              <w:spacing w:line="390" w:lineRule="exact"/>
              <w:jc w:val="left"/>
              <w:rPr>
                <w:rFonts w:ascii="仿宋" w:hAnsi="仿宋" w:eastAsia="仿宋"/>
                <w:b/>
                <w:bCs/>
                <w:sz w:val="24"/>
              </w:rPr>
            </w:pPr>
            <w:r>
              <w:rPr>
                <w:rFonts w:hint="eastAsia" w:ascii="仿宋" w:hAnsi="仿宋" w:eastAsia="仿宋"/>
                <w:b/>
                <w:bCs/>
                <w:sz w:val="24"/>
              </w:rPr>
              <w:t>注：</w:t>
            </w:r>
          </w:p>
          <w:p>
            <w:pPr>
              <w:snapToGrid w:val="0"/>
              <w:spacing w:line="390" w:lineRule="exact"/>
              <w:ind w:firstLine="482" w:firstLineChars="200"/>
              <w:jc w:val="left"/>
              <w:rPr>
                <w:rFonts w:ascii="仿宋" w:hAnsi="仿宋" w:eastAsia="仿宋" w:cs="Courier New"/>
                <w:b/>
                <w:sz w:val="24"/>
              </w:rPr>
            </w:pPr>
            <w:r>
              <w:rPr>
                <w:rFonts w:hint="eastAsia" w:ascii="仿宋" w:hAnsi="仿宋" w:eastAsia="仿宋"/>
                <w:b/>
                <w:bCs/>
                <w:sz w:val="24"/>
              </w:rPr>
              <w:t>1、以上标明“必须提供”的材料属于复印件的，必须加盖投标人公章，否则按无效投标</w:t>
            </w:r>
            <w:r>
              <w:rPr>
                <w:rFonts w:hint="eastAsia" w:ascii="仿宋" w:hAnsi="仿宋" w:eastAsia="仿宋" w:cs="Courier New"/>
                <w:b/>
                <w:sz w:val="24"/>
              </w:rPr>
              <w:t>处理。</w:t>
            </w:r>
          </w:p>
          <w:p>
            <w:pPr>
              <w:snapToGrid w:val="0"/>
              <w:spacing w:line="390" w:lineRule="exact"/>
              <w:ind w:firstLine="482" w:firstLineChars="200"/>
              <w:jc w:val="left"/>
              <w:rPr>
                <w:rFonts w:ascii="仿宋" w:hAnsi="仿宋" w:eastAsia="仿宋"/>
                <w:b/>
                <w:bCs/>
                <w:sz w:val="24"/>
              </w:rPr>
            </w:pPr>
            <w:r>
              <w:rPr>
                <w:rFonts w:hint="eastAsia" w:ascii="仿宋" w:hAnsi="仿宋" w:eastAsia="仿宋" w:cs="Courier New"/>
                <w:b/>
                <w:sz w:val="24"/>
              </w:rPr>
              <w:t>2、</w:t>
            </w:r>
            <w:r>
              <w:rPr>
                <w:rFonts w:hint="eastAsia" w:ascii="仿宋" w:hAnsi="仿宋" w:eastAsia="仿宋"/>
                <w:b/>
                <w:bCs/>
                <w:sz w:val="24"/>
              </w:rPr>
              <w:t>投标声明、投标人参加本项目无回避事项的承诺函必须由法定代表人在规定签章处签字并加盖投标人公章，否则按无效投标处理。</w:t>
            </w:r>
          </w:p>
          <w:p>
            <w:pPr>
              <w:snapToGrid w:val="0"/>
              <w:spacing w:line="390" w:lineRule="exact"/>
              <w:ind w:firstLine="482" w:firstLineChars="200"/>
              <w:jc w:val="left"/>
              <w:rPr>
                <w:rFonts w:ascii="仿宋" w:hAnsi="仿宋" w:eastAsia="仿宋"/>
                <w:b/>
                <w:bCs/>
                <w:sz w:val="24"/>
              </w:rPr>
            </w:pPr>
            <w:r>
              <w:rPr>
                <w:rFonts w:hint="eastAsia" w:ascii="仿宋" w:hAnsi="仿宋" w:eastAsia="仿宋"/>
                <w:b/>
                <w:bCs/>
                <w:sz w:val="24"/>
              </w:rPr>
              <w:t>3、投标人直接控股、管理关系信息表必须由法定代表人或者委托代理人在规定签章处签字并加盖投标人公章，否则按无效投标</w:t>
            </w:r>
            <w:r>
              <w:rPr>
                <w:rFonts w:hint="eastAsia" w:ascii="仿宋" w:hAnsi="仿宋" w:eastAsia="仿宋" w:cs="Courier New"/>
                <w:b/>
                <w:sz w:val="24"/>
              </w:rPr>
              <w:t>处理</w:t>
            </w:r>
            <w:r>
              <w:rPr>
                <w:rFonts w:hint="eastAsia" w:ascii="仿宋" w:hAnsi="仿宋" w:eastAsia="仿宋"/>
                <w:b/>
                <w:bCs/>
                <w:sz w:val="24"/>
              </w:rPr>
              <w:t>。</w:t>
            </w:r>
          </w:p>
          <w:p>
            <w:pPr>
              <w:snapToGrid w:val="0"/>
              <w:spacing w:line="390" w:lineRule="exact"/>
              <w:ind w:firstLine="482" w:firstLineChars="200"/>
              <w:jc w:val="left"/>
              <w:rPr>
                <w:rFonts w:ascii="仿宋" w:hAnsi="仿宋" w:eastAsia="仿宋"/>
                <w:b/>
                <w:bCs/>
                <w:sz w:val="24"/>
              </w:rPr>
            </w:pPr>
            <w:r>
              <w:rPr>
                <w:rFonts w:hint="eastAsia" w:ascii="仿宋" w:hAnsi="仿宋" w:eastAsia="仿宋"/>
                <w:b/>
                <w:bCs/>
                <w:sz w:val="24"/>
              </w:rPr>
              <w:t>4、联合体投标时，第1-5项资格证明文件联合体各方均必须分别提供，联合体各方分别盖章和签字，否则按无效投标</w:t>
            </w:r>
            <w:r>
              <w:rPr>
                <w:rFonts w:hint="eastAsia" w:ascii="仿宋" w:hAnsi="仿宋" w:eastAsia="仿宋" w:cs="Courier New"/>
                <w:b/>
                <w:sz w:val="24"/>
              </w:rPr>
              <w:t>处理</w:t>
            </w:r>
            <w:r>
              <w:rPr>
                <w:rFonts w:hint="eastAsia" w:ascii="仿宋" w:hAnsi="仿宋" w:eastAsia="仿宋"/>
                <w:b/>
                <w:bCs/>
                <w:sz w:val="24"/>
              </w:rPr>
              <w:t>。</w:t>
            </w:r>
          </w:p>
          <w:p>
            <w:pPr>
              <w:snapToGrid w:val="0"/>
              <w:spacing w:line="390" w:lineRule="exact"/>
              <w:ind w:firstLine="482" w:firstLineChars="200"/>
              <w:jc w:val="left"/>
              <w:rPr>
                <w:rFonts w:ascii="仿宋" w:hAnsi="仿宋" w:eastAsia="仿宋"/>
                <w:b/>
                <w:bCs/>
                <w:sz w:val="24"/>
              </w:rPr>
            </w:pPr>
            <w:r>
              <w:rPr>
                <w:rFonts w:hint="eastAsia" w:ascii="仿宋" w:hAnsi="仿宋" w:eastAsia="仿宋"/>
                <w:b/>
                <w:bCs/>
                <w:sz w:val="24"/>
              </w:rPr>
              <w:t>5、分公司参加投标的，应当取得总公司授权，否则按无效投标</w:t>
            </w:r>
            <w:r>
              <w:rPr>
                <w:rFonts w:hint="eastAsia" w:ascii="仿宋" w:hAnsi="仿宋" w:eastAsia="仿宋" w:cs="Courier New"/>
                <w:b/>
                <w:sz w:val="24"/>
              </w:rPr>
              <w:t>处理</w:t>
            </w:r>
            <w:r>
              <w:rPr>
                <w:rFonts w:hint="eastAsia" w:ascii="仿宋" w:hAnsi="仿宋" w:eastAsia="仿宋"/>
                <w:b/>
                <w:bCs/>
                <w:sz w:val="24"/>
              </w:rPr>
              <w:t>。（允许分公司参与的行业有银行、保险、石油石化、电力、电信等行业）。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vMerge w:val="continue"/>
            <w:tcBorders>
              <w:left w:val="single" w:color="auto" w:sz="4" w:space="0"/>
              <w:right w:val="single" w:color="auto" w:sz="4" w:space="0"/>
            </w:tcBorders>
            <w:vAlign w:val="center"/>
          </w:tcPr>
          <w:p>
            <w:pPr>
              <w:spacing w:line="390" w:lineRule="exact"/>
              <w:rPr>
                <w:rFonts w:ascii="仿宋" w:hAnsi="仿宋" w:eastAsia="仿宋"/>
                <w:sz w:val="24"/>
              </w:rPr>
            </w:pPr>
            <w:bookmarkStart w:id="120" w:name="_13.3"/>
            <w:bookmarkEnd w:id="120"/>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jc w:val="left"/>
              <w:rPr>
                <w:rFonts w:ascii="仿宋" w:hAnsi="仿宋" w:eastAsia="仿宋" w:cs="Courier New"/>
                <w:b/>
                <w:sz w:val="24"/>
              </w:rPr>
            </w:pPr>
            <w:r>
              <w:rPr>
                <w:rFonts w:hint="eastAsia" w:ascii="仿宋" w:hAnsi="仿宋" w:eastAsia="仿宋" w:cs="Courier New"/>
                <w:b/>
                <w:sz w:val="24"/>
              </w:rPr>
              <w:t xml:space="preserve">商务文件： </w:t>
            </w:r>
          </w:p>
          <w:p>
            <w:pPr>
              <w:snapToGrid w:val="0"/>
              <w:spacing w:line="390" w:lineRule="exact"/>
              <w:jc w:val="left"/>
              <w:rPr>
                <w:rFonts w:ascii="仿宋" w:hAnsi="仿宋" w:eastAsia="仿宋"/>
                <w:sz w:val="24"/>
              </w:rPr>
            </w:pPr>
            <w:r>
              <w:rPr>
                <w:rFonts w:hint="eastAsia" w:ascii="仿宋" w:hAnsi="仿宋" w:eastAsia="仿宋"/>
                <w:sz w:val="24"/>
              </w:rPr>
              <w:t>1、无串通投标行为的承诺函（格式详见第六</w:t>
            </w:r>
            <w:r>
              <w:rPr>
                <w:rFonts w:ascii="仿宋" w:hAnsi="仿宋" w:eastAsia="仿宋"/>
                <w:sz w:val="24"/>
              </w:rPr>
              <w:t>章</w:t>
            </w:r>
            <w:r>
              <w:rPr>
                <w:rFonts w:hint="eastAsia" w:ascii="仿宋" w:hAnsi="仿宋" w:eastAsia="仿宋"/>
                <w:sz w:val="24"/>
              </w:rPr>
              <w:t>）；（</w:t>
            </w:r>
            <w:r>
              <w:rPr>
                <w:rFonts w:hint="eastAsia" w:ascii="仿宋" w:hAnsi="仿宋" w:eastAsia="仿宋"/>
                <w:b/>
                <w:sz w:val="24"/>
              </w:rPr>
              <w:t>必须提供，否则投标文件按无效投标处理</w:t>
            </w:r>
            <w:r>
              <w:rPr>
                <w:rFonts w:hint="eastAsia" w:ascii="仿宋" w:hAnsi="仿宋" w:eastAsia="仿宋"/>
                <w:sz w:val="24"/>
              </w:rPr>
              <w:t>）</w:t>
            </w:r>
          </w:p>
          <w:p>
            <w:pPr>
              <w:snapToGrid w:val="0"/>
              <w:spacing w:line="390" w:lineRule="exact"/>
              <w:jc w:val="left"/>
              <w:rPr>
                <w:rFonts w:ascii="仿宋" w:hAnsi="仿宋" w:eastAsia="仿宋"/>
                <w:sz w:val="24"/>
              </w:rPr>
            </w:pPr>
            <w:r>
              <w:rPr>
                <w:rFonts w:hint="eastAsia" w:ascii="仿宋" w:hAnsi="仿宋" w:eastAsia="仿宋"/>
                <w:sz w:val="24"/>
              </w:rPr>
              <w:t>2、法定代表人身份证明及法定代表人有效身份证正反面复印件（格式详见第六</w:t>
            </w:r>
            <w:r>
              <w:rPr>
                <w:rFonts w:ascii="仿宋" w:hAnsi="仿宋" w:eastAsia="仿宋"/>
                <w:sz w:val="24"/>
              </w:rPr>
              <w:t>章</w:t>
            </w:r>
            <w:r>
              <w:rPr>
                <w:rFonts w:hint="eastAsia" w:ascii="仿宋" w:hAnsi="仿宋" w:eastAsia="仿宋"/>
                <w:sz w:val="24"/>
              </w:rPr>
              <w:t>）；（</w:t>
            </w:r>
            <w:r>
              <w:rPr>
                <w:rFonts w:hint="eastAsia" w:ascii="仿宋" w:hAnsi="仿宋" w:eastAsia="仿宋" w:cs="宋体"/>
                <w:b/>
                <w:bCs/>
                <w:sz w:val="24"/>
              </w:rPr>
              <w:t>除自然人投标外</w:t>
            </w:r>
            <w:r>
              <w:rPr>
                <w:rFonts w:hint="eastAsia" w:ascii="仿宋" w:hAnsi="仿宋" w:eastAsia="仿宋"/>
                <w:b/>
                <w:sz w:val="24"/>
              </w:rPr>
              <w:t>必须提供，否则投标文件按无效投标处理</w:t>
            </w:r>
            <w:r>
              <w:rPr>
                <w:rFonts w:hint="eastAsia" w:ascii="仿宋" w:hAnsi="仿宋" w:eastAsia="仿宋"/>
                <w:sz w:val="24"/>
              </w:rPr>
              <w:t>）</w:t>
            </w:r>
          </w:p>
          <w:p>
            <w:pPr>
              <w:snapToGrid w:val="0"/>
              <w:spacing w:line="390" w:lineRule="exact"/>
              <w:jc w:val="left"/>
              <w:rPr>
                <w:rFonts w:ascii="仿宋" w:hAnsi="仿宋" w:eastAsia="仿宋"/>
                <w:sz w:val="24"/>
              </w:rPr>
            </w:pPr>
            <w:r>
              <w:rPr>
                <w:rFonts w:hint="eastAsia" w:ascii="仿宋" w:hAnsi="仿宋" w:eastAsia="仿宋"/>
                <w:sz w:val="24"/>
              </w:rPr>
              <w:t>3、授权委托书及委托代理人有效身份证正反面复印件（格式详见第六</w:t>
            </w:r>
            <w:r>
              <w:rPr>
                <w:rFonts w:ascii="仿宋" w:hAnsi="仿宋" w:eastAsia="仿宋"/>
                <w:sz w:val="24"/>
              </w:rPr>
              <w:t>章</w:t>
            </w:r>
            <w:r>
              <w:rPr>
                <w:rFonts w:hint="eastAsia" w:ascii="仿宋" w:hAnsi="仿宋" w:eastAsia="仿宋"/>
                <w:sz w:val="24"/>
              </w:rPr>
              <w:t>）；（</w:t>
            </w:r>
            <w:r>
              <w:rPr>
                <w:rFonts w:hint="eastAsia" w:ascii="仿宋" w:hAnsi="仿宋" w:eastAsia="仿宋"/>
                <w:b/>
                <w:sz w:val="24"/>
              </w:rPr>
              <w:t>委托时必须提供，否则投标文件按无效投标处理</w:t>
            </w:r>
            <w:r>
              <w:rPr>
                <w:rFonts w:hint="eastAsia" w:ascii="仿宋" w:hAnsi="仿宋" w:eastAsia="仿宋"/>
                <w:sz w:val="24"/>
              </w:rPr>
              <w:t>）</w:t>
            </w:r>
          </w:p>
          <w:p>
            <w:pPr>
              <w:snapToGrid w:val="0"/>
              <w:spacing w:line="390" w:lineRule="exact"/>
              <w:jc w:val="left"/>
              <w:rPr>
                <w:rFonts w:ascii="仿宋" w:hAnsi="仿宋" w:eastAsia="仿宋"/>
                <w:sz w:val="24"/>
              </w:rPr>
            </w:pPr>
            <w:r>
              <w:rPr>
                <w:rFonts w:hint="eastAsia" w:ascii="仿宋" w:hAnsi="仿宋" w:eastAsia="仿宋"/>
                <w:sz w:val="24"/>
              </w:rPr>
              <w:t>4、商务偏离表（格式详见第六</w:t>
            </w:r>
            <w:r>
              <w:rPr>
                <w:rFonts w:ascii="仿宋" w:hAnsi="仿宋" w:eastAsia="仿宋"/>
                <w:sz w:val="24"/>
              </w:rPr>
              <w:t>章</w:t>
            </w:r>
            <w:r>
              <w:rPr>
                <w:rFonts w:hint="eastAsia" w:ascii="仿宋" w:hAnsi="仿宋" w:eastAsia="仿宋"/>
                <w:sz w:val="24"/>
              </w:rPr>
              <w:t>）；（</w:t>
            </w:r>
            <w:r>
              <w:rPr>
                <w:rFonts w:hint="eastAsia" w:ascii="仿宋" w:hAnsi="仿宋" w:eastAsia="仿宋"/>
                <w:b/>
                <w:sz w:val="24"/>
              </w:rPr>
              <w:t>必须提供，否则投标文件按无效投标处理</w:t>
            </w:r>
            <w:r>
              <w:rPr>
                <w:rFonts w:hint="eastAsia" w:ascii="仿宋" w:hAnsi="仿宋" w:eastAsia="仿宋"/>
                <w:sz w:val="24"/>
              </w:rPr>
              <w:t>）</w:t>
            </w:r>
          </w:p>
          <w:p>
            <w:pPr>
              <w:snapToGrid w:val="0"/>
              <w:spacing w:line="390" w:lineRule="exact"/>
              <w:jc w:val="left"/>
              <w:rPr>
                <w:rFonts w:ascii="仿宋" w:hAnsi="仿宋" w:eastAsia="仿宋"/>
                <w:sz w:val="24"/>
              </w:rPr>
            </w:pPr>
            <w:r>
              <w:rPr>
                <w:rFonts w:hint="eastAsia" w:ascii="仿宋" w:hAnsi="仿宋" w:eastAsia="仿宋"/>
                <w:sz w:val="24"/>
              </w:rPr>
              <w:t>5、服务承诺（格式自拟）；（</w:t>
            </w:r>
            <w:r>
              <w:rPr>
                <w:rFonts w:hint="eastAsia" w:ascii="仿宋" w:hAnsi="仿宋" w:eastAsia="仿宋"/>
                <w:b/>
                <w:sz w:val="24"/>
              </w:rPr>
              <w:t>必须提供，否则投标文件按无效投标处理</w:t>
            </w:r>
            <w:r>
              <w:rPr>
                <w:rFonts w:hint="eastAsia" w:ascii="仿宋" w:hAnsi="仿宋" w:eastAsia="仿宋"/>
                <w:sz w:val="24"/>
              </w:rPr>
              <w:t>）</w:t>
            </w:r>
          </w:p>
          <w:p>
            <w:pPr>
              <w:snapToGrid w:val="0"/>
              <w:spacing w:line="390" w:lineRule="exact"/>
              <w:jc w:val="left"/>
              <w:rPr>
                <w:rFonts w:ascii="仿宋" w:hAnsi="仿宋" w:eastAsia="仿宋"/>
                <w:sz w:val="24"/>
              </w:rPr>
            </w:pPr>
            <w:r>
              <w:rPr>
                <w:rFonts w:hint="eastAsia" w:ascii="仿宋" w:hAnsi="仿宋" w:eastAsia="仿宋"/>
                <w:sz w:val="24"/>
              </w:rPr>
              <w:t>6、投标人情况介绍（格式自拟）；</w:t>
            </w:r>
          </w:p>
          <w:p>
            <w:pPr>
              <w:snapToGrid w:val="0"/>
              <w:spacing w:line="390" w:lineRule="exact"/>
              <w:jc w:val="left"/>
              <w:rPr>
                <w:rFonts w:ascii="仿宋" w:hAnsi="仿宋" w:eastAsia="仿宋"/>
                <w:sz w:val="24"/>
              </w:rPr>
            </w:pPr>
            <w:r>
              <w:rPr>
                <w:rFonts w:hint="eastAsia" w:ascii="仿宋" w:hAnsi="仿宋" w:eastAsia="仿宋"/>
                <w:sz w:val="24"/>
              </w:rPr>
              <w:t>7、联合体协议书（格式详见第六</w:t>
            </w:r>
            <w:r>
              <w:rPr>
                <w:rFonts w:ascii="仿宋" w:hAnsi="仿宋" w:eastAsia="仿宋"/>
                <w:sz w:val="24"/>
              </w:rPr>
              <w:t>章</w:t>
            </w:r>
            <w:r>
              <w:rPr>
                <w:rFonts w:hint="eastAsia" w:ascii="仿宋" w:hAnsi="仿宋" w:eastAsia="仿宋"/>
                <w:sz w:val="24"/>
              </w:rPr>
              <w:t>）；</w:t>
            </w:r>
          </w:p>
          <w:p>
            <w:pPr>
              <w:snapToGrid w:val="0"/>
              <w:spacing w:line="390" w:lineRule="exact"/>
              <w:jc w:val="left"/>
              <w:rPr>
                <w:rFonts w:ascii="仿宋" w:hAnsi="仿宋" w:eastAsia="仿宋"/>
                <w:sz w:val="24"/>
              </w:rPr>
            </w:pPr>
            <w:r>
              <w:rPr>
                <w:rFonts w:hint="eastAsia" w:ascii="仿宋" w:hAnsi="仿宋" w:eastAsia="仿宋"/>
                <w:sz w:val="24"/>
              </w:rPr>
              <w:t>8、除招标文件规定必须提供以外，投标人认为需要提供的其他证明材料（格式自拟）。（投标人根据“第二章 采购需求”及“第四章 评标方法及评标标准”提供有关证明材料）。</w:t>
            </w:r>
          </w:p>
          <w:p>
            <w:pPr>
              <w:snapToGrid w:val="0"/>
              <w:spacing w:line="390" w:lineRule="exact"/>
              <w:ind w:firstLine="482" w:firstLineChars="200"/>
              <w:jc w:val="left"/>
              <w:rPr>
                <w:rFonts w:ascii="仿宋" w:hAnsi="仿宋" w:eastAsia="仿宋"/>
                <w:sz w:val="24"/>
              </w:rPr>
            </w:pPr>
            <w:r>
              <w:rPr>
                <w:rFonts w:hint="eastAsia" w:ascii="仿宋" w:hAnsi="仿宋" w:eastAsia="仿宋"/>
                <w:b/>
                <w:bCs/>
                <w:sz w:val="24"/>
              </w:rPr>
              <w:t>注：以上标明“必须提供”的材料属于复印件的，必须加盖投标人公章，否则按无效投标</w:t>
            </w:r>
            <w:r>
              <w:rPr>
                <w:rFonts w:hint="eastAsia" w:ascii="仿宋" w:hAnsi="仿宋" w:eastAsia="仿宋" w:cs="Courier New"/>
                <w:b/>
                <w:sz w:val="24"/>
              </w:rPr>
              <w:t>处理</w:t>
            </w:r>
            <w:r>
              <w:rPr>
                <w:rFonts w:hint="eastAsia" w:ascii="仿宋" w:hAnsi="仿宋" w:eastAsia="仿宋"/>
                <w:b/>
                <w:bCs/>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vMerge w:val="continue"/>
            <w:tcBorders>
              <w:left w:val="single" w:color="auto" w:sz="4" w:space="0"/>
              <w:bottom w:val="single" w:color="auto" w:sz="4" w:space="0"/>
              <w:right w:val="single" w:color="auto" w:sz="4" w:space="0"/>
            </w:tcBorders>
            <w:vAlign w:val="center"/>
          </w:tcPr>
          <w:p>
            <w:pPr>
              <w:spacing w:line="390" w:lineRule="exact"/>
              <w:rPr>
                <w:rFonts w:ascii="仿宋" w:hAnsi="仿宋" w:eastAsia="仿宋"/>
                <w:sz w:val="24"/>
              </w:rPr>
            </w:pPr>
            <w:bookmarkStart w:id="121" w:name="_13.4"/>
            <w:bookmarkEnd w:id="121"/>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jc w:val="left"/>
              <w:rPr>
                <w:rFonts w:ascii="仿宋" w:hAnsi="仿宋" w:eastAsia="仿宋" w:cs="Courier New"/>
                <w:b/>
                <w:sz w:val="24"/>
              </w:rPr>
            </w:pPr>
            <w:r>
              <w:rPr>
                <w:rFonts w:hint="eastAsia" w:ascii="仿宋" w:hAnsi="仿宋" w:eastAsia="仿宋" w:cs="Courier New"/>
                <w:b/>
                <w:sz w:val="24"/>
              </w:rPr>
              <w:t xml:space="preserve">技术文件： </w:t>
            </w:r>
          </w:p>
          <w:p>
            <w:pPr>
              <w:snapToGrid w:val="0"/>
              <w:spacing w:line="390" w:lineRule="exact"/>
              <w:jc w:val="left"/>
              <w:rPr>
                <w:rFonts w:ascii="仿宋" w:hAnsi="仿宋" w:eastAsia="仿宋"/>
                <w:sz w:val="24"/>
              </w:rPr>
            </w:pPr>
            <w:r>
              <w:rPr>
                <w:rFonts w:hint="eastAsia" w:ascii="仿宋" w:hAnsi="仿宋" w:eastAsia="仿宋"/>
                <w:sz w:val="24"/>
              </w:rPr>
              <w:t>1、项目实施</w:t>
            </w:r>
            <w:r>
              <w:rPr>
                <w:rFonts w:ascii="仿宋" w:hAnsi="仿宋" w:eastAsia="仿宋"/>
                <w:sz w:val="24"/>
              </w:rPr>
              <w:t>方案</w:t>
            </w:r>
            <w:r>
              <w:rPr>
                <w:rFonts w:hint="eastAsia" w:ascii="仿宋" w:hAnsi="仿宋" w:eastAsia="仿宋"/>
                <w:sz w:val="24"/>
              </w:rPr>
              <w:t>（格式自拟）；</w:t>
            </w:r>
          </w:p>
          <w:p>
            <w:pPr>
              <w:snapToGrid w:val="0"/>
              <w:spacing w:line="390" w:lineRule="exact"/>
              <w:jc w:val="left"/>
              <w:rPr>
                <w:rFonts w:ascii="仿宋" w:hAnsi="仿宋" w:eastAsia="仿宋"/>
                <w:sz w:val="24"/>
              </w:rPr>
            </w:pPr>
            <w:r>
              <w:rPr>
                <w:rFonts w:hint="eastAsia" w:ascii="仿宋" w:hAnsi="仿宋" w:eastAsia="仿宋"/>
                <w:sz w:val="24"/>
              </w:rPr>
              <w:t>2、项目</w:t>
            </w:r>
            <w:r>
              <w:rPr>
                <w:rFonts w:ascii="仿宋" w:hAnsi="仿宋" w:eastAsia="仿宋"/>
                <w:sz w:val="24"/>
              </w:rPr>
              <w:t>实施人员一览表（</w:t>
            </w:r>
            <w:r>
              <w:rPr>
                <w:rFonts w:hint="eastAsia" w:ascii="仿宋" w:hAnsi="仿宋" w:eastAsia="仿宋"/>
                <w:sz w:val="24"/>
              </w:rPr>
              <w:t>格式详见第六</w:t>
            </w:r>
            <w:r>
              <w:rPr>
                <w:rFonts w:ascii="仿宋" w:hAnsi="仿宋" w:eastAsia="仿宋"/>
                <w:sz w:val="24"/>
              </w:rPr>
              <w:t>章）</w:t>
            </w:r>
            <w:r>
              <w:rPr>
                <w:rFonts w:hint="eastAsia" w:ascii="仿宋" w:hAnsi="仿宋" w:eastAsia="仿宋"/>
                <w:sz w:val="24"/>
              </w:rPr>
              <w:t>；</w:t>
            </w:r>
          </w:p>
          <w:p>
            <w:pPr>
              <w:snapToGrid w:val="0"/>
              <w:spacing w:line="390" w:lineRule="exact"/>
              <w:jc w:val="left"/>
              <w:rPr>
                <w:rFonts w:ascii="仿宋" w:hAnsi="仿宋" w:eastAsia="仿宋"/>
                <w:sz w:val="24"/>
              </w:rPr>
            </w:pPr>
            <w:r>
              <w:rPr>
                <w:rFonts w:hint="eastAsia" w:ascii="仿宋" w:hAnsi="仿宋" w:eastAsia="仿宋"/>
                <w:sz w:val="24"/>
              </w:rPr>
              <w:t>3、投标人对本项目的合理化建议和改进措施（格式自拟）；</w:t>
            </w:r>
          </w:p>
          <w:p>
            <w:pPr>
              <w:snapToGrid w:val="0"/>
              <w:spacing w:line="390" w:lineRule="exact"/>
              <w:jc w:val="left"/>
              <w:rPr>
                <w:rFonts w:ascii="仿宋" w:hAnsi="仿宋" w:eastAsia="仿宋"/>
                <w:bCs/>
                <w:sz w:val="24"/>
              </w:rPr>
            </w:pPr>
            <w:r>
              <w:rPr>
                <w:rFonts w:hint="eastAsia" w:ascii="仿宋" w:hAnsi="仿宋" w:eastAsia="仿宋"/>
                <w:sz w:val="24"/>
              </w:rPr>
              <w:t>4、除招标文件规定必须提供以外，投标人需要说明的其他文件和说明（格式自拟）。</w:t>
            </w:r>
          </w:p>
          <w:p>
            <w:pPr>
              <w:snapToGrid w:val="0"/>
              <w:spacing w:line="390" w:lineRule="exact"/>
              <w:ind w:firstLine="482" w:firstLineChars="200"/>
              <w:jc w:val="left"/>
              <w:rPr>
                <w:rFonts w:ascii="仿宋" w:hAnsi="仿宋" w:eastAsia="仿宋"/>
                <w:b/>
                <w:bCs/>
                <w:sz w:val="24"/>
              </w:rPr>
            </w:pPr>
            <w:r>
              <w:rPr>
                <w:rFonts w:hint="eastAsia" w:ascii="仿宋" w:hAnsi="仿宋" w:eastAsia="仿宋"/>
                <w:b/>
                <w:bCs/>
                <w:sz w:val="24"/>
              </w:rPr>
              <w:t>注：以上标明“必须提供”的材料属于复印件的，必须加盖投标人公章，否则按无效投标</w:t>
            </w:r>
            <w:r>
              <w:rPr>
                <w:rFonts w:hint="eastAsia" w:ascii="仿宋" w:hAnsi="仿宋" w:eastAsia="仿宋" w:cs="Courier New"/>
                <w:b/>
                <w:sz w:val="24"/>
              </w:rPr>
              <w:t>处理</w:t>
            </w:r>
            <w:r>
              <w:rPr>
                <w:rFonts w:hint="eastAsia" w:ascii="仿宋" w:hAnsi="仿宋" w:eastAsia="仿宋"/>
                <w:b/>
                <w:bCs/>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ascii="仿宋" w:hAnsi="仿宋" w:eastAsia="仿宋"/>
                <w:sz w:val="24"/>
              </w:rPr>
            </w:pPr>
            <w:bookmarkStart w:id="122" w:name="_13.5"/>
            <w:bookmarkEnd w:id="122"/>
            <w:bookmarkStart w:id="123" w:name="_16.2"/>
            <w:bookmarkEnd w:id="123"/>
            <w:r>
              <w:rPr>
                <w:rFonts w:hint="eastAsia" w:ascii="仿宋" w:hAnsi="仿宋" w:eastAsia="仿宋"/>
                <w:sz w:val="24"/>
              </w:rPr>
              <w:t>16</w:t>
            </w:r>
            <w:bookmarkStart w:id="124" w:name="_Hlt19194066"/>
            <w:bookmarkStart w:id="125" w:name="_Hlt19194067"/>
            <w:bookmarkStart w:id="126" w:name="_Hlt19693759"/>
            <w:bookmarkStart w:id="127" w:name="_Hlt19693758"/>
            <w:r>
              <w:rPr>
                <w:rFonts w:hint="eastAsia" w:ascii="仿宋" w:hAnsi="仿宋" w:eastAsia="仿宋"/>
                <w:sz w:val="24"/>
              </w:rPr>
              <w:t>.</w:t>
            </w:r>
            <w:bookmarkEnd w:id="124"/>
            <w:bookmarkEnd w:id="125"/>
            <w:bookmarkEnd w:id="126"/>
            <w:bookmarkEnd w:id="127"/>
            <w:r>
              <w:rPr>
                <w:rFonts w:hint="eastAsia" w:ascii="仿宋" w:hAnsi="仿宋" w:eastAsia="仿宋"/>
                <w:sz w:val="24"/>
              </w:rPr>
              <w:t>2</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left"/>
              <w:rPr>
                <w:rFonts w:ascii="仿宋" w:hAnsi="仿宋" w:eastAsia="仿宋"/>
                <w:b/>
                <w:sz w:val="24"/>
              </w:rPr>
            </w:pPr>
            <w:r>
              <w:rPr>
                <w:rFonts w:hint="eastAsia" w:ascii="仿宋" w:hAnsi="仿宋" w:eastAsia="仿宋" w:cs="仿宋"/>
                <w:sz w:val="24"/>
              </w:rPr>
              <w:t>投标报价是履行合同的最终价格，即满足全部采购需求所应提供的服务的价格；本次报价为按要求完成服务的全部价格，报价须为人民币报价，包含产品价、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中标供应商没有列入的项目费用，并认为此项目的费用已包括在投标报价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ascii="仿宋" w:hAnsi="仿宋" w:eastAsia="仿宋"/>
                <w:sz w:val="24"/>
              </w:rPr>
            </w:pPr>
            <w:bookmarkStart w:id="128" w:name="_17.1"/>
            <w:bookmarkEnd w:id="128"/>
            <w:r>
              <w:rPr>
                <w:rFonts w:hint="eastAsia" w:ascii="仿宋" w:hAnsi="仿宋" w:eastAsia="仿宋"/>
                <w:sz w:val="24"/>
              </w:rPr>
              <w:t>17.</w:t>
            </w:r>
            <w:r>
              <w:rPr>
                <w:rFonts w:ascii="仿宋" w:hAnsi="仿宋" w:eastAsia="仿宋"/>
                <w:sz w:val="24"/>
              </w:rPr>
              <w:t>2</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rPr>
                <w:rFonts w:ascii="仿宋" w:hAnsi="仿宋" w:eastAsia="仿宋"/>
                <w:sz w:val="24"/>
              </w:rPr>
            </w:pPr>
            <w:r>
              <w:rPr>
                <w:rFonts w:hint="eastAsia" w:ascii="仿宋" w:hAnsi="仿宋" w:eastAsia="仿宋"/>
                <w:sz w:val="24"/>
              </w:rPr>
              <w:t>投标有效期：投标截止之日起60天内。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ascii="仿宋" w:hAnsi="仿宋" w:eastAsia="仿宋"/>
                <w:sz w:val="24"/>
              </w:rPr>
            </w:pPr>
            <w:bookmarkStart w:id="129" w:name="_18"/>
            <w:bookmarkEnd w:id="129"/>
            <w:r>
              <w:rPr>
                <w:rFonts w:hint="eastAsia" w:ascii="仿宋" w:hAnsi="仿宋" w:eastAsia="仿宋"/>
                <w:sz w:val="24"/>
              </w:rPr>
              <w:t>18</w:t>
            </w:r>
            <w:r>
              <w:rPr>
                <w:rFonts w:ascii="仿宋" w:hAnsi="仿宋" w:eastAsia="仿宋"/>
                <w:sz w:val="24"/>
              </w:rPr>
              <w:t>.1</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90" w:lineRule="exact"/>
              <w:textAlignment w:val="bottom"/>
              <w:rPr>
                <w:rFonts w:ascii="仿宋" w:hAnsi="仿宋" w:eastAsia="仿宋"/>
                <w:sz w:val="24"/>
              </w:rPr>
            </w:pPr>
            <w:r>
              <w:rPr>
                <w:rFonts w:ascii="仿宋" w:hAnsi="仿宋" w:eastAsia="仿宋"/>
                <w:sz w:val="24"/>
              </w:rPr>
              <w:fldChar w:fldCharType="begin"/>
            </w:r>
            <w:r>
              <w:rPr>
                <w:rFonts w:hint="eastAsia" w:ascii="仿宋" w:hAnsi="仿宋" w:eastAsia="仿宋"/>
                <w:sz w:val="24"/>
              </w:rPr>
              <w:instrText xml:space="preserve">eq \o\ac(□,</w:instrText>
            </w:r>
            <w:r>
              <w:rPr>
                <w:rFonts w:hint="eastAsia" w:ascii="仿宋" w:hAnsi="仿宋" w:eastAsia="仿宋"/>
                <w:position w:val="2"/>
                <w:sz w:val="24"/>
              </w:rPr>
              <w:instrText xml:space="preserve">√</w:instrText>
            </w:r>
            <w:r>
              <w:rPr>
                <w:rFonts w:hint="eastAsia" w:ascii="仿宋" w:hAnsi="仿宋" w:eastAsia="仿宋"/>
                <w:sz w:val="24"/>
              </w:rPr>
              <w:instrText xml:space="preserve">)</w:instrText>
            </w:r>
            <w:r>
              <w:rPr>
                <w:rFonts w:ascii="仿宋" w:hAnsi="仿宋" w:eastAsia="仿宋"/>
                <w:sz w:val="24"/>
              </w:rPr>
              <w:fldChar w:fldCharType="end"/>
            </w:r>
            <w:r>
              <w:rPr>
                <w:rFonts w:hint="eastAsia" w:ascii="仿宋" w:hAnsi="仿宋" w:eastAsia="仿宋"/>
                <w:sz w:val="24"/>
              </w:rPr>
              <w:t>本项目不收取投标保证金。</w:t>
            </w:r>
          </w:p>
          <w:p>
            <w:pPr>
              <w:snapToGrid w:val="0"/>
              <w:spacing w:line="390" w:lineRule="exact"/>
              <w:rPr>
                <w:rFonts w:ascii="仿宋" w:hAnsi="仿宋" w:eastAsia="仿宋"/>
                <w:sz w:val="24"/>
              </w:rPr>
            </w:pPr>
            <w:r>
              <w:rPr>
                <w:rFonts w:hint="eastAsia" w:ascii="仿宋" w:hAnsi="仿宋" w:eastAsia="仿宋"/>
                <w:sz w:val="24"/>
              </w:rPr>
              <w:t>□本项目收取投标保证金，具体规定如下：</w:t>
            </w:r>
          </w:p>
          <w:p>
            <w:pPr>
              <w:snapToGrid w:val="0"/>
              <w:spacing w:line="390" w:lineRule="exact"/>
              <w:rPr>
                <w:rFonts w:ascii="仿宋" w:hAnsi="仿宋" w:eastAsia="仿宋"/>
                <w:sz w:val="24"/>
              </w:rPr>
            </w:pPr>
            <w:r>
              <w:rPr>
                <w:rFonts w:hint="eastAsia" w:ascii="仿宋" w:hAnsi="仿宋" w:eastAsia="仿宋" w:cs="宋体"/>
                <w:kern w:val="0"/>
                <w:sz w:val="24"/>
              </w:rPr>
              <w:t>投标保证金人民币</w:t>
            </w:r>
            <w:r>
              <w:rPr>
                <w:rFonts w:ascii="仿宋" w:hAnsi="仿宋" w:eastAsia="仿宋"/>
                <w:sz w:val="24"/>
                <w:u w:val="single"/>
              </w:rPr>
              <w:t xml:space="preserve"> / </w:t>
            </w:r>
            <w:r>
              <w:rPr>
                <w:rFonts w:hint="eastAsia" w:ascii="仿宋" w:hAnsi="仿宋" w:eastAsia="仿宋"/>
                <w:sz w:val="24"/>
              </w:rPr>
              <w:t>万元；</w:t>
            </w:r>
          </w:p>
          <w:p>
            <w:pPr>
              <w:snapToGrid w:val="0"/>
              <w:spacing w:line="390" w:lineRule="exact"/>
              <w:rPr>
                <w:rFonts w:ascii="仿宋" w:hAnsi="仿宋" w:eastAsia="仿宋"/>
                <w:sz w:val="24"/>
              </w:rPr>
            </w:pPr>
            <w:r>
              <w:rPr>
                <w:rFonts w:hint="eastAsia" w:ascii="仿宋" w:hAnsi="仿宋" w:eastAsia="仿宋" w:cs="宋体"/>
                <w:kern w:val="0"/>
                <w:sz w:val="24"/>
              </w:rPr>
              <w:t>投标保证金的交纳方式：银行转账、支票、汇票、本票或者金融、担保机构出具的保函，禁止采用现钞方式。采用银行转账方式的，在投标截止时间前交至指定账户并且到账（</w:t>
            </w:r>
            <w:r>
              <w:rPr>
                <w:rFonts w:hint="eastAsia" w:ascii="仿宋" w:hAnsi="仿宋" w:eastAsia="仿宋" w:cs="宋体"/>
                <w:sz w:val="24"/>
              </w:rPr>
              <w:t>开户名称：</w:t>
            </w:r>
            <w:r>
              <w:rPr>
                <w:rFonts w:ascii="仿宋" w:hAnsi="仿宋" w:eastAsia="仿宋" w:cs="宋体"/>
                <w:sz w:val="24"/>
                <w:u w:val="single"/>
              </w:rPr>
              <w:t xml:space="preserve">  /   </w:t>
            </w:r>
            <w:r>
              <w:rPr>
                <w:rFonts w:hint="eastAsia" w:ascii="仿宋" w:hAnsi="仿宋" w:eastAsia="仿宋" w:cs="宋体"/>
                <w:sz w:val="24"/>
              </w:rPr>
              <w:t>，开户银行：</w:t>
            </w:r>
            <w:r>
              <w:rPr>
                <w:rFonts w:ascii="仿宋" w:hAnsi="仿宋" w:eastAsia="仿宋" w:cs="宋体"/>
                <w:sz w:val="24"/>
                <w:u w:val="single"/>
              </w:rPr>
              <w:t xml:space="preserve">  /   </w:t>
            </w:r>
            <w:r>
              <w:rPr>
                <w:rFonts w:hint="eastAsia" w:ascii="仿宋" w:hAnsi="仿宋" w:eastAsia="仿宋" w:cs="宋体"/>
                <w:sz w:val="24"/>
              </w:rPr>
              <w:t>，银行账号：</w:t>
            </w:r>
            <w:r>
              <w:rPr>
                <w:rFonts w:ascii="仿宋" w:hAnsi="仿宋" w:eastAsia="仿宋" w:cs="宋体"/>
                <w:sz w:val="24"/>
                <w:u w:val="single"/>
              </w:rPr>
              <w:t xml:space="preserve">    /   </w:t>
            </w:r>
            <w:r>
              <w:rPr>
                <w:rFonts w:hint="eastAsia" w:ascii="仿宋" w:hAnsi="仿宋" w:eastAsia="仿宋" w:cs="宋体"/>
                <w:kern w:val="0"/>
                <w:sz w:val="24"/>
              </w:rPr>
              <w:t>）；采用支票、汇票、本票或者保函等方式的，在投标截止时间前，投标人必须递交支票、汇票、本票或者保函原件。否则视为无效投标保证金。</w:t>
            </w:r>
          </w:p>
          <w:p>
            <w:pPr>
              <w:snapToGrid w:val="0"/>
              <w:spacing w:line="390" w:lineRule="exact"/>
              <w:rPr>
                <w:rFonts w:ascii="仿宋" w:hAnsi="仿宋" w:eastAsia="仿宋"/>
                <w:sz w:val="24"/>
              </w:rPr>
            </w:pPr>
            <w:r>
              <w:rPr>
                <w:rFonts w:hint="eastAsia" w:ascii="仿宋" w:hAnsi="仿宋" w:eastAsia="仿宋"/>
                <w:sz w:val="24"/>
              </w:rPr>
              <w:t>相关要求：</w:t>
            </w:r>
          </w:p>
          <w:p>
            <w:pPr>
              <w:pStyle w:val="15"/>
              <w:spacing w:line="390" w:lineRule="exact"/>
              <w:rPr>
                <w:rFonts w:ascii="仿宋" w:hAnsi="仿宋" w:eastAsia="仿宋"/>
                <w:sz w:val="24"/>
              </w:rPr>
            </w:pPr>
            <w:r>
              <w:rPr>
                <w:rFonts w:hint="eastAsia" w:ascii="仿宋" w:hAnsi="仿宋" w:eastAsia="仿宋"/>
                <w:sz w:val="24"/>
              </w:rPr>
              <w:t>1、投标保证金采用银行转账交纳方式的，在投标截止时间前交至指定账户并且到账，投标人应将银行转账底单的复印件作为投标保证金提交凭证，</w:t>
            </w:r>
            <w:r>
              <w:rPr>
                <w:rFonts w:ascii="仿宋" w:hAnsi="仿宋" w:eastAsia="仿宋"/>
                <w:sz w:val="24"/>
              </w:rPr>
              <w:t>放置于</w:t>
            </w:r>
            <w:r>
              <w:rPr>
                <w:rFonts w:hint="eastAsia" w:ascii="仿宋" w:hAnsi="仿宋" w:eastAsia="仿宋"/>
                <w:sz w:val="24"/>
              </w:rPr>
              <w:t>商务文件</w:t>
            </w:r>
            <w:r>
              <w:rPr>
                <w:rFonts w:ascii="仿宋" w:hAnsi="仿宋" w:eastAsia="仿宋"/>
                <w:sz w:val="24"/>
              </w:rPr>
              <w:t>中</w:t>
            </w:r>
            <w:r>
              <w:rPr>
                <w:rFonts w:hint="eastAsia" w:ascii="仿宋" w:hAnsi="仿宋" w:eastAsia="仿宋"/>
                <w:sz w:val="24"/>
              </w:rPr>
              <w:t>，</w:t>
            </w:r>
            <w:r>
              <w:rPr>
                <w:rFonts w:hint="eastAsia" w:ascii="仿宋" w:hAnsi="仿宋" w:eastAsia="仿宋"/>
                <w:b/>
                <w:sz w:val="24"/>
              </w:rPr>
              <w:t>否则投标无效</w:t>
            </w:r>
            <w:r>
              <w:rPr>
                <w:rFonts w:hint="eastAsia" w:ascii="仿宋" w:hAnsi="仿宋" w:eastAsia="仿宋"/>
                <w:sz w:val="24"/>
              </w:rPr>
              <w:t>。</w:t>
            </w:r>
          </w:p>
          <w:p>
            <w:pPr>
              <w:snapToGrid w:val="0"/>
              <w:spacing w:line="390" w:lineRule="exact"/>
              <w:rPr>
                <w:rFonts w:ascii="仿宋" w:hAnsi="仿宋" w:eastAsia="仿宋"/>
                <w:sz w:val="24"/>
              </w:rPr>
            </w:pPr>
            <w:r>
              <w:rPr>
                <w:rFonts w:hint="eastAsia" w:ascii="仿宋" w:hAnsi="仿宋" w:eastAsia="仿宋"/>
                <w:sz w:val="24"/>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仿宋" w:hAnsi="仿宋" w:eastAsia="仿宋"/>
                <w:b/>
                <w:sz w:val="24"/>
              </w:rPr>
              <w:t>否则投标无效</w:t>
            </w:r>
            <w:r>
              <w:rPr>
                <w:rFonts w:hint="eastAsia" w:ascii="仿宋" w:hAnsi="仿宋" w:eastAsia="仿宋"/>
                <w:sz w:val="24"/>
              </w:rPr>
              <w:t>。</w:t>
            </w:r>
            <w:r>
              <w:rPr>
                <w:rFonts w:hint="eastAsia" w:ascii="仿宋" w:hAnsi="仿宋" w:eastAsia="仿宋"/>
                <w:b/>
                <w:sz w:val="24"/>
              </w:rPr>
              <w:t>投标人必须在投标截止时间前将支票、汇票、本票或者金融、担保机构出具的保函原件提交给采购代理机构，由采购代理机构向投标人出具回执，并妥善保管。</w:t>
            </w:r>
          </w:p>
          <w:p>
            <w:pPr>
              <w:snapToGrid w:val="0"/>
              <w:spacing w:line="390" w:lineRule="exact"/>
              <w:rPr>
                <w:rFonts w:ascii="仿宋" w:hAnsi="仿宋" w:eastAsia="仿宋"/>
                <w:sz w:val="24"/>
              </w:rPr>
            </w:pPr>
            <w:r>
              <w:rPr>
                <w:rFonts w:hint="eastAsia" w:ascii="仿宋" w:hAnsi="仿宋" w:eastAsia="仿宋" w:cs="宋体"/>
                <w:sz w:val="24"/>
              </w:rPr>
              <w:t>3、投标人为联合体的，可以由联合体中的一方或者多方共同交纳投标保证金，其交纳的保证金对联合体各方均具有约束力。</w:t>
            </w:r>
          </w:p>
          <w:p>
            <w:pPr>
              <w:snapToGrid w:val="0"/>
              <w:spacing w:line="390" w:lineRule="exact"/>
              <w:rPr>
                <w:rFonts w:ascii="仿宋" w:hAnsi="仿宋" w:eastAsia="仿宋"/>
                <w:b/>
                <w:sz w:val="24"/>
              </w:rPr>
            </w:pPr>
            <w:r>
              <w:rPr>
                <w:rFonts w:hint="eastAsia" w:ascii="仿宋" w:hAnsi="仿宋" w:eastAsia="仿宋"/>
                <w:b/>
                <w:sz w:val="24"/>
              </w:rPr>
              <w:t xml:space="preserve">备注： </w:t>
            </w:r>
          </w:p>
          <w:p>
            <w:pPr>
              <w:snapToGrid w:val="0"/>
              <w:spacing w:line="390" w:lineRule="exact"/>
              <w:rPr>
                <w:rFonts w:ascii="仿宋" w:hAnsi="仿宋" w:eastAsia="仿宋"/>
                <w:b/>
                <w:sz w:val="24"/>
              </w:rPr>
            </w:pPr>
            <w:r>
              <w:rPr>
                <w:rFonts w:hint="eastAsia" w:ascii="仿宋" w:hAnsi="仿宋" w:eastAsia="仿宋"/>
                <w:b/>
                <w:sz w:val="24"/>
              </w:rPr>
              <w:t>1、投标保证金在投标截止时间后提交的，或者不按规定交纳方式交纳的，或者未足额交纳的（包含保函额度不足的），视为无效投标保证金。</w:t>
            </w:r>
          </w:p>
          <w:p>
            <w:pPr>
              <w:snapToGrid w:val="0"/>
              <w:spacing w:line="390" w:lineRule="exact"/>
              <w:rPr>
                <w:rFonts w:ascii="仿宋" w:hAnsi="仿宋" w:eastAsia="仿宋"/>
                <w:b/>
                <w:sz w:val="24"/>
              </w:rPr>
            </w:pPr>
            <w:r>
              <w:rPr>
                <w:rFonts w:hint="eastAsia" w:ascii="仿宋" w:hAnsi="仿宋" w:eastAsia="仿宋"/>
                <w:b/>
                <w:sz w:val="24"/>
              </w:rPr>
              <w:t>2、投标人采用现钞方式或者从个人账户（自然人投标除外）转出的投标保证金，视为无效投标保证金。</w:t>
            </w:r>
          </w:p>
          <w:p>
            <w:pPr>
              <w:snapToGrid w:val="0"/>
              <w:spacing w:line="390" w:lineRule="exact"/>
              <w:rPr>
                <w:rFonts w:ascii="仿宋" w:hAnsi="仿宋" w:eastAsia="仿宋"/>
                <w:b/>
                <w:sz w:val="24"/>
              </w:rPr>
            </w:pPr>
            <w:r>
              <w:rPr>
                <w:rFonts w:hint="eastAsia" w:ascii="仿宋" w:hAnsi="仿宋" w:eastAsia="仿宋"/>
                <w:b/>
                <w:sz w:val="24"/>
              </w:rPr>
              <w:t>3、支票、汇票或者本票出现无效或者背书情形的，视为无效投标保证金。</w:t>
            </w:r>
          </w:p>
          <w:p>
            <w:pPr>
              <w:snapToGrid w:val="0"/>
              <w:spacing w:line="390" w:lineRule="exact"/>
              <w:rPr>
                <w:rFonts w:ascii="仿宋" w:hAnsi="仿宋" w:eastAsia="仿宋"/>
                <w:b/>
                <w:sz w:val="24"/>
              </w:rPr>
            </w:pPr>
            <w:r>
              <w:rPr>
                <w:rFonts w:hint="eastAsia" w:ascii="仿宋" w:hAnsi="仿宋" w:eastAsia="仿宋"/>
                <w:b/>
                <w:sz w:val="24"/>
              </w:rPr>
              <w:t>4、保函有效期低于投标有效期的，视为无效投标保证金。</w:t>
            </w:r>
          </w:p>
          <w:p>
            <w:pPr>
              <w:snapToGrid w:val="0"/>
              <w:spacing w:line="390" w:lineRule="exact"/>
              <w:rPr>
                <w:rFonts w:ascii="仿宋" w:hAnsi="仿宋" w:eastAsia="仿宋"/>
                <w:b/>
                <w:sz w:val="24"/>
              </w:rPr>
            </w:pPr>
            <w:r>
              <w:rPr>
                <w:rFonts w:hint="eastAsia" w:ascii="仿宋" w:hAnsi="仿宋" w:eastAsia="仿宋"/>
                <w:b/>
                <w:sz w:val="24"/>
              </w:rPr>
              <w:t>5、采用金融、担保机构出具保函的，必须为无条件保函，否则视为无效投标保证金。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ascii="仿宋" w:hAnsi="仿宋" w:eastAsia="仿宋"/>
                <w:sz w:val="24"/>
              </w:rPr>
            </w:pPr>
            <w:bookmarkStart w:id="130" w:name="_19.2"/>
            <w:bookmarkEnd w:id="130"/>
            <w:r>
              <w:rPr>
                <w:rFonts w:hint="eastAsia" w:ascii="仿宋" w:hAnsi="仿宋" w:eastAsia="仿宋"/>
                <w:sz w:val="24"/>
              </w:rPr>
              <w:t>19.2</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90" w:lineRule="exact"/>
              <w:textAlignment w:val="bottom"/>
              <w:rPr>
                <w:rFonts w:ascii="仿宋" w:hAnsi="仿宋" w:eastAsia="仿宋"/>
                <w:sz w:val="24"/>
              </w:rPr>
            </w:pPr>
            <w:r>
              <w:rPr>
                <w:rFonts w:hint="eastAsia" w:ascii="仿宋" w:hAnsi="仿宋" w:eastAsia="仿宋"/>
                <w:sz w:val="24"/>
              </w:rPr>
              <w:t>投标文件应按报价文件、资格证明文件、商务文件、技术文件分别编制，</w:t>
            </w:r>
            <w:r>
              <w:rPr>
                <w:rFonts w:hint="eastAsia" w:ascii="仿宋" w:hAnsi="仿宋" w:eastAsia="仿宋" w:cs="宋体"/>
                <w:sz w:val="24"/>
              </w:rPr>
              <w:t>并按“广西政府采购云平台”的要求编制、加密、上传。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ascii="仿宋" w:hAnsi="仿宋" w:eastAsia="仿宋"/>
                <w:sz w:val="24"/>
              </w:rPr>
            </w:pPr>
            <w:r>
              <w:rPr>
                <w:rFonts w:hint="eastAsia" w:ascii="仿宋" w:hAnsi="仿宋" w:eastAsia="仿宋"/>
                <w:sz w:val="24"/>
              </w:rPr>
              <w:t>20.1</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90" w:lineRule="exact"/>
              <w:textAlignment w:val="bottom"/>
              <w:rPr>
                <w:rFonts w:ascii="仿宋" w:hAnsi="仿宋" w:eastAsia="仿宋"/>
                <w:sz w:val="24"/>
              </w:rPr>
            </w:pPr>
            <w:r>
              <w:rPr>
                <w:rFonts w:hint="eastAsia" w:ascii="仿宋" w:hAnsi="仿宋" w:eastAsia="仿宋"/>
                <w:sz w:val="24"/>
              </w:rPr>
              <w:t>电子投标文件应在制作完成后，投标人应按“广西政府采购云平台”的要求进行加密，并在规定时间内解密，否则，由此产生的后果由投标人自行负责。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6" w:hRule="atLeast"/>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ascii="仿宋" w:hAnsi="仿宋" w:eastAsia="仿宋"/>
                <w:sz w:val="24"/>
              </w:rPr>
            </w:pPr>
            <w:bookmarkStart w:id="131" w:name="_21.1"/>
            <w:bookmarkEnd w:id="131"/>
            <w:r>
              <w:rPr>
                <w:rFonts w:hint="eastAsia" w:ascii="仿宋" w:hAnsi="仿宋" w:eastAsia="仿宋"/>
                <w:sz w:val="24"/>
              </w:rPr>
              <w:t>21.1</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rPr>
                <w:rFonts w:ascii="仿宋" w:hAnsi="仿宋" w:eastAsia="仿宋"/>
                <w:sz w:val="24"/>
                <w:u w:val="single"/>
              </w:rPr>
            </w:pPr>
            <w:r>
              <w:rPr>
                <w:rFonts w:hint="eastAsia" w:ascii="仿宋" w:hAnsi="仿宋" w:eastAsia="仿宋"/>
                <w:sz w:val="24"/>
              </w:rPr>
              <w:t>1、投标截止时间：详见招标公告</w:t>
            </w:r>
          </w:p>
          <w:p>
            <w:pPr>
              <w:snapToGrid w:val="0"/>
              <w:spacing w:line="390" w:lineRule="exact"/>
              <w:rPr>
                <w:rFonts w:ascii="仿宋" w:hAnsi="仿宋" w:eastAsia="仿宋"/>
                <w:sz w:val="24"/>
              </w:rPr>
            </w:pPr>
            <w:r>
              <w:rPr>
                <w:rFonts w:hint="eastAsia" w:ascii="仿宋" w:hAnsi="仿宋" w:eastAsia="仿宋"/>
                <w:sz w:val="24"/>
              </w:rPr>
              <w:t>2、投标地点：详见招标公告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ascii="仿宋" w:hAnsi="仿宋" w:eastAsia="仿宋"/>
                <w:sz w:val="24"/>
              </w:rPr>
            </w:pPr>
            <w:bookmarkStart w:id="132" w:name="_23"/>
            <w:bookmarkEnd w:id="132"/>
            <w:r>
              <w:rPr>
                <w:rFonts w:hint="eastAsia" w:ascii="仿宋" w:hAnsi="仿宋" w:eastAsia="仿宋"/>
                <w:sz w:val="24"/>
              </w:rPr>
              <w:t>23</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rPr>
                <w:rFonts w:ascii="仿宋" w:hAnsi="仿宋" w:eastAsia="仿宋"/>
                <w:sz w:val="24"/>
              </w:rPr>
            </w:pPr>
            <w:r>
              <w:rPr>
                <w:rFonts w:hint="eastAsia" w:ascii="仿宋" w:hAnsi="仿宋" w:eastAsia="仿宋"/>
                <w:sz w:val="24"/>
              </w:rPr>
              <w:t>1、开标时间：详见招标公告</w:t>
            </w:r>
          </w:p>
          <w:p>
            <w:pPr>
              <w:snapToGrid w:val="0"/>
              <w:spacing w:line="390" w:lineRule="exact"/>
              <w:rPr>
                <w:rFonts w:ascii="仿宋" w:hAnsi="仿宋" w:eastAsia="仿宋"/>
                <w:sz w:val="24"/>
              </w:rPr>
            </w:pPr>
            <w:r>
              <w:rPr>
                <w:rFonts w:hint="eastAsia" w:ascii="仿宋" w:hAnsi="仿宋" w:eastAsia="仿宋"/>
                <w:sz w:val="24"/>
              </w:rPr>
              <w:t>2、开标地点：详见招标公告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ascii="仿宋" w:hAnsi="仿宋" w:eastAsia="仿宋"/>
                <w:sz w:val="24"/>
              </w:rPr>
            </w:pPr>
            <w:r>
              <w:rPr>
                <w:rFonts w:hint="eastAsia" w:ascii="仿宋" w:hAnsi="仿宋" w:eastAsia="仿宋"/>
                <w:bCs/>
                <w:sz w:val="24"/>
              </w:rPr>
              <w:t>24.2</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90" w:lineRule="exact"/>
              <w:rPr>
                <w:rFonts w:ascii="仿宋" w:hAnsi="仿宋" w:eastAsia="仿宋"/>
                <w:sz w:val="24"/>
              </w:rPr>
            </w:pPr>
            <w:r>
              <w:rPr>
                <w:rFonts w:hint="eastAsia" w:ascii="仿宋" w:hAnsi="仿宋" w:eastAsia="仿宋"/>
                <w:bCs/>
                <w:sz w:val="24"/>
              </w:rPr>
              <w:t>“广西政府采购云平台”按开标时间自动提取所有投标文件。采购代理机构依托“广西政府采购云平台”向各投标人发出电子加密投标文件【开始解密】通知，由投标人进行投标文件解密。</w:t>
            </w:r>
            <w:r>
              <w:rPr>
                <w:rFonts w:hint="eastAsia" w:ascii="仿宋" w:hAnsi="仿宋" w:eastAsia="仿宋"/>
                <w:b/>
                <w:bCs/>
                <w:sz w:val="24"/>
              </w:rPr>
              <w:t>投标人的法定代表人或其委托代理人须携带加密时所用的CA锁准时登录到“广西政府采购云平台”电子开标大厅签到</w:t>
            </w:r>
            <w:r>
              <w:rPr>
                <w:rFonts w:hint="eastAsia" w:ascii="仿宋" w:hAnsi="仿宋" w:eastAsia="仿宋" w:cs="宋体"/>
                <w:b/>
                <w:sz w:val="24"/>
              </w:rPr>
              <w:t>并在发起解密</w:t>
            </w:r>
            <w:r>
              <w:rPr>
                <w:rFonts w:hint="eastAsia" w:ascii="仿宋" w:hAnsi="仿宋" w:eastAsia="仿宋"/>
                <w:b/>
                <w:bCs/>
                <w:sz w:val="24"/>
              </w:rPr>
              <w:t>通知</w:t>
            </w:r>
            <w:r>
              <w:rPr>
                <w:rFonts w:hint="eastAsia" w:ascii="仿宋" w:hAnsi="仿宋" w:eastAsia="仿宋" w:cs="宋体"/>
                <w:b/>
                <w:sz w:val="24"/>
              </w:rPr>
              <w:t>之时起30分钟内完成</w:t>
            </w:r>
            <w:r>
              <w:rPr>
                <w:rFonts w:hint="eastAsia" w:ascii="仿宋" w:hAnsi="仿宋" w:eastAsia="仿宋"/>
                <w:b/>
                <w:bCs/>
                <w:sz w:val="24"/>
              </w:rPr>
              <w:t>对电子投标文件解密。投标文件未按时解密的，视为无效投标。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ascii="仿宋" w:hAnsi="仿宋" w:eastAsia="仿宋"/>
                <w:sz w:val="24"/>
              </w:rPr>
            </w:pPr>
            <w:bookmarkStart w:id="133" w:name="_25.3"/>
            <w:bookmarkEnd w:id="133"/>
            <w:r>
              <w:rPr>
                <w:rFonts w:hint="eastAsia" w:ascii="仿宋" w:hAnsi="仿宋" w:eastAsia="仿宋"/>
                <w:sz w:val="24"/>
              </w:rPr>
              <w:t>25.3（3）</w:t>
            </w:r>
          </w:p>
        </w:tc>
        <w:tc>
          <w:tcPr>
            <w:tcW w:w="9275" w:type="dxa"/>
            <w:tcBorders>
              <w:top w:val="single" w:color="auto" w:sz="4" w:space="0"/>
              <w:left w:val="single" w:color="auto" w:sz="4" w:space="0"/>
              <w:bottom w:val="single" w:color="auto" w:sz="4" w:space="0"/>
              <w:right w:val="single" w:color="auto" w:sz="4" w:space="0"/>
            </w:tcBorders>
            <w:vAlign w:val="center"/>
          </w:tcPr>
          <w:p>
            <w:pPr>
              <w:wordWrap w:val="0"/>
              <w:snapToGrid w:val="0"/>
              <w:spacing w:line="390" w:lineRule="exact"/>
              <w:rPr>
                <w:rFonts w:ascii="仿宋" w:hAnsi="仿宋" w:eastAsia="仿宋"/>
                <w:sz w:val="24"/>
              </w:rPr>
            </w:pPr>
            <w:r>
              <w:rPr>
                <w:rFonts w:hint="eastAsia" w:ascii="仿宋" w:hAnsi="仿宋" w:eastAsia="仿宋"/>
                <w:sz w:val="24"/>
              </w:rPr>
              <w:t>采购人或者采购代理机构在资格审查结束前，对投标人进行信用查询。</w:t>
            </w:r>
          </w:p>
          <w:p>
            <w:pPr>
              <w:wordWrap w:val="0"/>
              <w:snapToGrid w:val="0"/>
              <w:spacing w:line="390" w:lineRule="exact"/>
              <w:rPr>
                <w:rFonts w:ascii="仿宋" w:hAnsi="仿宋" w:eastAsia="仿宋"/>
                <w:sz w:val="24"/>
              </w:rPr>
            </w:pPr>
            <w:r>
              <w:rPr>
                <w:rFonts w:hint="eastAsia" w:ascii="仿宋" w:hAnsi="仿宋" w:eastAsia="仿宋"/>
                <w:sz w:val="24"/>
              </w:rPr>
              <w:t>查询渠道：</w:t>
            </w:r>
            <w:r>
              <w:rPr>
                <w:rFonts w:ascii="仿宋" w:hAnsi="仿宋" w:eastAsia="仿宋"/>
                <w:sz w:val="24"/>
              </w:rPr>
              <w:t>“信用中国”网站（www.creditchina.gov.cn）、中国政府采购网（</w:t>
            </w:r>
            <w:r>
              <w:fldChar w:fldCharType="begin"/>
            </w:r>
            <w:r>
              <w:instrText xml:space="preserve"> HYPERLINK "http://www.ccgp.gov.cn" </w:instrText>
            </w:r>
            <w:r>
              <w:fldChar w:fldCharType="separate"/>
            </w:r>
            <w:r>
              <w:rPr>
                <w:rStyle w:val="51"/>
                <w:rFonts w:ascii="仿宋" w:hAnsi="仿宋" w:eastAsia="仿宋"/>
                <w:color w:val="auto"/>
                <w:sz w:val="24"/>
              </w:rPr>
              <w:t>www.ccgp.gov.cn</w:t>
            </w:r>
            <w:r>
              <w:rPr>
                <w:rStyle w:val="51"/>
                <w:rFonts w:ascii="仿宋" w:hAnsi="仿宋" w:eastAsia="仿宋"/>
                <w:color w:val="auto"/>
                <w:sz w:val="24"/>
              </w:rPr>
              <w:fldChar w:fldCharType="end"/>
            </w:r>
            <w:r>
              <w:rPr>
                <w:rFonts w:ascii="仿宋" w:hAnsi="仿宋" w:eastAsia="仿宋"/>
                <w:sz w:val="24"/>
              </w:rPr>
              <w:t>）</w:t>
            </w:r>
            <w:r>
              <w:rPr>
                <w:rFonts w:hint="eastAsia" w:ascii="仿宋" w:hAnsi="仿宋" w:eastAsia="仿宋"/>
                <w:sz w:val="24"/>
              </w:rPr>
              <w:t>。</w:t>
            </w:r>
          </w:p>
          <w:p>
            <w:pPr>
              <w:wordWrap w:val="0"/>
              <w:snapToGrid w:val="0"/>
              <w:spacing w:line="390" w:lineRule="exact"/>
              <w:rPr>
                <w:rFonts w:ascii="仿宋" w:hAnsi="仿宋" w:eastAsia="仿宋"/>
                <w:sz w:val="24"/>
              </w:rPr>
            </w:pPr>
            <w:r>
              <w:rPr>
                <w:rFonts w:hint="eastAsia" w:ascii="仿宋" w:hAnsi="仿宋" w:eastAsia="仿宋"/>
                <w:sz w:val="24"/>
              </w:rPr>
              <w:t>信用查询截止时点：</w:t>
            </w:r>
            <w:r>
              <w:rPr>
                <w:rFonts w:ascii="仿宋" w:hAnsi="仿宋" w:eastAsia="仿宋" w:cs="宋体"/>
                <w:sz w:val="24"/>
              </w:rPr>
              <w:t>资格审查结束前</w:t>
            </w:r>
            <w:r>
              <w:rPr>
                <w:rFonts w:hint="eastAsia" w:ascii="仿宋" w:hAnsi="仿宋" w:eastAsia="仿宋" w:cs="宋体"/>
                <w:sz w:val="24"/>
              </w:rPr>
              <w:t>。</w:t>
            </w:r>
          </w:p>
          <w:p>
            <w:pPr>
              <w:wordWrap w:val="0"/>
              <w:snapToGrid w:val="0"/>
              <w:spacing w:line="390" w:lineRule="exact"/>
              <w:rPr>
                <w:rFonts w:ascii="仿宋" w:hAnsi="仿宋" w:eastAsia="仿宋"/>
                <w:sz w:val="24"/>
              </w:rPr>
            </w:pPr>
            <w:r>
              <w:rPr>
                <w:rFonts w:hint="eastAsia" w:ascii="仿宋" w:hAnsi="仿宋" w:eastAsia="仿宋"/>
                <w:sz w:val="24"/>
              </w:rPr>
              <w:t>查询记录和证据留存方式：</w:t>
            </w:r>
            <w:r>
              <w:rPr>
                <w:rFonts w:hint="eastAsia" w:ascii="仿宋" w:hAnsi="仿宋" w:eastAsia="仿宋" w:cs="宋体"/>
                <w:sz w:val="24"/>
              </w:rPr>
              <w:t>将查询网站中的查询记录截图并作为评审资料保存。</w:t>
            </w:r>
          </w:p>
          <w:p>
            <w:pPr>
              <w:wordWrap w:val="0"/>
              <w:snapToGrid w:val="0"/>
              <w:spacing w:line="390" w:lineRule="exact"/>
              <w:rPr>
                <w:rFonts w:ascii="仿宋" w:hAnsi="仿宋" w:eastAsia="仿宋"/>
                <w:b/>
                <w:sz w:val="24"/>
              </w:rPr>
            </w:pPr>
            <w:r>
              <w:rPr>
                <w:rFonts w:hint="eastAsia" w:ascii="仿宋" w:hAnsi="仿宋" w:eastAsia="仿宋"/>
                <w:sz w:val="24"/>
              </w:rPr>
              <w:t>信用信息使用规则：根据财政部《关于在政府采购活动中查询及使用信用记录有关问题的通知》（财库〔2016〕125号）的规定，</w:t>
            </w:r>
            <w:r>
              <w:rPr>
                <w:rFonts w:hint="eastAsia" w:ascii="仿宋" w:hAnsi="仿宋" w:eastAsia="仿宋" w:cs="宋体"/>
                <w:sz w:val="24"/>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ascii="仿宋" w:hAnsi="仿宋" w:eastAsia="仿宋"/>
                <w:sz w:val="24"/>
              </w:rPr>
            </w:pPr>
            <w:bookmarkStart w:id="134" w:name="_26"/>
            <w:bookmarkEnd w:id="134"/>
            <w:r>
              <w:rPr>
                <w:rFonts w:hint="eastAsia" w:ascii="仿宋" w:hAnsi="仿宋" w:eastAsia="仿宋"/>
                <w:sz w:val="24"/>
              </w:rPr>
              <w:t>26</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90" w:lineRule="exact"/>
              <w:textAlignment w:val="bottom"/>
              <w:rPr>
                <w:rFonts w:ascii="仿宋" w:hAnsi="仿宋" w:eastAsia="仿宋"/>
                <w:sz w:val="24"/>
              </w:rPr>
            </w:pPr>
            <w:r>
              <w:rPr>
                <w:rFonts w:hint="eastAsia" w:ascii="仿宋" w:hAnsi="仿宋" w:eastAsia="仿宋"/>
                <w:sz w:val="24"/>
              </w:rPr>
              <w:t>评标委员会的人数：5人或5人以上单数。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ascii="仿宋" w:hAnsi="仿宋" w:eastAsia="仿宋"/>
                <w:sz w:val="24"/>
              </w:rPr>
            </w:pPr>
            <w:bookmarkStart w:id="135" w:name="_28.3"/>
            <w:bookmarkEnd w:id="135"/>
            <w:r>
              <w:rPr>
                <w:rFonts w:ascii="仿宋" w:hAnsi="仿宋" w:eastAsia="仿宋"/>
                <w:sz w:val="24"/>
              </w:rPr>
              <w:t>29.1</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90" w:lineRule="exact"/>
              <w:textAlignment w:val="bottom"/>
              <w:rPr>
                <w:rFonts w:ascii="仿宋" w:hAnsi="仿宋" w:eastAsia="仿宋"/>
                <w:sz w:val="24"/>
              </w:rPr>
            </w:pPr>
            <w:r>
              <w:rPr>
                <w:rFonts w:hint="eastAsia" w:ascii="仿宋" w:hAnsi="仿宋" w:eastAsia="仿宋"/>
                <w:sz w:val="24"/>
              </w:rPr>
              <w:t>评标方法：</w:t>
            </w:r>
            <w:r>
              <w:rPr>
                <w:rFonts w:ascii="仿宋" w:hAnsi="仿宋" w:eastAsia="仿宋"/>
                <w:sz w:val="24"/>
              </w:rPr>
              <w:fldChar w:fldCharType="begin"/>
            </w:r>
            <w:r>
              <w:rPr>
                <w:rFonts w:hint="eastAsia" w:ascii="仿宋" w:hAnsi="仿宋" w:eastAsia="仿宋"/>
                <w:sz w:val="24"/>
              </w:rPr>
              <w:instrText xml:space="preserve">eq \o\ac(□,</w:instrText>
            </w:r>
            <w:r>
              <w:rPr>
                <w:rFonts w:hint="eastAsia" w:ascii="仿宋" w:hAnsi="仿宋" w:eastAsia="仿宋"/>
                <w:position w:val="2"/>
                <w:sz w:val="24"/>
              </w:rPr>
              <w:instrText xml:space="preserve">√</w:instrText>
            </w:r>
            <w:r>
              <w:rPr>
                <w:rFonts w:hint="eastAsia" w:ascii="仿宋" w:hAnsi="仿宋" w:eastAsia="仿宋"/>
                <w:sz w:val="24"/>
              </w:rPr>
              <w:instrText xml:space="preserve">)</w:instrText>
            </w:r>
            <w:r>
              <w:rPr>
                <w:rFonts w:ascii="仿宋" w:hAnsi="仿宋" w:eastAsia="仿宋"/>
                <w:sz w:val="24"/>
              </w:rPr>
              <w:fldChar w:fldCharType="end"/>
            </w:r>
            <w:r>
              <w:rPr>
                <w:rFonts w:hint="eastAsia" w:ascii="仿宋" w:hAnsi="仿宋" w:eastAsia="仿宋"/>
                <w:sz w:val="24"/>
              </w:rPr>
              <w:t>综合评分法/□最低评标价法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ascii="仿宋" w:hAnsi="仿宋" w:eastAsia="仿宋"/>
                <w:sz w:val="24"/>
              </w:rPr>
            </w:pPr>
            <w:bookmarkStart w:id="136" w:name="_29.2.2（2）"/>
            <w:bookmarkEnd w:id="136"/>
            <w:r>
              <w:rPr>
                <w:rFonts w:hint="eastAsia" w:ascii="仿宋" w:hAnsi="仿宋" w:eastAsia="仿宋"/>
                <w:sz w:val="24"/>
              </w:rPr>
              <w:t>2</w:t>
            </w:r>
            <w:r>
              <w:rPr>
                <w:rFonts w:ascii="仿宋" w:hAnsi="仿宋" w:eastAsia="仿宋"/>
                <w:sz w:val="24"/>
              </w:rPr>
              <w:t>9.2</w:t>
            </w:r>
          </w:p>
        </w:tc>
        <w:tc>
          <w:tcPr>
            <w:tcW w:w="9275" w:type="dxa"/>
            <w:tcBorders>
              <w:top w:val="single" w:color="auto" w:sz="4" w:space="0"/>
              <w:left w:val="single" w:color="auto" w:sz="4" w:space="0"/>
              <w:right w:val="single" w:color="auto" w:sz="4" w:space="0"/>
            </w:tcBorders>
            <w:vAlign w:val="center"/>
          </w:tcPr>
          <w:p>
            <w:pPr>
              <w:snapToGrid w:val="0"/>
              <w:spacing w:line="390" w:lineRule="exact"/>
              <w:rPr>
                <w:rFonts w:ascii="仿宋" w:hAnsi="仿宋" w:eastAsia="仿宋"/>
                <w:sz w:val="24"/>
              </w:rPr>
            </w:pPr>
            <w:r>
              <w:rPr>
                <w:rFonts w:hint="eastAsia" w:ascii="仿宋" w:hAnsi="仿宋" w:eastAsia="仿宋"/>
                <w:sz w:val="24"/>
              </w:rPr>
              <w:t>商务要求</w:t>
            </w:r>
            <w:r>
              <w:rPr>
                <w:rFonts w:ascii="仿宋" w:hAnsi="仿宋" w:eastAsia="仿宋"/>
                <w:sz w:val="24"/>
              </w:rPr>
              <w:t>评审中允许负偏离的条款数</w:t>
            </w:r>
            <w:r>
              <w:rPr>
                <w:rFonts w:hint="eastAsia" w:ascii="仿宋" w:hAnsi="仿宋" w:eastAsia="仿宋"/>
                <w:sz w:val="24"/>
              </w:rPr>
              <w:t>量</w:t>
            </w:r>
            <w:r>
              <w:rPr>
                <w:rFonts w:ascii="仿宋" w:hAnsi="仿宋" w:eastAsia="仿宋"/>
                <w:sz w:val="24"/>
              </w:rPr>
              <w:t>为</w:t>
            </w:r>
            <w:r>
              <w:rPr>
                <w:rFonts w:hint="eastAsia" w:ascii="仿宋" w:hAnsi="仿宋" w:eastAsia="仿宋"/>
                <w:sz w:val="24"/>
              </w:rPr>
              <w:t>：</w:t>
            </w:r>
            <w:r>
              <w:rPr>
                <w:rFonts w:hint="eastAsia" w:ascii="仿宋" w:hAnsi="仿宋" w:eastAsia="仿宋"/>
                <w:sz w:val="24"/>
                <w:u w:val="single"/>
              </w:rPr>
              <w:t xml:space="preserve"> /</w:t>
            </w:r>
            <w:r>
              <w:rPr>
                <w:rFonts w:hint="eastAsia" w:ascii="仿宋" w:hAnsi="仿宋" w:eastAsia="仿宋"/>
                <w:sz w:val="24"/>
              </w:rPr>
              <w:t>。</w:t>
            </w:r>
          </w:p>
          <w:p>
            <w:pPr>
              <w:snapToGrid w:val="0"/>
              <w:spacing w:line="390" w:lineRule="exact"/>
              <w:rPr>
                <w:rFonts w:ascii="仿宋" w:hAnsi="仿宋" w:eastAsia="仿宋"/>
                <w:sz w:val="24"/>
              </w:rPr>
            </w:pPr>
            <w:r>
              <w:rPr>
                <w:rFonts w:hint="eastAsia" w:ascii="仿宋" w:hAnsi="仿宋" w:eastAsia="仿宋"/>
                <w:sz w:val="24"/>
              </w:rPr>
              <w:t>技术要求</w:t>
            </w:r>
            <w:r>
              <w:rPr>
                <w:rFonts w:ascii="仿宋" w:hAnsi="仿宋" w:eastAsia="仿宋"/>
                <w:sz w:val="24"/>
              </w:rPr>
              <w:t>评审中允许负偏离的条款数</w:t>
            </w:r>
            <w:r>
              <w:rPr>
                <w:rFonts w:hint="eastAsia" w:ascii="仿宋" w:hAnsi="仿宋" w:eastAsia="仿宋"/>
                <w:sz w:val="24"/>
              </w:rPr>
              <w:t>量</w:t>
            </w:r>
            <w:r>
              <w:rPr>
                <w:rFonts w:ascii="仿宋" w:hAnsi="仿宋" w:eastAsia="仿宋"/>
                <w:sz w:val="24"/>
              </w:rPr>
              <w:t>为</w:t>
            </w:r>
            <w:r>
              <w:rPr>
                <w:rFonts w:hint="eastAsia" w:ascii="仿宋" w:hAnsi="仿宋" w:eastAsia="仿宋"/>
                <w:sz w:val="24"/>
              </w:rPr>
              <w:t>：</w:t>
            </w:r>
            <w:r>
              <w:rPr>
                <w:rFonts w:hint="eastAsia" w:ascii="仿宋" w:hAnsi="仿宋" w:eastAsia="仿宋"/>
                <w:sz w:val="24"/>
                <w:u w:val="single"/>
              </w:rPr>
              <w:t xml:space="preserve"> /</w:t>
            </w: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ascii="仿宋" w:hAnsi="仿宋" w:eastAsia="仿宋"/>
                <w:sz w:val="24"/>
              </w:rPr>
            </w:pPr>
            <w:r>
              <w:rPr>
                <w:rFonts w:hint="eastAsia" w:ascii="仿宋" w:hAnsi="仿宋" w:eastAsia="仿宋"/>
                <w:sz w:val="24"/>
              </w:rPr>
              <w:t>29.3</w:t>
            </w:r>
          </w:p>
        </w:tc>
        <w:tc>
          <w:tcPr>
            <w:tcW w:w="9275" w:type="dxa"/>
            <w:tcBorders>
              <w:top w:val="single" w:color="auto" w:sz="4" w:space="0"/>
              <w:left w:val="single" w:color="auto" w:sz="4" w:space="0"/>
              <w:right w:val="single" w:color="auto" w:sz="4" w:space="0"/>
            </w:tcBorders>
            <w:vAlign w:val="center"/>
          </w:tcPr>
          <w:p>
            <w:pPr>
              <w:snapToGrid w:val="0"/>
              <w:spacing w:line="390" w:lineRule="exact"/>
              <w:rPr>
                <w:rFonts w:ascii="仿宋" w:hAnsi="仿宋" w:eastAsia="仿宋"/>
                <w:sz w:val="24"/>
              </w:rPr>
            </w:pPr>
            <w:r>
              <w:rPr>
                <w:rFonts w:ascii="仿宋" w:hAnsi="仿宋" w:eastAsia="仿宋"/>
                <w:sz w:val="24"/>
              </w:rPr>
              <w:t>中标候选人推荐数量</w:t>
            </w:r>
            <w:r>
              <w:rPr>
                <w:rFonts w:hint="eastAsia" w:ascii="仿宋" w:hAnsi="仿宋" w:eastAsia="仿宋"/>
                <w:sz w:val="24"/>
              </w:rPr>
              <w:t>：3家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ascii="仿宋" w:hAnsi="仿宋" w:eastAsia="仿宋"/>
                <w:sz w:val="24"/>
              </w:rPr>
            </w:pPr>
            <w:r>
              <w:rPr>
                <w:rFonts w:hint="eastAsia" w:ascii="仿宋" w:hAnsi="仿宋" w:eastAsia="仿宋"/>
                <w:sz w:val="24"/>
              </w:rPr>
              <w:t>30</w:t>
            </w:r>
            <w:r>
              <w:rPr>
                <w:rFonts w:ascii="仿宋" w:hAnsi="仿宋" w:eastAsia="仿宋"/>
                <w:sz w:val="24"/>
              </w:rPr>
              <w:t>.1</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90" w:lineRule="exact"/>
              <w:textAlignment w:val="bottom"/>
              <w:rPr>
                <w:rFonts w:ascii="仿宋" w:hAnsi="仿宋" w:eastAsia="仿宋"/>
                <w:sz w:val="24"/>
              </w:rPr>
            </w:pPr>
            <w:r>
              <w:rPr>
                <w:rFonts w:ascii="仿宋" w:hAnsi="仿宋" w:eastAsia="仿宋"/>
                <w:sz w:val="24"/>
              </w:rPr>
              <w:fldChar w:fldCharType="begin"/>
            </w:r>
            <w:r>
              <w:rPr>
                <w:rFonts w:hint="eastAsia" w:ascii="仿宋" w:hAnsi="仿宋" w:eastAsia="仿宋"/>
                <w:sz w:val="24"/>
              </w:rPr>
              <w:instrText xml:space="preserve">eq \o\ac(□,</w:instrText>
            </w:r>
            <w:r>
              <w:rPr>
                <w:rFonts w:hint="eastAsia" w:ascii="仿宋" w:hAnsi="仿宋" w:eastAsia="仿宋"/>
                <w:position w:val="2"/>
                <w:sz w:val="24"/>
              </w:rPr>
              <w:instrText xml:space="preserve">√</w:instrText>
            </w:r>
            <w:r>
              <w:rPr>
                <w:rFonts w:hint="eastAsia" w:ascii="仿宋" w:hAnsi="仿宋" w:eastAsia="仿宋"/>
                <w:sz w:val="24"/>
              </w:rPr>
              <w:instrText xml:space="preserve">)</w:instrText>
            </w:r>
            <w:r>
              <w:rPr>
                <w:rFonts w:ascii="仿宋" w:hAnsi="仿宋" w:eastAsia="仿宋"/>
                <w:sz w:val="24"/>
              </w:rPr>
              <w:fldChar w:fldCharType="end"/>
            </w:r>
            <w:r>
              <w:rPr>
                <w:rFonts w:hint="eastAsia" w:ascii="仿宋" w:hAnsi="仿宋" w:eastAsia="仿宋"/>
                <w:sz w:val="24"/>
              </w:rPr>
              <w:t>采用综合评分法的采购项目，采购人确定中标人时，出现中标候选人并列的情形，采购人按以下的方式确定中标人：按综合评分中技术、商务得分高低依次确定。</w:t>
            </w:r>
          </w:p>
          <w:p>
            <w:pPr>
              <w:autoSpaceDE w:val="0"/>
              <w:autoSpaceDN w:val="0"/>
              <w:snapToGrid w:val="0"/>
              <w:spacing w:line="390" w:lineRule="exact"/>
              <w:textAlignment w:val="bottom"/>
              <w:rPr>
                <w:rFonts w:ascii="仿宋" w:hAnsi="仿宋" w:eastAsia="仿宋"/>
                <w:sz w:val="24"/>
              </w:rPr>
            </w:pPr>
            <w:r>
              <w:rPr>
                <w:rFonts w:hint="eastAsia" w:ascii="仿宋" w:hAnsi="仿宋" w:eastAsia="仿宋"/>
                <w:sz w:val="24"/>
              </w:rPr>
              <w:t>□采用最低评标价法的采购项目，采购人确定中标人时，出现中标候选人并列的情形，采购人按以下的方式确定中标人：</w:t>
            </w:r>
            <w:r>
              <w:rPr>
                <w:rFonts w:hint="eastAsia" w:ascii="仿宋" w:hAnsi="仿宋" w:eastAsia="仿宋" w:cs="宋体"/>
                <w:sz w:val="24"/>
              </w:rPr>
              <w:t>按</w:t>
            </w:r>
            <w:r>
              <w:rPr>
                <w:rFonts w:ascii="仿宋" w:hAnsi="仿宋" w:eastAsia="仿宋"/>
                <w:sz w:val="24"/>
              </w:rPr>
              <w:t>节能环保优先、技术指标高优先、质保期长优先、交货期短优先、故障响应时间短优先的</w:t>
            </w:r>
            <w:r>
              <w:rPr>
                <w:rFonts w:hint="eastAsia" w:ascii="仿宋" w:hAnsi="仿宋" w:eastAsia="仿宋" w:cs="宋体"/>
                <w:sz w:val="24"/>
              </w:rPr>
              <w:t>顺序依次确定。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ascii="仿宋" w:hAnsi="仿宋" w:eastAsia="仿宋"/>
                <w:sz w:val="24"/>
              </w:rPr>
            </w:pPr>
            <w:bookmarkStart w:id="137" w:name="_39.1"/>
            <w:bookmarkEnd w:id="137"/>
            <w:r>
              <w:rPr>
                <w:rFonts w:hint="eastAsia" w:ascii="仿宋" w:hAnsi="仿宋" w:eastAsia="仿宋"/>
                <w:sz w:val="24"/>
              </w:rPr>
              <w:t>35</w:t>
            </w:r>
            <w:r>
              <w:rPr>
                <w:rFonts w:ascii="仿宋" w:hAnsi="仿宋" w:eastAsia="仿宋"/>
                <w:sz w:val="24"/>
              </w:rPr>
              <w:t>.1</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90" w:lineRule="exact"/>
              <w:textAlignment w:val="bottom"/>
              <w:rPr>
                <w:rFonts w:ascii="仿宋" w:hAnsi="仿宋" w:eastAsia="仿宋"/>
                <w:sz w:val="24"/>
              </w:rPr>
            </w:pPr>
            <w:r>
              <w:rPr>
                <w:rFonts w:hint="eastAsia" w:ascii="仿宋" w:hAnsi="仿宋" w:eastAsia="仿宋"/>
                <w:sz w:val="24"/>
              </w:rPr>
              <w:t>□本项目不收取履约保证金。</w:t>
            </w:r>
          </w:p>
          <w:p>
            <w:pPr>
              <w:autoSpaceDE w:val="0"/>
              <w:autoSpaceDN w:val="0"/>
              <w:snapToGrid w:val="0"/>
              <w:spacing w:line="390" w:lineRule="exact"/>
              <w:textAlignment w:val="bottom"/>
              <w:rPr>
                <w:rFonts w:ascii="仿宋" w:hAnsi="仿宋" w:eastAsia="仿宋"/>
                <w:sz w:val="24"/>
              </w:rPr>
            </w:pPr>
            <w:r>
              <w:rPr>
                <w:rFonts w:ascii="仿宋" w:hAnsi="仿宋" w:eastAsia="仿宋"/>
                <w:sz w:val="24"/>
              </w:rPr>
              <w:fldChar w:fldCharType="begin"/>
            </w:r>
            <w:r>
              <w:rPr>
                <w:rFonts w:hint="eastAsia" w:ascii="仿宋" w:hAnsi="仿宋" w:eastAsia="仿宋"/>
                <w:sz w:val="24"/>
              </w:rPr>
              <w:instrText xml:space="preserve">eq \o\ac(□,</w:instrText>
            </w:r>
            <w:r>
              <w:rPr>
                <w:rFonts w:hint="eastAsia" w:ascii="仿宋" w:hAnsi="仿宋" w:eastAsia="仿宋"/>
                <w:position w:val="2"/>
                <w:sz w:val="24"/>
              </w:rPr>
              <w:instrText xml:space="preserve">√</w:instrText>
            </w:r>
            <w:r>
              <w:rPr>
                <w:rFonts w:hint="eastAsia" w:ascii="仿宋" w:hAnsi="仿宋" w:eastAsia="仿宋"/>
                <w:sz w:val="24"/>
              </w:rPr>
              <w:instrText xml:space="preserve">)</w:instrText>
            </w:r>
            <w:r>
              <w:rPr>
                <w:rFonts w:ascii="仿宋" w:hAnsi="仿宋" w:eastAsia="仿宋"/>
                <w:sz w:val="24"/>
              </w:rPr>
              <w:fldChar w:fldCharType="end"/>
            </w:r>
            <w:r>
              <w:rPr>
                <w:rFonts w:hint="eastAsia" w:ascii="仿宋" w:hAnsi="仿宋" w:eastAsia="仿宋"/>
                <w:sz w:val="24"/>
              </w:rPr>
              <w:t>本项目收取履约保证金，具体规定如下：</w:t>
            </w:r>
          </w:p>
          <w:p>
            <w:pPr>
              <w:rPr>
                <w:rFonts w:ascii="仿宋" w:hAnsi="仿宋" w:eastAsia="仿宋" w:cs="仿宋"/>
                <w:sz w:val="24"/>
              </w:rPr>
            </w:pPr>
            <w:r>
              <w:rPr>
                <w:rFonts w:hint="eastAsia" w:ascii="仿宋" w:hAnsi="仿宋" w:eastAsia="仿宋" w:cs="仿宋"/>
                <w:b/>
                <w:bCs/>
                <w:sz w:val="24"/>
              </w:rPr>
              <w:t>1、履约保证金收取：</w:t>
            </w:r>
            <w:r>
              <w:rPr>
                <w:rFonts w:hint="eastAsia" w:ascii="仿宋" w:hAnsi="仿宋" w:eastAsia="仿宋" w:cs="仿宋"/>
                <w:sz w:val="24"/>
              </w:rPr>
              <w:t>由中标供应商在签订合同前按中标金额的5%收取（如中标供应商为中小微型企业的，按中标金额的2%收取）。</w:t>
            </w:r>
          </w:p>
          <w:p>
            <w:pPr>
              <w:spacing w:line="420" w:lineRule="exact"/>
              <w:rPr>
                <w:rFonts w:ascii="仿宋" w:hAnsi="仿宋" w:eastAsia="仿宋" w:cs="仿宋"/>
                <w:sz w:val="24"/>
              </w:rPr>
            </w:pPr>
            <w:r>
              <w:rPr>
                <w:rFonts w:hint="eastAsia" w:ascii="仿宋" w:hAnsi="仿宋" w:eastAsia="仿宋" w:cs="仿宋"/>
                <w:b/>
                <w:bCs/>
                <w:sz w:val="24"/>
              </w:rPr>
              <w:t>2、交纳方式：</w:t>
            </w:r>
            <w:r>
              <w:rPr>
                <w:rFonts w:hint="eastAsia" w:ascii="仿宋" w:hAnsi="仿宋" w:eastAsia="仿宋" w:cs="仿宋"/>
                <w:sz w:val="24"/>
              </w:rPr>
              <w:t>履约保证金可以采用银行转账、支票、汇票、本票或者银行、保险机构出具的保函等非现金形式。采购人开具履约保证金财务凭证给中标供应商。</w:t>
            </w:r>
          </w:p>
          <w:p>
            <w:pPr>
              <w:spacing w:line="420" w:lineRule="exact"/>
              <w:rPr>
                <w:rFonts w:ascii="仿宋" w:hAnsi="仿宋" w:eastAsia="仿宋" w:cs="仿宋"/>
                <w:sz w:val="24"/>
              </w:rPr>
            </w:pPr>
            <w:r>
              <w:rPr>
                <w:rFonts w:hint="eastAsia" w:ascii="仿宋" w:hAnsi="仿宋" w:eastAsia="仿宋" w:cs="仿宋"/>
                <w:b/>
                <w:bCs/>
                <w:sz w:val="24"/>
              </w:rPr>
              <w:t>3、履约保证金退付</w:t>
            </w:r>
            <w:r>
              <w:rPr>
                <w:rFonts w:hint="eastAsia" w:ascii="仿宋" w:hAnsi="仿宋" w:eastAsia="仿宋" w:cs="仿宋"/>
                <w:sz w:val="24"/>
              </w:rPr>
              <w:t>：中标供应商履行完合同约定权利义务事项且服务期满后无违约情况，凭《项目验收单》 和履约保证金交纳凭证向采购人申请办理退还手续，采购人不得额外要求中标供应商提交其他证明材料，并应当自收到退还资料之日起5个工作日内退还其履约保证金（无息）。如中标供应商不按双方签订的合同规定履约，则没收其全部履约保证金，履约保证金不足以赔偿损失的，按实际损失赔偿。</w:t>
            </w:r>
          </w:p>
          <w:p>
            <w:pPr>
              <w:spacing w:line="420" w:lineRule="exact"/>
              <w:rPr>
                <w:rFonts w:ascii="仿宋" w:hAnsi="仿宋" w:eastAsia="仿宋" w:cs="仿宋"/>
                <w:sz w:val="24"/>
              </w:rPr>
            </w:pPr>
            <w:r>
              <w:rPr>
                <w:rFonts w:hint="eastAsia" w:ascii="仿宋" w:hAnsi="仿宋" w:eastAsia="仿宋" w:cs="仿宋"/>
                <w:b/>
                <w:bCs/>
                <w:sz w:val="24"/>
              </w:rPr>
              <w:t>4、履约保证金递交方式：</w:t>
            </w:r>
            <w:r>
              <w:rPr>
                <w:rFonts w:hint="eastAsia" w:ascii="仿宋" w:hAnsi="仿宋" w:eastAsia="仿宋" w:cs="仿宋"/>
                <w:sz w:val="24"/>
              </w:rPr>
              <w:t>支票、汇票、本票等非现金方式。由中标供应商在签订合同前按规定的金额直接缴入以下采购人账户。凭履约保证金缴纳凭证签订合同。</w:t>
            </w:r>
          </w:p>
          <w:p>
            <w:pPr>
              <w:spacing w:line="420" w:lineRule="exact"/>
              <w:rPr>
                <w:rFonts w:ascii="仿宋" w:hAnsi="仿宋" w:eastAsia="仿宋" w:cs="仿宋"/>
                <w:sz w:val="24"/>
              </w:rPr>
            </w:pPr>
            <w:r>
              <w:rPr>
                <w:rFonts w:hint="eastAsia" w:ascii="仿宋" w:hAnsi="仿宋" w:eastAsia="仿宋" w:cs="仿宋"/>
                <w:sz w:val="24"/>
              </w:rPr>
              <w:t>开户名称：桂林电子科技大学</w:t>
            </w:r>
          </w:p>
          <w:p>
            <w:pPr>
              <w:spacing w:line="420" w:lineRule="exact"/>
              <w:rPr>
                <w:rFonts w:ascii="仿宋" w:hAnsi="仿宋" w:eastAsia="仿宋" w:cs="仿宋"/>
                <w:sz w:val="24"/>
              </w:rPr>
            </w:pPr>
            <w:r>
              <w:rPr>
                <w:rFonts w:hint="eastAsia" w:ascii="仿宋" w:hAnsi="仿宋" w:eastAsia="仿宋" w:cs="仿宋"/>
                <w:sz w:val="24"/>
              </w:rPr>
              <w:t xml:space="preserve">开户银行：桂林市工商银行屏风支行       </w:t>
            </w:r>
          </w:p>
          <w:p>
            <w:pPr>
              <w:autoSpaceDE w:val="0"/>
              <w:autoSpaceDN w:val="0"/>
              <w:snapToGrid w:val="0"/>
              <w:spacing w:line="390" w:lineRule="exact"/>
              <w:textAlignment w:val="bottom"/>
              <w:rPr>
                <w:rFonts w:ascii="仿宋" w:hAnsi="仿宋" w:eastAsia="仿宋"/>
                <w:sz w:val="24"/>
              </w:rPr>
            </w:pPr>
            <w:r>
              <w:rPr>
                <w:rFonts w:hint="eastAsia" w:ascii="仿宋" w:hAnsi="仿宋" w:eastAsia="仿宋" w:cs="仿宋"/>
                <w:sz w:val="24"/>
              </w:rPr>
              <w:t>银行账号：2103 2152 0924 9017 694</w:t>
            </w:r>
            <w:r>
              <w:rPr>
                <w:rFonts w:hint="eastAsia" w:ascii="仿宋" w:hAnsi="仿宋" w:eastAsia="仿宋"/>
                <w:sz w:val="24"/>
              </w:rPr>
              <w:t>。</w:t>
            </w:r>
          </w:p>
          <w:p>
            <w:pPr>
              <w:spacing w:line="390" w:lineRule="exact"/>
              <w:jc w:val="left"/>
              <w:rPr>
                <w:rFonts w:ascii="仿宋" w:hAnsi="仿宋" w:eastAsia="仿宋" w:cs="Courier New"/>
                <w:sz w:val="24"/>
              </w:rPr>
            </w:pPr>
            <w:r>
              <w:rPr>
                <w:rFonts w:ascii="仿宋" w:hAnsi="仿宋" w:eastAsia="仿宋" w:cs="Courier New"/>
                <w:sz w:val="24"/>
              </w:rPr>
              <w:t>备注：</w:t>
            </w:r>
          </w:p>
          <w:p>
            <w:pPr>
              <w:spacing w:line="390" w:lineRule="exact"/>
              <w:jc w:val="left"/>
              <w:rPr>
                <w:rFonts w:ascii="仿宋" w:hAnsi="仿宋" w:eastAsia="仿宋"/>
                <w:b/>
                <w:sz w:val="24"/>
              </w:rPr>
            </w:pPr>
            <w:r>
              <w:rPr>
                <w:rFonts w:ascii="仿宋" w:hAnsi="仿宋" w:eastAsia="仿宋"/>
                <w:b/>
                <w:sz w:val="24"/>
              </w:rPr>
              <w:t>1</w:t>
            </w:r>
            <w:bookmarkStart w:id="138" w:name="_Hlk54170335"/>
            <w:r>
              <w:rPr>
                <w:rFonts w:hint="eastAsia" w:ascii="仿宋" w:hAnsi="仿宋" w:eastAsia="仿宋"/>
                <w:b/>
                <w:sz w:val="24"/>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138"/>
            <w:r>
              <w:rPr>
                <w:rFonts w:ascii="仿宋" w:hAnsi="仿宋" w:eastAsia="仿宋" w:cs="Courier New"/>
                <w:sz w:val="24"/>
              </w:rPr>
              <w:br w:type="textWrapping"/>
            </w:r>
            <w:r>
              <w:rPr>
                <w:rFonts w:ascii="仿宋" w:hAnsi="仿宋" w:eastAsia="仿宋"/>
                <w:b/>
                <w:sz w:val="24"/>
              </w:rPr>
              <w:t>2</w:t>
            </w:r>
            <w:r>
              <w:rPr>
                <w:rFonts w:hint="eastAsia" w:ascii="仿宋" w:hAnsi="仿宋" w:eastAsia="仿宋"/>
                <w:b/>
                <w:sz w:val="24"/>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ascii="仿宋" w:hAnsi="仿宋" w:eastAsia="仿宋"/>
                <w:b/>
                <w:sz w:val="24"/>
              </w:rPr>
              <w:br w:type="textWrapping"/>
            </w:r>
            <w:r>
              <w:rPr>
                <w:rFonts w:ascii="仿宋" w:hAnsi="仿宋" w:eastAsia="仿宋"/>
                <w:b/>
                <w:sz w:val="24"/>
              </w:rPr>
              <w:t>3</w:t>
            </w:r>
            <w:r>
              <w:rPr>
                <w:rFonts w:hint="eastAsia" w:ascii="仿宋" w:hAnsi="仿宋" w:eastAsia="仿宋"/>
                <w:b/>
                <w:sz w:val="24"/>
              </w:rPr>
              <w:t>、</w:t>
            </w:r>
            <w:r>
              <w:rPr>
                <w:rFonts w:ascii="仿宋" w:hAnsi="仿宋" w:eastAsia="仿宋"/>
                <w:b/>
                <w:sz w:val="24"/>
              </w:rPr>
              <w:t>采用金融、担保机构出具的保函的，必须为无条件保函，否则不予签订合同。</w:t>
            </w:r>
          </w:p>
          <w:p>
            <w:pPr>
              <w:spacing w:line="390" w:lineRule="exact"/>
              <w:jc w:val="left"/>
              <w:rPr>
                <w:rFonts w:ascii="仿宋" w:hAnsi="仿宋" w:eastAsia="仿宋" w:cs="宋体"/>
                <w:kern w:val="0"/>
                <w:sz w:val="24"/>
              </w:rPr>
            </w:pPr>
            <w:r>
              <w:rPr>
                <w:rFonts w:ascii="仿宋" w:hAnsi="仿宋" w:eastAsia="仿宋"/>
                <w:b/>
                <w:sz w:val="24"/>
              </w:rPr>
              <w:t>4</w:t>
            </w:r>
            <w:r>
              <w:rPr>
                <w:rFonts w:hint="eastAsia" w:ascii="仿宋" w:hAnsi="仿宋" w:eastAsia="仿宋"/>
                <w:b/>
                <w:sz w:val="24"/>
              </w:rPr>
              <w:t>、投标人为联合体的，由联合体其中一方按规定提交的履约保证金，视为有效履约保证金。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ascii="仿宋" w:hAnsi="仿宋" w:eastAsia="仿宋"/>
                <w:sz w:val="24"/>
              </w:rPr>
            </w:pPr>
            <w:bookmarkStart w:id="139" w:name="_40.1"/>
            <w:bookmarkEnd w:id="139"/>
            <w:r>
              <w:rPr>
                <w:rFonts w:hint="eastAsia" w:ascii="仿宋" w:hAnsi="仿宋" w:eastAsia="仿宋"/>
                <w:sz w:val="24"/>
              </w:rPr>
              <w:t>36.1</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90" w:lineRule="exact"/>
              <w:textAlignment w:val="bottom"/>
              <w:rPr>
                <w:rFonts w:ascii="仿宋" w:hAnsi="仿宋" w:eastAsia="仿宋"/>
                <w:sz w:val="24"/>
              </w:rPr>
            </w:pPr>
            <w:r>
              <w:rPr>
                <w:rFonts w:hint="eastAsia" w:ascii="仿宋" w:hAnsi="仿宋" w:eastAsia="仿宋"/>
                <w:sz w:val="24"/>
              </w:rPr>
              <w:t xml:space="preserve">签订合同携带的证明材料： </w:t>
            </w:r>
          </w:p>
          <w:p>
            <w:pPr>
              <w:autoSpaceDE w:val="0"/>
              <w:autoSpaceDN w:val="0"/>
              <w:snapToGrid w:val="0"/>
              <w:spacing w:line="390" w:lineRule="exact"/>
              <w:textAlignment w:val="bottom"/>
              <w:rPr>
                <w:rFonts w:ascii="仿宋" w:hAnsi="仿宋" w:eastAsia="仿宋"/>
                <w:sz w:val="24"/>
              </w:rPr>
            </w:pPr>
            <w:r>
              <w:rPr>
                <w:rFonts w:hint="eastAsia" w:ascii="仿宋" w:hAnsi="仿宋" w:eastAsia="仿宋"/>
                <w:sz w:val="24"/>
              </w:rPr>
              <w:t>1、委托代理人负责签订合同的，须携带授权委托书及委托代理人身份证原件等其他资格证件。</w:t>
            </w:r>
          </w:p>
          <w:p>
            <w:pPr>
              <w:autoSpaceDE w:val="0"/>
              <w:autoSpaceDN w:val="0"/>
              <w:snapToGrid w:val="0"/>
              <w:spacing w:line="390" w:lineRule="exact"/>
              <w:textAlignment w:val="bottom"/>
              <w:rPr>
                <w:rFonts w:ascii="仿宋" w:hAnsi="仿宋" w:eastAsia="仿宋"/>
                <w:sz w:val="24"/>
              </w:rPr>
            </w:pPr>
            <w:r>
              <w:rPr>
                <w:rFonts w:hint="eastAsia" w:ascii="仿宋" w:hAnsi="仿宋" w:eastAsia="仿宋"/>
                <w:sz w:val="24"/>
              </w:rPr>
              <w:t>2、法定代表人负责签订合同的，须携带法定代表人</w:t>
            </w:r>
            <w:r>
              <w:rPr>
                <w:rFonts w:ascii="仿宋" w:hAnsi="仿宋" w:eastAsia="仿宋"/>
                <w:sz w:val="24"/>
              </w:rPr>
              <w:t>身份证明原件</w:t>
            </w:r>
            <w:r>
              <w:rPr>
                <w:rFonts w:hint="eastAsia" w:ascii="仿宋" w:hAnsi="仿宋" w:eastAsia="仿宋"/>
                <w:sz w:val="24"/>
              </w:rPr>
              <w:t>及</w:t>
            </w:r>
            <w:r>
              <w:rPr>
                <w:rFonts w:ascii="仿宋" w:hAnsi="仿宋" w:eastAsia="仿宋"/>
                <w:sz w:val="24"/>
              </w:rPr>
              <w:t>身份证原件</w:t>
            </w:r>
            <w:r>
              <w:rPr>
                <w:rFonts w:hint="eastAsia" w:ascii="仿宋" w:hAnsi="仿宋" w:eastAsia="仿宋"/>
                <w:sz w:val="24"/>
              </w:rPr>
              <w:t>等其他证明材料。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ascii="仿宋" w:hAnsi="仿宋" w:eastAsia="仿宋"/>
                <w:sz w:val="24"/>
              </w:rPr>
            </w:pPr>
            <w:r>
              <w:rPr>
                <w:rFonts w:hint="eastAsia" w:ascii="仿宋" w:hAnsi="仿宋" w:eastAsia="仿宋"/>
                <w:sz w:val="24"/>
              </w:rPr>
              <w:t>36.2</w:t>
            </w:r>
          </w:p>
        </w:tc>
        <w:tc>
          <w:tcPr>
            <w:tcW w:w="927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90" w:lineRule="exact"/>
              <w:textAlignment w:val="bottom"/>
              <w:rPr>
                <w:rFonts w:ascii="仿宋" w:hAnsi="仿宋" w:eastAsia="仿宋"/>
                <w:sz w:val="24"/>
              </w:rPr>
            </w:pPr>
            <w:r>
              <w:rPr>
                <w:rFonts w:hint="eastAsia" w:ascii="仿宋" w:hAnsi="仿宋" w:eastAsia="仿宋"/>
                <w:sz w:val="24"/>
              </w:rPr>
              <w:t>签订</w:t>
            </w:r>
            <w:r>
              <w:rPr>
                <w:rFonts w:ascii="仿宋" w:hAnsi="仿宋" w:eastAsia="仿宋"/>
                <w:sz w:val="24"/>
              </w:rPr>
              <w:t>合同时间：</w:t>
            </w:r>
            <w:r>
              <w:rPr>
                <w:rFonts w:hint="eastAsia" w:ascii="仿宋" w:hAnsi="仿宋" w:eastAsia="仿宋"/>
                <w:sz w:val="24"/>
              </w:rPr>
              <w:t>中标通知书（中标</w:t>
            </w:r>
            <w:r>
              <w:rPr>
                <w:rFonts w:ascii="仿宋" w:hAnsi="仿宋" w:eastAsia="仿宋"/>
                <w:sz w:val="24"/>
              </w:rPr>
              <w:t>公告</w:t>
            </w:r>
            <w:r>
              <w:rPr>
                <w:rFonts w:hint="eastAsia" w:ascii="仿宋" w:hAnsi="仿宋" w:eastAsia="仿宋"/>
                <w:sz w:val="24"/>
              </w:rPr>
              <w:t>）发出之日起</w:t>
            </w:r>
            <w:r>
              <w:rPr>
                <w:rFonts w:ascii="仿宋" w:hAnsi="仿宋" w:eastAsia="仿宋"/>
                <w:sz w:val="24"/>
              </w:rPr>
              <w:t>25</w:t>
            </w:r>
            <w:r>
              <w:rPr>
                <w:rFonts w:hint="eastAsia" w:ascii="仿宋" w:hAnsi="仿宋" w:eastAsia="仿宋"/>
                <w:sz w:val="24"/>
              </w:rPr>
              <w:t>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ascii="仿宋" w:hAnsi="仿宋" w:eastAsia="仿宋"/>
                <w:sz w:val="24"/>
              </w:rPr>
            </w:pPr>
            <w:r>
              <w:rPr>
                <w:rFonts w:hint="eastAsia" w:ascii="仿宋" w:hAnsi="仿宋" w:eastAsia="仿宋"/>
                <w:sz w:val="24"/>
              </w:rPr>
              <w:t>3</w:t>
            </w:r>
            <w:r>
              <w:rPr>
                <w:rFonts w:ascii="仿宋" w:hAnsi="仿宋" w:eastAsia="仿宋"/>
                <w:sz w:val="24"/>
              </w:rPr>
              <w:t>8.2</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rPr>
                <w:rFonts w:ascii="仿宋" w:hAnsi="仿宋" w:eastAsia="仿宋"/>
                <w:sz w:val="24"/>
              </w:rPr>
            </w:pPr>
            <w:r>
              <w:rPr>
                <w:rFonts w:hint="eastAsia" w:ascii="仿宋" w:hAnsi="仿宋" w:eastAsia="仿宋"/>
                <w:sz w:val="24"/>
              </w:rPr>
              <w:t>接收质疑函方式：以纸质书面形式。</w:t>
            </w:r>
          </w:p>
          <w:p>
            <w:pPr>
              <w:snapToGrid w:val="0"/>
              <w:spacing w:line="390" w:lineRule="exact"/>
              <w:rPr>
                <w:rFonts w:ascii="仿宋" w:hAnsi="仿宋" w:eastAsia="仿宋"/>
                <w:sz w:val="24"/>
              </w:rPr>
            </w:pPr>
            <w:r>
              <w:rPr>
                <w:rFonts w:hint="eastAsia" w:ascii="仿宋" w:hAnsi="仿宋" w:eastAsia="仿宋"/>
                <w:sz w:val="24"/>
              </w:rPr>
              <w:t>质疑联系部门及联系方式：广西科文招标有限公司桂林</w:t>
            </w:r>
            <w:r>
              <w:rPr>
                <w:rFonts w:ascii="仿宋" w:hAnsi="仿宋" w:eastAsia="仿宋"/>
                <w:sz w:val="24"/>
              </w:rPr>
              <w:t>分公司</w:t>
            </w:r>
            <w:r>
              <w:rPr>
                <w:rFonts w:hint="eastAsia" w:ascii="仿宋" w:hAnsi="仿宋" w:eastAsia="仿宋"/>
                <w:sz w:val="24"/>
              </w:rPr>
              <w:t>。</w:t>
            </w:r>
          </w:p>
          <w:p>
            <w:pPr>
              <w:snapToGrid w:val="0"/>
              <w:spacing w:line="390" w:lineRule="exact"/>
              <w:rPr>
                <w:rFonts w:ascii="仿宋" w:hAnsi="仿宋" w:eastAsia="仿宋"/>
                <w:sz w:val="24"/>
              </w:rPr>
            </w:pPr>
            <w:r>
              <w:rPr>
                <w:rFonts w:hint="eastAsia" w:ascii="仿宋" w:hAnsi="仿宋" w:eastAsia="仿宋"/>
                <w:sz w:val="24"/>
              </w:rPr>
              <w:t>质疑联系人：李冰华，联系电话：0773-7593227。</w:t>
            </w:r>
          </w:p>
          <w:p>
            <w:pPr>
              <w:snapToGrid w:val="0"/>
              <w:spacing w:line="390" w:lineRule="exact"/>
              <w:rPr>
                <w:rFonts w:ascii="仿宋" w:hAnsi="仿宋" w:eastAsia="仿宋"/>
                <w:sz w:val="24"/>
              </w:rPr>
            </w:pPr>
            <w:r>
              <w:rPr>
                <w:rFonts w:ascii="仿宋" w:hAnsi="仿宋" w:eastAsia="仿宋"/>
                <w:sz w:val="24"/>
              </w:rPr>
              <w:t>通讯地址</w:t>
            </w:r>
            <w:r>
              <w:rPr>
                <w:rFonts w:hint="eastAsia" w:ascii="仿宋" w:hAnsi="仿宋" w:eastAsia="仿宋" w:cs="Helvetica"/>
                <w:sz w:val="24"/>
              </w:rPr>
              <w:t>：</w:t>
            </w:r>
            <w:r>
              <w:rPr>
                <w:rFonts w:hint="eastAsia" w:ascii="仿宋" w:hAnsi="仿宋" w:eastAsia="仿宋"/>
                <w:sz w:val="24"/>
              </w:rPr>
              <w:t>桂林市七星区穿山东路41号彰泰</w:t>
            </w:r>
            <w:r>
              <w:rPr>
                <w:rFonts w:hint="eastAsia" w:ascii="微软雅黑" w:hAnsi="微软雅黑" w:eastAsia="微软雅黑" w:cs="微软雅黑"/>
                <w:sz w:val="24"/>
              </w:rPr>
              <w:t>•</w:t>
            </w:r>
            <w:r>
              <w:rPr>
                <w:rFonts w:hint="eastAsia" w:ascii="仿宋" w:hAnsi="仿宋" w:eastAsia="仿宋" w:cs="仿宋"/>
                <w:sz w:val="24"/>
              </w:rPr>
              <w:t>天街</w:t>
            </w:r>
            <w:r>
              <w:rPr>
                <w:rFonts w:hint="eastAsia" w:ascii="仿宋" w:hAnsi="仿宋" w:eastAsia="仿宋"/>
                <w:sz w:val="24"/>
              </w:rPr>
              <w:t>V+国际中心1#楼八层802号。</w:t>
            </w:r>
          </w:p>
          <w:p>
            <w:pPr>
              <w:autoSpaceDE w:val="0"/>
              <w:autoSpaceDN w:val="0"/>
              <w:snapToGrid w:val="0"/>
              <w:spacing w:line="390" w:lineRule="exact"/>
              <w:textAlignment w:val="bottom"/>
              <w:rPr>
                <w:rFonts w:ascii="仿宋" w:hAnsi="仿宋" w:eastAsia="仿宋"/>
                <w:sz w:val="24"/>
              </w:rPr>
            </w:pPr>
            <w:r>
              <w:rPr>
                <w:rFonts w:hint="eastAsia" w:ascii="仿宋" w:hAnsi="仿宋" w:eastAsia="仿宋"/>
                <w:sz w:val="24"/>
              </w:rPr>
              <w:t>现场提交质疑办理业务时间：工作日，</w:t>
            </w:r>
            <w:r>
              <w:rPr>
                <w:rFonts w:hint="eastAsia" w:ascii="仿宋" w:hAnsi="仿宋" w:eastAsia="仿宋" w:cs="Arial"/>
                <w:sz w:val="24"/>
              </w:rPr>
              <w:t>上午8:00-12:00；下午15:00-18:00（北京时间）。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ascii="仿宋" w:hAnsi="仿宋" w:eastAsia="仿宋"/>
                <w:sz w:val="24"/>
              </w:rPr>
            </w:pPr>
            <w:bookmarkStart w:id="140" w:name="_41"/>
            <w:bookmarkEnd w:id="140"/>
            <w:bookmarkStart w:id="141" w:name="_42"/>
            <w:bookmarkEnd w:id="141"/>
            <w:bookmarkStart w:id="142" w:name="_Hlt17709148"/>
            <w:r>
              <w:rPr>
                <w:rFonts w:hint="eastAsia" w:ascii="仿宋" w:hAnsi="仿宋" w:eastAsia="仿宋"/>
                <w:sz w:val="24"/>
              </w:rPr>
              <w:t>3</w:t>
            </w:r>
            <w:bookmarkEnd w:id="142"/>
            <w:r>
              <w:rPr>
                <w:rFonts w:ascii="仿宋" w:hAnsi="仿宋" w:eastAsia="仿宋"/>
                <w:sz w:val="24"/>
              </w:rPr>
              <w:t>9</w:t>
            </w:r>
          </w:p>
        </w:tc>
        <w:tc>
          <w:tcPr>
            <w:tcW w:w="9275" w:type="dxa"/>
            <w:tcBorders>
              <w:top w:val="single" w:color="auto" w:sz="4" w:space="0"/>
              <w:left w:val="single" w:color="auto" w:sz="4" w:space="0"/>
              <w:bottom w:val="single" w:color="auto" w:sz="4" w:space="0"/>
              <w:right w:val="single" w:color="auto" w:sz="4" w:space="0"/>
            </w:tcBorders>
            <w:vAlign w:val="center"/>
          </w:tcPr>
          <w:p>
            <w:pPr>
              <w:pStyle w:val="28"/>
              <w:snapToGrid w:val="0"/>
              <w:spacing w:line="390" w:lineRule="exact"/>
              <w:rPr>
                <w:rFonts w:ascii="仿宋" w:hAnsi="仿宋" w:eastAsia="仿宋" w:cs="宋体"/>
                <w:sz w:val="24"/>
                <w:szCs w:val="24"/>
              </w:rPr>
            </w:pPr>
            <w:r>
              <w:rPr>
                <w:rFonts w:hint="eastAsia" w:ascii="仿宋" w:hAnsi="仿宋" w:eastAsia="仿宋" w:cs="宋体"/>
                <w:sz w:val="24"/>
                <w:szCs w:val="24"/>
              </w:rPr>
              <w:t>1、代理服务费支付方式：</w:t>
            </w:r>
            <w:r>
              <w:rPr>
                <w:rFonts w:hint="eastAsia" w:ascii="仿宋" w:hAnsi="仿宋" w:eastAsia="仿宋"/>
                <w:sz w:val="24"/>
                <w:szCs w:val="24"/>
              </w:rPr>
              <w:t>本项目的招标代理服务费按以下收费标准向中标人收取，领取中标通知书时，中标人应向采购代理机构一次付清招标代理服务费，否则采购代理机构有权不予以办理。</w:t>
            </w:r>
          </w:p>
          <w:p>
            <w:pPr>
              <w:pStyle w:val="28"/>
              <w:snapToGrid w:val="0"/>
              <w:spacing w:line="390" w:lineRule="exact"/>
              <w:rPr>
                <w:rFonts w:ascii="仿宋" w:hAnsi="仿宋" w:eastAsia="仿宋" w:cs="宋体"/>
                <w:sz w:val="24"/>
                <w:szCs w:val="24"/>
              </w:rPr>
            </w:pPr>
            <w:r>
              <w:rPr>
                <w:rFonts w:hint="eastAsia" w:ascii="仿宋" w:hAnsi="仿宋" w:eastAsia="仿宋" w:cs="宋体"/>
                <w:sz w:val="24"/>
                <w:szCs w:val="24"/>
              </w:rPr>
              <w:t>2、代理服务费收取标准：</w:t>
            </w:r>
          </w:p>
          <w:p>
            <w:pPr>
              <w:pStyle w:val="28"/>
              <w:snapToGrid w:val="0"/>
              <w:spacing w:line="390" w:lineRule="exact"/>
              <w:rPr>
                <w:rFonts w:ascii="仿宋" w:hAnsi="仿宋" w:eastAsia="仿宋" w:cs="宋体"/>
                <w:sz w:val="24"/>
                <w:szCs w:val="24"/>
              </w:rPr>
            </w:pPr>
            <w:r>
              <w:rPr>
                <w:rFonts w:hint="eastAsia" w:ascii="仿宋" w:hAnsi="仿宋" w:eastAsia="仿宋"/>
                <w:sz w:val="24"/>
                <w:szCs w:val="24"/>
              </w:rPr>
              <w:t>□</w:t>
            </w:r>
            <w:r>
              <w:rPr>
                <w:rFonts w:hint="eastAsia" w:ascii="仿宋" w:hAnsi="仿宋" w:eastAsia="仿宋" w:cs="宋体"/>
                <w:sz w:val="24"/>
                <w:szCs w:val="24"/>
              </w:rPr>
              <w:t>以标项（</w:t>
            </w:r>
            <w:r>
              <w:rPr>
                <w:rFonts w:hint="eastAsia" w:ascii="仿宋" w:hAnsi="仿宋" w:eastAsia="仿宋"/>
                <w:sz w:val="24"/>
                <w:szCs w:val="24"/>
              </w:rPr>
              <w:t>□</w:t>
            </w:r>
            <w:r>
              <w:rPr>
                <w:rFonts w:hint="eastAsia" w:ascii="仿宋" w:hAnsi="仿宋" w:eastAsia="仿宋" w:cs="宋体"/>
                <w:sz w:val="24"/>
                <w:szCs w:val="24"/>
              </w:rPr>
              <w:t>中标金额/</w:t>
            </w:r>
            <w:r>
              <w:rPr>
                <w:rFonts w:hint="eastAsia" w:ascii="仿宋" w:hAnsi="仿宋" w:eastAsia="仿宋"/>
                <w:sz w:val="24"/>
                <w:szCs w:val="24"/>
              </w:rPr>
              <w:t>□</w:t>
            </w:r>
            <w:r>
              <w:rPr>
                <w:rFonts w:hint="eastAsia" w:ascii="仿宋" w:hAnsi="仿宋" w:eastAsia="仿宋" w:cs="宋体"/>
                <w:sz w:val="24"/>
                <w:szCs w:val="24"/>
              </w:rPr>
              <w:t>采购预算/）为计费额，按本须知正文第</w:t>
            </w:r>
            <w:r>
              <w:rPr>
                <w:rFonts w:ascii="仿宋" w:hAnsi="仿宋" w:eastAsia="仿宋" w:cs="宋体"/>
                <w:sz w:val="24"/>
                <w:szCs w:val="24"/>
              </w:rPr>
              <w:t>39</w:t>
            </w:r>
            <w:r>
              <w:rPr>
                <w:rFonts w:hint="eastAsia" w:ascii="仿宋" w:hAnsi="仿宋" w:eastAsia="仿宋" w:cs="宋体"/>
                <w:sz w:val="24"/>
                <w:szCs w:val="24"/>
              </w:rPr>
              <w:t>.</w:t>
            </w:r>
            <w:r>
              <w:rPr>
                <w:rFonts w:ascii="仿宋" w:hAnsi="仿宋" w:eastAsia="仿宋" w:cs="宋体"/>
                <w:sz w:val="24"/>
                <w:szCs w:val="24"/>
              </w:rPr>
              <w:t>2</w:t>
            </w:r>
            <w:r>
              <w:rPr>
                <w:rFonts w:hint="eastAsia" w:ascii="仿宋" w:hAnsi="仿宋" w:eastAsia="仿宋" w:cs="宋体"/>
                <w:sz w:val="24"/>
                <w:szCs w:val="24"/>
              </w:rPr>
              <w:t>款规定的收费计算标准（</w:t>
            </w:r>
            <w:r>
              <w:rPr>
                <w:rFonts w:hint="eastAsia" w:ascii="仿宋" w:hAnsi="仿宋" w:eastAsia="仿宋"/>
                <w:sz w:val="24"/>
                <w:szCs w:val="24"/>
              </w:rPr>
              <w:t>□</w:t>
            </w:r>
            <w:r>
              <w:rPr>
                <w:rFonts w:hint="eastAsia" w:ascii="仿宋" w:hAnsi="仿宋" w:eastAsia="仿宋" w:cs="宋体"/>
                <w:sz w:val="24"/>
                <w:szCs w:val="24"/>
              </w:rPr>
              <w:t>货物招标/</w:t>
            </w:r>
            <w:r>
              <w:rPr>
                <w:rFonts w:hint="eastAsia" w:ascii="仿宋" w:hAnsi="仿宋" w:eastAsia="仿宋"/>
                <w:sz w:val="24"/>
                <w:szCs w:val="24"/>
              </w:rPr>
              <w:t>□</w:t>
            </w:r>
            <w:r>
              <w:rPr>
                <w:rFonts w:hint="eastAsia" w:ascii="仿宋" w:hAnsi="仿宋" w:eastAsia="仿宋" w:cs="宋体"/>
                <w:sz w:val="24"/>
                <w:szCs w:val="24"/>
              </w:rPr>
              <w:t>服务招标/</w:t>
            </w:r>
            <w:r>
              <w:rPr>
                <w:rFonts w:hint="eastAsia" w:ascii="仿宋" w:hAnsi="仿宋" w:eastAsia="仿宋"/>
                <w:sz w:val="24"/>
                <w:szCs w:val="24"/>
              </w:rPr>
              <w:t>□</w:t>
            </w:r>
            <w:r>
              <w:rPr>
                <w:rFonts w:hint="eastAsia" w:ascii="仿宋" w:hAnsi="仿宋" w:eastAsia="仿宋" w:cs="宋体"/>
                <w:sz w:val="24"/>
                <w:szCs w:val="24"/>
              </w:rPr>
              <w:t>工程招标）采用差额定率累进法计算出收费基准价格，采购代理服务费收费以（</w:t>
            </w:r>
            <w:r>
              <w:rPr>
                <w:rFonts w:hint="eastAsia" w:ascii="仿宋" w:hAnsi="仿宋" w:eastAsia="仿宋"/>
                <w:sz w:val="24"/>
                <w:szCs w:val="24"/>
              </w:rPr>
              <w:t>□</w:t>
            </w:r>
            <w:r>
              <w:rPr>
                <w:rFonts w:hint="eastAsia" w:ascii="仿宋" w:hAnsi="仿宋" w:eastAsia="仿宋" w:cs="宋体"/>
                <w:sz w:val="24"/>
                <w:szCs w:val="24"/>
              </w:rPr>
              <w:t>收费基准价格/</w:t>
            </w:r>
            <w:r>
              <w:rPr>
                <w:rFonts w:hint="eastAsia" w:ascii="仿宋" w:hAnsi="仿宋" w:eastAsia="仿宋"/>
                <w:sz w:val="24"/>
                <w:szCs w:val="24"/>
              </w:rPr>
              <w:t>□</w:t>
            </w:r>
            <w:r>
              <w:rPr>
                <w:rFonts w:hint="eastAsia" w:ascii="仿宋" w:hAnsi="仿宋" w:eastAsia="仿宋" w:cs="宋体"/>
                <w:sz w:val="24"/>
                <w:szCs w:val="24"/>
              </w:rPr>
              <w:t>收费基准价格下浮</w:t>
            </w:r>
            <w:r>
              <w:rPr>
                <w:rFonts w:ascii="仿宋" w:hAnsi="仿宋" w:eastAsia="仿宋" w:cs="宋体"/>
                <w:sz w:val="24"/>
                <w:szCs w:val="24"/>
                <w:u w:val="single"/>
              </w:rPr>
              <w:t xml:space="preserve">/ </w:t>
            </w:r>
            <w:r>
              <w:rPr>
                <w:rFonts w:ascii="仿宋" w:hAnsi="仿宋" w:eastAsia="仿宋" w:cs="宋体"/>
                <w:sz w:val="24"/>
                <w:szCs w:val="24"/>
              </w:rPr>
              <w:t>/</w:t>
            </w:r>
            <w:r>
              <w:rPr>
                <w:rFonts w:hint="eastAsia" w:ascii="仿宋" w:hAnsi="仿宋" w:eastAsia="仿宋"/>
                <w:sz w:val="24"/>
                <w:szCs w:val="24"/>
              </w:rPr>
              <w:t>□</w:t>
            </w:r>
            <w:r>
              <w:rPr>
                <w:rFonts w:hint="eastAsia" w:ascii="仿宋" w:hAnsi="仿宋" w:eastAsia="仿宋" w:cs="宋体"/>
                <w:sz w:val="24"/>
                <w:szCs w:val="24"/>
              </w:rPr>
              <w:t>收费基准价格上浮</w:t>
            </w:r>
            <w:r>
              <w:rPr>
                <w:rFonts w:ascii="仿宋" w:hAnsi="仿宋" w:eastAsia="仿宋" w:cs="宋体"/>
                <w:sz w:val="24"/>
                <w:szCs w:val="24"/>
                <w:u w:val="single"/>
              </w:rPr>
              <w:t xml:space="preserve"> / </w:t>
            </w:r>
            <w:r>
              <w:rPr>
                <w:rFonts w:hint="eastAsia" w:ascii="仿宋" w:hAnsi="仿宋" w:eastAsia="仿宋" w:cs="宋体"/>
                <w:sz w:val="24"/>
                <w:szCs w:val="24"/>
              </w:rPr>
              <w:t>%）收取。</w:t>
            </w:r>
          </w:p>
          <w:p>
            <w:pPr>
              <w:pStyle w:val="28"/>
              <w:snapToGrid w:val="0"/>
              <w:spacing w:line="390" w:lineRule="exact"/>
              <w:rPr>
                <w:rFonts w:ascii="仿宋" w:hAnsi="仿宋" w:eastAsia="仿宋" w:cs="宋体"/>
                <w:sz w:val="24"/>
                <w:szCs w:val="24"/>
                <w:u w:val="single"/>
              </w:rPr>
            </w:pPr>
            <w:r>
              <w:rPr>
                <w:rFonts w:ascii="仿宋" w:hAnsi="仿宋" w:eastAsia="仿宋"/>
                <w:sz w:val="24"/>
              </w:rPr>
              <w:fldChar w:fldCharType="begin"/>
            </w:r>
            <w:r>
              <w:rPr>
                <w:rFonts w:hint="eastAsia" w:ascii="仿宋" w:hAnsi="仿宋" w:eastAsia="仿宋"/>
                <w:sz w:val="24"/>
              </w:rPr>
              <w:instrText xml:space="preserve">eq \o\ac(□,</w:instrText>
            </w:r>
            <w:r>
              <w:rPr>
                <w:rFonts w:hint="eastAsia" w:ascii="仿宋" w:hAnsi="仿宋" w:eastAsia="仿宋"/>
                <w:position w:val="2"/>
                <w:sz w:val="24"/>
              </w:rPr>
              <w:instrText xml:space="preserve">√</w:instrText>
            </w:r>
            <w:r>
              <w:rPr>
                <w:rFonts w:hint="eastAsia" w:ascii="仿宋" w:hAnsi="仿宋" w:eastAsia="仿宋"/>
                <w:sz w:val="24"/>
              </w:rPr>
              <w:instrText xml:space="preserve">)</w:instrText>
            </w:r>
            <w:r>
              <w:rPr>
                <w:rFonts w:ascii="仿宋" w:hAnsi="仿宋" w:eastAsia="仿宋"/>
                <w:sz w:val="24"/>
              </w:rPr>
              <w:fldChar w:fldCharType="end"/>
            </w:r>
            <w:r>
              <w:rPr>
                <w:rFonts w:hint="eastAsia" w:ascii="仿宋" w:hAnsi="仿宋" w:eastAsia="仿宋" w:cs="宋体"/>
                <w:sz w:val="24"/>
                <w:szCs w:val="24"/>
              </w:rPr>
              <w:t>固定采购代理收费：</w:t>
            </w:r>
            <w:r>
              <w:rPr>
                <w:rFonts w:hint="eastAsia" w:ascii="仿宋" w:hAnsi="仿宋" w:eastAsia="仿宋" w:cs="宋体"/>
                <w:sz w:val="24"/>
                <w:szCs w:val="24"/>
                <w:u w:val="single"/>
              </w:rPr>
              <w:t>中标</w:t>
            </w:r>
            <w:r>
              <w:rPr>
                <w:rFonts w:ascii="仿宋" w:hAnsi="仿宋" w:eastAsia="仿宋" w:cs="宋体"/>
                <w:sz w:val="24"/>
                <w:szCs w:val="24"/>
                <w:u w:val="single"/>
              </w:rPr>
              <w:t>金额的</w:t>
            </w:r>
            <w:r>
              <w:rPr>
                <w:rFonts w:hint="eastAsia" w:ascii="仿宋" w:hAnsi="仿宋" w:eastAsia="仿宋" w:cs="宋体"/>
                <w:sz w:val="24"/>
                <w:szCs w:val="24"/>
                <w:u w:val="single"/>
              </w:rPr>
              <w:t>0.7</w:t>
            </w:r>
            <w:r>
              <w:rPr>
                <w:rFonts w:ascii="仿宋" w:hAnsi="仿宋" w:eastAsia="仿宋" w:cs="宋体"/>
                <w:sz w:val="24"/>
                <w:szCs w:val="24"/>
                <w:u w:val="single"/>
              </w:rPr>
              <w:t>%</w:t>
            </w:r>
            <w:r>
              <w:rPr>
                <w:rFonts w:hint="eastAsia" w:ascii="仿宋" w:hAnsi="仿宋" w:eastAsia="仿宋" w:cs="宋体"/>
                <w:sz w:val="24"/>
                <w:szCs w:val="24"/>
                <w:u w:val="single"/>
              </w:rPr>
              <w:t>（中标</w:t>
            </w:r>
            <w:r>
              <w:rPr>
                <w:rFonts w:ascii="仿宋" w:hAnsi="仿宋" w:eastAsia="仿宋" w:cs="宋体"/>
                <w:sz w:val="24"/>
                <w:szCs w:val="24"/>
                <w:u w:val="single"/>
              </w:rPr>
              <w:t>金额</w:t>
            </w:r>
            <w:r>
              <w:rPr>
                <w:rFonts w:hint="eastAsia" w:ascii="仿宋" w:hAnsi="仿宋" w:eastAsia="仿宋" w:cs="宋体"/>
                <w:sz w:val="24"/>
                <w:szCs w:val="24"/>
                <w:u w:val="single"/>
              </w:rPr>
              <w:t>×0.7</w:t>
            </w:r>
            <w:r>
              <w:rPr>
                <w:rFonts w:ascii="仿宋" w:hAnsi="仿宋" w:eastAsia="仿宋" w:cs="宋体"/>
                <w:sz w:val="24"/>
                <w:szCs w:val="24"/>
                <w:u w:val="single"/>
              </w:rPr>
              <w:t>%</w:t>
            </w:r>
            <w:r>
              <w:rPr>
                <w:rFonts w:hint="eastAsia" w:ascii="仿宋" w:hAnsi="仿宋" w:eastAsia="仿宋" w:cs="宋体"/>
                <w:sz w:val="24"/>
                <w:szCs w:val="24"/>
                <w:u w:val="single"/>
              </w:rPr>
              <w:t>）</w:t>
            </w:r>
          </w:p>
          <w:p>
            <w:pPr>
              <w:pStyle w:val="28"/>
              <w:snapToGrid w:val="0"/>
              <w:spacing w:line="390" w:lineRule="exact"/>
              <w:rPr>
                <w:rFonts w:ascii="仿宋" w:hAnsi="仿宋" w:eastAsia="仿宋" w:cs="宋体"/>
                <w:sz w:val="24"/>
                <w:szCs w:val="24"/>
              </w:rPr>
            </w:pPr>
            <w:r>
              <w:rPr>
                <w:rFonts w:hint="eastAsia" w:ascii="仿宋" w:hAnsi="仿宋" w:eastAsia="仿宋" w:cs="宋体"/>
                <w:sz w:val="24"/>
                <w:szCs w:val="24"/>
              </w:rPr>
              <w:t>3、代理服务费交纳账户信息</w:t>
            </w:r>
          </w:p>
          <w:p>
            <w:pPr>
              <w:pStyle w:val="28"/>
              <w:snapToGrid w:val="0"/>
              <w:spacing w:line="390" w:lineRule="exact"/>
              <w:rPr>
                <w:rFonts w:ascii="仿宋" w:hAnsi="仿宋" w:eastAsia="仿宋" w:cs="宋体"/>
                <w:sz w:val="24"/>
                <w:szCs w:val="24"/>
              </w:rPr>
            </w:pPr>
            <w:r>
              <w:rPr>
                <w:rFonts w:hint="eastAsia" w:ascii="仿宋" w:hAnsi="仿宋" w:eastAsia="仿宋" w:cs="宋体"/>
                <w:sz w:val="24"/>
                <w:szCs w:val="24"/>
              </w:rPr>
              <w:t>开户名称：广西科文招标有限公司桂林分公司</w:t>
            </w:r>
          </w:p>
          <w:p>
            <w:pPr>
              <w:pStyle w:val="28"/>
              <w:snapToGrid w:val="0"/>
              <w:spacing w:line="390" w:lineRule="exact"/>
              <w:rPr>
                <w:rFonts w:ascii="仿宋" w:hAnsi="仿宋" w:eastAsia="仿宋" w:cs="宋体"/>
                <w:sz w:val="24"/>
                <w:szCs w:val="24"/>
              </w:rPr>
            </w:pPr>
            <w:r>
              <w:rPr>
                <w:rFonts w:hint="eastAsia" w:ascii="仿宋" w:hAnsi="仿宋" w:eastAsia="仿宋" w:cs="宋体"/>
                <w:sz w:val="24"/>
                <w:szCs w:val="24"/>
              </w:rPr>
              <w:t>开户银行：</w:t>
            </w:r>
            <w:r>
              <w:rPr>
                <w:rFonts w:hint="eastAsia" w:ascii="仿宋" w:hAnsi="仿宋" w:eastAsia="仿宋" w:cs="宋体"/>
                <w:sz w:val="24"/>
              </w:rPr>
              <w:t>中国工商银行桂林市桂湖支行</w:t>
            </w:r>
          </w:p>
          <w:p>
            <w:pPr>
              <w:pStyle w:val="28"/>
              <w:snapToGrid w:val="0"/>
              <w:spacing w:line="390" w:lineRule="exact"/>
              <w:rPr>
                <w:rFonts w:ascii="仿宋" w:hAnsi="仿宋" w:eastAsia="仿宋" w:cs="宋体"/>
                <w:sz w:val="24"/>
                <w:szCs w:val="24"/>
              </w:rPr>
            </w:pPr>
            <w:r>
              <w:rPr>
                <w:rFonts w:hint="eastAsia" w:ascii="仿宋" w:hAnsi="仿宋" w:eastAsia="仿宋" w:cs="宋体"/>
                <w:sz w:val="24"/>
                <w:szCs w:val="24"/>
              </w:rPr>
              <w:t>银行账号：</w:t>
            </w:r>
            <w:r>
              <w:rPr>
                <w:rFonts w:hint="eastAsia" w:ascii="仿宋" w:hAnsi="仿宋" w:eastAsia="仿宋" w:cs="宋体"/>
                <w:sz w:val="24"/>
              </w:rPr>
              <w:t>210 3200 2093 0000 2088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jc w:val="center"/>
              <w:rPr>
                <w:rFonts w:ascii="仿宋" w:hAnsi="仿宋" w:eastAsia="仿宋"/>
                <w:sz w:val="24"/>
              </w:rPr>
            </w:pPr>
            <w:r>
              <w:rPr>
                <w:rFonts w:ascii="仿宋" w:hAnsi="仿宋" w:eastAsia="仿宋"/>
                <w:sz w:val="24"/>
              </w:rPr>
              <w:t>40.1</w:t>
            </w:r>
          </w:p>
        </w:tc>
        <w:tc>
          <w:tcPr>
            <w:tcW w:w="9275"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rPr>
                <w:rFonts w:ascii="仿宋" w:hAnsi="仿宋" w:eastAsia="仿宋"/>
                <w:sz w:val="24"/>
              </w:rPr>
            </w:pPr>
            <w:r>
              <w:rPr>
                <w:rFonts w:hint="eastAsia" w:ascii="仿宋" w:hAnsi="仿宋" w:eastAsia="仿宋"/>
                <w:sz w:val="24"/>
              </w:rPr>
              <w:t>解释：</w:t>
            </w:r>
            <w:r>
              <w:rPr>
                <w:rFonts w:ascii="仿宋" w:hAnsi="仿宋" w:eastAsia="仿宋"/>
                <w:sz w:val="24"/>
              </w:rPr>
              <w:t>构成本招标文件的各个组成文件应互为解释，互为说明；除招标文件中有特别规定外，仅适用于招标投标阶段的规定，按</w:t>
            </w:r>
            <w:r>
              <w:rPr>
                <w:rFonts w:hint="eastAsia" w:ascii="仿宋" w:hAnsi="仿宋" w:eastAsia="仿宋"/>
                <w:sz w:val="24"/>
              </w:rPr>
              <w:t>更正公告（澄清公告）</w:t>
            </w:r>
            <w:r>
              <w:rPr>
                <w:rFonts w:ascii="仿宋" w:hAnsi="仿宋" w:eastAsia="仿宋"/>
                <w:sz w:val="24"/>
              </w:rPr>
              <w:t>、招标公告、</w:t>
            </w:r>
            <w:r>
              <w:rPr>
                <w:rFonts w:hint="eastAsia" w:ascii="仿宋" w:hAnsi="仿宋" w:eastAsia="仿宋"/>
                <w:sz w:val="24"/>
              </w:rPr>
              <w:t>采购需求、</w:t>
            </w:r>
            <w:r>
              <w:rPr>
                <w:rFonts w:ascii="仿宋" w:hAnsi="仿宋" w:eastAsia="仿宋"/>
                <w:sz w:val="24"/>
              </w:rPr>
              <w:t>投标人须知、</w:t>
            </w:r>
            <w:r>
              <w:rPr>
                <w:rFonts w:hint="eastAsia" w:ascii="仿宋" w:hAnsi="仿宋" w:eastAsia="仿宋"/>
                <w:sz w:val="24"/>
              </w:rPr>
              <w:t>评标方法及评标标准</w:t>
            </w:r>
            <w:r>
              <w:rPr>
                <w:rFonts w:ascii="仿宋" w:hAnsi="仿宋" w:eastAsia="仿宋"/>
                <w:sz w:val="24"/>
              </w:rPr>
              <w:t>、</w:t>
            </w:r>
            <w:r>
              <w:rPr>
                <w:rFonts w:hint="eastAsia" w:ascii="仿宋" w:hAnsi="仿宋" w:eastAsia="仿宋"/>
                <w:sz w:val="24"/>
              </w:rPr>
              <w:t>拟签订的合同文本、</w:t>
            </w:r>
            <w:r>
              <w:rPr>
                <w:rFonts w:ascii="仿宋" w:hAnsi="仿宋" w:eastAsia="仿宋"/>
                <w:sz w:val="24"/>
              </w:rPr>
              <w:t>投标文件格式的先后顺序解释；同一组成文件中就同一事项的规定或者约定不一致的，以编排顺序在后者为准；同一组成文件不同版本之间有不一致的，以形成时间在后者为准；</w:t>
            </w:r>
            <w:r>
              <w:rPr>
                <w:rFonts w:hint="eastAsia" w:ascii="仿宋" w:hAnsi="仿宋" w:eastAsia="仿宋"/>
                <w:sz w:val="24"/>
              </w:rPr>
              <w:t>更正公告（澄清公告）</w:t>
            </w:r>
            <w:r>
              <w:rPr>
                <w:rFonts w:ascii="仿宋" w:hAnsi="仿宋" w:eastAsia="仿宋"/>
                <w:sz w:val="24"/>
              </w:rPr>
              <w:t>与同步更新的招标文件不一致时以</w:t>
            </w:r>
            <w:r>
              <w:rPr>
                <w:rFonts w:hint="eastAsia" w:ascii="仿宋" w:hAnsi="仿宋" w:eastAsia="仿宋"/>
                <w:sz w:val="24"/>
              </w:rPr>
              <w:t>更正公告（澄清公告）</w:t>
            </w:r>
            <w:r>
              <w:rPr>
                <w:rFonts w:ascii="仿宋" w:hAnsi="仿宋" w:eastAsia="仿宋"/>
                <w:sz w:val="24"/>
              </w:rPr>
              <w:t>为准。按本款前述规定仍不能形成结论的，由</w:t>
            </w:r>
            <w:r>
              <w:rPr>
                <w:rFonts w:hint="eastAsia" w:ascii="仿宋" w:hAnsi="仿宋" w:eastAsia="仿宋"/>
                <w:sz w:val="24"/>
              </w:rPr>
              <w:t>采购</w:t>
            </w:r>
            <w:r>
              <w:rPr>
                <w:rFonts w:ascii="仿宋" w:hAnsi="仿宋" w:eastAsia="仿宋"/>
                <w:sz w:val="24"/>
              </w:rPr>
              <w:t>人</w:t>
            </w:r>
            <w:r>
              <w:rPr>
                <w:rFonts w:hint="eastAsia" w:ascii="仿宋" w:hAnsi="仿宋" w:eastAsia="仿宋"/>
                <w:sz w:val="24"/>
              </w:rPr>
              <w:t>或者采购代理机构</w:t>
            </w:r>
            <w:r>
              <w:rPr>
                <w:rFonts w:ascii="仿宋" w:hAnsi="仿宋" w:eastAsia="仿宋"/>
                <w:sz w:val="24"/>
              </w:rPr>
              <w:t>负责解释。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vAlign w:val="center"/>
          </w:tcPr>
          <w:p>
            <w:pPr>
              <w:snapToGrid w:val="0"/>
              <w:spacing w:line="390" w:lineRule="exact"/>
              <w:jc w:val="center"/>
              <w:rPr>
                <w:rFonts w:ascii="仿宋" w:hAnsi="仿宋" w:eastAsia="仿宋"/>
                <w:sz w:val="24"/>
              </w:rPr>
            </w:pPr>
            <w:r>
              <w:rPr>
                <w:rFonts w:ascii="仿宋" w:hAnsi="仿宋" w:eastAsia="仿宋"/>
                <w:sz w:val="24"/>
              </w:rPr>
              <w:t>40.2</w:t>
            </w:r>
          </w:p>
        </w:tc>
        <w:tc>
          <w:tcPr>
            <w:tcW w:w="9275" w:type="dxa"/>
            <w:tcBorders>
              <w:top w:val="single" w:color="auto" w:sz="4" w:space="0"/>
              <w:left w:val="single" w:color="auto" w:sz="4" w:space="0"/>
              <w:bottom w:val="single" w:color="auto" w:sz="4" w:space="0"/>
              <w:right w:val="single" w:color="auto" w:sz="4" w:space="0"/>
            </w:tcBorders>
            <w:vAlign w:val="center"/>
          </w:tcPr>
          <w:p>
            <w:pPr>
              <w:pStyle w:val="28"/>
              <w:snapToGrid w:val="0"/>
              <w:spacing w:line="390" w:lineRule="exact"/>
              <w:rPr>
                <w:rFonts w:ascii="仿宋" w:hAnsi="仿宋" w:eastAsia="仿宋" w:cs="宋体"/>
                <w:bCs/>
                <w:sz w:val="24"/>
                <w:szCs w:val="24"/>
              </w:rPr>
            </w:pPr>
            <w:r>
              <w:rPr>
                <w:rFonts w:hint="eastAsia" w:ascii="仿宋" w:hAnsi="仿宋" w:eastAsia="仿宋" w:cs="宋体"/>
                <w:bCs/>
                <w:sz w:val="24"/>
                <w:szCs w:val="24"/>
              </w:rPr>
              <w:t>1、本招标文件中描述投标人的“公章”是指根据我国对公章的管理规定，用投标人法定主体行为名称制作的印章</w:t>
            </w:r>
            <w:r>
              <w:rPr>
                <w:rFonts w:hint="eastAsia" w:ascii="仿宋" w:hAnsi="仿宋" w:eastAsia="仿宋" w:cs="宋体"/>
                <w:sz w:val="24"/>
                <w:szCs w:val="24"/>
              </w:rPr>
              <w:t>（含电子印章）</w:t>
            </w:r>
            <w:r>
              <w:rPr>
                <w:rFonts w:hint="eastAsia" w:ascii="仿宋" w:hAnsi="仿宋" w:eastAsia="仿宋" w:cs="宋体"/>
                <w:bCs/>
                <w:sz w:val="24"/>
                <w:szCs w:val="24"/>
              </w:rPr>
              <w:t>，除本招标文件有特殊规定外，投标人的财务章、部门章、分公司章、工会章、合同章、投标专用章、业务专用章及银行的转账章、现金收讫章、现金付讫章等其他形式印章均不能代替公章。</w:t>
            </w:r>
          </w:p>
          <w:p>
            <w:pPr>
              <w:pStyle w:val="28"/>
              <w:snapToGrid w:val="0"/>
              <w:spacing w:line="390" w:lineRule="exact"/>
              <w:rPr>
                <w:rFonts w:ascii="仿宋" w:hAnsi="仿宋" w:eastAsia="仿宋" w:cs="宋体"/>
                <w:bCs/>
                <w:sz w:val="24"/>
                <w:szCs w:val="24"/>
              </w:rPr>
            </w:pPr>
            <w:r>
              <w:rPr>
                <w:rFonts w:hint="eastAsia" w:ascii="仿宋" w:hAnsi="仿宋" w:eastAsia="仿宋" w:cs="宋体"/>
                <w:bCs/>
                <w:sz w:val="24"/>
                <w:szCs w:val="24"/>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pPr>
              <w:pStyle w:val="28"/>
              <w:snapToGrid w:val="0"/>
              <w:spacing w:line="390" w:lineRule="exact"/>
              <w:rPr>
                <w:rFonts w:ascii="仿宋" w:hAnsi="仿宋" w:eastAsia="仿宋" w:cs="宋体"/>
                <w:bCs/>
                <w:sz w:val="24"/>
                <w:szCs w:val="24"/>
              </w:rPr>
            </w:pPr>
            <w:r>
              <w:rPr>
                <w:rFonts w:hint="eastAsia" w:ascii="仿宋" w:hAnsi="仿宋" w:eastAsia="仿宋" w:cs="宋体"/>
                <w:bCs/>
                <w:sz w:val="24"/>
                <w:szCs w:val="24"/>
              </w:rPr>
              <w:t>3、本招标文件中描述投标人的“签字”是指投标人的法定代表人或者委托代理人</w:t>
            </w:r>
            <w:r>
              <w:rPr>
                <w:rFonts w:hint="eastAsia" w:ascii="仿宋" w:hAnsi="仿宋" w:eastAsia="仿宋" w:cs="宋体"/>
                <w:sz w:val="24"/>
                <w:szCs w:val="24"/>
              </w:rPr>
              <w:t>在文件规定签署处签名（含电子签名）的行为，私章、印鉴等其他形式均不能代替签字</w:t>
            </w:r>
            <w:r>
              <w:rPr>
                <w:rFonts w:hint="eastAsia" w:ascii="仿宋" w:hAnsi="仿宋" w:eastAsia="仿宋" w:cs="宋体"/>
                <w:bCs/>
                <w:sz w:val="24"/>
                <w:szCs w:val="24"/>
              </w:rPr>
              <w:t>。</w:t>
            </w:r>
          </w:p>
          <w:p>
            <w:pPr>
              <w:pStyle w:val="28"/>
              <w:snapToGrid w:val="0"/>
              <w:spacing w:line="390" w:lineRule="exact"/>
              <w:rPr>
                <w:rFonts w:ascii="仿宋" w:hAnsi="仿宋" w:eastAsia="仿宋" w:cs="宋体"/>
                <w:bCs/>
                <w:sz w:val="24"/>
                <w:szCs w:val="24"/>
              </w:rPr>
            </w:pPr>
            <w:r>
              <w:rPr>
                <w:rFonts w:hint="eastAsia" w:ascii="仿宋" w:hAnsi="仿宋" w:eastAsia="仿宋" w:cs="宋体"/>
                <w:bCs/>
                <w:sz w:val="24"/>
                <w:szCs w:val="24"/>
              </w:rPr>
              <w:t>4、自然人投标的，招标文件规定盖公章处由自然人摁手指指印。</w:t>
            </w:r>
          </w:p>
          <w:p>
            <w:pPr>
              <w:spacing w:line="390" w:lineRule="exact"/>
              <w:jc w:val="left"/>
              <w:rPr>
                <w:rFonts w:ascii="仿宋" w:hAnsi="仿宋" w:eastAsia="仿宋"/>
                <w:sz w:val="24"/>
              </w:rPr>
            </w:pPr>
            <w:r>
              <w:rPr>
                <w:rFonts w:hint="eastAsia" w:ascii="仿宋" w:hAnsi="仿宋" w:eastAsia="仿宋" w:cs="宋体"/>
                <w:bCs/>
                <w:sz w:val="24"/>
              </w:rPr>
              <w:t>5、本招标文件所称的“以上”“以下”“以内”“届满”，包括本数；所称的“不满”“超过”“以外”，不包括本数。</w:t>
            </w:r>
          </w:p>
        </w:tc>
      </w:tr>
    </w:tbl>
    <w:p>
      <w:pPr>
        <w:pStyle w:val="6"/>
        <w:keepNext w:val="0"/>
        <w:keepLines w:val="0"/>
        <w:pageBreakBefore/>
        <w:spacing w:before="0" w:after="0" w:line="415" w:lineRule="auto"/>
        <w:jc w:val="center"/>
        <w:rPr>
          <w:rFonts w:ascii="仿宋" w:hAnsi="仿宋" w:eastAsia="仿宋"/>
        </w:rPr>
      </w:pPr>
      <w:r>
        <w:rPr>
          <w:rFonts w:hint="eastAsia" w:ascii="仿宋" w:hAnsi="仿宋" w:eastAsia="仿宋"/>
        </w:rPr>
        <w:t>投标人须知正文</w:t>
      </w:r>
    </w:p>
    <w:p>
      <w:pPr>
        <w:pStyle w:val="6"/>
        <w:keepNext w:val="0"/>
        <w:keepLines w:val="0"/>
        <w:spacing w:before="0" w:after="0" w:line="415" w:lineRule="auto"/>
        <w:jc w:val="center"/>
        <w:rPr>
          <w:rFonts w:ascii="仿宋" w:hAnsi="仿宋" w:eastAsia="仿宋"/>
        </w:rPr>
      </w:pPr>
      <w:r>
        <w:rPr>
          <w:rFonts w:hint="eastAsia" w:ascii="仿宋" w:hAnsi="仿宋" w:eastAsia="仿宋"/>
        </w:rPr>
        <w:t>一、总  则</w:t>
      </w:r>
    </w:p>
    <w:p>
      <w:pPr>
        <w:pStyle w:val="8"/>
        <w:keepNext w:val="0"/>
        <w:keepLines w:val="0"/>
        <w:spacing w:before="0" w:after="0" w:line="360" w:lineRule="auto"/>
        <w:ind w:left="420" w:leftChars="200"/>
        <w:rPr>
          <w:rFonts w:ascii="仿宋" w:hAnsi="仿宋" w:eastAsia="仿宋"/>
          <w:sz w:val="24"/>
        </w:rPr>
      </w:pPr>
      <w:bookmarkStart w:id="143" w:name="_Toc254970668"/>
      <w:bookmarkStart w:id="144" w:name="_Toc254970527"/>
      <w:r>
        <w:rPr>
          <w:rFonts w:hint="eastAsia" w:ascii="仿宋" w:hAnsi="仿宋" w:eastAsia="仿宋"/>
          <w:sz w:val="24"/>
        </w:rPr>
        <w:t>1.适用范围</w:t>
      </w:r>
      <w:bookmarkEnd w:id="143"/>
      <w:bookmarkEnd w:id="144"/>
    </w:p>
    <w:p>
      <w:pPr>
        <w:snapToGrid w:val="0"/>
        <w:spacing w:line="360" w:lineRule="auto"/>
        <w:ind w:firstLine="480" w:firstLineChars="200"/>
        <w:jc w:val="left"/>
        <w:rPr>
          <w:rFonts w:ascii="仿宋" w:hAnsi="仿宋" w:eastAsia="仿宋"/>
          <w:sz w:val="24"/>
        </w:rPr>
      </w:pPr>
      <w:r>
        <w:rPr>
          <w:rFonts w:hint="eastAsia" w:ascii="仿宋" w:hAnsi="仿宋" w:eastAsia="仿宋"/>
          <w:sz w:val="24"/>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pPr>
        <w:snapToGrid w:val="0"/>
        <w:spacing w:line="360" w:lineRule="auto"/>
        <w:ind w:firstLine="480" w:firstLineChars="200"/>
        <w:jc w:val="left"/>
        <w:rPr>
          <w:rFonts w:ascii="仿宋" w:hAnsi="仿宋" w:eastAsia="仿宋"/>
          <w:sz w:val="24"/>
        </w:rPr>
      </w:pPr>
      <w:r>
        <w:rPr>
          <w:rFonts w:hint="eastAsia" w:ascii="仿宋" w:hAnsi="仿宋" w:eastAsia="仿宋"/>
          <w:sz w:val="24"/>
        </w:rPr>
        <w:t>1.2本招标文件</w:t>
      </w:r>
      <w:r>
        <w:rPr>
          <w:rFonts w:hint="eastAsia" w:ascii="仿宋" w:hAnsi="仿宋" w:eastAsia="仿宋" w:cs="宋体"/>
          <w:spacing w:val="-6"/>
          <w:sz w:val="24"/>
        </w:rPr>
        <w:t>适用于本项目的所有采购程序和环节（法律、法规另有规定的，从其规定）。</w:t>
      </w:r>
    </w:p>
    <w:p>
      <w:pPr>
        <w:pStyle w:val="8"/>
        <w:keepNext w:val="0"/>
        <w:keepLines w:val="0"/>
        <w:spacing w:before="0" w:after="0" w:line="360" w:lineRule="auto"/>
        <w:ind w:left="420" w:leftChars="200"/>
        <w:rPr>
          <w:rFonts w:ascii="仿宋" w:hAnsi="仿宋" w:eastAsia="仿宋"/>
          <w:sz w:val="24"/>
        </w:rPr>
      </w:pPr>
      <w:bookmarkStart w:id="145" w:name="_Toc254970669"/>
      <w:bookmarkStart w:id="146" w:name="_Toc254970528"/>
      <w:r>
        <w:rPr>
          <w:rFonts w:hint="eastAsia" w:ascii="仿宋" w:hAnsi="仿宋" w:eastAsia="仿宋"/>
          <w:sz w:val="24"/>
        </w:rPr>
        <w:t>2.定义</w:t>
      </w:r>
      <w:bookmarkEnd w:id="145"/>
      <w:bookmarkEnd w:id="146"/>
    </w:p>
    <w:p>
      <w:pPr>
        <w:pStyle w:val="8"/>
        <w:keepNext w:val="0"/>
        <w:keepLines w:val="0"/>
        <w:spacing w:before="0" w:after="0" w:line="360" w:lineRule="auto"/>
        <w:ind w:left="420" w:leftChars="200"/>
        <w:rPr>
          <w:rFonts w:ascii="仿宋" w:hAnsi="仿宋" w:eastAsia="仿宋"/>
          <w:b w:val="0"/>
          <w:sz w:val="24"/>
        </w:rPr>
      </w:pPr>
      <w:r>
        <w:rPr>
          <w:rFonts w:hint="eastAsia" w:ascii="仿宋" w:hAnsi="仿宋" w:eastAsia="仿宋"/>
          <w:b w:val="0"/>
          <w:sz w:val="24"/>
        </w:rPr>
        <w:t>2.1“采购人”是指依法进行政府采购的国家机关、事业单位、团体组织。</w:t>
      </w:r>
    </w:p>
    <w:p>
      <w:pPr>
        <w:pStyle w:val="8"/>
        <w:keepNext w:val="0"/>
        <w:keepLines w:val="0"/>
        <w:spacing w:before="0" w:after="0" w:line="360" w:lineRule="auto"/>
        <w:ind w:left="420" w:leftChars="200"/>
        <w:rPr>
          <w:rFonts w:ascii="仿宋" w:hAnsi="仿宋" w:eastAsia="仿宋"/>
          <w:b w:val="0"/>
          <w:sz w:val="24"/>
        </w:rPr>
      </w:pPr>
      <w:r>
        <w:rPr>
          <w:rFonts w:hint="eastAsia" w:ascii="仿宋" w:hAnsi="仿宋" w:eastAsia="仿宋"/>
          <w:b w:val="0"/>
          <w:sz w:val="24"/>
        </w:rPr>
        <w:t>2.2“采购代理机构”是指政府采购集中采购机构和集中采购机构以外的采购代理机构。</w:t>
      </w:r>
    </w:p>
    <w:p>
      <w:pPr>
        <w:pStyle w:val="8"/>
        <w:keepNext w:val="0"/>
        <w:keepLines w:val="0"/>
        <w:spacing w:before="0" w:after="0" w:line="360" w:lineRule="auto"/>
        <w:ind w:left="420" w:leftChars="200"/>
        <w:rPr>
          <w:rFonts w:ascii="仿宋" w:hAnsi="仿宋" w:eastAsia="仿宋"/>
          <w:b w:val="0"/>
          <w:sz w:val="24"/>
        </w:rPr>
      </w:pPr>
      <w:r>
        <w:rPr>
          <w:rFonts w:hint="eastAsia" w:ascii="仿宋" w:hAnsi="仿宋" w:eastAsia="仿宋"/>
          <w:b w:val="0"/>
          <w:sz w:val="24"/>
        </w:rPr>
        <w:t>2.3“供应商”是指向采购人提供货物、工程或者服务的法人、其他组织或者自然人。</w:t>
      </w:r>
    </w:p>
    <w:p>
      <w:pPr>
        <w:pStyle w:val="9"/>
        <w:spacing w:line="360" w:lineRule="auto"/>
        <w:rPr>
          <w:rFonts w:ascii="仿宋" w:hAnsi="仿宋" w:eastAsia="仿宋"/>
          <w:sz w:val="24"/>
          <w:szCs w:val="24"/>
        </w:rPr>
      </w:pPr>
      <w:r>
        <w:rPr>
          <w:rFonts w:hint="eastAsia" w:ascii="仿宋" w:hAnsi="仿宋" w:eastAsia="仿宋"/>
          <w:sz w:val="24"/>
          <w:szCs w:val="24"/>
        </w:rPr>
        <w:t>2.4“投标人”是指响应招标、参加投标竞争的法人、其他组织或者自然人。</w:t>
      </w:r>
    </w:p>
    <w:p>
      <w:pPr>
        <w:pStyle w:val="9"/>
        <w:spacing w:line="360" w:lineRule="auto"/>
        <w:rPr>
          <w:rFonts w:ascii="仿宋" w:hAnsi="仿宋" w:eastAsia="仿宋"/>
          <w:sz w:val="24"/>
        </w:rPr>
      </w:pPr>
      <w:r>
        <w:rPr>
          <w:rFonts w:hint="eastAsia" w:ascii="仿宋" w:hAnsi="仿宋" w:eastAsia="仿宋"/>
          <w:sz w:val="24"/>
        </w:rPr>
        <w:t>2.5“货物”是指各种形态和种类的物品，包括原材料、燃料、设备、产品等。</w:t>
      </w:r>
    </w:p>
    <w:p>
      <w:pPr>
        <w:pStyle w:val="9"/>
        <w:spacing w:line="360" w:lineRule="auto"/>
        <w:rPr>
          <w:rFonts w:ascii="仿宋" w:hAnsi="仿宋" w:eastAsia="仿宋"/>
          <w:sz w:val="24"/>
        </w:rPr>
      </w:pPr>
      <w:r>
        <w:rPr>
          <w:rFonts w:hint="eastAsia" w:ascii="仿宋" w:hAnsi="仿宋" w:eastAsia="仿宋"/>
          <w:sz w:val="24"/>
        </w:rPr>
        <w:t>2.6</w:t>
      </w:r>
      <w:r>
        <w:rPr>
          <w:rFonts w:hint="eastAsia" w:ascii="仿宋" w:hAnsi="仿宋" w:eastAsia="仿宋" w:cs="宋体"/>
          <w:sz w:val="24"/>
        </w:rPr>
        <w:t>“服务”是指招标文件规定投标人为</w:t>
      </w:r>
      <w:r>
        <w:rPr>
          <w:rFonts w:ascii="仿宋" w:hAnsi="仿宋" w:eastAsia="仿宋" w:cs="宋体"/>
          <w:sz w:val="24"/>
        </w:rPr>
        <w:t>本项目</w:t>
      </w:r>
      <w:r>
        <w:rPr>
          <w:rFonts w:hint="eastAsia" w:ascii="仿宋" w:hAnsi="仿宋" w:eastAsia="仿宋" w:cs="宋体"/>
          <w:sz w:val="24"/>
        </w:rPr>
        <w:t>须提供的服务以及其他类似的义务。</w:t>
      </w:r>
    </w:p>
    <w:p>
      <w:pPr>
        <w:pStyle w:val="9"/>
        <w:spacing w:line="360" w:lineRule="auto"/>
        <w:rPr>
          <w:rFonts w:ascii="仿宋" w:hAnsi="仿宋" w:eastAsia="仿宋"/>
          <w:sz w:val="24"/>
        </w:rPr>
      </w:pPr>
      <w:r>
        <w:rPr>
          <w:rFonts w:hint="eastAsia" w:ascii="仿宋" w:hAnsi="仿宋" w:eastAsia="仿宋"/>
          <w:sz w:val="24"/>
        </w:rPr>
        <w:t>2.7“书面形式”是指合同书、信件和数据电文（包括电报、电传、传真、电子数据交换和电子邮件）等可以有形地表现所载内容的形式。</w:t>
      </w:r>
    </w:p>
    <w:p>
      <w:pPr>
        <w:pStyle w:val="9"/>
        <w:spacing w:line="360" w:lineRule="auto"/>
        <w:rPr>
          <w:rFonts w:ascii="仿宋" w:hAnsi="仿宋" w:eastAsia="仿宋"/>
          <w:sz w:val="24"/>
        </w:rPr>
      </w:pPr>
      <w:r>
        <w:rPr>
          <w:rFonts w:hint="eastAsia" w:ascii="仿宋" w:hAnsi="仿宋" w:eastAsia="仿宋"/>
          <w:sz w:val="24"/>
        </w:rPr>
        <w:t>2.8“实质性要求”是指招标文件中已经指明不满足则投标无效的条款，或者不能负偏离的条款，或者采购需求中带“</w:t>
      </w:r>
      <w:r>
        <w:rPr>
          <w:rFonts w:hint="eastAsia" w:ascii="仿宋" w:hAnsi="仿宋" w:eastAsia="仿宋"/>
          <w:bCs/>
          <w:sz w:val="24"/>
        </w:rPr>
        <w:t>▲</w:t>
      </w:r>
      <w:r>
        <w:rPr>
          <w:rFonts w:hint="eastAsia" w:ascii="仿宋" w:hAnsi="仿宋" w:eastAsia="仿宋"/>
          <w:sz w:val="24"/>
        </w:rPr>
        <w:t>”的条款。</w:t>
      </w:r>
    </w:p>
    <w:p>
      <w:pPr>
        <w:pStyle w:val="9"/>
        <w:spacing w:line="360" w:lineRule="auto"/>
        <w:rPr>
          <w:rFonts w:ascii="仿宋" w:hAnsi="仿宋" w:eastAsia="仿宋" w:cs="宋体"/>
          <w:sz w:val="24"/>
        </w:rPr>
      </w:pPr>
      <w:r>
        <w:rPr>
          <w:rFonts w:hint="eastAsia" w:ascii="仿宋" w:hAnsi="仿宋" w:eastAsia="仿宋"/>
          <w:sz w:val="24"/>
        </w:rPr>
        <w:t>2.9</w:t>
      </w:r>
      <w:r>
        <w:rPr>
          <w:rFonts w:hint="eastAsia" w:ascii="仿宋" w:hAnsi="仿宋" w:eastAsia="仿宋" w:cs="宋体"/>
          <w:sz w:val="24"/>
        </w:rPr>
        <w:t>“正偏离”，是指投标文件对招标文件“采购需求”中有关条款作出的响应优于条款要求并有利于采购人的情形。</w:t>
      </w:r>
    </w:p>
    <w:p>
      <w:pPr>
        <w:pStyle w:val="9"/>
        <w:spacing w:line="360" w:lineRule="auto"/>
        <w:rPr>
          <w:rFonts w:ascii="仿宋" w:hAnsi="仿宋" w:eastAsia="仿宋" w:cs="宋体"/>
          <w:sz w:val="24"/>
        </w:rPr>
      </w:pPr>
      <w:r>
        <w:rPr>
          <w:rFonts w:ascii="仿宋" w:hAnsi="仿宋" w:eastAsia="仿宋" w:cs="宋体"/>
          <w:sz w:val="24"/>
        </w:rPr>
        <w:t>2.10</w:t>
      </w:r>
      <w:r>
        <w:rPr>
          <w:rFonts w:hint="eastAsia" w:ascii="仿宋" w:hAnsi="仿宋" w:eastAsia="仿宋" w:cs="宋体"/>
          <w:sz w:val="24"/>
        </w:rPr>
        <w:t>“负偏离”，是指投标文件对招标文件“采购需求”中有关条款作出的响应不满足条款要求，导致采购人要求不能得到满足的情形。</w:t>
      </w:r>
    </w:p>
    <w:p>
      <w:pPr>
        <w:pStyle w:val="9"/>
        <w:spacing w:line="360" w:lineRule="auto"/>
        <w:rPr>
          <w:rFonts w:ascii="仿宋" w:hAnsi="仿宋" w:eastAsia="仿宋"/>
          <w:sz w:val="24"/>
          <w:szCs w:val="24"/>
        </w:rPr>
      </w:pPr>
      <w:r>
        <w:rPr>
          <w:rFonts w:hint="eastAsia" w:ascii="仿宋" w:hAnsi="仿宋" w:eastAsia="仿宋"/>
          <w:sz w:val="24"/>
        </w:rPr>
        <w:t>2.1</w:t>
      </w:r>
      <w:r>
        <w:rPr>
          <w:rFonts w:ascii="仿宋" w:hAnsi="仿宋" w:eastAsia="仿宋"/>
          <w:sz w:val="24"/>
        </w:rPr>
        <w:t>1</w:t>
      </w:r>
      <w:r>
        <w:rPr>
          <w:rFonts w:hint="eastAsia" w:ascii="仿宋" w:hAnsi="仿宋" w:eastAsia="仿宋" w:cs="宋体"/>
          <w:sz w:val="24"/>
        </w:rPr>
        <w:t>“允许负偏离的条款”是指采购需求中的不属于“实质性要求”的条款。</w:t>
      </w:r>
      <w:bookmarkStart w:id="147" w:name="_Toc254970670"/>
      <w:bookmarkStart w:id="148" w:name="_Toc254970529"/>
    </w:p>
    <w:p>
      <w:pPr>
        <w:pStyle w:val="8"/>
        <w:keepNext w:val="0"/>
        <w:keepLines w:val="0"/>
        <w:spacing w:before="0" w:after="0" w:line="360" w:lineRule="auto"/>
        <w:ind w:left="420" w:leftChars="200"/>
        <w:rPr>
          <w:rFonts w:ascii="仿宋" w:hAnsi="仿宋" w:eastAsia="仿宋"/>
          <w:sz w:val="24"/>
        </w:rPr>
      </w:pPr>
      <w:r>
        <w:rPr>
          <w:rFonts w:hint="eastAsia" w:ascii="仿宋" w:hAnsi="仿宋" w:eastAsia="仿宋"/>
          <w:sz w:val="24"/>
        </w:rPr>
        <w:t>3.</w:t>
      </w:r>
      <w:bookmarkEnd w:id="147"/>
      <w:bookmarkEnd w:id="148"/>
      <w:r>
        <w:rPr>
          <w:rFonts w:hint="eastAsia" w:ascii="仿宋" w:hAnsi="仿宋" w:eastAsia="仿宋"/>
          <w:sz w:val="24"/>
        </w:rPr>
        <w:t>投标人的资格要求</w:t>
      </w:r>
    </w:p>
    <w:p>
      <w:pPr>
        <w:snapToGrid w:val="0"/>
        <w:spacing w:line="360" w:lineRule="auto"/>
        <w:ind w:firstLine="480" w:firstLineChars="200"/>
        <w:jc w:val="left"/>
        <w:rPr>
          <w:rFonts w:ascii="仿宋" w:hAnsi="仿宋" w:eastAsia="仿宋"/>
          <w:sz w:val="24"/>
        </w:rPr>
      </w:pPr>
      <w:r>
        <w:rPr>
          <w:rFonts w:hint="eastAsia" w:ascii="仿宋" w:hAnsi="仿宋" w:eastAsia="仿宋"/>
          <w:sz w:val="24"/>
        </w:rPr>
        <w:t>投标人的资格要求详见“投标人须知前附表”。</w:t>
      </w:r>
    </w:p>
    <w:p>
      <w:pPr>
        <w:pStyle w:val="8"/>
        <w:keepNext w:val="0"/>
        <w:keepLines w:val="0"/>
        <w:spacing w:before="0" w:after="0" w:line="360" w:lineRule="auto"/>
        <w:ind w:left="420" w:leftChars="200"/>
        <w:rPr>
          <w:rFonts w:ascii="仿宋" w:hAnsi="仿宋" w:eastAsia="仿宋"/>
          <w:sz w:val="24"/>
        </w:rPr>
      </w:pPr>
      <w:bookmarkStart w:id="149" w:name="_Toc254970530"/>
      <w:bookmarkStart w:id="150" w:name="_Toc254970671"/>
      <w:r>
        <w:rPr>
          <w:rFonts w:hint="eastAsia" w:ascii="仿宋" w:hAnsi="仿宋" w:eastAsia="仿宋"/>
          <w:sz w:val="24"/>
        </w:rPr>
        <w:t>4.投标委托</w:t>
      </w:r>
      <w:bookmarkEnd w:id="149"/>
      <w:bookmarkEnd w:id="150"/>
    </w:p>
    <w:p>
      <w:pPr>
        <w:snapToGrid w:val="0"/>
        <w:spacing w:line="360" w:lineRule="auto"/>
        <w:ind w:firstLine="480" w:firstLineChars="200"/>
        <w:jc w:val="left"/>
        <w:rPr>
          <w:rFonts w:ascii="仿宋" w:hAnsi="仿宋" w:eastAsia="仿宋"/>
          <w:sz w:val="24"/>
        </w:rPr>
      </w:pPr>
      <w:r>
        <w:rPr>
          <w:rFonts w:hint="eastAsia" w:ascii="仿宋" w:hAnsi="仿宋" w:eastAsia="仿宋"/>
          <w:sz w:val="24"/>
        </w:rPr>
        <w:t>投标人代表参加投标活动过程中必须携带个人有效身份证件。如投标人代表不是法定代表人，须持有授权委托书（按第六章要求格式填写）。</w:t>
      </w:r>
    </w:p>
    <w:p>
      <w:pPr>
        <w:pStyle w:val="8"/>
        <w:keepNext w:val="0"/>
        <w:keepLines w:val="0"/>
        <w:spacing w:before="0" w:after="0" w:line="360" w:lineRule="auto"/>
        <w:ind w:left="420" w:leftChars="200"/>
        <w:rPr>
          <w:rFonts w:ascii="仿宋" w:hAnsi="仿宋" w:eastAsia="仿宋"/>
          <w:sz w:val="24"/>
        </w:rPr>
      </w:pPr>
      <w:bookmarkStart w:id="151" w:name="_5.投标费用"/>
      <w:bookmarkEnd w:id="151"/>
      <w:bookmarkStart w:id="152" w:name="_Toc254970531"/>
      <w:bookmarkStart w:id="153" w:name="_Toc254970672"/>
      <w:r>
        <w:rPr>
          <w:rFonts w:hint="eastAsia" w:ascii="仿宋" w:hAnsi="仿宋" w:eastAsia="仿宋"/>
          <w:sz w:val="24"/>
        </w:rPr>
        <w:t>5.投标费用</w:t>
      </w:r>
      <w:bookmarkEnd w:id="152"/>
      <w:bookmarkEnd w:id="153"/>
    </w:p>
    <w:p>
      <w:pPr>
        <w:snapToGrid w:val="0"/>
        <w:spacing w:line="360" w:lineRule="auto"/>
        <w:ind w:firstLine="480" w:firstLineChars="200"/>
        <w:jc w:val="left"/>
        <w:rPr>
          <w:rFonts w:ascii="仿宋" w:hAnsi="仿宋" w:eastAsia="仿宋"/>
          <w:sz w:val="24"/>
        </w:rPr>
      </w:pPr>
      <w:r>
        <w:rPr>
          <w:rFonts w:hint="eastAsia" w:ascii="仿宋" w:hAnsi="仿宋" w:eastAsia="仿宋" w:cs="宋体"/>
          <w:sz w:val="24"/>
        </w:rPr>
        <w:t>投标费用：投标人应承担参与本次采购活动有关的所有费用，包括但不限于获取招标文件、勘查现场、编制和提交投标文件、参加澄清说明、签订合同等，不论投标结果如何，均应自行承担。</w:t>
      </w:r>
    </w:p>
    <w:p>
      <w:pPr>
        <w:pStyle w:val="8"/>
        <w:keepNext w:val="0"/>
        <w:keepLines w:val="0"/>
        <w:spacing w:before="0" w:after="0" w:line="360" w:lineRule="auto"/>
        <w:ind w:left="420" w:leftChars="200"/>
        <w:rPr>
          <w:rFonts w:ascii="仿宋" w:hAnsi="仿宋" w:eastAsia="仿宋"/>
          <w:sz w:val="24"/>
        </w:rPr>
      </w:pPr>
      <w:r>
        <w:rPr>
          <w:rFonts w:hint="eastAsia" w:ascii="仿宋" w:hAnsi="仿宋" w:eastAsia="仿宋"/>
          <w:sz w:val="24"/>
        </w:rPr>
        <w:t>6.联合体投标</w:t>
      </w:r>
    </w:p>
    <w:p>
      <w:pPr>
        <w:snapToGrid w:val="0"/>
        <w:spacing w:line="360" w:lineRule="auto"/>
        <w:ind w:firstLine="480" w:firstLineChars="200"/>
        <w:jc w:val="left"/>
        <w:rPr>
          <w:rFonts w:ascii="仿宋" w:hAnsi="仿宋" w:eastAsia="仿宋"/>
          <w:sz w:val="24"/>
        </w:rPr>
      </w:pPr>
      <w:r>
        <w:rPr>
          <w:rFonts w:hint="eastAsia" w:ascii="仿宋" w:hAnsi="仿宋" w:eastAsia="仿宋"/>
          <w:sz w:val="24"/>
        </w:rPr>
        <w:t>6.1本项目是否接受联合体投标，详见“投标人须知前附表”。</w:t>
      </w:r>
    </w:p>
    <w:p>
      <w:pPr>
        <w:snapToGrid w:val="0"/>
        <w:spacing w:line="360" w:lineRule="auto"/>
        <w:ind w:firstLine="480" w:firstLineChars="200"/>
        <w:jc w:val="left"/>
        <w:rPr>
          <w:rFonts w:ascii="仿宋" w:hAnsi="仿宋" w:eastAsia="仿宋"/>
          <w:bCs/>
          <w:sz w:val="24"/>
        </w:rPr>
      </w:pPr>
      <w:r>
        <w:rPr>
          <w:rFonts w:hint="eastAsia" w:ascii="仿宋" w:hAnsi="仿宋" w:eastAsia="仿宋"/>
          <w:bCs/>
          <w:sz w:val="24"/>
        </w:rPr>
        <w:t>6.2如接受联合体投标，联合体投标要求详见“投标人须知前附表”。</w:t>
      </w:r>
    </w:p>
    <w:p>
      <w:pPr>
        <w:pStyle w:val="8"/>
        <w:keepNext w:val="0"/>
        <w:keepLines w:val="0"/>
        <w:spacing w:before="0" w:after="0" w:line="360" w:lineRule="auto"/>
        <w:ind w:firstLine="484" w:firstLineChars="202"/>
        <w:rPr>
          <w:rFonts w:ascii="仿宋" w:hAnsi="仿宋" w:eastAsia="仿宋"/>
          <w:sz w:val="24"/>
        </w:rPr>
      </w:pPr>
      <w:r>
        <w:rPr>
          <w:rFonts w:hint="eastAsia" w:ascii="仿宋" w:hAnsi="仿宋" w:eastAsia="仿宋"/>
          <w:b w:val="0"/>
          <w:bCs/>
          <w:sz w:val="24"/>
        </w:rPr>
        <w:t>6.3</w:t>
      </w:r>
      <w:bookmarkStart w:id="154" w:name="_Hlk65857072"/>
      <w:r>
        <w:rPr>
          <w:rFonts w:hint="eastAsia" w:ascii="仿宋" w:hAnsi="仿宋" w:eastAsia="仿宋"/>
          <w:b w:val="0"/>
          <w:bCs/>
          <w:sz w:val="24"/>
        </w:rPr>
        <w:t>根据《政府采购促进中小企业发展管理办法》（财库〔2020〕46号）、财政部《关于进一步加大政府采购支持中小企业力度的通知》（财库〔2022〕19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ascii="仿宋" w:hAnsi="仿宋" w:eastAsia="仿宋"/>
          <w:b w:val="0"/>
          <w:bCs/>
          <w:sz w:val="24"/>
        </w:rPr>
        <w:t>10</w:t>
      </w:r>
      <w:r>
        <w:rPr>
          <w:rFonts w:hint="eastAsia" w:ascii="仿宋" w:hAnsi="仿宋" w:eastAsia="仿宋"/>
          <w:b w:val="0"/>
          <w:bCs/>
          <w:sz w:val="24"/>
        </w:rPr>
        <w:t>%的扣除，用扣除后的价格参加评审。</w:t>
      </w:r>
      <w:bookmarkEnd w:id="154"/>
    </w:p>
    <w:p>
      <w:pPr>
        <w:pStyle w:val="8"/>
        <w:keepNext w:val="0"/>
        <w:keepLines w:val="0"/>
        <w:spacing w:before="0" w:after="0" w:line="360" w:lineRule="auto"/>
        <w:ind w:left="420" w:leftChars="200"/>
        <w:rPr>
          <w:rFonts w:ascii="仿宋" w:hAnsi="仿宋" w:eastAsia="仿宋"/>
          <w:sz w:val="24"/>
        </w:rPr>
      </w:pPr>
      <w:r>
        <w:rPr>
          <w:rFonts w:hint="eastAsia" w:ascii="仿宋" w:hAnsi="仿宋" w:eastAsia="仿宋"/>
          <w:sz w:val="24"/>
        </w:rPr>
        <w:t xml:space="preserve">7.转包与分包             </w:t>
      </w:r>
    </w:p>
    <w:p>
      <w:pPr>
        <w:pStyle w:val="8"/>
        <w:keepNext w:val="0"/>
        <w:keepLines w:val="0"/>
        <w:spacing w:before="0" w:after="0" w:line="360" w:lineRule="auto"/>
        <w:ind w:left="420" w:leftChars="200"/>
        <w:rPr>
          <w:rFonts w:ascii="仿宋" w:hAnsi="仿宋" w:eastAsia="仿宋"/>
          <w:b w:val="0"/>
          <w:sz w:val="24"/>
        </w:rPr>
      </w:pPr>
      <w:r>
        <w:rPr>
          <w:rFonts w:hint="eastAsia" w:ascii="仿宋" w:hAnsi="仿宋" w:eastAsia="仿宋"/>
          <w:b w:val="0"/>
          <w:sz w:val="24"/>
        </w:rPr>
        <w:t>7.1本项目不允许转包。</w:t>
      </w:r>
    </w:p>
    <w:p>
      <w:pPr>
        <w:pStyle w:val="8"/>
        <w:keepNext w:val="0"/>
        <w:keepLines w:val="0"/>
        <w:spacing w:before="0" w:after="0" w:line="360" w:lineRule="auto"/>
        <w:ind w:firstLine="360" w:firstLineChars="150"/>
        <w:rPr>
          <w:rFonts w:ascii="仿宋" w:hAnsi="仿宋" w:eastAsia="仿宋"/>
          <w:b w:val="0"/>
          <w:sz w:val="24"/>
        </w:rPr>
      </w:pPr>
      <w:r>
        <w:rPr>
          <w:rFonts w:hint="eastAsia" w:ascii="仿宋" w:hAnsi="仿宋" w:eastAsia="仿宋"/>
          <w:b w:val="0"/>
          <w:sz w:val="24"/>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pPr>
        <w:pStyle w:val="8"/>
        <w:keepNext w:val="0"/>
        <w:keepLines w:val="0"/>
        <w:spacing w:before="0" w:after="0" w:line="360" w:lineRule="auto"/>
        <w:ind w:firstLine="360" w:firstLineChars="150"/>
        <w:rPr>
          <w:rFonts w:ascii="仿宋" w:hAnsi="仿宋" w:eastAsia="仿宋"/>
          <w:b w:val="0"/>
          <w:sz w:val="24"/>
        </w:rPr>
      </w:pPr>
      <w:r>
        <w:rPr>
          <w:rFonts w:hint="eastAsia" w:ascii="仿宋" w:hAnsi="仿宋" w:eastAsia="仿宋"/>
          <w:b w:val="0"/>
          <w:sz w:val="24"/>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8"/>
        <w:keepNext w:val="0"/>
        <w:keepLines w:val="0"/>
        <w:spacing w:before="0" w:after="0" w:line="360" w:lineRule="auto"/>
        <w:ind w:left="420" w:leftChars="200"/>
        <w:rPr>
          <w:rFonts w:ascii="仿宋" w:hAnsi="仿宋" w:eastAsia="仿宋"/>
          <w:sz w:val="24"/>
        </w:rPr>
      </w:pPr>
      <w:bookmarkStart w:id="155" w:name="_Toc254970532"/>
      <w:bookmarkStart w:id="156" w:name="_Toc254970673"/>
      <w:r>
        <w:rPr>
          <w:rFonts w:hint="eastAsia" w:ascii="仿宋" w:hAnsi="仿宋" w:eastAsia="仿宋"/>
          <w:sz w:val="24"/>
        </w:rPr>
        <w:t>8.特别说明</w:t>
      </w:r>
      <w:bookmarkEnd w:id="155"/>
      <w:bookmarkEnd w:id="156"/>
    </w:p>
    <w:p>
      <w:pPr>
        <w:pStyle w:val="8"/>
        <w:keepNext w:val="0"/>
        <w:keepLines w:val="0"/>
        <w:spacing w:before="0" w:after="0" w:line="360" w:lineRule="auto"/>
        <w:ind w:firstLine="480" w:firstLineChars="200"/>
        <w:rPr>
          <w:rFonts w:ascii="仿宋" w:hAnsi="仿宋" w:eastAsia="仿宋"/>
          <w:b w:val="0"/>
          <w:sz w:val="24"/>
        </w:rPr>
      </w:pPr>
      <w:bookmarkStart w:id="157" w:name="_8.1提供相同品牌产品且通过资格审查、符合性审查的不同投标人参加同一合"/>
      <w:bookmarkEnd w:id="157"/>
      <w:r>
        <w:rPr>
          <w:rFonts w:ascii="仿宋" w:hAnsi="仿宋" w:eastAsia="仿宋"/>
          <w:b w:val="0"/>
          <w:sz w:val="24"/>
        </w:rPr>
        <w:fldChar w:fldCharType="begin"/>
      </w:r>
      <w:r>
        <w:rPr>
          <w:rFonts w:ascii="仿宋" w:hAnsi="仿宋" w:eastAsia="仿宋"/>
          <w:b w:val="0"/>
          <w:sz w:val="24"/>
        </w:rPr>
        <w:instrText xml:space="preserve"> HYPERLINK  \l "_8.1" </w:instrText>
      </w:r>
      <w:r>
        <w:rPr>
          <w:rFonts w:ascii="仿宋" w:hAnsi="仿宋" w:eastAsia="仿宋"/>
          <w:b w:val="0"/>
          <w:sz w:val="24"/>
        </w:rPr>
        <w:fldChar w:fldCharType="separate"/>
      </w:r>
      <w:r>
        <w:rPr>
          <w:rFonts w:hint="eastAsia" w:ascii="仿宋" w:hAnsi="仿宋" w:eastAsia="仿宋"/>
          <w:b w:val="0"/>
          <w:sz w:val="24"/>
        </w:rPr>
        <w:t>8.1</w:t>
      </w:r>
      <w:r>
        <w:rPr>
          <w:rFonts w:ascii="仿宋" w:hAnsi="仿宋" w:eastAsia="仿宋"/>
          <w:b w:val="0"/>
          <w:sz w:val="24"/>
        </w:rPr>
        <w:fldChar w:fldCharType="end"/>
      </w:r>
      <w:r>
        <w:rPr>
          <w:rFonts w:hint="eastAsia" w:ascii="仿宋" w:hAnsi="仿宋" w:eastAsia="仿宋"/>
          <w:b w:val="0"/>
          <w:sz w:val="24"/>
        </w:rPr>
        <w:t>采用最低评标价法的采购项目，通过资格审查、符合性审查的不同投标人参加同一合同项下投标的，投标人评标价相同时，由采购人或者采购人委托评标委员会按照“投标人须知前附表”规定的方式确定投标人获得中标人推荐资格</w:t>
      </w:r>
      <w:r>
        <w:rPr>
          <w:rFonts w:hint="eastAsia" w:ascii="仿宋" w:hAnsi="仿宋" w:eastAsia="仿宋"/>
          <w:sz w:val="24"/>
        </w:rPr>
        <w:t>。</w:t>
      </w:r>
    </w:p>
    <w:p>
      <w:pPr>
        <w:pStyle w:val="8"/>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采用综合评分法的采购项目，通过资格审查、符合性审查的不同投标人参加同一合同项下投标的，评审得分相同的，由采购人或者采购人委托评标委员会按照“投标人须知前附表”规定的方式确定投标人获得中标人推荐资格。</w:t>
      </w:r>
    </w:p>
    <w:p>
      <w:pPr>
        <w:pStyle w:val="8"/>
        <w:keepNext w:val="0"/>
        <w:keepLines w:val="0"/>
        <w:spacing w:before="0" w:after="0" w:line="360" w:lineRule="auto"/>
        <w:ind w:firstLine="420" w:firstLineChars="175"/>
        <w:rPr>
          <w:rFonts w:ascii="仿宋" w:hAnsi="仿宋" w:eastAsia="仿宋"/>
          <w:b w:val="0"/>
          <w:sz w:val="24"/>
        </w:rPr>
      </w:pPr>
      <w:r>
        <w:rPr>
          <w:rFonts w:hint="eastAsia" w:ascii="仿宋" w:hAnsi="仿宋" w:eastAsia="仿宋"/>
          <w:b w:val="0"/>
          <w:sz w:val="24"/>
        </w:rPr>
        <w:t>8.2投标人应仔细阅读招标文件的所有内容，按照招标文件的要求提交投标文件，并对所提供的全部资料的真实性承担法律责任。</w:t>
      </w:r>
    </w:p>
    <w:p>
      <w:pPr>
        <w:pStyle w:val="8"/>
        <w:keepNext w:val="0"/>
        <w:keepLines w:val="0"/>
        <w:spacing w:before="0" w:after="0" w:line="360" w:lineRule="auto"/>
        <w:ind w:firstLine="420" w:firstLineChars="175"/>
        <w:rPr>
          <w:rFonts w:ascii="仿宋" w:hAnsi="仿宋" w:eastAsia="仿宋"/>
          <w:b w:val="0"/>
          <w:sz w:val="24"/>
        </w:rPr>
      </w:pPr>
      <w:r>
        <w:rPr>
          <w:rFonts w:hint="eastAsia" w:ascii="仿宋" w:hAnsi="仿宋" w:eastAsia="仿宋"/>
          <w:b w:val="0"/>
          <w:sz w:val="24"/>
        </w:rPr>
        <w:t>8.3投标人在投标活动中提供任何虚假材料，将报监管部门查处；中标后发现的，中标人须依法赔偿采购人，且民事赔偿并不免除违法投标人的行政与刑事责任。</w:t>
      </w:r>
    </w:p>
    <w:p>
      <w:pPr>
        <w:pStyle w:val="8"/>
        <w:keepNext w:val="0"/>
        <w:keepLines w:val="0"/>
        <w:spacing w:before="0" w:after="0" w:line="360" w:lineRule="auto"/>
        <w:ind w:left="420" w:leftChars="200"/>
        <w:rPr>
          <w:rFonts w:ascii="仿宋" w:hAnsi="仿宋" w:eastAsia="仿宋"/>
          <w:sz w:val="24"/>
        </w:rPr>
      </w:pPr>
      <w:r>
        <w:rPr>
          <w:rFonts w:ascii="仿宋" w:hAnsi="仿宋" w:eastAsia="仿宋"/>
          <w:sz w:val="24"/>
        </w:rPr>
        <w:t>9.</w:t>
      </w:r>
      <w:r>
        <w:rPr>
          <w:rFonts w:hint="eastAsia" w:ascii="仿宋" w:hAnsi="仿宋" w:eastAsia="仿宋"/>
          <w:sz w:val="24"/>
        </w:rPr>
        <w:t>回避与串通投标</w:t>
      </w:r>
    </w:p>
    <w:p>
      <w:pPr>
        <w:pStyle w:val="8"/>
        <w:keepNext w:val="0"/>
        <w:keepLines w:val="0"/>
        <w:spacing w:before="0" w:after="0" w:line="360" w:lineRule="auto"/>
        <w:ind w:firstLine="420" w:firstLineChars="175"/>
        <w:rPr>
          <w:rFonts w:ascii="仿宋" w:hAnsi="仿宋" w:eastAsia="仿宋"/>
          <w:b w:val="0"/>
          <w:sz w:val="24"/>
        </w:rPr>
      </w:pPr>
      <w:r>
        <w:rPr>
          <w:rFonts w:hint="eastAsia" w:ascii="仿宋" w:hAnsi="仿宋" w:eastAsia="仿宋"/>
          <w:b w:val="0"/>
          <w:sz w:val="24"/>
        </w:rPr>
        <w:t>9</w:t>
      </w:r>
      <w:r>
        <w:rPr>
          <w:rFonts w:ascii="仿宋" w:hAnsi="仿宋" w:eastAsia="仿宋"/>
          <w:b w:val="0"/>
          <w:sz w:val="24"/>
        </w:rPr>
        <w:t>.1在政府采购活动中，采购人员及相关人员与</w:t>
      </w:r>
      <w:r>
        <w:rPr>
          <w:rFonts w:hint="eastAsia" w:ascii="仿宋" w:hAnsi="仿宋" w:eastAsia="仿宋"/>
          <w:b w:val="0"/>
          <w:sz w:val="24"/>
        </w:rPr>
        <w:t>供应商</w:t>
      </w:r>
      <w:r>
        <w:rPr>
          <w:rFonts w:ascii="仿宋" w:hAnsi="仿宋" w:eastAsia="仿宋"/>
          <w:b w:val="0"/>
          <w:sz w:val="24"/>
        </w:rPr>
        <w:t>有下列利害关系之一的，应当回避：</w:t>
      </w:r>
    </w:p>
    <w:p>
      <w:pPr>
        <w:pStyle w:val="28"/>
        <w:snapToGrid w:val="0"/>
        <w:spacing w:line="360" w:lineRule="auto"/>
        <w:ind w:left="2" w:leftChars="1" w:firstLine="480" w:firstLineChars="200"/>
        <w:rPr>
          <w:rFonts w:ascii="仿宋" w:hAnsi="仿宋" w:eastAsia="仿宋"/>
          <w:kern w:val="2"/>
          <w:sz w:val="24"/>
          <w:szCs w:val="24"/>
        </w:rPr>
      </w:pPr>
      <w:r>
        <w:rPr>
          <w:rFonts w:ascii="仿宋" w:hAnsi="仿宋" w:eastAsia="仿宋"/>
          <w:kern w:val="2"/>
          <w:sz w:val="24"/>
          <w:szCs w:val="24"/>
        </w:rPr>
        <w:t>（</w:t>
      </w:r>
      <w:r>
        <w:rPr>
          <w:rFonts w:hint="eastAsia" w:ascii="仿宋" w:hAnsi="仿宋" w:eastAsia="仿宋"/>
          <w:kern w:val="2"/>
          <w:sz w:val="24"/>
          <w:szCs w:val="24"/>
        </w:rPr>
        <w:t>1</w:t>
      </w:r>
      <w:r>
        <w:rPr>
          <w:rFonts w:ascii="仿宋" w:hAnsi="仿宋" w:eastAsia="仿宋"/>
          <w:kern w:val="2"/>
          <w:sz w:val="24"/>
          <w:szCs w:val="24"/>
        </w:rPr>
        <w:t>）参加采购活动前3年内与</w:t>
      </w:r>
      <w:r>
        <w:rPr>
          <w:rFonts w:hint="eastAsia" w:ascii="仿宋" w:hAnsi="仿宋" w:eastAsia="仿宋"/>
          <w:kern w:val="2"/>
          <w:sz w:val="24"/>
          <w:szCs w:val="24"/>
        </w:rPr>
        <w:t>供应商</w:t>
      </w:r>
      <w:r>
        <w:rPr>
          <w:rFonts w:ascii="仿宋" w:hAnsi="仿宋" w:eastAsia="仿宋"/>
          <w:kern w:val="2"/>
          <w:sz w:val="24"/>
          <w:szCs w:val="24"/>
        </w:rPr>
        <w:t>存在劳动关系；</w:t>
      </w:r>
    </w:p>
    <w:p>
      <w:pPr>
        <w:pStyle w:val="28"/>
        <w:snapToGrid w:val="0"/>
        <w:spacing w:line="360" w:lineRule="auto"/>
        <w:ind w:left="2" w:leftChars="1" w:firstLine="480" w:firstLineChars="200"/>
        <w:rPr>
          <w:rFonts w:ascii="仿宋" w:hAnsi="仿宋" w:eastAsia="仿宋"/>
          <w:kern w:val="2"/>
          <w:sz w:val="24"/>
          <w:szCs w:val="24"/>
        </w:rPr>
      </w:pPr>
      <w:r>
        <w:rPr>
          <w:rFonts w:ascii="仿宋" w:hAnsi="仿宋" w:eastAsia="仿宋"/>
          <w:kern w:val="2"/>
          <w:sz w:val="24"/>
          <w:szCs w:val="24"/>
        </w:rPr>
        <w:t>（</w:t>
      </w:r>
      <w:r>
        <w:rPr>
          <w:rFonts w:hint="eastAsia" w:ascii="仿宋" w:hAnsi="仿宋" w:eastAsia="仿宋"/>
          <w:kern w:val="2"/>
          <w:sz w:val="24"/>
          <w:szCs w:val="24"/>
        </w:rPr>
        <w:t>2</w:t>
      </w:r>
      <w:r>
        <w:rPr>
          <w:rFonts w:ascii="仿宋" w:hAnsi="仿宋" w:eastAsia="仿宋"/>
          <w:kern w:val="2"/>
          <w:sz w:val="24"/>
          <w:szCs w:val="24"/>
        </w:rPr>
        <w:t>）参加采购活动前3年内担任</w:t>
      </w:r>
      <w:r>
        <w:rPr>
          <w:rFonts w:hint="eastAsia" w:ascii="仿宋" w:hAnsi="仿宋" w:eastAsia="仿宋"/>
          <w:kern w:val="2"/>
          <w:sz w:val="24"/>
          <w:szCs w:val="24"/>
        </w:rPr>
        <w:t>供应商</w:t>
      </w:r>
      <w:r>
        <w:rPr>
          <w:rFonts w:ascii="仿宋" w:hAnsi="仿宋" w:eastAsia="仿宋"/>
          <w:kern w:val="2"/>
          <w:sz w:val="24"/>
          <w:szCs w:val="24"/>
        </w:rPr>
        <w:t>的董事、监事；</w:t>
      </w:r>
    </w:p>
    <w:p>
      <w:pPr>
        <w:pStyle w:val="28"/>
        <w:snapToGrid w:val="0"/>
        <w:spacing w:line="360" w:lineRule="auto"/>
        <w:ind w:left="2" w:leftChars="1" w:firstLine="480" w:firstLineChars="200"/>
        <w:rPr>
          <w:rFonts w:ascii="仿宋" w:hAnsi="仿宋" w:eastAsia="仿宋"/>
          <w:kern w:val="2"/>
          <w:sz w:val="24"/>
          <w:szCs w:val="24"/>
        </w:rPr>
      </w:pPr>
      <w:r>
        <w:rPr>
          <w:rFonts w:ascii="仿宋" w:hAnsi="仿宋" w:eastAsia="仿宋"/>
          <w:kern w:val="2"/>
          <w:sz w:val="24"/>
          <w:szCs w:val="24"/>
        </w:rPr>
        <w:t>（</w:t>
      </w:r>
      <w:r>
        <w:rPr>
          <w:rFonts w:hint="eastAsia" w:ascii="仿宋" w:hAnsi="仿宋" w:eastAsia="仿宋"/>
          <w:kern w:val="2"/>
          <w:sz w:val="24"/>
          <w:szCs w:val="24"/>
        </w:rPr>
        <w:t>3</w:t>
      </w:r>
      <w:r>
        <w:rPr>
          <w:rFonts w:ascii="仿宋" w:hAnsi="仿宋" w:eastAsia="仿宋"/>
          <w:kern w:val="2"/>
          <w:sz w:val="24"/>
          <w:szCs w:val="24"/>
        </w:rPr>
        <w:t>）参加采购活动前3年内是</w:t>
      </w:r>
      <w:r>
        <w:rPr>
          <w:rFonts w:hint="eastAsia" w:ascii="仿宋" w:hAnsi="仿宋" w:eastAsia="仿宋"/>
          <w:kern w:val="2"/>
          <w:sz w:val="24"/>
          <w:szCs w:val="24"/>
        </w:rPr>
        <w:t>供应商</w:t>
      </w:r>
      <w:r>
        <w:rPr>
          <w:rFonts w:ascii="仿宋" w:hAnsi="仿宋" w:eastAsia="仿宋"/>
          <w:kern w:val="2"/>
          <w:sz w:val="24"/>
          <w:szCs w:val="24"/>
        </w:rPr>
        <w:t>的控股股东或者实际控制人；</w:t>
      </w:r>
    </w:p>
    <w:p>
      <w:pPr>
        <w:pStyle w:val="28"/>
        <w:snapToGrid w:val="0"/>
        <w:spacing w:line="360" w:lineRule="auto"/>
        <w:ind w:left="2" w:leftChars="1" w:firstLine="480" w:firstLineChars="200"/>
        <w:rPr>
          <w:rFonts w:ascii="仿宋" w:hAnsi="仿宋" w:eastAsia="仿宋"/>
          <w:kern w:val="2"/>
          <w:sz w:val="24"/>
          <w:szCs w:val="24"/>
        </w:rPr>
      </w:pPr>
      <w:r>
        <w:rPr>
          <w:rFonts w:ascii="仿宋" w:hAnsi="仿宋" w:eastAsia="仿宋"/>
          <w:kern w:val="2"/>
          <w:sz w:val="24"/>
          <w:szCs w:val="24"/>
        </w:rPr>
        <w:t>（</w:t>
      </w:r>
      <w:r>
        <w:rPr>
          <w:rFonts w:hint="eastAsia" w:ascii="仿宋" w:hAnsi="仿宋" w:eastAsia="仿宋"/>
          <w:kern w:val="2"/>
          <w:sz w:val="24"/>
          <w:szCs w:val="24"/>
        </w:rPr>
        <w:t>4</w:t>
      </w:r>
      <w:r>
        <w:rPr>
          <w:rFonts w:ascii="仿宋" w:hAnsi="仿宋" w:eastAsia="仿宋"/>
          <w:kern w:val="2"/>
          <w:sz w:val="24"/>
          <w:szCs w:val="24"/>
        </w:rPr>
        <w:t>）与</w:t>
      </w:r>
      <w:r>
        <w:rPr>
          <w:rFonts w:hint="eastAsia" w:ascii="仿宋" w:hAnsi="仿宋" w:eastAsia="仿宋"/>
          <w:kern w:val="2"/>
          <w:sz w:val="24"/>
          <w:szCs w:val="24"/>
        </w:rPr>
        <w:t>供应商</w:t>
      </w:r>
      <w:r>
        <w:rPr>
          <w:rFonts w:ascii="仿宋" w:hAnsi="仿宋" w:eastAsia="仿宋"/>
          <w:kern w:val="2"/>
          <w:sz w:val="24"/>
          <w:szCs w:val="24"/>
        </w:rPr>
        <w:t>的法定代表人或者负责人有夫妻、直系血亲、三代以内旁系血亲或者近姻亲关系；</w:t>
      </w:r>
    </w:p>
    <w:p>
      <w:pPr>
        <w:pStyle w:val="28"/>
        <w:snapToGrid w:val="0"/>
        <w:spacing w:line="360" w:lineRule="auto"/>
        <w:ind w:left="2" w:leftChars="1" w:firstLine="480" w:firstLineChars="200"/>
        <w:rPr>
          <w:rFonts w:ascii="仿宋" w:hAnsi="仿宋" w:eastAsia="仿宋"/>
          <w:kern w:val="2"/>
          <w:sz w:val="24"/>
          <w:szCs w:val="24"/>
        </w:rPr>
      </w:pPr>
      <w:r>
        <w:rPr>
          <w:rFonts w:ascii="仿宋" w:hAnsi="仿宋" w:eastAsia="仿宋"/>
          <w:kern w:val="2"/>
          <w:sz w:val="24"/>
          <w:szCs w:val="24"/>
        </w:rPr>
        <w:t>（</w:t>
      </w:r>
      <w:r>
        <w:rPr>
          <w:rFonts w:hint="eastAsia" w:ascii="仿宋" w:hAnsi="仿宋" w:eastAsia="仿宋"/>
          <w:kern w:val="2"/>
          <w:sz w:val="24"/>
          <w:szCs w:val="24"/>
        </w:rPr>
        <w:t>5</w:t>
      </w:r>
      <w:r>
        <w:rPr>
          <w:rFonts w:ascii="仿宋" w:hAnsi="仿宋" w:eastAsia="仿宋"/>
          <w:kern w:val="2"/>
          <w:sz w:val="24"/>
          <w:szCs w:val="24"/>
        </w:rPr>
        <w:t>）与</w:t>
      </w:r>
      <w:r>
        <w:rPr>
          <w:rFonts w:hint="eastAsia" w:ascii="仿宋" w:hAnsi="仿宋" w:eastAsia="仿宋"/>
          <w:kern w:val="2"/>
          <w:sz w:val="24"/>
          <w:szCs w:val="24"/>
        </w:rPr>
        <w:t>供应商</w:t>
      </w:r>
      <w:r>
        <w:rPr>
          <w:rFonts w:ascii="仿宋" w:hAnsi="仿宋" w:eastAsia="仿宋"/>
          <w:kern w:val="2"/>
          <w:sz w:val="24"/>
          <w:szCs w:val="24"/>
        </w:rPr>
        <w:t>有其他可能影响政府采购活动公平、公正进行的关系。</w:t>
      </w:r>
    </w:p>
    <w:p>
      <w:pPr>
        <w:pStyle w:val="28"/>
        <w:snapToGrid w:val="0"/>
        <w:spacing w:line="360" w:lineRule="auto"/>
        <w:ind w:left="2" w:leftChars="1" w:firstLine="480" w:firstLineChars="200"/>
        <w:rPr>
          <w:rFonts w:ascii="仿宋" w:hAnsi="仿宋" w:eastAsia="仿宋"/>
          <w:kern w:val="2"/>
          <w:sz w:val="24"/>
          <w:szCs w:val="24"/>
        </w:rPr>
      </w:pPr>
      <w:r>
        <w:rPr>
          <w:rFonts w:hint="eastAsia" w:ascii="仿宋" w:hAnsi="仿宋" w:eastAsia="仿宋"/>
          <w:kern w:val="2"/>
          <w:sz w:val="24"/>
          <w:szCs w:val="24"/>
        </w:rPr>
        <w:t>供应商</w:t>
      </w:r>
      <w:r>
        <w:rPr>
          <w:rFonts w:ascii="仿宋" w:hAnsi="仿宋" w:eastAsia="仿宋"/>
          <w:kern w:val="2"/>
          <w:sz w:val="24"/>
          <w:szCs w:val="24"/>
        </w:rPr>
        <w:t>认为采购人员及相关人员与其他</w:t>
      </w:r>
      <w:r>
        <w:rPr>
          <w:rFonts w:hint="eastAsia" w:ascii="仿宋" w:hAnsi="仿宋" w:eastAsia="仿宋"/>
          <w:kern w:val="2"/>
          <w:sz w:val="24"/>
          <w:szCs w:val="24"/>
        </w:rPr>
        <w:t>供应商</w:t>
      </w:r>
      <w:r>
        <w:rPr>
          <w:rFonts w:ascii="仿宋" w:hAnsi="仿宋" w:eastAsia="仿宋"/>
          <w:kern w:val="2"/>
          <w:sz w:val="24"/>
          <w:szCs w:val="24"/>
        </w:rPr>
        <w:t>有利害关系的，可以向采购人或者采购代理机构书面提出回避申请，并说明理由。采购人或者采购代理机构应当及时询问被申请回避人员，有利害关系的被申请回避人员应当回避。</w:t>
      </w:r>
    </w:p>
    <w:p>
      <w:pPr>
        <w:pStyle w:val="8"/>
        <w:keepNext w:val="0"/>
        <w:keepLines w:val="0"/>
        <w:spacing w:before="0" w:after="0" w:line="360" w:lineRule="auto"/>
        <w:ind w:left="420" w:leftChars="200"/>
        <w:rPr>
          <w:rFonts w:ascii="仿宋" w:hAnsi="仿宋" w:eastAsia="仿宋"/>
          <w:sz w:val="24"/>
        </w:rPr>
      </w:pPr>
      <w:r>
        <w:rPr>
          <w:rFonts w:ascii="仿宋" w:hAnsi="仿宋" w:eastAsia="仿宋"/>
          <w:sz w:val="24"/>
        </w:rPr>
        <w:t>9.2</w:t>
      </w:r>
      <w:r>
        <w:rPr>
          <w:rFonts w:hint="eastAsia" w:ascii="仿宋" w:hAnsi="仿宋" w:eastAsia="仿宋"/>
          <w:sz w:val="24"/>
        </w:rPr>
        <w:t>有下列情形之一的视为投标人相互串通投标，投标文件将被视为无效：</w:t>
      </w:r>
    </w:p>
    <w:p>
      <w:pPr>
        <w:pStyle w:val="28"/>
        <w:snapToGrid w:val="0"/>
        <w:spacing w:line="360" w:lineRule="auto"/>
        <w:ind w:left="2" w:leftChars="1" w:firstLine="482" w:firstLineChars="200"/>
        <w:rPr>
          <w:rFonts w:ascii="仿宋" w:hAnsi="仿宋" w:eastAsia="仿宋"/>
          <w:b/>
          <w:kern w:val="2"/>
          <w:sz w:val="24"/>
          <w:szCs w:val="24"/>
        </w:rPr>
      </w:pPr>
      <w:r>
        <w:rPr>
          <w:rFonts w:hint="eastAsia" w:ascii="仿宋" w:hAnsi="仿宋" w:eastAsia="仿宋"/>
          <w:b/>
          <w:kern w:val="2"/>
          <w:sz w:val="24"/>
          <w:szCs w:val="24"/>
        </w:rPr>
        <w:t xml:space="preserve">（1）不同投标人的投标文件由同一单位或者个人编制； </w:t>
      </w:r>
    </w:p>
    <w:p>
      <w:pPr>
        <w:pStyle w:val="28"/>
        <w:snapToGrid w:val="0"/>
        <w:spacing w:line="360" w:lineRule="auto"/>
        <w:ind w:left="2" w:leftChars="1" w:firstLine="482" w:firstLineChars="200"/>
        <w:rPr>
          <w:rFonts w:ascii="仿宋" w:hAnsi="仿宋" w:eastAsia="仿宋"/>
          <w:b/>
          <w:kern w:val="2"/>
          <w:sz w:val="24"/>
          <w:szCs w:val="24"/>
        </w:rPr>
      </w:pPr>
      <w:r>
        <w:rPr>
          <w:rFonts w:hint="eastAsia" w:ascii="仿宋" w:hAnsi="仿宋" w:eastAsia="仿宋"/>
          <w:b/>
          <w:kern w:val="2"/>
          <w:sz w:val="24"/>
          <w:szCs w:val="24"/>
        </w:rPr>
        <w:t>（2）不同投标人委托同一单位或者个人办理投标事宜；</w:t>
      </w:r>
    </w:p>
    <w:p>
      <w:pPr>
        <w:pStyle w:val="28"/>
        <w:snapToGrid w:val="0"/>
        <w:spacing w:line="360" w:lineRule="auto"/>
        <w:ind w:left="2" w:leftChars="1" w:firstLine="482" w:firstLineChars="200"/>
        <w:rPr>
          <w:rFonts w:ascii="仿宋" w:hAnsi="仿宋" w:eastAsia="仿宋"/>
          <w:b/>
          <w:kern w:val="2"/>
          <w:sz w:val="24"/>
          <w:szCs w:val="24"/>
        </w:rPr>
      </w:pPr>
      <w:r>
        <w:rPr>
          <w:rFonts w:hint="eastAsia" w:ascii="仿宋" w:hAnsi="仿宋" w:eastAsia="仿宋"/>
          <w:b/>
          <w:kern w:val="2"/>
          <w:sz w:val="24"/>
          <w:szCs w:val="24"/>
        </w:rPr>
        <w:t>（3）不同的投标人的投标文件载明的项目管理员为同一个人；</w:t>
      </w:r>
    </w:p>
    <w:p>
      <w:pPr>
        <w:pStyle w:val="28"/>
        <w:snapToGrid w:val="0"/>
        <w:spacing w:line="360" w:lineRule="auto"/>
        <w:ind w:left="2" w:leftChars="1" w:firstLine="482" w:firstLineChars="200"/>
        <w:rPr>
          <w:rFonts w:ascii="仿宋" w:hAnsi="仿宋" w:eastAsia="仿宋"/>
          <w:b/>
          <w:kern w:val="2"/>
          <w:sz w:val="24"/>
          <w:szCs w:val="24"/>
        </w:rPr>
      </w:pPr>
      <w:r>
        <w:rPr>
          <w:rFonts w:hint="eastAsia" w:ascii="仿宋" w:hAnsi="仿宋" w:eastAsia="仿宋"/>
          <w:b/>
          <w:kern w:val="2"/>
          <w:sz w:val="24"/>
          <w:szCs w:val="24"/>
        </w:rPr>
        <w:t>（4）不同投标人的投标文件异常一致或者投标报价呈规律性差异；</w:t>
      </w:r>
    </w:p>
    <w:p>
      <w:pPr>
        <w:pStyle w:val="28"/>
        <w:snapToGrid w:val="0"/>
        <w:spacing w:line="360" w:lineRule="auto"/>
        <w:ind w:left="2" w:leftChars="1" w:firstLine="482" w:firstLineChars="200"/>
        <w:rPr>
          <w:rFonts w:ascii="仿宋" w:hAnsi="仿宋" w:eastAsia="仿宋"/>
          <w:b/>
          <w:kern w:val="2"/>
          <w:sz w:val="24"/>
          <w:szCs w:val="24"/>
        </w:rPr>
      </w:pPr>
      <w:r>
        <w:rPr>
          <w:rFonts w:hint="eastAsia" w:ascii="仿宋" w:hAnsi="仿宋" w:eastAsia="仿宋"/>
          <w:b/>
          <w:kern w:val="2"/>
          <w:sz w:val="24"/>
          <w:szCs w:val="24"/>
        </w:rPr>
        <w:t>（5）不同投标人的投标文件相互混装；</w:t>
      </w:r>
    </w:p>
    <w:p>
      <w:pPr>
        <w:pStyle w:val="28"/>
        <w:snapToGrid w:val="0"/>
        <w:spacing w:line="360" w:lineRule="auto"/>
        <w:ind w:left="2" w:leftChars="1" w:firstLine="482" w:firstLineChars="200"/>
        <w:rPr>
          <w:rFonts w:ascii="仿宋" w:hAnsi="仿宋" w:eastAsia="仿宋"/>
          <w:b/>
          <w:kern w:val="2"/>
          <w:sz w:val="24"/>
          <w:szCs w:val="24"/>
        </w:rPr>
      </w:pPr>
      <w:r>
        <w:rPr>
          <w:rFonts w:hint="eastAsia" w:ascii="仿宋" w:hAnsi="仿宋" w:eastAsia="仿宋"/>
          <w:b/>
          <w:kern w:val="2"/>
          <w:sz w:val="24"/>
          <w:szCs w:val="24"/>
        </w:rPr>
        <w:t>（6）不同投标人的投标保证金从同一单位或者个人账户转出。</w:t>
      </w:r>
    </w:p>
    <w:p>
      <w:pPr>
        <w:pStyle w:val="8"/>
        <w:keepNext w:val="0"/>
        <w:keepLines w:val="0"/>
        <w:spacing w:before="0" w:after="0" w:line="360" w:lineRule="auto"/>
        <w:ind w:left="420" w:leftChars="200"/>
        <w:rPr>
          <w:rFonts w:ascii="仿宋" w:hAnsi="仿宋" w:eastAsia="仿宋"/>
          <w:b w:val="0"/>
          <w:sz w:val="24"/>
        </w:rPr>
      </w:pPr>
      <w:r>
        <w:rPr>
          <w:rFonts w:ascii="仿宋" w:hAnsi="仿宋" w:eastAsia="仿宋"/>
          <w:b w:val="0"/>
          <w:sz w:val="24"/>
        </w:rPr>
        <w:t>9.3</w:t>
      </w:r>
      <w:r>
        <w:rPr>
          <w:rFonts w:hint="eastAsia" w:ascii="仿宋" w:hAnsi="仿宋" w:eastAsia="仿宋"/>
          <w:b w:val="0"/>
          <w:sz w:val="24"/>
        </w:rPr>
        <w:t>供应商有下列情形之一的，属于恶意串通行为，将报同级监督管理部门：</w:t>
      </w:r>
    </w:p>
    <w:p>
      <w:pPr>
        <w:pStyle w:val="28"/>
        <w:snapToGrid w:val="0"/>
        <w:spacing w:line="360" w:lineRule="auto"/>
        <w:ind w:left="2" w:leftChars="1" w:firstLine="480" w:firstLineChars="200"/>
        <w:rPr>
          <w:rFonts w:ascii="仿宋" w:hAnsi="仿宋" w:eastAsia="仿宋"/>
          <w:kern w:val="2"/>
          <w:sz w:val="24"/>
          <w:szCs w:val="24"/>
        </w:rPr>
      </w:pPr>
      <w:r>
        <w:rPr>
          <w:rFonts w:hint="eastAsia" w:ascii="仿宋" w:hAnsi="仿宋" w:eastAsia="仿宋"/>
          <w:kern w:val="2"/>
          <w:sz w:val="24"/>
          <w:szCs w:val="24"/>
        </w:rPr>
        <w:t>（1）供应商直接或者间接从采购人或者采购代理机构处获得其他供应商的相关信息并修改其投标文件或者投标文件；</w:t>
      </w:r>
    </w:p>
    <w:p>
      <w:pPr>
        <w:pStyle w:val="28"/>
        <w:snapToGrid w:val="0"/>
        <w:spacing w:line="360" w:lineRule="auto"/>
        <w:ind w:left="2" w:leftChars="1" w:firstLine="480" w:firstLineChars="200"/>
        <w:rPr>
          <w:rFonts w:ascii="仿宋" w:hAnsi="仿宋" w:eastAsia="仿宋"/>
          <w:kern w:val="2"/>
          <w:sz w:val="24"/>
          <w:szCs w:val="24"/>
        </w:rPr>
      </w:pPr>
      <w:r>
        <w:rPr>
          <w:rFonts w:hint="eastAsia" w:ascii="仿宋" w:hAnsi="仿宋" w:eastAsia="仿宋"/>
          <w:kern w:val="2"/>
          <w:sz w:val="24"/>
          <w:szCs w:val="24"/>
        </w:rPr>
        <w:t>（2）供应商按照采购人或者采购代理机构的授意撤换、修改投标文件或者投标文件；</w:t>
      </w:r>
    </w:p>
    <w:p>
      <w:pPr>
        <w:pStyle w:val="28"/>
        <w:snapToGrid w:val="0"/>
        <w:spacing w:line="360" w:lineRule="auto"/>
        <w:ind w:left="2" w:leftChars="1" w:firstLine="480" w:firstLineChars="200"/>
        <w:rPr>
          <w:rFonts w:ascii="仿宋" w:hAnsi="仿宋" w:eastAsia="仿宋"/>
          <w:kern w:val="2"/>
          <w:sz w:val="24"/>
          <w:szCs w:val="24"/>
        </w:rPr>
      </w:pPr>
      <w:r>
        <w:rPr>
          <w:rFonts w:hint="eastAsia" w:ascii="仿宋" w:hAnsi="仿宋" w:eastAsia="仿宋"/>
          <w:kern w:val="2"/>
          <w:sz w:val="24"/>
          <w:szCs w:val="24"/>
        </w:rPr>
        <w:t>（3）供应商之间协商报价、技术方案等投标文件或者投标文件的实质性内容；</w:t>
      </w:r>
    </w:p>
    <w:p>
      <w:pPr>
        <w:pStyle w:val="28"/>
        <w:snapToGrid w:val="0"/>
        <w:spacing w:line="360" w:lineRule="auto"/>
        <w:ind w:left="2" w:leftChars="1" w:firstLine="480" w:firstLineChars="200"/>
        <w:rPr>
          <w:rFonts w:ascii="仿宋" w:hAnsi="仿宋" w:eastAsia="仿宋"/>
          <w:kern w:val="2"/>
          <w:sz w:val="24"/>
          <w:szCs w:val="24"/>
        </w:rPr>
      </w:pPr>
      <w:r>
        <w:rPr>
          <w:rFonts w:hint="eastAsia" w:ascii="仿宋" w:hAnsi="仿宋" w:eastAsia="仿宋"/>
          <w:kern w:val="2"/>
          <w:sz w:val="24"/>
          <w:szCs w:val="24"/>
        </w:rPr>
        <w:t>（4）属于同一集团、协会、商会等组织成员的供应商按照该组织要求协同参加政府采购活动；</w:t>
      </w:r>
    </w:p>
    <w:p>
      <w:pPr>
        <w:pStyle w:val="28"/>
        <w:snapToGrid w:val="0"/>
        <w:spacing w:line="360" w:lineRule="auto"/>
        <w:ind w:left="2" w:leftChars="1" w:firstLine="480" w:firstLineChars="200"/>
        <w:rPr>
          <w:rFonts w:ascii="仿宋" w:hAnsi="仿宋" w:eastAsia="仿宋"/>
          <w:kern w:val="2"/>
          <w:sz w:val="24"/>
          <w:szCs w:val="24"/>
        </w:rPr>
      </w:pPr>
      <w:r>
        <w:rPr>
          <w:rFonts w:hint="eastAsia" w:ascii="仿宋" w:hAnsi="仿宋" w:eastAsia="仿宋"/>
          <w:kern w:val="2"/>
          <w:sz w:val="24"/>
          <w:szCs w:val="24"/>
        </w:rPr>
        <w:t>（5）供应商之间事先约定一致抬高或者压低投标报价，或者在招标项目中事先约定轮流以高价位或者低价位中标，或者事先约定由某一特定供应商中标，然后再参加投标；</w:t>
      </w:r>
    </w:p>
    <w:p>
      <w:pPr>
        <w:pStyle w:val="28"/>
        <w:snapToGrid w:val="0"/>
        <w:spacing w:line="360" w:lineRule="auto"/>
        <w:ind w:left="2" w:leftChars="1" w:firstLine="480" w:firstLineChars="200"/>
        <w:rPr>
          <w:rFonts w:ascii="仿宋" w:hAnsi="仿宋" w:eastAsia="仿宋"/>
          <w:kern w:val="2"/>
          <w:sz w:val="24"/>
          <w:szCs w:val="24"/>
        </w:rPr>
      </w:pPr>
      <w:r>
        <w:rPr>
          <w:rFonts w:hint="eastAsia" w:ascii="仿宋" w:hAnsi="仿宋" w:eastAsia="仿宋"/>
          <w:kern w:val="2"/>
          <w:sz w:val="24"/>
          <w:szCs w:val="24"/>
        </w:rPr>
        <w:t>（6）供应商之间商定部分供应商放弃参加政府采购活动或者放弃中标；</w:t>
      </w:r>
    </w:p>
    <w:p>
      <w:pPr>
        <w:pStyle w:val="28"/>
        <w:snapToGrid w:val="0"/>
        <w:spacing w:line="360" w:lineRule="auto"/>
        <w:ind w:left="2" w:leftChars="1" w:firstLine="480" w:firstLineChars="200"/>
        <w:rPr>
          <w:rFonts w:ascii="仿宋" w:hAnsi="仿宋" w:eastAsia="仿宋"/>
          <w:kern w:val="2"/>
          <w:sz w:val="24"/>
          <w:szCs w:val="24"/>
        </w:rPr>
      </w:pPr>
      <w:r>
        <w:rPr>
          <w:rFonts w:hint="eastAsia" w:ascii="仿宋" w:hAnsi="仿宋" w:eastAsia="仿宋"/>
          <w:kern w:val="2"/>
          <w:sz w:val="24"/>
          <w:szCs w:val="24"/>
        </w:rPr>
        <w:t>（7）供应商与采购人或者采购代理机构之间、供应商相互之间，为谋求特定供应商中标或者排斥其他供应商的其他串通行为。</w:t>
      </w:r>
    </w:p>
    <w:p>
      <w:pPr>
        <w:pStyle w:val="6"/>
        <w:keepNext w:val="0"/>
        <w:keepLines w:val="0"/>
        <w:jc w:val="center"/>
        <w:rPr>
          <w:rFonts w:ascii="仿宋" w:hAnsi="仿宋" w:eastAsia="仿宋"/>
        </w:rPr>
      </w:pPr>
      <w:bookmarkStart w:id="158" w:name="_Toc254970534"/>
      <w:bookmarkStart w:id="159" w:name="_Toc254970675"/>
      <w:r>
        <w:rPr>
          <w:rFonts w:hint="eastAsia" w:ascii="仿宋" w:hAnsi="仿宋" w:eastAsia="仿宋"/>
        </w:rPr>
        <w:t>二、招标文件</w:t>
      </w:r>
      <w:bookmarkEnd w:id="158"/>
      <w:bookmarkEnd w:id="159"/>
    </w:p>
    <w:p>
      <w:pPr>
        <w:pStyle w:val="8"/>
        <w:keepNext w:val="0"/>
        <w:keepLines w:val="0"/>
        <w:spacing w:before="0" w:after="0" w:line="360" w:lineRule="auto"/>
        <w:ind w:left="420" w:leftChars="200"/>
        <w:rPr>
          <w:rFonts w:ascii="仿宋" w:hAnsi="仿宋" w:eastAsia="仿宋"/>
          <w:sz w:val="24"/>
        </w:rPr>
      </w:pPr>
      <w:r>
        <w:rPr>
          <w:rFonts w:hint="eastAsia" w:ascii="仿宋" w:hAnsi="仿宋" w:eastAsia="仿宋"/>
          <w:sz w:val="24"/>
        </w:rPr>
        <w:t>10.招标文件的组成</w:t>
      </w:r>
    </w:p>
    <w:p>
      <w:pPr>
        <w:snapToGrid w:val="0"/>
        <w:spacing w:line="360" w:lineRule="auto"/>
        <w:ind w:firstLine="420"/>
        <w:jc w:val="left"/>
        <w:rPr>
          <w:rFonts w:ascii="仿宋" w:hAnsi="仿宋" w:eastAsia="仿宋"/>
          <w:sz w:val="24"/>
        </w:rPr>
      </w:pPr>
      <w:r>
        <w:rPr>
          <w:rFonts w:hint="eastAsia" w:ascii="仿宋" w:hAnsi="仿宋" w:eastAsia="仿宋"/>
          <w:sz w:val="24"/>
        </w:rPr>
        <w:t>（1）招标公告；</w:t>
      </w:r>
    </w:p>
    <w:p>
      <w:pPr>
        <w:snapToGrid w:val="0"/>
        <w:spacing w:line="360" w:lineRule="auto"/>
        <w:ind w:firstLine="420"/>
        <w:jc w:val="left"/>
        <w:rPr>
          <w:rFonts w:ascii="仿宋" w:hAnsi="仿宋" w:eastAsia="仿宋"/>
          <w:sz w:val="24"/>
        </w:rPr>
      </w:pPr>
      <w:r>
        <w:rPr>
          <w:rFonts w:hint="eastAsia" w:ascii="仿宋" w:hAnsi="仿宋" w:eastAsia="仿宋"/>
          <w:sz w:val="24"/>
        </w:rPr>
        <w:t xml:space="preserve">（2）采购需求； </w:t>
      </w:r>
    </w:p>
    <w:p>
      <w:pPr>
        <w:snapToGrid w:val="0"/>
        <w:spacing w:line="360" w:lineRule="auto"/>
        <w:ind w:firstLine="420"/>
        <w:jc w:val="left"/>
        <w:rPr>
          <w:rFonts w:ascii="仿宋" w:hAnsi="仿宋" w:eastAsia="仿宋"/>
          <w:sz w:val="24"/>
        </w:rPr>
      </w:pPr>
      <w:r>
        <w:rPr>
          <w:rFonts w:hint="eastAsia" w:ascii="仿宋" w:hAnsi="仿宋" w:eastAsia="仿宋"/>
          <w:sz w:val="24"/>
        </w:rPr>
        <w:t>（3）投标人须知；</w:t>
      </w:r>
    </w:p>
    <w:p>
      <w:pPr>
        <w:snapToGrid w:val="0"/>
        <w:spacing w:line="360" w:lineRule="auto"/>
        <w:ind w:firstLine="420"/>
        <w:jc w:val="left"/>
        <w:rPr>
          <w:rFonts w:ascii="仿宋" w:hAnsi="仿宋" w:eastAsia="仿宋"/>
          <w:sz w:val="24"/>
        </w:rPr>
      </w:pPr>
      <w:r>
        <w:rPr>
          <w:rFonts w:hint="eastAsia" w:ascii="仿宋" w:hAnsi="仿宋" w:eastAsia="仿宋"/>
          <w:sz w:val="24"/>
        </w:rPr>
        <w:t>（4）评标方法及评标标准；</w:t>
      </w:r>
    </w:p>
    <w:p>
      <w:pPr>
        <w:snapToGrid w:val="0"/>
        <w:spacing w:line="360" w:lineRule="auto"/>
        <w:ind w:firstLine="420"/>
        <w:jc w:val="left"/>
        <w:rPr>
          <w:rFonts w:ascii="仿宋" w:hAnsi="仿宋" w:eastAsia="仿宋"/>
          <w:sz w:val="24"/>
        </w:rPr>
      </w:pPr>
      <w:r>
        <w:rPr>
          <w:rFonts w:hint="eastAsia" w:ascii="仿宋" w:hAnsi="仿宋" w:eastAsia="仿宋"/>
          <w:sz w:val="24"/>
        </w:rPr>
        <w:t>（5）拟签订的合同文本；</w:t>
      </w:r>
    </w:p>
    <w:p>
      <w:pPr>
        <w:snapToGrid w:val="0"/>
        <w:spacing w:line="360" w:lineRule="auto"/>
        <w:ind w:firstLine="420"/>
        <w:jc w:val="left"/>
        <w:rPr>
          <w:rFonts w:ascii="仿宋" w:hAnsi="仿宋" w:eastAsia="仿宋"/>
          <w:sz w:val="24"/>
        </w:rPr>
      </w:pPr>
      <w:r>
        <w:rPr>
          <w:rFonts w:hint="eastAsia" w:ascii="仿宋" w:hAnsi="仿宋" w:eastAsia="仿宋"/>
          <w:sz w:val="24"/>
        </w:rPr>
        <w:t>（6）投标文件格式。</w:t>
      </w:r>
    </w:p>
    <w:p>
      <w:pPr>
        <w:pStyle w:val="8"/>
        <w:keepNext w:val="0"/>
        <w:keepLines w:val="0"/>
        <w:spacing w:before="0" w:after="0" w:line="360" w:lineRule="auto"/>
        <w:ind w:left="420" w:leftChars="200"/>
        <w:rPr>
          <w:rFonts w:ascii="仿宋" w:hAnsi="仿宋" w:eastAsia="仿宋"/>
          <w:sz w:val="24"/>
        </w:rPr>
      </w:pPr>
      <w:r>
        <w:rPr>
          <w:rFonts w:hint="eastAsia" w:ascii="仿宋" w:hAnsi="仿宋" w:eastAsia="仿宋"/>
          <w:sz w:val="24"/>
        </w:rPr>
        <w:t>11.招标文件的澄清、修改 、现场考察和答疑会</w:t>
      </w:r>
    </w:p>
    <w:p>
      <w:pPr>
        <w:pStyle w:val="8"/>
        <w:keepNext w:val="0"/>
        <w:keepLines w:val="0"/>
        <w:spacing w:before="0" w:after="0" w:line="360" w:lineRule="auto"/>
        <w:ind w:firstLine="360" w:firstLineChars="150"/>
        <w:rPr>
          <w:rFonts w:ascii="仿宋" w:hAnsi="仿宋" w:eastAsia="仿宋"/>
          <w:b w:val="0"/>
          <w:sz w:val="24"/>
        </w:rPr>
      </w:pPr>
      <w:r>
        <w:rPr>
          <w:rFonts w:hint="eastAsia" w:ascii="仿宋" w:hAnsi="仿宋" w:eastAsia="仿宋"/>
          <w:b w:val="0"/>
          <w:sz w:val="24"/>
        </w:rPr>
        <w:t xml:space="preserve"> 11.1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pPr>
        <w:pStyle w:val="8"/>
        <w:keepNext w:val="0"/>
        <w:keepLines w:val="0"/>
        <w:numPr>
          <w:ilvl w:val="0"/>
          <w:numId w:val="0"/>
        </w:numPr>
        <w:spacing w:before="0" w:after="0" w:line="360" w:lineRule="auto"/>
        <w:ind w:firstLine="480" w:firstLineChars="200"/>
        <w:rPr>
          <w:rFonts w:ascii="仿宋" w:hAnsi="仿宋" w:eastAsia="仿宋"/>
          <w:sz w:val="24"/>
        </w:rPr>
      </w:pPr>
      <w:r>
        <w:rPr>
          <w:rFonts w:hint="eastAsia" w:ascii="仿宋" w:hAnsi="仿宋" w:eastAsia="仿宋"/>
          <w:b w:val="0"/>
          <w:sz w:val="24"/>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pPr>
        <w:spacing w:line="360" w:lineRule="auto"/>
        <w:ind w:firstLine="480" w:firstLineChars="200"/>
        <w:rPr>
          <w:rFonts w:ascii="仿宋" w:hAnsi="仿宋" w:eastAsia="仿宋"/>
          <w:sz w:val="24"/>
        </w:rPr>
      </w:pPr>
      <w:r>
        <w:rPr>
          <w:rFonts w:hint="eastAsia" w:ascii="仿宋" w:hAnsi="仿宋" w:eastAsia="仿宋"/>
          <w:sz w:val="24"/>
        </w:rPr>
        <w:t>11.3采购人和采购代理机构可以视采购具体情况，变更投标截止时间和开标时间，并在原公告发布媒体上发布更正公告。</w:t>
      </w:r>
    </w:p>
    <w:p>
      <w:pPr>
        <w:spacing w:line="360" w:lineRule="auto"/>
        <w:ind w:firstLine="480" w:firstLineChars="200"/>
        <w:rPr>
          <w:rFonts w:ascii="仿宋" w:hAnsi="仿宋" w:eastAsia="仿宋"/>
          <w:sz w:val="24"/>
        </w:rPr>
      </w:pPr>
      <w:r>
        <w:rPr>
          <w:rFonts w:hint="eastAsia" w:ascii="仿宋" w:hAnsi="仿宋" w:eastAsia="仿宋"/>
          <w:sz w:val="24"/>
        </w:rPr>
        <w:t>11.4招标文件澄清、答复、修改、补充的内容为招标文件的组成部分。</w:t>
      </w:r>
      <w:r>
        <w:rPr>
          <w:rFonts w:hint="eastAsia" w:ascii="仿宋" w:hAnsi="仿宋" w:eastAsia="仿宋"/>
          <w:b/>
          <w:sz w:val="24"/>
        </w:rPr>
        <w:t>当招标文件与招标文件的澄清、答复、修改、补充通知就同一内容的表述不一致时，以最后发出的文件为准。</w:t>
      </w:r>
    </w:p>
    <w:p>
      <w:pPr>
        <w:pStyle w:val="28"/>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1.</w:t>
      </w:r>
      <w:bookmarkStart w:id="160" w:name="_Hlk53134511"/>
      <w:r>
        <w:rPr>
          <w:rFonts w:hint="eastAsia" w:ascii="仿宋" w:hAnsi="仿宋" w:eastAsia="仿宋"/>
          <w:sz w:val="24"/>
          <w:szCs w:val="24"/>
        </w:rPr>
        <w:t>5采购人或者采购代理机构可以在招标文件提供期限截止后，组织已获取招标文件的潜在投标人现场考察或者召开开标前答疑会，具体详见“投标人须知前附表”。</w:t>
      </w:r>
    </w:p>
    <w:bookmarkEnd w:id="160"/>
    <w:p>
      <w:pPr>
        <w:pStyle w:val="6"/>
        <w:keepNext w:val="0"/>
        <w:keepLines w:val="0"/>
        <w:jc w:val="center"/>
        <w:rPr>
          <w:rFonts w:ascii="仿宋" w:hAnsi="仿宋" w:eastAsia="仿宋"/>
        </w:rPr>
      </w:pPr>
      <w:bookmarkStart w:id="161" w:name="_Toc254970535"/>
      <w:bookmarkStart w:id="162" w:name="_Toc254970676"/>
      <w:r>
        <w:rPr>
          <w:rFonts w:hint="eastAsia" w:ascii="仿宋" w:hAnsi="仿宋" w:eastAsia="仿宋"/>
        </w:rPr>
        <w:t>三、投标文件的编制</w:t>
      </w:r>
      <w:bookmarkEnd w:id="161"/>
      <w:bookmarkEnd w:id="162"/>
    </w:p>
    <w:p>
      <w:pPr>
        <w:pStyle w:val="8"/>
        <w:keepNext w:val="0"/>
        <w:keepLines w:val="0"/>
        <w:spacing w:before="0" w:after="0" w:line="360" w:lineRule="auto"/>
        <w:ind w:left="420" w:leftChars="200"/>
        <w:rPr>
          <w:rFonts w:ascii="仿宋" w:hAnsi="仿宋" w:eastAsia="仿宋"/>
          <w:sz w:val="24"/>
        </w:rPr>
      </w:pPr>
      <w:bookmarkStart w:id="163" w:name="_Toc254970536"/>
      <w:bookmarkStart w:id="164" w:name="_Toc254970677"/>
      <w:r>
        <w:rPr>
          <w:rFonts w:hint="eastAsia" w:ascii="仿宋" w:hAnsi="仿宋" w:eastAsia="仿宋"/>
          <w:sz w:val="24"/>
        </w:rPr>
        <w:t>12.投标文件的编制原则</w:t>
      </w:r>
    </w:p>
    <w:p>
      <w:pPr>
        <w:snapToGrid w:val="0"/>
        <w:spacing w:line="360" w:lineRule="auto"/>
        <w:ind w:firstLine="420"/>
        <w:jc w:val="left"/>
        <w:rPr>
          <w:rFonts w:ascii="仿宋" w:hAnsi="仿宋" w:eastAsia="仿宋" w:cs="Courier New"/>
          <w:sz w:val="24"/>
        </w:rPr>
      </w:pPr>
      <w:r>
        <w:rPr>
          <w:rFonts w:ascii="仿宋" w:hAnsi="仿宋" w:eastAsia="仿宋"/>
          <w:sz w:val="24"/>
        </w:rPr>
        <w:t>投标人必须按照招标文件的要求编制投标文件。投标文件必须对招标文件提出的要求和条件作出明确响应。</w:t>
      </w:r>
    </w:p>
    <w:p>
      <w:pPr>
        <w:pStyle w:val="8"/>
        <w:keepNext w:val="0"/>
        <w:keepLines w:val="0"/>
        <w:spacing w:before="0" w:after="0" w:line="360" w:lineRule="auto"/>
        <w:ind w:left="420" w:leftChars="200"/>
        <w:rPr>
          <w:rFonts w:ascii="仿宋" w:hAnsi="仿宋" w:eastAsia="仿宋"/>
          <w:sz w:val="24"/>
        </w:rPr>
      </w:pPr>
      <w:r>
        <w:rPr>
          <w:rFonts w:hint="eastAsia" w:ascii="仿宋" w:hAnsi="仿宋" w:eastAsia="仿宋"/>
          <w:sz w:val="24"/>
        </w:rPr>
        <w:t>13.投标文件的组成</w:t>
      </w:r>
      <w:bookmarkEnd w:id="163"/>
      <w:bookmarkEnd w:id="164"/>
    </w:p>
    <w:p>
      <w:pPr>
        <w:snapToGrid w:val="0"/>
        <w:spacing w:line="360" w:lineRule="auto"/>
        <w:ind w:firstLine="480" w:firstLineChars="200"/>
        <w:jc w:val="left"/>
        <w:rPr>
          <w:rFonts w:ascii="仿宋" w:hAnsi="仿宋" w:eastAsia="仿宋"/>
          <w:sz w:val="24"/>
        </w:rPr>
      </w:pPr>
      <w:r>
        <w:rPr>
          <w:rFonts w:hint="eastAsia" w:ascii="仿宋" w:hAnsi="仿宋" w:eastAsia="仿宋"/>
          <w:sz w:val="24"/>
        </w:rPr>
        <w:t>1</w:t>
      </w:r>
      <w:r>
        <w:rPr>
          <w:rFonts w:ascii="仿宋" w:hAnsi="仿宋" w:eastAsia="仿宋"/>
          <w:sz w:val="24"/>
        </w:rPr>
        <w:t>3.1</w:t>
      </w:r>
      <w:r>
        <w:rPr>
          <w:rFonts w:hint="eastAsia" w:ascii="仿宋" w:hAnsi="仿宋" w:eastAsia="仿宋"/>
          <w:sz w:val="24"/>
        </w:rPr>
        <w:t>投标文件由报价文件、资格证明文件、商务文件、技术文件四部分组成。</w:t>
      </w:r>
    </w:p>
    <w:p>
      <w:pPr>
        <w:pStyle w:val="8"/>
        <w:keepNext w:val="0"/>
        <w:keepLines w:val="0"/>
        <w:spacing w:before="0" w:after="0" w:line="360" w:lineRule="auto"/>
        <w:ind w:left="420" w:leftChars="200"/>
        <w:rPr>
          <w:rFonts w:ascii="仿宋" w:hAnsi="仿宋" w:eastAsia="仿宋"/>
          <w:b w:val="0"/>
          <w:sz w:val="24"/>
        </w:rPr>
      </w:pPr>
      <w:bookmarkStart w:id="165" w:name="_13.1报价文件:_具体材料见“投标人须知前附表”。"/>
      <w:bookmarkEnd w:id="165"/>
      <w:r>
        <w:rPr>
          <w:rFonts w:hint="eastAsia" w:ascii="仿宋" w:hAnsi="仿宋" w:eastAsia="仿宋"/>
          <w:b w:val="0"/>
          <w:sz w:val="24"/>
        </w:rPr>
        <w:t>（1）报价文件：</w:t>
      </w:r>
      <w:r>
        <w:rPr>
          <w:rFonts w:ascii="仿宋" w:hAnsi="仿宋" w:eastAsia="仿宋"/>
          <w:b w:val="0"/>
          <w:sz w:val="24"/>
        </w:rPr>
        <w:t xml:space="preserve"> 具体材料见“投标人须知前附表”</w:t>
      </w:r>
      <w:r>
        <w:rPr>
          <w:rFonts w:hint="eastAsia" w:ascii="仿宋" w:hAnsi="仿宋" w:eastAsia="仿宋"/>
          <w:b w:val="0"/>
          <w:sz w:val="24"/>
        </w:rPr>
        <w:t>。</w:t>
      </w:r>
    </w:p>
    <w:p>
      <w:pPr>
        <w:pStyle w:val="8"/>
        <w:keepNext w:val="0"/>
        <w:keepLines w:val="0"/>
        <w:spacing w:before="0" w:after="0" w:line="360" w:lineRule="auto"/>
        <w:ind w:left="420" w:leftChars="200"/>
        <w:rPr>
          <w:rFonts w:ascii="仿宋" w:hAnsi="仿宋" w:eastAsia="仿宋"/>
          <w:b w:val="0"/>
          <w:sz w:val="24"/>
        </w:rPr>
      </w:pPr>
      <w:bookmarkStart w:id="166" w:name="_13.2资格证明文件：具体材料见“投标人须知前附表”。"/>
      <w:bookmarkEnd w:id="166"/>
      <w:r>
        <w:rPr>
          <w:rFonts w:hint="eastAsia" w:ascii="仿宋" w:hAnsi="仿宋" w:eastAsia="仿宋"/>
          <w:b w:val="0"/>
          <w:sz w:val="24"/>
        </w:rPr>
        <w:t>（</w:t>
      </w:r>
      <w:r>
        <w:rPr>
          <w:rFonts w:ascii="仿宋" w:hAnsi="仿宋" w:eastAsia="仿宋"/>
          <w:b w:val="0"/>
          <w:sz w:val="24"/>
        </w:rPr>
        <w:t>2</w:t>
      </w:r>
      <w:r>
        <w:rPr>
          <w:rFonts w:hint="eastAsia" w:ascii="仿宋" w:hAnsi="仿宋" w:eastAsia="仿宋"/>
          <w:b w:val="0"/>
          <w:sz w:val="24"/>
        </w:rPr>
        <w:t>）资格证明文件：</w:t>
      </w:r>
      <w:r>
        <w:rPr>
          <w:rFonts w:ascii="仿宋" w:hAnsi="仿宋" w:eastAsia="仿宋"/>
          <w:b w:val="0"/>
          <w:sz w:val="24"/>
        </w:rPr>
        <w:t>具体材料见“投标人须知前附表”</w:t>
      </w:r>
      <w:r>
        <w:rPr>
          <w:rFonts w:hint="eastAsia" w:ascii="仿宋" w:hAnsi="仿宋" w:eastAsia="仿宋"/>
          <w:b w:val="0"/>
          <w:sz w:val="24"/>
        </w:rPr>
        <w:t>。</w:t>
      </w:r>
    </w:p>
    <w:p>
      <w:pPr>
        <w:pStyle w:val="8"/>
        <w:keepNext w:val="0"/>
        <w:keepLines w:val="0"/>
        <w:spacing w:before="0" w:after="0" w:line="360" w:lineRule="auto"/>
        <w:ind w:left="420" w:leftChars="200"/>
        <w:rPr>
          <w:rFonts w:ascii="仿宋" w:hAnsi="仿宋" w:eastAsia="仿宋"/>
          <w:b w:val="0"/>
          <w:sz w:val="24"/>
        </w:rPr>
      </w:pPr>
      <w:bookmarkStart w:id="167" w:name="_13.3商务文件:_具体材料见“投标人须知前附表”。"/>
      <w:bookmarkEnd w:id="167"/>
      <w:r>
        <w:rPr>
          <w:rFonts w:hint="eastAsia" w:ascii="仿宋" w:hAnsi="仿宋" w:eastAsia="仿宋"/>
          <w:b w:val="0"/>
          <w:sz w:val="24"/>
        </w:rPr>
        <w:t>（</w:t>
      </w:r>
      <w:r>
        <w:rPr>
          <w:rFonts w:ascii="仿宋" w:hAnsi="仿宋" w:eastAsia="仿宋"/>
          <w:b w:val="0"/>
          <w:sz w:val="24"/>
        </w:rPr>
        <w:t>3</w:t>
      </w:r>
      <w:r>
        <w:rPr>
          <w:rFonts w:hint="eastAsia" w:ascii="仿宋" w:hAnsi="仿宋" w:eastAsia="仿宋"/>
          <w:b w:val="0"/>
          <w:sz w:val="24"/>
        </w:rPr>
        <w:t>）商务文件：</w:t>
      </w:r>
      <w:r>
        <w:rPr>
          <w:rFonts w:ascii="仿宋" w:hAnsi="仿宋" w:eastAsia="仿宋"/>
          <w:b w:val="0"/>
          <w:sz w:val="24"/>
        </w:rPr>
        <w:t>具体材料见“投标人须知前附表”</w:t>
      </w:r>
      <w:r>
        <w:rPr>
          <w:rFonts w:hint="eastAsia" w:ascii="仿宋" w:hAnsi="仿宋" w:eastAsia="仿宋"/>
          <w:b w:val="0"/>
          <w:sz w:val="24"/>
        </w:rPr>
        <w:t>。</w:t>
      </w:r>
    </w:p>
    <w:p>
      <w:pPr>
        <w:pStyle w:val="8"/>
        <w:keepNext w:val="0"/>
        <w:keepLines w:val="0"/>
        <w:spacing w:before="0" w:after="0" w:line="360" w:lineRule="auto"/>
        <w:ind w:left="420" w:leftChars="200"/>
        <w:rPr>
          <w:rFonts w:ascii="仿宋" w:hAnsi="仿宋" w:eastAsia="仿宋"/>
          <w:b w:val="0"/>
          <w:sz w:val="24"/>
        </w:rPr>
      </w:pPr>
      <w:bookmarkStart w:id="168" w:name="_13.4技术文件：具体材料见“投标人须知前附表”。"/>
      <w:bookmarkEnd w:id="168"/>
      <w:r>
        <w:rPr>
          <w:rFonts w:hint="eastAsia" w:ascii="仿宋" w:hAnsi="仿宋" w:eastAsia="仿宋"/>
          <w:b w:val="0"/>
          <w:sz w:val="24"/>
        </w:rPr>
        <w:t>（</w:t>
      </w:r>
      <w:r>
        <w:rPr>
          <w:rFonts w:ascii="仿宋" w:hAnsi="仿宋" w:eastAsia="仿宋"/>
          <w:b w:val="0"/>
          <w:sz w:val="24"/>
        </w:rPr>
        <w:t>4</w:t>
      </w:r>
      <w:r>
        <w:rPr>
          <w:rFonts w:hint="eastAsia" w:ascii="仿宋" w:hAnsi="仿宋" w:eastAsia="仿宋"/>
          <w:b w:val="0"/>
          <w:sz w:val="24"/>
        </w:rPr>
        <w:t>）技术文件：</w:t>
      </w:r>
      <w:r>
        <w:rPr>
          <w:rFonts w:ascii="仿宋" w:hAnsi="仿宋" w:eastAsia="仿宋"/>
          <w:b w:val="0"/>
          <w:sz w:val="24"/>
        </w:rPr>
        <w:t>具体材料见“投标人须知前附表”</w:t>
      </w:r>
      <w:r>
        <w:rPr>
          <w:rFonts w:hint="eastAsia" w:ascii="仿宋" w:hAnsi="仿宋" w:eastAsia="仿宋"/>
          <w:b w:val="0"/>
          <w:sz w:val="24"/>
        </w:rPr>
        <w:t>。</w:t>
      </w:r>
      <w:bookmarkStart w:id="169" w:name="_13.5投标文件电子版：具体材料见“投标人须知前附表”。"/>
      <w:bookmarkEnd w:id="169"/>
    </w:p>
    <w:p>
      <w:pPr>
        <w:pStyle w:val="8"/>
        <w:keepNext w:val="0"/>
        <w:keepLines w:val="0"/>
        <w:spacing w:before="0" w:after="0" w:line="360" w:lineRule="auto"/>
        <w:ind w:left="420" w:leftChars="200"/>
        <w:rPr>
          <w:rFonts w:ascii="仿宋" w:hAnsi="仿宋" w:eastAsia="仿宋"/>
          <w:sz w:val="24"/>
        </w:rPr>
      </w:pPr>
      <w:bookmarkStart w:id="170" w:name="_Toc254970678"/>
      <w:bookmarkStart w:id="171" w:name="_Toc254970537"/>
      <w:r>
        <w:rPr>
          <w:rFonts w:hint="eastAsia" w:ascii="仿宋" w:hAnsi="仿宋" w:eastAsia="仿宋"/>
          <w:sz w:val="24"/>
        </w:rPr>
        <w:t>14.投标文件的语言及计量</w:t>
      </w:r>
      <w:bookmarkEnd w:id="170"/>
      <w:bookmarkEnd w:id="171"/>
    </w:p>
    <w:p>
      <w:pPr>
        <w:pStyle w:val="8"/>
        <w:keepNext w:val="0"/>
        <w:keepLines w:val="0"/>
        <w:spacing w:before="0" w:after="0" w:line="360" w:lineRule="auto"/>
        <w:ind w:left="420" w:leftChars="200"/>
        <w:rPr>
          <w:rFonts w:ascii="仿宋" w:hAnsi="仿宋" w:eastAsia="仿宋"/>
          <w:b w:val="0"/>
          <w:sz w:val="24"/>
        </w:rPr>
      </w:pPr>
      <w:r>
        <w:rPr>
          <w:rFonts w:hint="eastAsia" w:ascii="仿宋" w:hAnsi="仿宋" w:eastAsia="仿宋"/>
          <w:b w:val="0"/>
          <w:sz w:val="24"/>
        </w:rPr>
        <w:t>14.1语言文字</w:t>
      </w:r>
    </w:p>
    <w:p>
      <w:pPr>
        <w:pStyle w:val="8"/>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pPr>
        <w:pStyle w:val="8"/>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14.2投标计量单位</w:t>
      </w:r>
    </w:p>
    <w:p>
      <w:pPr>
        <w:pStyle w:val="8"/>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招标文件已有明确规定的，使用招标文件规定的计量单位；招标文件没有规定的，应采用中华人民共和国法定计量单位，货币种类为人民币，否则视同未响应。</w:t>
      </w:r>
    </w:p>
    <w:p>
      <w:pPr>
        <w:pStyle w:val="8"/>
        <w:keepNext w:val="0"/>
        <w:keepLines w:val="0"/>
        <w:spacing w:before="0" w:after="0" w:line="360" w:lineRule="auto"/>
        <w:ind w:left="420" w:leftChars="200"/>
        <w:rPr>
          <w:rFonts w:ascii="仿宋" w:hAnsi="仿宋" w:eastAsia="仿宋"/>
          <w:sz w:val="24"/>
        </w:rPr>
      </w:pPr>
      <w:r>
        <w:rPr>
          <w:rFonts w:hint="eastAsia" w:ascii="仿宋" w:hAnsi="仿宋" w:eastAsia="仿宋"/>
          <w:sz w:val="24"/>
        </w:rPr>
        <w:t>15.投标的风险</w:t>
      </w:r>
    </w:p>
    <w:p>
      <w:pPr>
        <w:pStyle w:val="28"/>
        <w:snapToGrid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投标人没有按照招标文件要求提供全部资料，或者投标人没有对招标文件作出实质性响应是投标人的风险，并可能导致其投标被拒绝。</w:t>
      </w:r>
    </w:p>
    <w:p>
      <w:pPr>
        <w:pStyle w:val="8"/>
        <w:keepNext w:val="0"/>
        <w:keepLines w:val="0"/>
        <w:spacing w:before="0" w:after="0" w:line="360" w:lineRule="auto"/>
        <w:ind w:left="420" w:leftChars="200"/>
        <w:rPr>
          <w:rFonts w:ascii="仿宋" w:hAnsi="仿宋" w:eastAsia="仿宋"/>
          <w:sz w:val="24"/>
        </w:rPr>
      </w:pPr>
      <w:bookmarkStart w:id="172" w:name="_Toc254970679"/>
      <w:bookmarkStart w:id="173" w:name="_Toc254970538"/>
      <w:r>
        <w:rPr>
          <w:rFonts w:hint="eastAsia" w:ascii="仿宋" w:hAnsi="仿宋" w:eastAsia="仿宋"/>
          <w:sz w:val="24"/>
        </w:rPr>
        <w:t>16.投标报价</w:t>
      </w:r>
      <w:bookmarkEnd w:id="172"/>
      <w:bookmarkEnd w:id="173"/>
    </w:p>
    <w:p>
      <w:pPr>
        <w:pStyle w:val="8"/>
        <w:keepNext w:val="0"/>
        <w:keepLines w:val="0"/>
        <w:spacing w:before="0" w:after="0" w:line="360" w:lineRule="auto"/>
        <w:ind w:left="420" w:leftChars="200"/>
        <w:rPr>
          <w:rFonts w:ascii="仿宋" w:hAnsi="仿宋" w:eastAsia="仿宋"/>
          <w:b w:val="0"/>
          <w:sz w:val="24"/>
        </w:rPr>
      </w:pPr>
      <w:r>
        <w:rPr>
          <w:rFonts w:hint="eastAsia" w:ascii="仿宋" w:hAnsi="仿宋" w:eastAsia="仿宋"/>
          <w:b w:val="0"/>
          <w:sz w:val="24"/>
        </w:rPr>
        <w:t>16.1投标报价应按“第六章　投标文件格式”中“开标一览表”格式填写。</w:t>
      </w:r>
    </w:p>
    <w:p>
      <w:pPr>
        <w:pStyle w:val="8"/>
        <w:keepNext w:val="0"/>
        <w:keepLines w:val="0"/>
        <w:spacing w:before="0" w:after="0" w:line="360" w:lineRule="auto"/>
        <w:ind w:left="420" w:leftChars="200"/>
        <w:rPr>
          <w:rFonts w:ascii="仿宋" w:hAnsi="仿宋" w:eastAsia="仿宋"/>
          <w:b w:val="0"/>
          <w:sz w:val="24"/>
        </w:rPr>
      </w:pPr>
      <w:bookmarkStart w:id="174" w:name="_16.2投标报价具体定义见投标人须知前附表。"/>
      <w:bookmarkEnd w:id="174"/>
      <w:r>
        <w:rPr>
          <w:rFonts w:hint="eastAsia" w:ascii="仿宋" w:hAnsi="仿宋" w:eastAsia="仿宋"/>
          <w:b w:val="0"/>
          <w:sz w:val="24"/>
        </w:rPr>
        <w:t>16.2投标报价具体包括内容详见“投标人须知前附表”。</w:t>
      </w:r>
    </w:p>
    <w:p>
      <w:pPr>
        <w:pStyle w:val="8"/>
        <w:keepNext w:val="0"/>
        <w:keepLines w:val="0"/>
        <w:spacing w:before="0" w:after="0" w:line="360" w:lineRule="auto"/>
        <w:ind w:left="420" w:leftChars="200"/>
        <w:rPr>
          <w:rFonts w:ascii="仿宋" w:hAnsi="仿宋" w:eastAsia="仿宋"/>
          <w:b w:val="0"/>
          <w:sz w:val="24"/>
        </w:rPr>
      </w:pPr>
      <w:r>
        <w:rPr>
          <w:rFonts w:hint="eastAsia" w:ascii="仿宋" w:hAnsi="仿宋" w:eastAsia="仿宋"/>
          <w:b w:val="0"/>
          <w:sz w:val="24"/>
        </w:rPr>
        <w:t>16.3投标人必须就所投标项的全部内容分别作完整唯一总价报价，不得存在漏项报价；投标人必须就所投标项的单项内容作唯一报价。</w:t>
      </w:r>
    </w:p>
    <w:p>
      <w:pPr>
        <w:pStyle w:val="8"/>
        <w:keepNext w:val="0"/>
        <w:keepLines w:val="0"/>
        <w:spacing w:before="0" w:after="0" w:line="360" w:lineRule="auto"/>
        <w:ind w:left="420" w:leftChars="200"/>
        <w:rPr>
          <w:rFonts w:ascii="仿宋" w:hAnsi="仿宋" w:eastAsia="仿宋"/>
          <w:sz w:val="24"/>
        </w:rPr>
      </w:pPr>
      <w:r>
        <w:rPr>
          <w:rFonts w:hint="eastAsia" w:ascii="仿宋" w:hAnsi="仿宋" w:eastAsia="仿宋"/>
          <w:sz w:val="24"/>
        </w:rPr>
        <w:t>17.投标有效期</w:t>
      </w:r>
      <w:bookmarkStart w:id="175" w:name="_17.1投标有效期应按“投标人须知中的前附表”规定的期限。"/>
      <w:bookmarkEnd w:id="175"/>
    </w:p>
    <w:p>
      <w:pPr>
        <w:pStyle w:val="8"/>
        <w:keepNext w:val="0"/>
        <w:keepLines w:val="0"/>
        <w:spacing w:before="0" w:after="0" w:line="360" w:lineRule="auto"/>
        <w:ind w:left="420" w:leftChars="200"/>
        <w:rPr>
          <w:rFonts w:ascii="仿宋" w:hAnsi="仿宋" w:eastAsia="仿宋"/>
          <w:sz w:val="24"/>
        </w:rPr>
      </w:pPr>
      <w:r>
        <w:rPr>
          <w:rFonts w:hint="eastAsia" w:ascii="仿宋" w:hAnsi="仿宋" w:eastAsia="仿宋"/>
          <w:b w:val="0"/>
          <w:sz w:val="24"/>
        </w:rPr>
        <w:t>17.1投标有效期是指为保证采购人有足够的时间在开标后完成评标、定标、合同签订等工作而要求投标人提交的投标文件在一定时间内保持有效的期限。</w:t>
      </w:r>
    </w:p>
    <w:p>
      <w:pPr>
        <w:pStyle w:val="8"/>
        <w:keepNext w:val="0"/>
        <w:keepLines w:val="0"/>
        <w:spacing w:before="0" w:after="0" w:line="360" w:lineRule="auto"/>
        <w:ind w:left="420" w:leftChars="200"/>
        <w:rPr>
          <w:rFonts w:ascii="仿宋" w:hAnsi="仿宋" w:eastAsia="仿宋"/>
          <w:b w:val="0"/>
          <w:sz w:val="24"/>
        </w:rPr>
      </w:pPr>
      <w:r>
        <w:rPr>
          <w:rFonts w:hint="eastAsia" w:ascii="仿宋" w:hAnsi="仿宋" w:eastAsia="仿宋"/>
          <w:b w:val="0"/>
          <w:sz w:val="24"/>
        </w:rPr>
        <w:t>17.2</w:t>
      </w:r>
      <w:bookmarkStart w:id="176" w:name="_Toc254970540"/>
      <w:bookmarkStart w:id="177" w:name="_Toc254970681"/>
      <w:r>
        <w:rPr>
          <w:rFonts w:hint="eastAsia" w:ascii="仿宋" w:hAnsi="仿宋" w:eastAsia="仿宋"/>
          <w:b w:val="0"/>
          <w:sz w:val="24"/>
        </w:rPr>
        <w:t xml:space="preserve"> 投标有效期应按规定的期限作出承诺，具体详见“投标人须知前附表”。</w:t>
      </w:r>
    </w:p>
    <w:p>
      <w:pPr>
        <w:pStyle w:val="8"/>
        <w:keepNext w:val="0"/>
        <w:keepLines w:val="0"/>
        <w:spacing w:before="0" w:after="0" w:line="360" w:lineRule="auto"/>
        <w:ind w:left="420" w:leftChars="200"/>
        <w:rPr>
          <w:rFonts w:ascii="仿宋" w:hAnsi="仿宋" w:eastAsia="仿宋"/>
          <w:b w:val="0"/>
          <w:sz w:val="24"/>
        </w:rPr>
      </w:pPr>
      <w:r>
        <w:rPr>
          <w:rFonts w:hint="eastAsia" w:ascii="仿宋" w:hAnsi="仿宋" w:eastAsia="仿宋"/>
          <w:b w:val="0"/>
          <w:sz w:val="24"/>
        </w:rPr>
        <w:t>17.3投标人的投标文件在投标有效期内均保持有效。</w:t>
      </w:r>
      <w:bookmarkEnd w:id="176"/>
      <w:bookmarkEnd w:id="177"/>
    </w:p>
    <w:p>
      <w:pPr>
        <w:pStyle w:val="8"/>
        <w:keepNext w:val="0"/>
        <w:keepLines w:val="0"/>
        <w:spacing w:before="0" w:after="0" w:line="360" w:lineRule="auto"/>
        <w:ind w:left="420" w:leftChars="200"/>
        <w:rPr>
          <w:rFonts w:ascii="仿宋" w:hAnsi="仿宋" w:eastAsia="仿宋"/>
          <w:sz w:val="24"/>
        </w:rPr>
      </w:pPr>
      <w:bookmarkStart w:id="178" w:name="_18.投标保证金"/>
      <w:bookmarkEnd w:id="178"/>
      <w:bookmarkStart w:id="179" w:name="_Toc254970541"/>
      <w:bookmarkStart w:id="180" w:name="_Toc254970682"/>
      <w:r>
        <w:rPr>
          <w:rFonts w:hint="eastAsia" w:ascii="仿宋" w:hAnsi="仿宋" w:eastAsia="仿宋"/>
          <w:sz w:val="24"/>
        </w:rPr>
        <w:t>18.投标保证金</w:t>
      </w:r>
      <w:bookmarkEnd w:id="179"/>
      <w:bookmarkEnd w:id="180"/>
    </w:p>
    <w:p>
      <w:pPr>
        <w:pStyle w:val="8"/>
        <w:keepNext w:val="0"/>
        <w:keepLines w:val="0"/>
        <w:spacing w:before="0" w:after="0" w:line="360" w:lineRule="auto"/>
        <w:ind w:left="420" w:leftChars="200"/>
        <w:rPr>
          <w:rFonts w:ascii="仿宋" w:hAnsi="仿宋" w:eastAsia="仿宋"/>
          <w:b w:val="0"/>
          <w:sz w:val="24"/>
        </w:rPr>
      </w:pPr>
      <w:r>
        <w:rPr>
          <w:rFonts w:hint="eastAsia" w:ascii="仿宋" w:hAnsi="仿宋" w:eastAsia="仿宋"/>
          <w:b w:val="0"/>
          <w:sz w:val="24"/>
        </w:rPr>
        <w:t>18.1投标人须按“投标人须知前附表” 的规定提交投标保证金。</w:t>
      </w:r>
    </w:p>
    <w:p>
      <w:pPr>
        <w:pStyle w:val="8"/>
        <w:keepNext w:val="0"/>
        <w:keepLines w:val="0"/>
        <w:spacing w:before="0" w:after="0" w:line="360" w:lineRule="auto"/>
        <w:ind w:left="420" w:leftChars="200"/>
        <w:rPr>
          <w:rFonts w:ascii="仿宋" w:hAnsi="仿宋" w:eastAsia="仿宋"/>
          <w:b w:val="0"/>
          <w:sz w:val="24"/>
        </w:rPr>
      </w:pPr>
      <w:r>
        <w:rPr>
          <w:rFonts w:hint="eastAsia" w:ascii="仿宋" w:hAnsi="仿宋" w:eastAsia="仿宋"/>
          <w:b w:val="0"/>
          <w:sz w:val="24"/>
        </w:rPr>
        <w:t>18.2投标保证金的退还</w:t>
      </w:r>
    </w:p>
    <w:p>
      <w:pPr>
        <w:pStyle w:val="8"/>
        <w:keepNext w:val="0"/>
        <w:keepLines w:val="0"/>
        <w:spacing w:before="0" w:after="0" w:line="360" w:lineRule="auto"/>
        <w:ind w:left="420" w:leftChars="200"/>
        <w:rPr>
          <w:rFonts w:ascii="仿宋" w:hAnsi="仿宋" w:eastAsia="仿宋"/>
          <w:b w:val="0"/>
          <w:sz w:val="24"/>
        </w:rPr>
      </w:pPr>
      <w:r>
        <w:rPr>
          <w:rFonts w:hint="eastAsia" w:ascii="仿宋" w:hAnsi="仿宋" w:eastAsia="仿宋"/>
          <w:b w:val="0"/>
          <w:sz w:val="24"/>
        </w:rPr>
        <w:t xml:space="preserve">未中标人的投标保证金自中标通知书发出之日起4个工作日内退还；中标人的投标保证金自政府采购合同签订之日起4个工作日内退还。 </w:t>
      </w:r>
    </w:p>
    <w:p>
      <w:pPr>
        <w:pStyle w:val="8"/>
        <w:keepNext w:val="0"/>
        <w:keepLines w:val="0"/>
        <w:spacing w:before="0" w:after="0" w:line="360" w:lineRule="auto"/>
        <w:ind w:left="420" w:leftChars="200"/>
        <w:rPr>
          <w:rFonts w:ascii="仿宋" w:hAnsi="仿宋" w:eastAsia="仿宋"/>
          <w:b w:val="0"/>
          <w:sz w:val="24"/>
        </w:rPr>
      </w:pPr>
      <w:r>
        <w:rPr>
          <w:rFonts w:hint="eastAsia" w:ascii="仿宋" w:hAnsi="仿宋" w:eastAsia="仿宋"/>
          <w:b w:val="0"/>
          <w:sz w:val="24"/>
        </w:rPr>
        <w:t>18.3除逾期退还投标保证金和终止招标的情形以外，投标保证金不计息。</w:t>
      </w:r>
    </w:p>
    <w:p>
      <w:pPr>
        <w:pStyle w:val="8"/>
        <w:keepNext w:val="0"/>
        <w:keepLines w:val="0"/>
        <w:spacing w:before="0" w:after="0" w:line="360" w:lineRule="auto"/>
        <w:ind w:left="420" w:leftChars="200"/>
        <w:rPr>
          <w:rFonts w:ascii="仿宋" w:hAnsi="仿宋" w:eastAsia="仿宋"/>
          <w:b w:val="0"/>
          <w:sz w:val="24"/>
        </w:rPr>
      </w:pPr>
      <w:r>
        <w:rPr>
          <w:rFonts w:hint="eastAsia" w:ascii="仿宋" w:hAnsi="仿宋" w:eastAsia="仿宋"/>
          <w:b w:val="0"/>
          <w:sz w:val="24"/>
        </w:rPr>
        <w:t xml:space="preserve">18.4投标人有下列情形之一的，投标保证金将不予退还： </w:t>
      </w:r>
    </w:p>
    <w:p>
      <w:pPr>
        <w:snapToGrid w:val="0"/>
        <w:spacing w:line="360" w:lineRule="auto"/>
        <w:ind w:firstLine="470" w:firstLineChars="196"/>
        <w:jc w:val="left"/>
        <w:rPr>
          <w:rFonts w:ascii="仿宋" w:hAnsi="仿宋" w:eastAsia="仿宋"/>
          <w:sz w:val="24"/>
        </w:rPr>
      </w:pPr>
      <w:r>
        <w:rPr>
          <w:rFonts w:hint="eastAsia" w:ascii="仿宋" w:hAnsi="仿宋" w:eastAsia="仿宋"/>
          <w:sz w:val="24"/>
        </w:rPr>
        <w:t>（1）投标人在投标有效期内撤销投标文件的；</w:t>
      </w:r>
    </w:p>
    <w:p>
      <w:pPr>
        <w:snapToGrid w:val="0"/>
        <w:spacing w:line="360" w:lineRule="auto"/>
        <w:ind w:firstLine="470" w:firstLineChars="196"/>
        <w:jc w:val="left"/>
        <w:rPr>
          <w:rFonts w:ascii="仿宋" w:hAnsi="仿宋" w:eastAsia="仿宋"/>
          <w:sz w:val="24"/>
        </w:rPr>
      </w:pPr>
      <w:r>
        <w:rPr>
          <w:rFonts w:hint="eastAsia" w:ascii="仿宋" w:hAnsi="仿宋" w:eastAsia="仿宋"/>
          <w:sz w:val="24"/>
        </w:rPr>
        <w:t>（2）未按规定提交履约保证金的；</w:t>
      </w:r>
    </w:p>
    <w:p>
      <w:pPr>
        <w:snapToGrid w:val="0"/>
        <w:spacing w:line="360" w:lineRule="auto"/>
        <w:ind w:firstLine="470" w:firstLineChars="196"/>
        <w:jc w:val="left"/>
        <w:rPr>
          <w:rFonts w:ascii="仿宋" w:hAnsi="仿宋" w:eastAsia="仿宋"/>
          <w:sz w:val="24"/>
        </w:rPr>
      </w:pPr>
      <w:r>
        <w:rPr>
          <w:rFonts w:hint="eastAsia" w:ascii="仿宋" w:hAnsi="仿宋" w:eastAsia="仿宋"/>
          <w:sz w:val="24"/>
        </w:rPr>
        <w:t>（3）投标人在投标过程中弄虚作假，提供虚假材料的；</w:t>
      </w:r>
    </w:p>
    <w:p>
      <w:pPr>
        <w:snapToGrid w:val="0"/>
        <w:spacing w:line="360" w:lineRule="auto"/>
        <w:ind w:firstLine="470" w:firstLineChars="196"/>
        <w:rPr>
          <w:rFonts w:ascii="仿宋" w:hAnsi="仿宋" w:eastAsia="仿宋"/>
          <w:sz w:val="24"/>
        </w:rPr>
      </w:pPr>
      <w:r>
        <w:rPr>
          <w:rFonts w:hint="eastAsia" w:ascii="仿宋" w:hAnsi="仿宋" w:eastAsia="仿宋"/>
          <w:sz w:val="24"/>
        </w:rPr>
        <w:t>（4）中标人无正当理由不与采购人签订合同的；</w:t>
      </w:r>
    </w:p>
    <w:p>
      <w:pPr>
        <w:snapToGrid w:val="0"/>
        <w:spacing w:line="360" w:lineRule="auto"/>
        <w:ind w:firstLine="480" w:firstLineChars="200"/>
        <w:rPr>
          <w:rFonts w:ascii="仿宋" w:hAnsi="仿宋" w:eastAsia="仿宋"/>
          <w:sz w:val="24"/>
        </w:rPr>
      </w:pPr>
      <w:r>
        <w:rPr>
          <w:rFonts w:hint="eastAsia" w:ascii="仿宋" w:hAnsi="仿宋" w:eastAsia="仿宋"/>
          <w:sz w:val="24"/>
        </w:rPr>
        <w:t>（5）投标人出现本章第9.2、9.3情形的；</w:t>
      </w:r>
    </w:p>
    <w:p>
      <w:pPr>
        <w:snapToGrid w:val="0"/>
        <w:spacing w:line="360" w:lineRule="auto"/>
        <w:ind w:firstLine="480" w:firstLineChars="200"/>
        <w:rPr>
          <w:rFonts w:ascii="仿宋" w:hAnsi="仿宋" w:eastAsia="仿宋"/>
          <w:sz w:val="24"/>
        </w:rPr>
      </w:pPr>
      <w:r>
        <w:rPr>
          <w:rFonts w:hint="eastAsia" w:ascii="仿宋" w:hAnsi="仿宋" w:eastAsia="仿宋"/>
          <w:sz w:val="24"/>
        </w:rPr>
        <w:t>（6）</w:t>
      </w:r>
      <w:r>
        <w:rPr>
          <w:rFonts w:hint="eastAsia" w:ascii="仿宋" w:hAnsi="仿宋" w:eastAsia="仿宋" w:cs="宋体"/>
          <w:sz w:val="24"/>
        </w:rPr>
        <w:t>法律法规规定的其他情形</w:t>
      </w:r>
      <w:r>
        <w:rPr>
          <w:rFonts w:hint="eastAsia" w:ascii="仿宋" w:hAnsi="仿宋" w:eastAsia="仿宋"/>
          <w:sz w:val="24"/>
        </w:rPr>
        <w:t>。</w:t>
      </w:r>
    </w:p>
    <w:p>
      <w:pPr>
        <w:pStyle w:val="8"/>
        <w:keepNext w:val="0"/>
        <w:keepLines w:val="0"/>
        <w:spacing w:before="0" w:after="0" w:line="360" w:lineRule="auto"/>
        <w:ind w:left="420" w:leftChars="200"/>
        <w:rPr>
          <w:rFonts w:ascii="仿宋" w:hAnsi="仿宋" w:eastAsia="仿宋"/>
          <w:sz w:val="24"/>
        </w:rPr>
      </w:pPr>
      <w:bookmarkStart w:id="181" w:name="_Toc254970542"/>
      <w:bookmarkStart w:id="182" w:name="_Toc254970683"/>
      <w:r>
        <w:rPr>
          <w:rFonts w:hint="eastAsia" w:ascii="仿宋" w:hAnsi="仿宋" w:eastAsia="仿宋"/>
          <w:sz w:val="24"/>
        </w:rPr>
        <w:t>19.投标文件的</w:t>
      </w:r>
      <w:bookmarkEnd w:id="181"/>
      <w:bookmarkEnd w:id="182"/>
      <w:r>
        <w:rPr>
          <w:rFonts w:hint="eastAsia" w:ascii="仿宋" w:hAnsi="仿宋" w:eastAsia="仿宋"/>
          <w:sz w:val="24"/>
        </w:rPr>
        <w:t>编制</w:t>
      </w:r>
    </w:p>
    <w:p>
      <w:pPr>
        <w:pStyle w:val="8"/>
        <w:keepNext w:val="0"/>
        <w:keepLines w:val="0"/>
        <w:spacing w:before="0" w:after="0" w:line="360" w:lineRule="auto"/>
        <w:ind w:firstLine="360" w:firstLineChars="150"/>
        <w:rPr>
          <w:rFonts w:ascii="仿宋" w:hAnsi="仿宋" w:eastAsia="仿宋"/>
          <w:b w:val="0"/>
          <w:sz w:val="24"/>
        </w:rPr>
      </w:pPr>
      <w:r>
        <w:rPr>
          <w:rFonts w:hint="eastAsia" w:ascii="仿宋" w:hAnsi="仿宋" w:eastAsia="仿宋"/>
          <w:b w:val="0"/>
          <w:sz w:val="24"/>
        </w:rPr>
        <w:t xml:space="preserve"> 19.1投标人应按本招标文件规定的格式和顺序编制、装订投标文件并标注页码，投标文件内容不完整、编排混乱导致投标文件被误读、漏读或者查找不到相关内容的，由此引发的后果由投标人承担。</w:t>
      </w:r>
    </w:p>
    <w:p>
      <w:pPr>
        <w:pStyle w:val="8"/>
        <w:keepNext w:val="0"/>
        <w:keepLines w:val="0"/>
        <w:numPr>
          <w:ilvl w:val="0"/>
          <w:numId w:val="0"/>
        </w:numPr>
        <w:spacing w:before="0" w:after="0" w:line="360" w:lineRule="auto"/>
        <w:ind w:firstLine="480" w:firstLineChars="200"/>
        <w:rPr>
          <w:rFonts w:ascii="仿宋" w:hAnsi="仿宋" w:eastAsia="仿宋"/>
          <w:b w:val="0"/>
          <w:sz w:val="24"/>
        </w:rPr>
      </w:pPr>
      <w:bookmarkStart w:id="183" w:name="_19.2投标文件应按报价文件、资格证明文件、商务文件、技术文件分别编制"/>
      <w:bookmarkEnd w:id="183"/>
      <w:r>
        <w:rPr>
          <w:rFonts w:hint="eastAsia" w:ascii="仿宋" w:hAnsi="仿宋" w:eastAsia="仿宋"/>
          <w:b w:val="0"/>
          <w:sz w:val="24"/>
        </w:rPr>
        <w:t>19.2投标文件应按报价文件、资格证明文件、商务文件、技术文件分别编制电子文件，并按“广西政府采购云平台”的要求编制、加密、上传。</w:t>
      </w:r>
    </w:p>
    <w:p>
      <w:pPr>
        <w:pStyle w:val="8"/>
        <w:keepNext w:val="0"/>
        <w:keepLines w:val="0"/>
        <w:numPr>
          <w:ilvl w:val="0"/>
          <w:numId w:val="0"/>
        </w:numPr>
        <w:spacing w:before="0" w:after="0" w:line="360" w:lineRule="auto"/>
        <w:ind w:firstLine="480" w:firstLineChars="200"/>
        <w:rPr>
          <w:rFonts w:ascii="仿宋" w:hAnsi="仿宋" w:eastAsia="仿宋"/>
          <w:b w:val="0"/>
          <w:sz w:val="24"/>
        </w:rPr>
      </w:pPr>
      <w:r>
        <w:rPr>
          <w:rFonts w:hint="eastAsia" w:ascii="仿宋" w:hAnsi="仿宋" w:eastAsia="仿宋"/>
          <w:b w:val="0"/>
          <w:sz w:val="24"/>
        </w:rPr>
        <w:t>19.</w:t>
      </w:r>
      <w:bookmarkStart w:id="184" w:name="_Hlk65832616"/>
      <w:r>
        <w:rPr>
          <w:rFonts w:hint="eastAsia" w:ascii="仿宋" w:hAnsi="仿宋" w:eastAsia="仿宋"/>
          <w:b w:val="0"/>
          <w:sz w:val="24"/>
        </w:rPr>
        <w:t>3投标文件须由投标人在规定位置盖公章并签字</w:t>
      </w:r>
      <w:bookmarkStart w:id="185" w:name="_Hlk65832569"/>
      <w:r>
        <w:rPr>
          <w:rFonts w:hint="eastAsia" w:ascii="仿宋" w:hAnsi="仿宋" w:eastAsia="仿宋"/>
          <w:b w:val="0"/>
          <w:sz w:val="24"/>
        </w:rPr>
        <w:t>（具体以投标人须知前附表或投标文件格式规定为准）</w:t>
      </w:r>
      <w:bookmarkEnd w:id="184"/>
      <w:bookmarkEnd w:id="185"/>
      <w:r>
        <w:rPr>
          <w:rFonts w:hint="eastAsia" w:ascii="仿宋" w:hAnsi="仿宋" w:eastAsia="仿宋"/>
          <w:b w:val="0"/>
          <w:sz w:val="24"/>
        </w:rPr>
        <w:t>，</w:t>
      </w:r>
      <w:r>
        <w:rPr>
          <w:rFonts w:hint="eastAsia" w:ascii="仿宋" w:hAnsi="仿宋" w:eastAsia="仿宋"/>
          <w:bCs/>
          <w:sz w:val="24"/>
        </w:rPr>
        <w:t>否则按无效投标处理</w:t>
      </w:r>
      <w:r>
        <w:rPr>
          <w:rFonts w:hint="eastAsia" w:ascii="仿宋" w:hAnsi="仿宋" w:eastAsia="仿宋"/>
          <w:b w:val="0"/>
          <w:sz w:val="24"/>
        </w:rPr>
        <w:t>。</w:t>
      </w:r>
    </w:p>
    <w:p>
      <w:pPr>
        <w:pStyle w:val="8"/>
        <w:keepNext w:val="0"/>
        <w:keepLines w:val="0"/>
        <w:spacing w:before="0" w:after="0" w:line="360" w:lineRule="auto"/>
        <w:ind w:firstLine="360" w:firstLineChars="150"/>
        <w:rPr>
          <w:rFonts w:ascii="仿宋" w:hAnsi="仿宋" w:eastAsia="仿宋"/>
          <w:b w:val="0"/>
          <w:sz w:val="24"/>
        </w:rPr>
      </w:pPr>
      <w:r>
        <w:rPr>
          <w:rFonts w:hint="eastAsia" w:ascii="仿宋" w:hAnsi="仿宋" w:eastAsia="仿宋"/>
          <w:b w:val="0"/>
          <w:sz w:val="24"/>
        </w:rPr>
        <w:t xml:space="preserve"> 19.4投标文件中标注的投标人名称应与主体资格证明（如营业执照、事业单位法人证书、执业许可证、自然人身份证等）及公章一致，</w:t>
      </w:r>
      <w:r>
        <w:rPr>
          <w:rFonts w:hint="eastAsia" w:ascii="仿宋" w:hAnsi="仿宋" w:eastAsia="仿宋"/>
          <w:sz w:val="24"/>
        </w:rPr>
        <w:t>否则按无效投标处理</w:t>
      </w:r>
      <w:r>
        <w:rPr>
          <w:rFonts w:hint="eastAsia" w:ascii="仿宋" w:hAnsi="仿宋" w:eastAsia="仿宋"/>
          <w:b w:val="0"/>
          <w:sz w:val="24"/>
        </w:rPr>
        <w:t>。</w:t>
      </w:r>
    </w:p>
    <w:p>
      <w:pPr>
        <w:pStyle w:val="8"/>
        <w:keepNext w:val="0"/>
        <w:keepLines w:val="0"/>
        <w:spacing w:before="0" w:after="0" w:line="360" w:lineRule="auto"/>
        <w:ind w:firstLine="360" w:firstLineChars="150"/>
        <w:rPr>
          <w:rFonts w:ascii="仿宋" w:hAnsi="仿宋" w:eastAsia="仿宋"/>
          <w:b w:val="0"/>
          <w:sz w:val="24"/>
        </w:rPr>
      </w:pPr>
      <w:r>
        <w:rPr>
          <w:rFonts w:hint="eastAsia" w:ascii="仿宋" w:hAnsi="仿宋" w:eastAsia="仿宋"/>
          <w:b w:val="0"/>
          <w:sz w:val="24"/>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pPr>
        <w:pStyle w:val="8"/>
        <w:keepNext w:val="0"/>
        <w:keepLines w:val="0"/>
        <w:spacing w:before="0" w:after="0" w:line="360" w:lineRule="auto"/>
        <w:ind w:left="420" w:leftChars="200"/>
        <w:rPr>
          <w:rFonts w:ascii="仿宋" w:hAnsi="仿宋" w:eastAsia="仿宋"/>
          <w:sz w:val="24"/>
        </w:rPr>
      </w:pPr>
      <w:r>
        <w:rPr>
          <w:rFonts w:hint="eastAsia" w:ascii="仿宋" w:hAnsi="仿宋" w:eastAsia="仿宋"/>
          <w:sz w:val="24"/>
        </w:rPr>
        <w:t>20.投标文件的加密、解密</w:t>
      </w:r>
    </w:p>
    <w:p>
      <w:pPr>
        <w:pStyle w:val="8"/>
        <w:keepNext w:val="0"/>
        <w:keepLines w:val="0"/>
        <w:spacing w:before="0" w:after="0" w:line="360" w:lineRule="auto"/>
        <w:ind w:firstLine="360" w:firstLineChars="150"/>
        <w:rPr>
          <w:rFonts w:ascii="仿宋" w:hAnsi="仿宋" w:eastAsia="仿宋"/>
          <w:b w:val="0"/>
          <w:sz w:val="24"/>
        </w:rPr>
      </w:pPr>
      <w:r>
        <w:rPr>
          <w:rFonts w:hint="eastAsia" w:ascii="仿宋" w:hAnsi="仿宋" w:eastAsia="仿宋"/>
          <w:b w:val="0"/>
          <w:sz w:val="24"/>
        </w:rPr>
        <w:t xml:space="preserve"> 20.1电子投标文件编制完成后，投标人应按“广西政府采购云平台”的要求进行加密，并在规定时间内解密，否则，由此产生的后果由投标人自行负责。</w:t>
      </w:r>
    </w:p>
    <w:p>
      <w:pPr>
        <w:pStyle w:val="8"/>
        <w:keepNext w:val="0"/>
        <w:keepLines w:val="0"/>
        <w:wordWrap w:val="0"/>
        <w:spacing w:before="0" w:after="0" w:line="360" w:lineRule="auto"/>
        <w:ind w:left="420" w:leftChars="200"/>
        <w:rPr>
          <w:rFonts w:ascii="仿宋" w:hAnsi="仿宋" w:eastAsia="仿宋"/>
          <w:sz w:val="24"/>
        </w:rPr>
      </w:pPr>
      <w:r>
        <w:rPr>
          <w:rFonts w:hint="eastAsia" w:ascii="仿宋" w:hAnsi="仿宋" w:eastAsia="仿宋"/>
          <w:sz w:val="24"/>
        </w:rPr>
        <w:t>21.投标文件的提交</w:t>
      </w:r>
    </w:p>
    <w:p>
      <w:pPr>
        <w:pStyle w:val="8"/>
        <w:keepNext w:val="0"/>
        <w:keepLines w:val="0"/>
        <w:numPr>
          <w:ilvl w:val="0"/>
          <w:numId w:val="0"/>
        </w:numPr>
        <w:wordWrap w:val="0"/>
        <w:spacing w:before="0" w:after="0" w:line="360" w:lineRule="auto"/>
        <w:ind w:firstLine="480" w:firstLineChars="200"/>
        <w:rPr>
          <w:rFonts w:ascii="仿宋" w:hAnsi="仿宋" w:eastAsia="仿宋"/>
          <w:b w:val="0"/>
          <w:sz w:val="24"/>
        </w:rPr>
      </w:pPr>
      <w:bookmarkStart w:id="186" w:name="_21.1投标人必须在“投标人须知中的前附表”规定的投标文件接收时间和投"/>
      <w:bookmarkEnd w:id="186"/>
      <w:r>
        <w:rPr>
          <w:rFonts w:hint="eastAsia" w:ascii="仿宋" w:hAnsi="仿宋" w:eastAsia="仿宋"/>
          <w:b w:val="0"/>
          <w:sz w:val="24"/>
        </w:rPr>
        <w:t>21.1投标人必须在“投标人须知前附表”规定的投标文件接收时间和投标地点提交投标文件。</w:t>
      </w:r>
    </w:p>
    <w:p>
      <w:pPr>
        <w:pStyle w:val="8"/>
        <w:keepNext w:val="0"/>
        <w:keepLines w:val="0"/>
        <w:numPr>
          <w:ilvl w:val="0"/>
          <w:numId w:val="0"/>
        </w:numPr>
        <w:wordWrap w:val="0"/>
        <w:spacing w:before="0" w:after="0" w:line="360" w:lineRule="auto"/>
        <w:ind w:firstLine="480" w:firstLineChars="200"/>
        <w:rPr>
          <w:rFonts w:ascii="仿宋" w:hAnsi="仿宋" w:eastAsia="仿宋"/>
          <w:b w:val="0"/>
          <w:sz w:val="24"/>
        </w:rPr>
      </w:pPr>
      <w:r>
        <w:rPr>
          <w:rFonts w:hint="eastAsia" w:ascii="仿宋" w:hAnsi="仿宋" w:eastAsia="仿宋"/>
          <w:b w:val="0"/>
          <w:sz w:val="24"/>
        </w:rPr>
        <w:t>21.2本项目为全流程电子化政府采购项目，通过</w:t>
      </w:r>
      <w:r>
        <w:rPr>
          <w:rFonts w:hint="eastAsia" w:ascii="仿宋" w:hAnsi="仿宋" w:eastAsia="仿宋"/>
          <w:sz w:val="24"/>
          <w:u w:val="single"/>
        </w:rPr>
        <w:t>广西政府采购云平台（https://www.gcy.zfcg.gxzf.gov.cn/</w:t>
      </w:r>
      <w:r>
        <w:rPr>
          <w:rFonts w:ascii="仿宋" w:hAnsi="仿宋" w:eastAsia="仿宋"/>
          <w:sz w:val="24"/>
          <w:u w:val="single"/>
        </w:rPr>
        <w:t>）</w:t>
      </w:r>
      <w:r>
        <w:rPr>
          <w:rFonts w:hint="eastAsia" w:ascii="仿宋" w:hAnsi="仿宋" w:eastAsia="仿宋"/>
          <w:b w:val="0"/>
          <w:sz w:val="24"/>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pPr>
        <w:pStyle w:val="8"/>
        <w:keepNext w:val="0"/>
        <w:keepLines w:val="0"/>
        <w:numPr>
          <w:ilvl w:val="0"/>
          <w:numId w:val="0"/>
        </w:numPr>
        <w:wordWrap w:val="0"/>
        <w:spacing w:before="0" w:after="0" w:line="360" w:lineRule="auto"/>
        <w:ind w:firstLine="480" w:firstLineChars="200"/>
        <w:jc w:val="left"/>
        <w:rPr>
          <w:rFonts w:ascii="仿宋" w:hAnsi="仿宋" w:eastAsia="仿宋"/>
          <w:b w:val="0"/>
          <w:sz w:val="24"/>
        </w:rPr>
      </w:pPr>
      <w:r>
        <w:rPr>
          <w:rFonts w:hint="eastAsia" w:ascii="仿宋" w:hAnsi="仿宋" w:eastAsia="仿宋"/>
          <w:b w:val="0"/>
          <w:sz w:val="24"/>
        </w:rPr>
        <w:t>21.3未在规定时间内上传或者未按“广西政府采购云平台”的要求编制、加密的电子投标文件，“广西政府采购云平台”将拒收。</w:t>
      </w:r>
    </w:p>
    <w:p>
      <w:pPr>
        <w:pStyle w:val="8"/>
        <w:keepNext w:val="0"/>
        <w:keepLines w:val="0"/>
        <w:numPr>
          <w:ilvl w:val="0"/>
          <w:numId w:val="0"/>
        </w:numPr>
        <w:wordWrap w:val="0"/>
        <w:spacing w:before="0" w:after="0" w:line="360" w:lineRule="auto"/>
        <w:ind w:firstLine="480" w:firstLineChars="200"/>
        <w:rPr>
          <w:rFonts w:ascii="仿宋" w:hAnsi="仿宋" w:eastAsia="仿宋"/>
          <w:b w:val="0"/>
          <w:sz w:val="24"/>
        </w:rPr>
      </w:pPr>
      <w:r>
        <w:rPr>
          <w:rFonts w:hint="eastAsia" w:ascii="仿宋" w:hAnsi="仿宋" w:eastAsia="仿宋"/>
          <w:b w:val="0"/>
          <w:sz w:val="24"/>
        </w:rPr>
        <w:t>21.4电子投标文件提交方式见“招标公告”中“四、提交投标文件截止时间、开标时间和地点”。</w:t>
      </w:r>
    </w:p>
    <w:p>
      <w:pPr>
        <w:pStyle w:val="8"/>
        <w:keepNext w:val="0"/>
        <w:keepLines w:val="0"/>
        <w:spacing w:before="0" w:after="0" w:line="360" w:lineRule="auto"/>
        <w:ind w:left="420" w:leftChars="200"/>
        <w:rPr>
          <w:rFonts w:ascii="仿宋" w:hAnsi="仿宋" w:eastAsia="仿宋"/>
          <w:sz w:val="24"/>
        </w:rPr>
      </w:pPr>
      <w:r>
        <w:rPr>
          <w:rFonts w:hint="eastAsia" w:ascii="仿宋" w:hAnsi="仿宋" w:eastAsia="仿宋"/>
          <w:sz w:val="24"/>
        </w:rPr>
        <w:t>22. 投标文件的补充、修改、撤回与退回</w:t>
      </w:r>
    </w:p>
    <w:p>
      <w:pPr>
        <w:snapToGrid w:val="0"/>
        <w:spacing w:line="360" w:lineRule="auto"/>
        <w:ind w:firstLine="420"/>
        <w:jc w:val="left"/>
        <w:rPr>
          <w:rFonts w:ascii="仿宋" w:hAnsi="仿宋" w:eastAsia="仿宋"/>
          <w:sz w:val="24"/>
        </w:rPr>
      </w:pPr>
      <w:bookmarkStart w:id="187" w:name="_Toc254970684"/>
      <w:bookmarkStart w:id="188" w:name="_Toc254970543"/>
      <w:r>
        <w:rPr>
          <w:rFonts w:hint="eastAsia" w:ascii="仿宋" w:hAnsi="仿宋" w:eastAsia="仿宋"/>
          <w:sz w:val="24"/>
        </w:rPr>
        <w:t>2</w:t>
      </w:r>
      <w:r>
        <w:rPr>
          <w:rFonts w:ascii="仿宋" w:hAnsi="仿宋" w:eastAsia="仿宋"/>
          <w:sz w:val="24"/>
        </w:rPr>
        <w:t>2.1</w:t>
      </w:r>
      <w:r>
        <w:rPr>
          <w:rFonts w:hint="eastAsia" w:ascii="仿宋" w:hAnsi="仿宋" w:eastAsia="仿宋"/>
          <w:sz w:val="24"/>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87"/>
    <w:bookmarkEnd w:id="188"/>
    <w:p>
      <w:pPr>
        <w:snapToGrid w:val="0"/>
        <w:spacing w:line="360" w:lineRule="auto"/>
        <w:ind w:firstLine="420"/>
        <w:jc w:val="left"/>
        <w:rPr>
          <w:rFonts w:ascii="仿宋" w:hAnsi="仿宋" w:eastAsia="仿宋"/>
          <w:sz w:val="24"/>
        </w:rPr>
      </w:pPr>
      <w:r>
        <w:rPr>
          <w:rFonts w:hint="eastAsia" w:ascii="仿宋" w:hAnsi="仿宋" w:eastAsia="仿宋"/>
          <w:sz w:val="24"/>
        </w:rPr>
        <w:t>22.</w:t>
      </w:r>
      <w:r>
        <w:rPr>
          <w:rFonts w:ascii="仿宋" w:hAnsi="仿宋" w:eastAsia="仿宋"/>
          <w:sz w:val="24"/>
        </w:rPr>
        <w:t>2</w:t>
      </w:r>
      <w:r>
        <w:rPr>
          <w:rFonts w:hint="eastAsia" w:ascii="仿宋" w:hAnsi="仿宋" w:eastAsia="仿宋"/>
          <w:sz w:val="24"/>
        </w:rPr>
        <w:t>在投标截止时间止提交投标文件的投标人不足3家时，不得开标，采购代理机构将根据“广西政府采购云平台”的操作将电子版投标文件退回，除此之外采购人和采购代理机构对已提交的投标文件概不退回。</w:t>
      </w:r>
    </w:p>
    <w:p>
      <w:pPr>
        <w:spacing w:line="360" w:lineRule="auto"/>
        <w:ind w:firstLine="480" w:firstLineChars="200"/>
        <w:rPr>
          <w:rFonts w:ascii="仿宋" w:hAnsi="仿宋" w:eastAsia="仿宋" w:cs="宋体"/>
          <w:sz w:val="24"/>
        </w:rPr>
      </w:pPr>
      <w:r>
        <w:rPr>
          <w:rFonts w:hint="eastAsia" w:ascii="仿宋" w:hAnsi="仿宋" w:eastAsia="仿宋" w:cs="宋体"/>
          <w:sz w:val="24"/>
        </w:rPr>
        <w:t>2</w:t>
      </w:r>
      <w:r>
        <w:rPr>
          <w:rFonts w:ascii="仿宋" w:hAnsi="仿宋" w:eastAsia="仿宋" w:cs="宋体"/>
          <w:sz w:val="24"/>
        </w:rPr>
        <w:t>2.3</w:t>
      </w:r>
      <w:r>
        <w:rPr>
          <w:rFonts w:hint="eastAsia" w:ascii="仿宋" w:hAnsi="仿宋" w:eastAsia="仿宋" w:cs="宋体"/>
          <w:sz w:val="24"/>
        </w:rPr>
        <w:t xml:space="preserve"> 投标人在投标截止时间后书面通知采购人、采购代理机构撤销投标文件的，将根据本须知正文1</w:t>
      </w:r>
      <w:r>
        <w:rPr>
          <w:rFonts w:ascii="仿宋" w:hAnsi="仿宋" w:eastAsia="仿宋" w:cs="宋体"/>
          <w:sz w:val="24"/>
        </w:rPr>
        <w:t>8</w:t>
      </w:r>
      <w:r>
        <w:rPr>
          <w:rFonts w:hint="eastAsia" w:ascii="仿宋" w:hAnsi="仿宋" w:eastAsia="仿宋" w:cs="宋体"/>
          <w:sz w:val="24"/>
        </w:rPr>
        <w:t>.4的规定不予退还其投标保证金。</w:t>
      </w:r>
    </w:p>
    <w:p>
      <w:pPr>
        <w:pStyle w:val="6"/>
        <w:keepNext w:val="0"/>
        <w:keepLines w:val="0"/>
        <w:jc w:val="center"/>
        <w:rPr>
          <w:rFonts w:ascii="仿宋" w:hAnsi="仿宋" w:eastAsia="仿宋"/>
        </w:rPr>
      </w:pPr>
      <w:bookmarkStart w:id="189" w:name="_Toc254970544"/>
      <w:bookmarkStart w:id="190" w:name="_Toc254970685"/>
      <w:r>
        <w:rPr>
          <w:rFonts w:hint="eastAsia" w:ascii="仿宋" w:hAnsi="仿宋" w:eastAsia="仿宋"/>
        </w:rPr>
        <w:t>四、开    标</w:t>
      </w:r>
      <w:bookmarkEnd w:id="189"/>
      <w:bookmarkEnd w:id="190"/>
    </w:p>
    <w:p>
      <w:pPr>
        <w:pStyle w:val="8"/>
        <w:keepNext w:val="0"/>
        <w:keepLines w:val="0"/>
        <w:spacing w:before="0" w:after="0" w:line="360" w:lineRule="auto"/>
        <w:ind w:left="420" w:leftChars="200"/>
        <w:rPr>
          <w:rFonts w:ascii="仿宋" w:hAnsi="仿宋" w:eastAsia="仿宋"/>
          <w:sz w:val="24"/>
        </w:rPr>
      </w:pPr>
      <w:bookmarkStart w:id="191" w:name="_23.开标时间和地点"/>
      <w:bookmarkEnd w:id="191"/>
      <w:r>
        <w:rPr>
          <w:rFonts w:hint="eastAsia" w:ascii="仿宋" w:hAnsi="仿宋" w:eastAsia="仿宋"/>
          <w:sz w:val="24"/>
        </w:rPr>
        <w:t>23.开标时间和地点</w:t>
      </w:r>
    </w:p>
    <w:p>
      <w:pPr>
        <w:snapToGrid w:val="0"/>
        <w:spacing w:line="360" w:lineRule="auto"/>
        <w:ind w:firstLine="420"/>
        <w:jc w:val="left"/>
        <w:rPr>
          <w:rFonts w:ascii="仿宋" w:hAnsi="仿宋" w:eastAsia="仿宋"/>
          <w:sz w:val="24"/>
        </w:rPr>
      </w:pPr>
      <w:r>
        <w:rPr>
          <w:rFonts w:hint="eastAsia" w:ascii="仿宋" w:hAnsi="仿宋" w:eastAsia="仿宋"/>
          <w:sz w:val="24"/>
        </w:rPr>
        <w:t>23.1开标时间及地点详见“投标人须知前附表”</w:t>
      </w:r>
    </w:p>
    <w:p>
      <w:pPr>
        <w:snapToGrid w:val="0"/>
        <w:spacing w:line="360" w:lineRule="auto"/>
        <w:ind w:firstLine="420"/>
        <w:jc w:val="left"/>
        <w:rPr>
          <w:rFonts w:ascii="仿宋" w:hAnsi="仿宋" w:eastAsia="仿宋"/>
          <w:sz w:val="24"/>
        </w:rPr>
      </w:pPr>
      <w:r>
        <w:rPr>
          <w:rFonts w:hint="eastAsia" w:ascii="仿宋" w:hAnsi="仿宋" w:eastAsia="仿宋"/>
          <w:sz w:val="24"/>
        </w:rPr>
        <w:t>23.2如投标人成功解密投标文件，但未在“广西政府采购云平台”电子开标大厅参加开标的，视同认可开标过程和结果，由此产生的后果由投标人自行负责。成功解密投标文件的投标人不足3家的，不得开标。</w:t>
      </w:r>
    </w:p>
    <w:p>
      <w:pPr>
        <w:pStyle w:val="8"/>
        <w:keepNext w:val="0"/>
        <w:keepLines w:val="0"/>
        <w:spacing w:before="0" w:after="0" w:line="360" w:lineRule="auto"/>
        <w:ind w:left="420" w:leftChars="200"/>
        <w:rPr>
          <w:rFonts w:ascii="仿宋" w:hAnsi="仿宋" w:eastAsia="仿宋"/>
          <w:sz w:val="24"/>
        </w:rPr>
      </w:pPr>
      <w:r>
        <w:rPr>
          <w:rFonts w:hint="eastAsia" w:ascii="仿宋" w:hAnsi="仿宋" w:eastAsia="仿宋"/>
          <w:sz w:val="24"/>
        </w:rPr>
        <w:t>24.开标程序</w:t>
      </w:r>
    </w:p>
    <w:p>
      <w:pPr>
        <w:pStyle w:val="8"/>
        <w:keepNext w:val="0"/>
        <w:keepLines w:val="0"/>
        <w:spacing w:before="0" w:after="0" w:line="360" w:lineRule="auto"/>
        <w:ind w:left="420" w:leftChars="200"/>
        <w:rPr>
          <w:rFonts w:ascii="仿宋" w:hAnsi="仿宋" w:eastAsia="仿宋"/>
          <w:kern w:val="0"/>
          <w:sz w:val="24"/>
        </w:rPr>
      </w:pPr>
      <w:r>
        <w:rPr>
          <w:rFonts w:hint="eastAsia" w:ascii="仿宋" w:hAnsi="仿宋" w:eastAsia="仿宋"/>
          <w:bCs/>
          <w:sz w:val="24"/>
        </w:rPr>
        <w:t>24.1</w:t>
      </w:r>
      <w:r>
        <w:rPr>
          <w:rFonts w:hint="eastAsia" w:ascii="仿宋" w:hAnsi="仿宋" w:eastAsia="仿宋"/>
          <w:kern w:val="0"/>
          <w:sz w:val="24"/>
        </w:rPr>
        <w:t>开标形式：</w:t>
      </w:r>
    </w:p>
    <w:p>
      <w:pPr>
        <w:snapToGrid w:val="0"/>
        <w:spacing w:line="360" w:lineRule="auto"/>
        <w:ind w:firstLine="420"/>
        <w:jc w:val="left"/>
        <w:rPr>
          <w:rFonts w:ascii="仿宋" w:hAnsi="仿宋" w:eastAsia="仿宋"/>
          <w:sz w:val="24"/>
        </w:rPr>
      </w:pPr>
      <w:r>
        <w:rPr>
          <w:rFonts w:hint="eastAsia" w:ascii="仿宋" w:hAnsi="仿宋" w:eastAsia="仿宋"/>
          <w:sz w:val="24"/>
        </w:rPr>
        <w:t>采购代理机构将按照招标文件规定的时间通过“广西政府采购云平台”组织线上开标活动、开启投标文件，所有供应商均应当准时在线参加。投标人</w:t>
      </w:r>
      <w:r>
        <w:rPr>
          <w:rFonts w:ascii="仿宋" w:hAnsi="仿宋" w:eastAsia="仿宋"/>
          <w:sz w:val="24"/>
        </w:rPr>
        <w:t>如不</w:t>
      </w:r>
      <w:r>
        <w:rPr>
          <w:rFonts w:hint="eastAsia" w:ascii="仿宋" w:hAnsi="仿宋" w:eastAsia="仿宋"/>
          <w:sz w:val="24"/>
        </w:rPr>
        <w:t>参加</w:t>
      </w:r>
      <w:r>
        <w:rPr>
          <w:rFonts w:ascii="仿宋" w:hAnsi="仿宋" w:eastAsia="仿宋"/>
          <w:sz w:val="24"/>
        </w:rPr>
        <w:t>开标大会的，</w:t>
      </w:r>
      <w:r>
        <w:rPr>
          <w:rFonts w:hint="eastAsia" w:ascii="仿宋" w:hAnsi="仿宋" w:eastAsia="仿宋"/>
          <w:sz w:val="24"/>
        </w:rPr>
        <w:t>视同认可开标结果，</w:t>
      </w:r>
      <w:r>
        <w:rPr>
          <w:rFonts w:ascii="仿宋" w:hAnsi="仿宋" w:eastAsia="仿宋"/>
          <w:sz w:val="24"/>
        </w:rPr>
        <w:t>事后不得对采购相关人员、开标过程和开标结果提出异议</w:t>
      </w:r>
      <w:r>
        <w:rPr>
          <w:rFonts w:hint="eastAsia" w:ascii="仿宋" w:hAnsi="仿宋" w:eastAsia="仿宋"/>
          <w:sz w:val="24"/>
        </w:rPr>
        <w:t>，同时投标人因未在线参加开标而导致投标文件无法按时解密等一切后果由投标人自己承担。</w:t>
      </w:r>
    </w:p>
    <w:p>
      <w:pPr>
        <w:snapToGrid w:val="0"/>
        <w:spacing w:line="360" w:lineRule="auto"/>
        <w:ind w:firstLine="420"/>
        <w:jc w:val="left"/>
        <w:rPr>
          <w:rFonts w:ascii="仿宋" w:hAnsi="仿宋" w:eastAsia="仿宋"/>
          <w:sz w:val="24"/>
        </w:rPr>
      </w:pPr>
      <w:r>
        <w:rPr>
          <w:rFonts w:hint="eastAsia" w:ascii="仿宋" w:hAnsi="仿宋" w:eastAsia="仿宋"/>
          <w:sz w:val="24"/>
        </w:rPr>
        <w:t>24.2</w:t>
      </w:r>
      <w:r>
        <w:rPr>
          <w:rFonts w:ascii="仿宋" w:hAnsi="仿宋" w:eastAsia="仿宋"/>
          <w:sz w:val="24"/>
        </w:rPr>
        <w:t>开</w:t>
      </w:r>
      <w:r>
        <w:rPr>
          <w:rFonts w:hint="eastAsia" w:ascii="仿宋" w:hAnsi="仿宋" w:eastAsia="仿宋"/>
          <w:sz w:val="24"/>
        </w:rPr>
        <w:t>标</w:t>
      </w:r>
      <w:r>
        <w:rPr>
          <w:rFonts w:ascii="仿宋" w:hAnsi="仿宋" w:eastAsia="仿宋"/>
          <w:sz w:val="24"/>
        </w:rPr>
        <w:t>程序：</w:t>
      </w:r>
    </w:p>
    <w:p>
      <w:pPr>
        <w:snapToGrid w:val="0"/>
        <w:spacing w:line="360" w:lineRule="auto"/>
        <w:ind w:firstLine="420"/>
        <w:jc w:val="left"/>
        <w:rPr>
          <w:rFonts w:ascii="仿宋" w:hAnsi="仿宋" w:eastAsia="仿宋"/>
          <w:bCs/>
          <w:sz w:val="24"/>
        </w:rPr>
      </w:pPr>
      <w:r>
        <w:rPr>
          <w:rFonts w:hint="eastAsia" w:ascii="仿宋" w:hAnsi="仿宋" w:eastAsia="仿宋"/>
          <w:sz w:val="24"/>
        </w:rPr>
        <w:t>（1）解密电子投标文件。“广西政府采购云平台”按开标时间自动提取所有投标文件。采购代理机构依托“广西政府采购云平台”向各投标人发出电子加密投标文件【开始解密】通知，由投标人进</w:t>
      </w:r>
      <w:r>
        <w:rPr>
          <w:rFonts w:hint="eastAsia" w:ascii="仿宋" w:hAnsi="仿宋" w:eastAsia="仿宋"/>
          <w:bCs/>
          <w:sz w:val="24"/>
        </w:rPr>
        <w:t>行投标文件解密。</w:t>
      </w:r>
      <w:r>
        <w:rPr>
          <w:rFonts w:hint="eastAsia" w:ascii="仿宋" w:hAnsi="仿宋" w:eastAsia="仿宋"/>
          <w:b/>
          <w:bCs/>
          <w:sz w:val="24"/>
        </w:rPr>
        <w:t>投标人的法定代表人或其委托代理人须携带加密时所用的CA锁准时登录到“广西政府采购云平台”电子开标大厅签到</w:t>
      </w:r>
      <w:r>
        <w:rPr>
          <w:rFonts w:hint="eastAsia" w:ascii="仿宋" w:hAnsi="仿宋" w:eastAsia="仿宋" w:cs="宋体"/>
          <w:b/>
          <w:sz w:val="24"/>
        </w:rPr>
        <w:t>并在发起解密</w:t>
      </w:r>
      <w:r>
        <w:rPr>
          <w:rFonts w:hint="eastAsia" w:ascii="仿宋" w:hAnsi="仿宋" w:eastAsia="仿宋"/>
          <w:b/>
          <w:bCs/>
          <w:sz w:val="24"/>
        </w:rPr>
        <w:t>通知</w:t>
      </w:r>
      <w:r>
        <w:rPr>
          <w:rFonts w:hint="eastAsia" w:ascii="仿宋" w:hAnsi="仿宋" w:eastAsia="仿宋" w:cs="宋体"/>
          <w:b/>
          <w:sz w:val="24"/>
        </w:rPr>
        <w:t>之时起30分钟内完成</w:t>
      </w:r>
      <w:r>
        <w:rPr>
          <w:rFonts w:hint="eastAsia" w:ascii="仿宋" w:hAnsi="仿宋" w:eastAsia="仿宋"/>
          <w:b/>
          <w:bCs/>
          <w:sz w:val="24"/>
        </w:rPr>
        <w:t>对电子投标文件解密。投标文件未按时解密的，视为无效投标。</w:t>
      </w:r>
      <w:r>
        <w:rPr>
          <w:rFonts w:hint="eastAsia" w:ascii="仿宋" w:hAnsi="仿宋" w:eastAsia="仿宋"/>
          <w:bCs/>
          <w:sz w:val="24"/>
        </w:rPr>
        <w:t>（解密异常情况处理：详见本章29.4 电子交易活动的中止。</w:t>
      </w:r>
    </w:p>
    <w:p>
      <w:pPr>
        <w:snapToGrid w:val="0"/>
        <w:spacing w:line="360" w:lineRule="auto"/>
        <w:ind w:firstLine="420"/>
        <w:jc w:val="left"/>
        <w:rPr>
          <w:rFonts w:ascii="仿宋" w:hAnsi="仿宋" w:eastAsia="仿宋"/>
          <w:sz w:val="24"/>
        </w:rPr>
      </w:pPr>
      <w:r>
        <w:rPr>
          <w:rFonts w:hint="eastAsia" w:ascii="仿宋" w:hAnsi="仿宋" w:eastAsia="仿宋"/>
          <w:sz w:val="24"/>
        </w:rPr>
        <w:t>（2）电子唱标。投标文件解密结束，各投标供应商报价均在“广西政府采购云平台”远程不见面开标大厅展示；</w:t>
      </w:r>
    </w:p>
    <w:p>
      <w:pPr>
        <w:snapToGrid w:val="0"/>
        <w:spacing w:line="360" w:lineRule="auto"/>
        <w:ind w:firstLine="420"/>
        <w:jc w:val="left"/>
        <w:rPr>
          <w:rFonts w:ascii="仿宋" w:hAnsi="仿宋" w:eastAsia="仿宋"/>
          <w:sz w:val="24"/>
        </w:rPr>
      </w:pPr>
      <w:r>
        <w:rPr>
          <w:rFonts w:hint="eastAsia" w:ascii="仿宋" w:hAnsi="仿宋" w:eastAsia="仿宋"/>
          <w:sz w:val="24"/>
        </w:rPr>
        <w:t>（3）开标过程由采购代理机构如实记录，并电子留痕，由参加电子开标的各投标人代表对电子开标记录在开标记录公布后15分钟内进行当场校核及勘误，并线上确认，未确认的视同认可开标结果。</w:t>
      </w:r>
    </w:p>
    <w:p>
      <w:pPr>
        <w:snapToGrid w:val="0"/>
        <w:spacing w:line="360" w:lineRule="auto"/>
        <w:ind w:firstLine="420"/>
        <w:jc w:val="left"/>
        <w:rPr>
          <w:rFonts w:ascii="仿宋" w:hAnsi="仿宋" w:eastAsia="仿宋"/>
          <w:sz w:val="24"/>
        </w:rPr>
      </w:pPr>
      <w:r>
        <w:rPr>
          <w:rFonts w:hint="eastAsia" w:ascii="仿宋" w:hAnsi="仿宋" w:eastAsia="仿宋"/>
          <w:sz w:val="24"/>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pPr>
        <w:snapToGrid w:val="0"/>
        <w:spacing w:line="360" w:lineRule="auto"/>
        <w:ind w:firstLine="420"/>
        <w:jc w:val="left"/>
        <w:rPr>
          <w:rFonts w:ascii="仿宋" w:hAnsi="仿宋" w:eastAsia="仿宋"/>
          <w:sz w:val="24"/>
        </w:rPr>
      </w:pPr>
      <w:r>
        <w:rPr>
          <w:rFonts w:hint="eastAsia" w:ascii="仿宋" w:hAnsi="仿宋" w:eastAsia="仿宋"/>
          <w:sz w:val="24"/>
        </w:rPr>
        <w:t>（5）开标结束。</w:t>
      </w:r>
    </w:p>
    <w:p>
      <w:pPr>
        <w:autoSpaceDE w:val="0"/>
        <w:autoSpaceDN w:val="0"/>
        <w:adjustRightInd w:val="0"/>
        <w:spacing w:line="440" w:lineRule="exact"/>
        <w:ind w:firstLine="482" w:firstLineChars="200"/>
        <w:rPr>
          <w:rFonts w:ascii="仿宋" w:hAnsi="仿宋" w:eastAsia="仿宋"/>
          <w:b/>
          <w:bCs/>
          <w:sz w:val="24"/>
        </w:rPr>
      </w:pPr>
      <w:r>
        <w:rPr>
          <w:rFonts w:hint="eastAsia" w:ascii="仿宋" w:hAnsi="仿宋" w:eastAsia="仿宋"/>
          <w:b/>
          <w:bCs/>
          <w:sz w:val="24"/>
        </w:rPr>
        <w:t>特别说明：如遇“广西政府采购云平台”电子化开标或评审程序调整的，按调整后执行。</w:t>
      </w:r>
    </w:p>
    <w:p>
      <w:pPr>
        <w:pStyle w:val="6"/>
        <w:keepNext w:val="0"/>
        <w:keepLines w:val="0"/>
        <w:jc w:val="center"/>
        <w:rPr>
          <w:rFonts w:ascii="仿宋" w:hAnsi="仿宋" w:eastAsia="仿宋"/>
        </w:rPr>
      </w:pPr>
      <w:r>
        <w:rPr>
          <w:rFonts w:hint="eastAsia" w:ascii="仿宋" w:hAnsi="仿宋" w:eastAsia="仿宋"/>
        </w:rPr>
        <w:t>五、资格审查</w:t>
      </w:r>
    </w:p>
    <w:p>
      <w:pPr>
        <w:pStyle w:val="8"/>
        <w:keepNext w:val="0"/>
        <w:keepLines w:val="0"/>
        <w:spacing w:before="0" w:after="0" w:line="360" w:lineRule="auto"/>
        <w:ind w:left="420" w:leftChars="200"/>
        <w:rPr>
          <w:rFonts w:ascii="仿宋" w:hAnsi="仿宋" w:eastAsia="仿宋"/>
          <w:sz w:val="24"/>
        </w:rPr>
      </w:pPr>
      <w:r>
        <w:rPr>
          <w:rFonts w:hint="eastAsia" w:ascii="仿宋" w:hAnsi="仿宋" w:eastAsia="仿宋"/>
          <w:sz w:val="24"/>
        </w:rPr>
        <w:t>25.资格审查</w:t>
      </w:r>
    </w:p>
    <w:p>
      <w:pPr>
        <w:pStyle w:val="8"/>
        <w:keepNext w:val="0"/>
        <w:keepLines w:val="0"/>
        <w:spacing w:before="0" w:after="0" w:line="360" w:lineRule="auto"/>
        <w:ind w:firstLine="360" w:firstLineChars="150"/>
        <w:rPr>
          <w:rFonts w:ascii="仿宋" w:hAnsi="仿宋" w:eastAsia="仿宋"/>
          <w:b w:val="0"/>
          <w:sz w:val="24"/>
        </w:rPr>
      </w:pPr>
      <w:r>
        <w:rPr>
          <w:rFonts w:hint="eastAsia" w:ascii="仿宋" w:hAnsi="仿宋" w:eastAsia="仿宋"/>
          <w:b w:val="0"/>
          <w:sz w:val="24"/>
        </w:rPr>
        <w:t xml:space="preserve"> 25.1</w:t>
      </w:r>
      <w:r>
        <w:rPr>
          <w:rFonts w:ascii="仿宋" w:hAnsi="仿宋" w:eastAsia="仿宋"/>
          <w:b w:val="0"/>
          <w:sz w:val="24"/>
        </w:rPr>
        <w:t>开标结束后，</w:t>
      </w:r>
      <w:r>
        <w:rPr>
          <w:rFonts w:hint="eastAsia" w:ascii="仿宋" w:hAnsi="仿宋" w:eastAsia="仿宋"/>
          <w:b w:val="0"/>
          <w:sz w:val="24"/>
        </w:rPr>
        <w:t>采购人或者采购代理机构</w:t>
      </w:r>
      <w:r>
        <w:rPr>
          <w:rFonts w:ascii="仿宋" w:hAnsi="仿宋" w:eastAsia="仿宋"/>
          <w:b w:val="0"/>
          <w:sz w:val="24"/>
        </w:rPr>
        <w:t>依法对投标人的资格进行审查。</w:t>
      </w:r>
    </w:p>
    <w:p>
      <w:pPr>
        <w:pStyle w:val="8"/>
        <w:keepNext w:val="0"/>
        <w:keepLines w:val="0"/>
        <w:spacing w:before="0" w:after="0" w:line="360" w:lineRule="auto"/>
        <w:ind w:firstLine="360" w:firstLineChars="150"/>
        <w:rPr>
          <w:rFonts w:ascii="仿宋" w:hAnsi="仿宋" w:eastAsia="仿宋"/>
          <w:b w:val="0"/>
          <w:sz w:val="24"/>
        </w:rPr>
      </w:pPr>
      <w:r>
        <w:rPr>
          <w:rFonts w:hint="eastAsia" w:ascii="仿宋" w:hAnsi="仿宋" w:eastAsia="仿宋"/>
          <w:b w:val="0"/>
          <w:sz w:val="24"/>
        </w:rPr>
        <w:t xml:space="preserve"> 25.2资格审查标准为本招标文件中载明对投标人资格要求的条件。本项目资格审查采用合格制，凡符合招标文件规定的投标人资格要求的投标人均通过资格审查。</w:t>
      </w:r>
    </w:p>
    <w:p>
      <w:pPr>
        <w:pStyle w:val="8"/>
        <w:keepNext w:val="0"/>
        <w:keepLines w:val="0"/>
        <w:numPr>
          <w:ilvl w:val="0"/>
          <w:numId w:val="0"/>
        </w:numPr>
        <w:spacing w:before="0" w:after="0" w:line="360" w:lineRule="auto"/>
        <w:ind w:firstLine="482" w:firstLineChars="200"/>
        <w:rPr>
          <w:rFonts w:ascii="仿宋" w:hAnsi="仿宋" w:eastAsia="仿宋"/>
          <w:sz w:val="24"/>
        </w:rPr>
      </w:pPr>
      <w:bookmarkStart w:id="192" w:name="_25.3_投标人有下列情形之一的，资格审查不通过而导致其投标无效："/>
      <w:bookmarkEnd w:id="192"/>
      <w:r>
        <w:rPr>
          <w:rFonts w:hint="eastAsia" w:ascii="仿宋" w:hAnsi="仿宋" w:eastAsia="仿宋"/>
          <w:sz w:val="24"/>
        </w:rPr>
        <w:t>25.3 投标人有下列情形之一的，资格审查不通过，作无效投标处理：</w:t>
      </w:r>
    </w:p>
    <w:p>
      <w:pPr>
        <w:pStyle w:val="28"/>
        <w:snapToGrid w:val="0"/>
        <w:spacing w:line="360" w:lineRule="auto"/>
        <w:ind w:firstLine="482" w:firstLineChars="200"/>
        <w:rPr>
          <w:rFonts w:ascii="仿宋" w:hAnsi="仿宋" w:eastAsia="仿宋"/>
          <w:b/>
          <w:sz w:val="24"/>
          <w:szCs w:val="24"/>
        </w:rPr>
      </w:pPr>
      <w:r>
        <w:rPr>
          <w:rFonts w:hint="eastAsia" w:ascii="仿宋" w:hAnsi="仿宋" w:eastAsia="仿宋"/>
          <w:b/>
          <w:sz w:val="24"/>
          <w:szCs w:val="24"/>
        </w:rPr>
        <w:t>（1）未按招标文件规定的方式获取本招标文件的投标人；</w:t>
      </w:r>
    </w:p>
    <w:p>
      <w:pPr>
        <w:pStyle w:val="28"/>
        <w:snapToGrid w:val="0"/>
        <w:spacing w:line="360" w:lineRule="auto"/>
        <w:ind w:firstLine="482" w:firstLineChars="200"/>
        <w:rPr>
          <w:rFonts w:ascii="仿宋" w:hAnsi="仿宋" w:eastAsia="仿宋"/>
          <w:b/>
          <w:sz w:val="24"/>
          <w:szCs w:val="24"/>
        </w:rPr>
      </w:pPr>
      <w:r>
        <w:rPr>
          <w:rFonts w:hint="eastAsia" w:ascii="仿宋" w:hAnsi="仿宋" w:eastAsia="仿宋"/>
          <w:b/>
          <w:sz w:val="24"/>
          <w:szCs w:val="24"/>
        </w:rPr>
        <w:t>（2）不具备招标文件中规定的资格要求的；</w:t>
      </w:r>
    </w:p>
    <w:p>
      <w:pPr>
        <w:pStyle w:val="28"/>
        <w:snapToGrid w:val="0"/>
        <w:spacing w:line="360" w:lineRule="auto"/>
        <w:ind w:firstLine="482" w:firstLineChars="200"/>
        <w:rPr>
          <w:rFonts w:ascii="仿宋" w:hAnsi="仿宋" w:eastAsia="仿宋"/>
          <w:b/>
          <w:sz w:val="24"/>
          <w:szCs w:val="24"/>
        </w:rPr>
      </w:pPr>
      <w:r>
        <w:rPr>
          <w:rFonts w:hint="eastAsia" w:ascii="仿宋" w:hAnsi="仿宋" w:eastAsia="仿宋"/>
          <w:b/>
          <w:sz w:val="24"/>
          <w:szCs w:val="24"/>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pPr>
        <w:pStyle w:val="28"/>
        <w:snapToGrid w:val="0"/>
        <w:spacing w:line="360" w:lineRule="auto"/>
        <w:ind w:firstLine="482" w:firstLineChars="200"/>
        <w:rPr>
          <w:rFonts w:ascii="仿宋" w:hAnsi="仿宋" w:eastAsia="仿宋"/>
          <w:b/>
          <w:sz w:val="24"/>
          <w:szCs w:val="24"/>
        </w:rPr>
      </w:pPr>
      <w:r>
        <w:rPr>
          <w:rFonts w:hint="eastAsia" w:ascii="仿宋" w:hAnsi="仿宋" w:eastAsia="仿宋"/>
          <w:b/>
          <w:sz w:val="24"/>
          <w:szCs w:val="24"/>
        </w:rPr>
        <w:t>（4）同一合同项下的不同投标人，单位负责人为同一人或者存在直接控股、管理关系的；为本项目提供过整体设计、规范编制或者项目管理、监理、检测等服务的供应商，再参加该采购项目的其他采购活动的；</w:t>
      </w:r>
    </w:p>
    <w:p>
      <w:pPr>
        <w:pStyle w:val="28"/>
        <w:snapToGrid w:val="0"/>
        <w:spacing w:line="360" w:lineRule="auto"/>
        <w:ind w:firstLine="482" w:firstLineChars="200"/>
        <w:rPr>
          <w:rFonts w:ascii="仿宋" w:hAnsi="仿宋" w:eastAsia="仿宋"/>
          <w:b/>
          <w:sz w:val="24"/>
          <w:szCs w:val="24"/>
        </w:rPr>
      </w:pPr>
      <w:r>
        <w:rPr>
          <w:rFonts w:hint="eastAsia" w:ascii="仿宋" w:hAnsi="仿宋" w:eastAsia="仿宋"/>
          <w:b/>
          <w:sz w:val="24"/>
          <w:szCs w:val="24"/>
        </w:rPr>
        <w:t>（</w:t>
      </w:r>
      <w:r>
        <w:rPr>
          <w:rFonts w:ascii="仿宋" w:hAnsi="仿宋" w:eastAsia="仿宋"/>
          <w:b/>
          <w:sz w:val="24"/>
          <w:szCs w:val="24"/>
        </w:rPr>
        <w:t>5</w:t>
      </w:r>
      <w:r>
        <w:rPr>
          <w:rFonts w:hint="eastAsia" w:ascii="仿宋" w:hAnsi="仿宋" w:eastAsia="仿宋"/>
          <w:b/>
          <w:sz w:val="24"/>
          <w:szCs w:val="24"/>
        </w:rPr>
        <w:t>）投标文件中的资格证明文件缺少任一项“投标人须知前附表”资格证明文件规定“必须提供”的文件资料的；</w:t>
      </w:r>
    </w:p>
    <w:p>
      <w:pPr>
        <w:pStyle w:val="28"/>
        <w:snapToGrid w:val="0"/>
        <w:spacing w:line="360" w:lineRule="auto"/>
        <w:ind w:firstLine="482" w:firstLineChars="200"/>
        <w:rPr>
          <w:rFonts w:ascii="仿宋" w:hAnsi="仿宋" w:eastAsia="仿宋"/>
          <w:b/>
          <w:sz w:val="24"/>
          <w:szCs w:val="24"/>
        </w:rPr>
      </w:pPr>
      <w:r>
        <w:rPr>
          <w:rFonts w:hint="eastAsia" w:ascii="仿宋" w:hAnsi="仿宋" w:eastAsia="仿宋"/>
          <w:b/>
          <w:sz w:val="24"/>
          <w:szCs w:val="24"/>
        </w:rPr>
        <w:t>（</w:t>
      </w:r>
      <w:r>
        <w:rPr>
          <w:rFonts w:ascii="仿宋" w:hAnsi="仿宋" w:eastAsia="仿宋"/>
          <w:b/>
          <w:sz w:val="24"/>
          <w:szCs w:val="24"/>
        </w:rPr>
        <w:t>6</w:t>
      </w:r>
      <w:r>
        <w:rPr>
          <w:rFonts w:hint="eastAsia" w:ascii="仿宋" w:hAnsi="仿宋" w:eastAsia="仿宋"/>
          <w:b/>
          <w:sz w:val="24"/>
          <w:szCs w:val="24"/>
        </w:rPr>
        <w:t>）投标文件中的资格证明文件出现任一项不符合“投标人须知前附表”资格证明文件规定“必须提供”的文件资料要求或者无效的。</w:t>
      </w:r>
    </w:p>
    <w:p>
      <w:pPr>
        <w:pStyle w:val="8"/>
        <w:keepNext w:val="0"/>
        <w:keepLines w:val="0"/>
        <w:spacing w:before="0" w:after="0" w:line="360" w:lineRule="auto"/>
        <w:ind w:left="420" w:leftChars="200"/>
        <w:rPr>
          <w:rFonts w:ascii="仿宋" w:hAnsi="仿宋" w:eastAsia="仿宋"/>
          <w:b w:val="0"/>
          <w:sz w:val="24"/>
        </w:rPr>
      </w:pPr>
      <w:r>
        <w:rPr>
          <w:rFonts w:hint="eastAsia" w:ascii="仿宋" w:hAnsi="仿宋" w:eastAsia="仿宋"/>
          <w:sz w:val="24"/>
        </w:rPr>
        <w:t>25.4</w:t>
      </w:r>
      <w:r>
        <w:rPr>
          <w:rFonts w:ascii="仿宋" w:hAnsi="仿宋" w:eastAsia="仿宋"/>
          <w:sz w:val="24"/>
        </w:rPr>
        <w:t>合格投标人不足3家的，不得评标。</w:t>
      </w:r>
    </w:p>
    <w:p>
      <w:pPr>
        <w:pStyle w:val="6"/>
        <w:keepNext w:val="0"/>
        <w:keepLines w:val="0"/>
        <w:jc w:val="center"/>
        <w:rPr>
          <w:rFonts w:ascii="仿宋" w:hAnsi="仿宋" w:eastAsia="仿宋"/>
        </w:rPr>
      </w:pPr>
      <w:r>
        <w:rPr>
          <w:rFonts w:hint="eastAsia" w:ascii="仿宋" w:hAnsi="仿宋" w:eastAsia="仿宋"/>
        </w:rPr>
        <w:t>六、评   标</w:t>
      </w:r>
    </w:p>
    <w:p>
      <w:pPr>
        <w:pStyle w:val="8"/>
        <w:keepNext w:val="0"/>
        <w:keepLines w:val="0"/>
        <w:spacing w:before="0" w:after="0" w:line="360" w:lineRule="auto"/>
        <w:ind w:left="420" w:leftChars="200"/>
        <w:rPr>
          <w:rFonts w:ascii="仿宋" w:hAnsi="仿宋" w:eastAsia="仿宋"/>
          <w:sz w:val="24"/>
        </w:rPr>
      </w:pPr>
      <w:bookmarkStart w:id="193" w:name="_26.组建评标委员会"/>
      <w:bookmarkEnd w:id="193"/>
      <w:r>
        <w:rPr>
          <w:rFonts w:hint="eastAsia" w:ascii="仿宋" w:hAnsi="仿宋" w:eastAsia="仿宋"/>
          <w:sz w:val="24"/>
        </w:rPr>
        <w:t>26.组建评标委员会</w:t>
      </w:r>
    </w:p>
    <w:p>
      <w:pPr>
        <w:pStyle w:val="28"/>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评标委员会由采购人代表和评审专家组成，具体人数详见“投标人须知前附表”，其中评审专家不得少于成员总数的三分之二。</w:t>
      </w:r>
    </w:p>
    <w:p>
      <w:pPr>
        <w:pStyle w:val="28"/>
        <w:snapToGrid w:val="0"/>
        <w:spacing w:line="360" w:lineRule="auto"/>
        <w:ind w:left="2" w:leftChars="1" w:firstLine="480" w:firstLineChars="200"/>
        <w:rPr>
          <w:rFonts w:ascii="仿宋" w:hAnsi="仿宋" w:eastAsia="仿宋"/>
          <w:sz w:val="24"/>
          <w:szCs w:val="24"/>
        </w:rPr>
      </w:pPr>
      <w:r>
        <w:rPr>
          <w:rFonts w:hint="eastAsia" w:ascii="仿宋" w:hAnsi="仿宋" w:eastAsia="仿宋"/>
          <w:sz w:val="24"/>
          <w:szCs w:val="24"/>
        </w:rPr>
        <w:t>参加过采购项目前期咨询论证的专家，不得参加该采购项目的评审活动。</w:t>
      </w:r>
    </w:p>
    <w:p>
      <w:pPr>
        <w:pStyle w:val="8"/>
        <w:keepNext w:val="0"/>
        <w:keepLines w:val="0"/>
        <w:spacing w:before="0" w:after="0" w:line="360" w:lineRule="auto"/>
        <w:ind w:left="420" w:leftChars="200"/>
        <w:rPr>
          <w:rFonts w:ascii="仿宋" w:hAnsi="仿宋" w:eastAsia="仿宋"/>
          <w:sz w:val="24"/>
        </w:rPr>
      </w:pPr>
      <w:r>
        <w:rPr>
          <w:rFonts w:hint="eastAsia" w:ascii="仿宋" w:hAnsi="仿宋" w:eastAsia="仿宋"/>
          <w:sz w:val="24"/>
        </w:rPr>
        <w:t>27.评标的依据</w:t>
      </w:r>
    </w:p>
    <w:p>
      <w:pPr>
        <w:pStyle w:val="28"/>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评标委员会以</w:t>
      </w:r>
      <w:r>
        <w:rPr>
          <w:rFonts w:hint="eastAsia" w:ascii="仿宋" w:hAnsi="仿宋" w:eastAsia="仿宋" w:cs="宋体"/>
          <w:sz w:val="24"/>
          <w:szCs w:val="24"/>
        </w:rPr>
        <w:t>“第四章 评标方法和评标标准”</w:t>
      </w:r>
      <w:r>
        <w:rPr>
          <w:rFonts w:hint="eastAsia" w:ascii="仿宋" w:hAnsi="仿宋" w:eastAsia="仿宋"/>
          <w:sz w:val="24"/>
          <w:szCs w:val="24"/>
        </w:rPr>
        <w:t>为依据对投标文件进行评审，</w:t>
      </w:r>
      <w:r>
        <w:rPr>
          <w:rFonts w:ascii="仿宋" w:hAnsi="仿宋" w:eastAsia="仿宋"/>
          <w:sz w:val="24"/>
          <w:szCs w:val="24"/>
        </w:rPr>
        <w:t>没有规定的方法、评审因素和标准，不作为评标依据。</w:t>
      </w:r>
    </w:p>
    <w:p>
      <w:pPr>
        <w:pStyle w:val="8"/>
        <w:keepNext w:val="0"/>
        <w:keepLines w:val="0"/>
        <w:spacing w:before="0" w:after="0" w:line="360" w:lineRule="auto"/>
        <w:ind w:left="420" w:leftChars="200"/>
        <w:rPr>
          <w:rFonts w:ascii="仿宋" w:hAnsi="仿宋" w:eastAsia="仿宋"/>
          <w:sz w:val="24"/>
        </w:rPr>
      </w:pPr>
      <w:r>
        <w:rPr>
          <w:rFonts w:hint="eastAsia" w:ascii="仿宋" w:hAnsi="仿宋" w:eastAsia="仿宋"/>
          <w:sz w:val="24"/>
        </w:rPr>
        <w:t>28.评标原则</w:t>
      </w:r>
    </w:p>
    <w:p>
      <w:pPr>
        <w:pStyle w:val="28"/>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pPr>
        <w:pStyle w:val="28"/>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28.2</w:t>
      </w:r>
      <w:bookmarkStart w:id="194" w:name="_28.3评标方法。本项目将按须知前附表规定的评标办法进行评标，具体评标"/>
      <w:bookmarkEnd w:id="194"/>
      <w:r>
        <w:rPr>
          <w:rFonts w:hint="eastAsia" w:ascii="仿宋" w:hAnsi="仿宋" w:eastAsia="仿宋"/>
          <w:sz w:val="24"/>
          <w:szCs w:val="24"/>
        </w:rPr>
        <w:t>评委表决。评标委员会成员对需要共同认定的事项存在争议的，应当按照少数服从多数的原则作出结论。</w:t>
      </w:r>
    </w:p>
    <w:p>
      <w:pPr>
        <w:pStyle w:val="28"/>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28.</w:t>
      </w:r>
      <w:r>
        <w:rPr>
          <w:rFonts w:ascii="仿宋" w:hAnsi="仿宋" w:eastAsia="仿宋"/>
          <w:sz w:val="24"/>
          <w:szCs w:val="24"/>
        </w:rPr>
        <w:t>3</w:t>
      </w:r>
      <w:r>
        <w:rPr>
          <w:rFonts w:hint="eastAsia" w:ascii="仿宋" w:hAnsi="仿宋" w:eastAsia="仿宋"/>
          <w:sz w:val="24"/>
          <w:szCs w:val="24"/>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pPr>
        <w:pStyle w:val="28"/>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8.4</w:t>
      </w:r>
      <w:r>
        <w:rPr>
          <w:rFonts w:hint="eastAsia" w:ascii="仿宋" w:hAnsi="仿宋" w:eastAsia="仿宋"/>
          <w:sz w:val="24"/>
          <w:szCs w:val="24"/>
        </w:rPr>
        <w:t>评标过程的监控。本项目评标过程实行全程录音、录像监控，</w:t>
      </w:r>
      <w:r>
        <w:rPr>
          <w:rFonts w:hint="eastAsia" w:ascii="仿宋" w:hAnsi="仿宋" w:eastAsia="仿宋"/>
          <w:b/>
          <w:bCs/>
          <w:sz w:val="24"/>
          <w:szCs w:val="24"/>
        </w:rPr>
        <w:t>投标人在评标过程中所进行的试图影响评标结果的不公正活动，可能导致其投标无效</w:t>
      </w:r>
      <w:r>
        <w:rPr>
          <w:rFonts w:hint="eastAsia" w:ascii="仿宋" w:hAnsi="仿宋" w:eastAsia="仿宋"/>
          <w:sz w:val="24"/>
          <w:szCs w:val="24"/>
        </w:rPr>
        <w:t>。</w:t>
      </w:r>
    </w:p>
    <w:p>
      <w:pPr>
        <w:pStyle w:val="8"/>
        <w:keepNext w:val="0"/>
        <w:keepLines w:val="0"/>
        <w:spacing w:before="0" w:after="0" w:line="360" w:lineRule="auto"/>
        <w:ind w:left="420" w:leftChars="200"/>
        <w:rPr>
          <w:rFonts w:ascii="仿宋" w:hAnsi="仿宋" w:eastAsia="仿宋"/>
          <w:sz w:val="24"/>
        </w:rPr>
      </w:pPr>
      <w:r>
        <w:rPr>
          <w:rFonts w:hint="eastAsia" w:ascii="仿宋" w:hAnsi="仿宋" w:eastAsia="仿宋"/>
          <w:sz w:val="24"/>
        </w:rPr>
        <w:t>29.评标方法及中标候选人推荐</w:t>
      </w:r>
    </w:p>
    <w:p>
      <w:pPr>
        <w:pStyle w:val="28"/>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9.1</w:t>
      </w:r>
      <w:r>
        <w:rPr>
          <w:rFonts w:hint="eastAsia" w:ascii="仿宋" w:hAnsi="仿宋" w:eastAsia="仿宋"/>
          <w:sz w:val="24"/>
          <w:szCs w:val="24"/>
        </w:rPr>
        <w:t>本项目的评标方法详见“投标人须知前附表”。</w:t>
      </w:r>
    </w:p>
    <w:p>
      <w:pPr>
        <w:pStyle w:val="28"/>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29.2允许</w:t>
      </w:r>
      <w:r>
        <w:rPr>
          <w:rFonts w:ascii="仿宋" w:hAnsi="仿宋" w:eastAsia="仿宋"/>
          <w:sz w:val="24"/>
          <w:szCs w:val="24"/>
        </w:rPr>
        <w:t>负偏离的条款数量详见</w:t>
      </w:r>
      <w:r>
        <w:rPr>
          <w:rFonts w:hint="eastAsia" w:ascii="仿宋" w:hAnsi="仿宋" w:eastAsia="仿宋"/>
          <w:sz w:val="24"/>
          <w:szCs w:val="24"/>
        </w:rPr>
        <w:t>“投标人须知前附表”。</w:t>
      </w:r>
    </w:p>
    <w:p>
      <w:pPr>
        <w:pStyle w:val="28"/>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9.3中标候选人推荐数量详见</w:t>
      </w:r>
      <w:r>
        <w:rPr>
          <w:rFonts w:hint="eastAsia" w:ascii="仿宋" w:hAnsi="仿宋" w:eastAsia="仿宋"/>
          <w:sz w:val="24"/>
          <w:szCs w:val="24"/>
        </w:rPr>
        <w:t>“投标人须知前附表”。</w:t>
      </w:r>
    </w:p>
    <w:p>
      <w:pPr>
        <w:pStyle w:val="28"/>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9.4评标委员会</w:t>
      </w:r>
      <w:r>
        <w:rPr>
          <w:rFonts w:hint="eastAsia" w:ascii="仿宋" w:hAnsi="仿宋" w:eastAsia="仿宋"/>
          <w:sz w:val="24"/>
          <w:szCs w:val="24"/>
        </w:rPr>
        <w:t>将</w:t>
      </w:r>
      <w:r>
        <w:rPr>
          <w:rFonts w:ascii="仿宋" w:hAnsi="仿宋" w:eastAsia="仿宋"/>
          <w:sz w:val="24"/>
          <w:szCs w:val="24"/>
        </w:rPr>
        <w:t>按照</w:t>
      </w:r>
      <w:r>
        <w:rPr>
          <w:rFonts w:hint="eastAsia" w:ascii="仿宋" w:hAnsi="仿宋" w:eastAsia="仿宋"/>
          <w:sz w:val="24"/>
          <w:szCs w:val="24"/>
        </w:rPr>
        <w:t>“第四章 评标方法和评标标准”</w:t>
      </w:r>
      <w:r>
        <w:rPr>
          <w:rFonts w:ascii="仿宋" w:hAnsi="仿宋" w:eastAsia="仿宋"/>
          <w:sz w:val="24"/>
          <w:szCs w:val="24"/>
        </w:rPr>
        <w:t>规定的方法、评审因素、标准和程序对投标文件进行评审。</w:t>
      </w:r>
    </w:p>
    <w:p>
      <w:pPr>
        <w:pStyle w:val="28"/>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29.</w:t>
      </w:r>
      <w:r>
        <w:rPr>
          <w:rFonts w:ascii="仿宋" w:hAnsi="仿宋" w:eastAsia="仿宋"/>
          <w:sz w:val="24"/>
          <w:szCs w:val="24"/>
        </w:rPr>
        <w:t>5</w:t>
      </w:r>
      <w:r>
        <w:rPr>
          <w:rFonts w:hint="eastAsia" w:ascii="仿宋" w:hAnsi="仿宋" w:eastAsia="仿宋"/>
          <w:sz w:val="24"/>
          <w:szCs w:val="24"/>
        </w:rPr>
        <w:t>电子交易活动的中止。采购过程中出现以下情形，导致电子交易平台无法正常运行，或者无法保证电子交易的公平、公正和安全时，采购代理机构可中止电子交易活动：</w:t>
      </w:r>
    </w:p>
    <w:p>
      <w:pPr>
        <w:pStyle w:val="28"/>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（1）电子交易平台发生故障而无法登录访问的； </w:t>
      </w:r>
    </w:p>
    <w:p>
      <w:pPr>
        <w:pStyle w:val="28"/>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（2）电子交易平台应用或数据库出现错误，不能进行正常操作的；</w:t>
      </w:r>
    </w:p>
    <w:p>
      <w:pPr>
        <w:pStyle w:val="28"/>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（3）电子交易平台发现严重安全漏洞，有潜在泄密危险的；</w:t>
      </w:r>
    </w:p>
    <w:p>
      <w:pPr>
        <w:pStyle w:val="28"/>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（4）病毒发作导致不能进行正常操作的； </w:t>
      </w:r>
    </w:p>
    <w:p>
      <w:pPr>
        <w:pStyle w:val="28"/>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（4）其他无法保证电子交易的公平、公正和安全的情况。</w:t>
      </w:r>
    </w:p>
    <w:p>
      <w:pPr>
        <w:pStyle w:val="28"/>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29.</w:t>
      </w:r>
      <w:r>
        <w:rPr>
          <w:rFonts w:ascii="仿宋" w:hAnsi="仿宋" w:eastAsia="仿宋"/>
          <w:sz w:val="24"/>
          <w:szCs w:val="24"/>
        </w:rPr>
        <w:t>6</w:t>
      </w:r>
      <w:r>
        <w:rPr>
          <w:rFonts w:hint="eastAsia" w:ascii="仿宋" w:hAnsi="仿宋" w:eastAsia="仿宋"/>
          <w:sz w:val="24"/>
          <w:szCs w:val="24"/>
        </w:rPr>
        <w:t>出现以上情形，不影响采购公平、公正性的，采购代理机构可以待上述情形消除后继续组织电子交易活动；影响或可能影响采购公平、公正性的，经采购代理机构确认后，应当重新采购。</w:t>
      </w:r>
    </w:p>
    <w:p>
      <w:pPr>
        <w:pStyle w:val="6"/>
        <w:keepNext w:val="0"/>
        <w:keepLines w:val="0"/>
        <w:jc w:val="center"/>
        <w:rPr>
          <w:rFonts w:ascii="仿宋" w:hAnsi="仿宋" w:eastAsia="仿宋"/>
        </w:rPr>
      </w:pPr>
      <w:bookmarkStart w:id="195" w:name="_Toc254970687"/>
      <w:bookmarkStart w:id="196" w:name="_Toc254970546"/>
      <w:r>
        <w:rPr>
          <w:rFonts w:hint="eastAsia" w:ascii="仿宋" w:hAnsi="仿宋" w:eastAsia="仿宋"/>
        </w:rPr>
        <w:t>七、</w:t>
      </w:r>
      <w:bookmarkEnd w:id="195"/>
      <w:bookmarkEnd w:id="196"/>
      <w:r>
        <w:rPr>
          <w:rFonts w:hint="eastAsia" w:ascii="仿宋" w:hAnsi="仿宋" w:eastAsia="仿宋"/>
        </w:rPr>
        <w:t>中标和合同</w:t>
      </w:r>
    </w:p>
    <w:p>
      <w:pPr>
        <w:pStyle w:val="8"/>
        <w:keepNext w:val="0"/>
        <w:keepLines w:val="0"/>
        <w:spacing w:before="0" w:after="0" w:line="360" w:lineRule="auto"/>
        <w:ind w:left="420" w:leftChars="200"/>
        <w:rPr>
          <w:rFonts w:ascii="仿宋" w:hAnsi="仿宋" w:eastAsia="仿宋"/>
          <w:sz w:val="24"/>
        </w:rPr>
      </w:pPr>
      <w:r>
        <w:rPr>
          <w:rFonts w:hint="eastAsia" w:ascii="仿宋" w:hAnsi="仿宋" w:eastAsia="仿宋"/>
          <w:sz w:val="24"/>
        </w:rPr>
        <w:t>30</w:t>
      </w:r>
      <w:r>
        <w:rPr>
          <w:rFonts w:ascii="仿宋" w:hAnsi="仿宋" w:eastAsia="仿宋"/>
          <w:sz w:val="24"/>
        </w:rPr>
        <w:t>.</w:t>
      </w:r>
      <w:r>
        <w:rPr>
          <w:rFonts w:hint="eastAsia" w:ascii="仿宋" w:hAnsi="仿宋" w:eastAsia="仿宋"/>
          <w:sz w:val="24"/>
        </w:rPr>
        <w:t>确定中标人</w:t>
      </w:r>
    </w:p>
    <w:p>
      <w:pPr>
        <w:pStyle w:val="8"/>
        <w:keepNext w:val="0"/>
        <w:keepLines w:val="0"/>
        <w:spacing w:before="0" w:after="0" w:line="360" w:lineRule="auto"/>
        <w:ind w:firstLine="480" w:firstLineChars="200"/>
        <w:rPr>
          <w:rFonts w:ascii="仿宋" w:hAnsi="仿宋" w:eastAsia="仿宋"/>
          <w:b w:val="0"/>
          <w:sz w:val="24"/>
        </w:rPr>
      </w:pPr>
      <w:r>
        <w:rPr>
          <w:rFonts w:ascii="仿宋" w:hAnsi="仿宋" w:eastAsia="仿宋"/>
          <w:b w:val="0"/>
          <w:sz w:val="24"/>
        </w:rPr>
        <w:t>30.1</w:t>
      </w:r>
      <w:r>
        <w:rPr>
          <w:rFonts w:hint="eastAsia" w:ascii="仿宋" w:hAnsi="仿宋" w:eastAsia="仿宋"/>
          <w:b w:val="0"/>
          <w:sz w:val="24"/>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pPr>
        <w:snapToGrid w:val="0"/>
        <w:spacing w:line="360" w:lineRule="auto"/>
        <w:ind w:firstLine="480" w:firstLineChars="200"/>
        <w:rPr>
          <w:rFonts w:ascii="仿宋" w:hAnsi="仿宋" w:eastAsia="仿宋" w:cs="Courier New"/>
          <w:sz w:val="24"/>
        </w:rPr>
      </w:pPr>
      <w:r>
        <w:rPr>
          <w:rFonts w:ascii="仿宋" w:hAnsi="仿宋" w:eastAsia="仿宋" w:cs="Courier New"/>
          <w:sz w:val="24"/>
        </w:rPr>
        <w:t>30.2</w:t>
      </w:r>
      <w:r>
        <w:rPr>
          <w:rFonts w:hint="eastAsia" w:ascii="仿宋" w:hAnsi="仿宋" w:eastAsia="仿宋" w:cs="Courier New"/>
          <w:sz w:val="24"/>
        </w:rPr>
        <w:t>采购人在收到评标报告5个工作日内未按评标报告推荐的中标候选人顺序确定中标人，又不能说明合法理由的，视同按评标报告推荐的顺序确定排名第一的中标候选人为中标人。</w:t>
      </w:r>
    </w:p>
    <w:p>
      <w:pPr>
        <w:snapToGrid w:val="0"/>
        <w:spacing w:line="360" w:lineRule="auto"/>
        <w:ind w:firstLine="480" w:firstLineChars="200"/>
        <w:rPr>
          <w:rFonts w:ascii="仿宋" w:hAnsi="仿宋" w:eastAsia="仿宋"/>
          <w:sz w:val="24"/>
        </w:rPr>
      </w:pPr>
      <w:r>
        <w:rPr>
          <w:rFonts w:hint="eastAsia" w:ascii="仿宋" w:hAnsi="仿宋" w:eastAsia="仿宋"/>
          <w:sz w:val="24"/>
        </w:rPr>
        <w:t>30.3出现下列情形之一的，应予废标：</w:t>
      </w:r>
    </w:p>
    <w:p>
      <w:pPr>
        <w:snapToGrid w:val="0"/>
        <w:spacing w:line="360" w:lineRule="auto"/>
        <w:ind w:firstLine="480" w:firstLineChars="200"/>
        <w:rPr>
          <w:rFonts w:ascii="仿宋" w:hAnsi="仿宋" w:eastAsia="仿宋"/>
          <w:sz w:val="24"/>
        </w:rPr>
      </w:pPr>
      <w:r>
        <w:rPr>
          <w:rFonts w:hint="eastAsia" w:ascii="仿宋" w:hAnsi="仿宋" w:eastAsia="仿宋"/>
          <w:sz w:val="24"/>
        </w:rPr>
        <w:t>（1）符合专业条件的供应商或者对招标文件作实质响应的供应商不足三家的；</w:t>
      </w:r>
    </w:p>
    <w:p>
      <w:pPr>
        <w:snapToGrid w:val="0"/>
        <w:spacing w:line="360" w:lineRule="auto"/>
        <w:ind w:firstLine="480" w:firstLineChars="200"/>
        <w:rPr>
          <w:rFonts w:ascii="仿宋" w:hAnsi="仿宋" w:eastAsia="仿宋"/>
          <w:sz w:val="24"/>
        </w:rPr>
      </w:pPr>
      <w:r>
        <w:rPr>
          <w:rFonts w:hint="eastAsia" w:ascii="仿宋" w:hAnsi="仿宋" w:eastAsia="仿宋"/>
          <w:sz w:val="24"/>
        </w:rPr>
        <w:t>（2）出现影响采购公正的违法、违规行为的；</w:t>
      </w:r>
    </w:p>
    <w:p>
      <w:pPr>
        <w:snapToGrid w:val="0"/>
        <w:spacing w:line="360" w:lineRule="auto"/>
        <w:ind w:firstLine="480" w:firstLineChars="200"/>
        <w:rPr>
          <w:rFonts w:ascii="仿宋" w:hAnsi="仿宋" w:eastAsia="仿宋"/>
          <w:sz w:val="24"/>
        </w:rPr>
      </w:pPr>
      <w:r>
        <w:rPr>
          <w:rFonts w:hint="eastAsia" w:ascii="仿宋" w:hAnsi="仿宋" w:eastAsia="仿宋"/>
          <w:sz w:val="24"/>
        </w:rPr>
        <w:t>（3）投标人的报价均超过了采购预算，采购人不能支付的；</w:t>
      </w:r>
    </w:p>
    <w:p>
      <w:pPr>
        <w:snapToGrid w:val="0"/>
        <w:spacing w:line="360" w:lineRule="auto"/>
        <w:ind w:firstLine="480" w:firstLineChars="200"/>
        <w:rPr>
          <w:rFonts w:ascii="仿宋" w:hAnsi="仿宋" w:eastAsia="仿宋"/>
          <w:sz w:val="24"/>
        </w:rPr>
      </w:pPr>
      <w:r>
        <w:rPr>
          <w:rFonts w:hint="eastAsia" w:ascii="仿宋" w:hAnsi="仿宋" w:eastAsia="仿宋"/>
          <w:sz w:val="24"/>
        </w:rPr>
        <w:t>（4）因重大变故，采购任务取消的。</w:t>
      </w:r>
    </w:p>
    <w:p>
      <w:pPr>
        <w:snapToGrid w:val="0"/>
        <w:spacing w:line="360" w:lineRule="auto"/>
        <w:ind w:firstLine="480" w:firstLineChars="200"/>
        <w:rPr>
          <w:rFonts w:ascii="仿宋" w:hAnsi="仿宋" w:eastAsia="仿宋"/>
          <w:sz w:val="24"/>
        </w:rPr>
      </w:pPr>
      <w:r>
        <w:rPr>
          <w:rFonts w:hint="eastAsia" w:ascii="仿宋" w:hAnsi="仿宋" w:eastAsia="仿宋"/>
          <w:sz w:val="24"/>
        </w:rPr>
        <w:t>废标后，采购人应当将废标理由通知所有投标人。</w:t>
      </w:r>
    </w:p>
    <w:p>
      <w:pPr>
        <w:snapToGrid w:val="0"/>
        <w:spacing w:line="360" w:lineRule="auto"/>
        <w:ind w:firstLine="480" w:firstLineChars="200"/>
        <w:rPr>
          <w:rFonts w:ascii="仿宋" w:hAnsi="仿宋" w:eastAsia="仿宋" w:cs="Courier New"/>
          <w:sz w:val="24"/>
        </w:rPr>
      </w:pPr>
      <w:r>
        <w:rPr>
          <w:rFonts w:ascii="仿宋" w:hAnsi="仿宋" w:eastAsia="仿宋" w:cs="Courier New"/>
          <w:sz w:val="24"/>
        </w:rPr>
        <w:t>30.</w:t>
      </w:r>
      <w:r>
        <w:rPr>
          <w:rFonts w:hint="eastAsia" w:ascii="仿宋" w:hAnsi="仿宋" w:eastAsia="仿宋" w:cs="Courier New"/>
          <w:sz w:val="24"/>
        </w:rPr>
        <w:t>4 中标人拒绝签订政府采购合同（包括但不限于放弃中标、因不可抗力不能履行合同而放弃签订合同），采购人可以按照评审报告推荐的中标候选人名单排序，确定下一候选人为中标供应商，也可以重新开展政府采购活动。</w:t>
      </w:r>
      <w:r>
        <w:rPr>
          <w:rFonts w:ascii="仿宋" w:hAnsi="仿宋" w:eastAsia="仿宋" w:cs="Courier New"/>
          <w:sz w:val="24"/>
        </w:rPr>
        <w:t>拒绝签订政府采购合同的</w:t>
      </w:r>
      <w:r>
        <w:rPr>
          <w:rFonts w:hint="eastAsia" w:ascii="仿宋" w:hAnsi="仿宋" w:eastAsia="仿宋" w:cs="Courier New"/>
          <w:sz w:val="24"/>
        </w:rPr>
        <w:t>中标人</w:t>
      </w:r>
      <w:r>
        <w:rPr>
          <w:rFonts w:ascii="仿宋" w:hAnsi="仿宋" w:eastAsia="仿宋" w:cs="Courier New"/>
          <w:sz w:val="24"/>
        </w:rPr>
        <w:t>不得参加对该项目重新开展的采购活动。</w:t>
      </w:r>
    </w:p>
    <w:p>
      <w:pPr>
        <w:pStyle w:val="8"/>
        <w:keepNext w:val="0"/>
        <w:keepLines w:val="0"/>
        <w:spacing w:before="0" w:after="0" w:line="360" w:lineRule="auto"/>
        <w:ind w:left="420" w:leftChars="200"/>
        <w:rPr>
          <w:rFonts w:ascii="仿宋" w:hAnsi="仿宋" w:eastAsia="仿宋"/>
          <w:sz w:val="24"/>
        </w:rPr>
      </w:pPr>
      <w:r>
        <w:rPr>
          <w:rFonts w:hint="eastAsia" w:ascii="仿宋" w:hAnsi="仿宋" w:eastAsia="仿宋"/>
          <w:sz w:val="24"/>
        </w:rPr>
        <w:t>31.结果公告</w:t>
      </w:r>
    </w:p>
    <w:p>
      <w:pPr>
        <w:pStyle w:val="8"/>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3</w:t>
      </w:r>
      <w:r>
        <w:rPr>
          <w:rFonts w:ascii="仿宋" w:hAnsi="仿宋" w:eastAsia="仿宋"/>
          <w:b w:val="0"/>
          <w:sz w:val="24"/>
        </w:rPr>
        <w:t>1.1</w:t>
      </w:r>
      <w:r>
        <w:rPr>
          <w:rFonts w:hint="eastAsia" w:ascii="仿宋" w:hAnsi="仿宋" w:eastAsia="仿宋"/>
          <w:b w:val="0"/>
          <w:sz w:val="24"/>
        </w:rPr>
        <w:t>采购人或者采购代理机构应当自中标人确定之日起2个工作日内，在省级以上财政部门指定的媒体上公告中标结果，招标文件应当随中标结果同时公告。</w:t>
      </w:r>
      <w:r>
        <w:rPr>
          <w:rFonts w:hint="eastAsia" w:ascii="仿宋" w:hAnsi="仿宋" w:eastAsia="仿宋"/>
          <w:sz w:val="24"/>
        </w:rPr>
        <w:t>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仿宋" w:hAnsi="仿宋" w:eastAsia="仿宋"/>
          <w:b w:val="0"/>
          <w:sz w:val="24"/>
        </w:rPr>
        <w:t>排名第二的中标候选人因前款规定的同样原因被取消中标资格的，采购人可以确定排名第三的中标候选人为中标人，以此类推。以上信息查询记录及相关证据与采购文件一并保存。</w:t>
      </w:r>
    </w:p>
    <w:p>
      <w:pPr>
        <w:pStyle w:val="8"/>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31.2中标供应商享受《政府采购促进中小企业发展管理办法》（财库〔2020〕46号）规定的中小企业扶持政策的，采购人、采购代理机构应当随中标结果公开中标供应商的《中小企业声明函》。</w:t>
      </w:r>
    </w:p>
    <w:p>
      <w:pPr>
        <w:pStyle w:val="8"/>
        <w:keepNext w:val="0"/>
        <w:keepLines w:val="0"/>
        <w:spacing w:before="0" w:after="0" w:line="360" w:lineRule="auto"/>
        <w:ind w:left="420" w:leftChars="200"/>
        <w:rPr>
          <w:rFonts w:ascii="仿宋" w:hAnsi="仿宋" w:eastAsia="仿宋"/>
          <w:sz w:val="24"/>
        </w:rPr>
      </w:pPr>
      <w:r>
        <w:rPr>
          <w:rFonts w:hint="eastAsia" w:ascii="仿宋" w:hAnsi="仿宋" w:eastAsia="仿宋"/>
          <w:sz w:val="24"/>
        </w:rPr>
        <w:t>32.发出中标通知书</w:t>
      </w:r>
    </w:p>
    <w:p>
      <w:pPr>
        <w:pStyle w:val="8"/>
        <w:keepNext w:val="0"/>
        <w:keepLines w:val="0"/>
        <w:spacing w:before="0" w:after="0" w:line="360" w:lineRule="auto"/>
        <w:ind w:firstLine="480" w:firstLineChars="200"/>
        <w:rPr>
          <w:rFonts w:ascii="仿宋" w:hAnsi="仿宋" w:eastAsia="仿宋"/>
          <w:b w:val="0"/>
          <w:sz w:val="24"/>
        </w:rPr>
      </w:pPr>
      <w:r>
        <w:rPr>
          <w:rFonts w:hint="eastAsia" w:ascii="仿宋" w:hAnsi="仿宋" w:eastAsia="仿宋"/>
          <w:b w:val="0"/>
          <w:sz w:val="24"/>
        </w:rPr>
        <w:t>在公告中标结果的同时，采购代理机构向中标人发出中标通知书。对未通过资格审查的投标人，应当告知其未通过的原因；采用综合评分办法评审的，还应当告知未中标人本人的评审得分与排序。</w:t>
      </w:r>
    </w:p>
    <w:p>
      <w:pPr>
        <w:pStyle w:val="8"/>
        <w:keepNext w:val="0"/>
        <w:keepLines w:val="0"/>
        <w:spacing w:before="0" w:after="0" w:line="360" w:lineRule="auto"/>
        <w:ind w:left="420" w:leftChars="200"/>
        <w:rPr>
          <w:rFonts w:ascii="仿宋" w:hAnsi="仿宋" w:eastAsia="仿宋"/>
          <w:sz w:val="24"/>
        </w:rPr>
      </w:pPr>
      <w:r>
        <w:rPr>
          <w:rFonts w:hint="eastAsia" w:ascii="仿宋" w:hAnsi="仿宋" w:eastAsia="仿宋"/>
          <w:sz w:val="24"/>
        </w:rPr>
        <w:t>33.无义务解释未中标原因</w:t>
      </w:r>
    </w:p>
    <w:p>
      <w:pPr>
        <w:pStyle w:val="8"/>
        <w:keepNext w:val="0"/>
        <w:keepLines w:val="0"/>
        <w:spacing w:before="0" w:after="0" w:line="360" w:lineRule="auto"/>
        <w:ind w:left="420" w:leftChars="200"/>
        <w:rPr>
          <w:rFonts w:ascii="仿宋" w:hAnsi="仿宋" w:eastAsia="仿宋"/>
          <w:b w:val="0"/>
          <w:sz w:val="24"/>
        </w:rPr>
      </w:pPr>
      <w:r>
        <w:rPr>
          <w:rFonts w:hint="eastAsia" w:ascii="仿宋" w:hAnsi="仿宋" w:eastAsia="仿宋"/>
          <w:b w:val="0"/>
          <w:sz w:val="24"/>
        </w:rPr>
        <w:t>采购代理机构无义务向未中标的投标人解释未中标原因和退还投标文件。</w:t>
      </w:r>
    </w:p>
    <w:p>
      <w:pPr>
        <w:pStyle w:val="8"/>
        <w:keepNext w:val="0"/>
        <w:keepLines w:val="0"/>
        <w:spacing w:before="0" w:after="0" w:line="360" w:lineRule="auto"/>
        <w:ind w:left="420" w:leftChars="200"/>
        <w:rPr>
          <w:rFonts w:ascii="仿宋" w:hAnsi="仿宋" w:eastAsia="仿宋"/>
          <w:sz w:val="24"/>
        </w:rPr>
      </w:pPr>
      <w:r>
        <w:rPr>
          <w:rFonts w:hint="eastAsia" w:ascii="仿宋" w:hAnsi="仿宋" w:eastAsia="仿宋"/>
          <w:sz w:val="24"/>
        </w:rPr>
        <w:t>34.合同授予标准</w:t>
      </w:r>
    </w:p>
    <w:p>
      <w:pPr>
        <w:snapToGrid w:val="0"/>
        <w:spacing w:line="360" w:lineRule="auto"/>
        <w:ind w:firstLine="480" w:firstLineChars="200"/>
        <w:rPr>
          <w:rFonts w:ascii="仿宋" w:hAnsi="仿宋" w:eastAsia="仿宋"/>
          <w:sz w:val="24"/>
        </w:rPr>
      </w:pPr>
      <w:r>
        <w:rPr>
          <w:rFonts w:hint="eastAsia" w:ascii="仿宋" w:hAnsi="仿宋" w:eastAsia="仿宋" w:cs="Courier New"/>
          <w:sz w:val="24"/>
        </w:rPr>
        <w:t>合同将授予被确定实质上响应招标文件要求，具备履行合同能力的中标人（招标文件另有约定多名中标人的除外）。</w:t>
      </w:r>
    </w:p>
    <w:p>
      <w:pPr>
        <w:pStyle w:val="8"/>
        <w:keepNext w:val="0"/>
        <w:keepLines w:val="0"/>
        <w:spacing w:before="0" w:after="0" w:line="360" w:lineRule="auto"/>
        <w:ind w:left="420" w:leftChars="200"/>
        <w:rPr>
          <w:rFonts w:ascii="仿宋" w:hAnsi="仿宋" w:eastAsia="仿宋"/>
          <w:sz w:val="24"/>
        </w:rPr>
      </w:pPr>
      <w:r>
        <w:rPr>
          <w:rFonts w:hint="eastAsia" w:ascii="仿宋" w:hAnsi="仿宋" w:eastAsia="仿宋"/>
          <w:sz w:val="24"/>
        </w:rPr>
        <w:t>35.履约保证金</w:t>
      </w:r>
    </w:p>
    <w:p>
      <w:pPr>
        <w:pStyle w:val="8"/>
        <w:keepNext w:val="0"/>
        <w:keepLines w:val="0"/>
        <w:spacing w:before="0" w:after="0" w:line="360" w:lineRule="auto"/>
        <w:ind w:firstLine="360" w:firstLineChars="150"/>
        <w:rPr>
          <w:rFonts w:ascii="仿宋" w:hAnsi="仿宋" w:eastAsia="仿宋"/>
          <w:b w:val="0"/>
          <w:sz w:val="24"/>
        </w:rPr>
      </w:pPr>
      <w:bookmarkStart w:id="197" w:name="_39.1中标人须于签订合同前按本须知前附表规定的金额转账或电汇到指定账"/>
      <w:bookmarkEnd w:id="197"/>
      <w:r>
        <w:rPr>
          <w:rFonts w:hint="eastAsia" w:ascii="仿宋" w:hAnsi="仿宋" w:eastAsia="仿宋"/>
          <w:b w:val="0"/>
          <w:sz w:val="24"/>
        </w:rPr>
        <w:t>3</w:t>
      </w:r>
      <w:r>
        <w:rPr>
          <w:rFonts w:ascii="仿宋" w:hAnsi="仿宋" w:eastAsia="仿宋"/>
          <w:b w:val="0"/>
          <w:sz w:val="24"/>
        </w:rPr>
        <w:t>5</w:t>
      </w:r>
      <w:r>
        <w:rPr>
          <w:rFonts w:hint="eastAsia" w:ascii="仿宋" w:hAnsi="仿宋" w:eastAsia="仿宋"/>
          <w:b w:val="0"/>
          <w:sz w:val="24"/>
        </w:rPr>
        <w:t>.1 履约保证金的金额、提交方式、退付的时间和条件详见 “投标人须知前附表”。中标人未按规定提交履约保证金的，视为拒绝与采购人签订合同。</w:t>
      </w:r>
    </w:p>
    <w:p>
      <w:pPr>
        <w:pStyle w:val="8"/>
        <w:keepNext w:val="0"/>
        <w:keepLines w:val="0"/>
        <w:spacing w:before="0" w:after="0" w:line="360" w:lineRule="auto"/>
        <w:ind w:firstLine="360" w:firstLineChars="150"/>
        <w:rPr>
          <w:rFonts w:ascii="仿宋" w:hAnsi="仿宋" w:eastAsia="仿宋"/>
          <w:sz w:val="24"/>
        </w:rPr>
      </w:pPr>
      <w:r>
        <w:rPr>
          <w:rFonts w:hint="eastAsia" w:ascii="仿宋" w:hAnsi="仿宋" w:eastAsia="仿宋"/>
          <w:b w:val="0"/>
          <w:bCs/>
          <w:sz w:val="24"/>
        </w:rPr>
        <w:t>35.2在履约保证金退还日期前，若中标人的开户名称、开户银行、账号有变动的，请以书面形式通知履约保证金收取单位，否则由此产生的后果由中标人自行承担。</w:t>
      </w:r>
    </w:p>
    <w:p>
      <w:pPr>
        <w:pStyle w:val="8"/>
        <w:keepNext w:val="0"/>
        <w:keepLines w:val="0"/>
        <w:spacing w:before="0" w:after="0" w:line="360" w:lineRule="auto"/>
        <w:ind w:left="420" w:leftChars="200"/>
        <w:rPr>
          <w:rFonts w:ascii="仿宋" w:hAnsi="仿宋" w:eastAsia="仿宋"/>
          <w:sz w:val="24"/>
        </w:rPr>
      </w:pPr>
      <w:r>
        <w:rPr>
          <w:rFonts w:hint="eastAsia" w:ascii="仿宋" w:hAnsi="仿宋" w:eastAsia="仿宋"/>
          <w:sz w:val="24"/>
        </w:rPr>
        <w:t>36.签订合同</w:t>
      </w:r>
    </w:p>
    <w:p>
      <w:pPr>
        <w:pStyle w:val="8"/>
        <w:keepNext w:val="0"/>
        <w:keepLines w:val="0"/>
        <w:spacing w:before="0" w:after="0" w:line="360" w:lineRule="auto"/>
        <w:ind w:firstLine="360" w:firstLineChars="150"/>
        <w:rPr>
          <w:rFonts w:ascii="仿宋" w:hAnsi="仿宋" w:eastAsia="仿宋"/>
          <w:b w:val="0"/>
          <w:bCs/>
          <w:sz w:val="24"/>
        </w:rPr>
      </w:pPr>
      <w:bookmarkStart w:id="198" w:name="_40.1投标人接到中标通知书后，按须知前附表规定向采购人出示相关资格证"/>
      <w:bookmarkEnd w:id="198"/>
      <w:r>
        <w:rPr>
          <w:rFonts w:hint="eastAsia" w:ascii="仿宋" w:hAnsi="仿宋" w:eastAsia="仿宋"/>
          <w:b w:val="0"/>
          <w:sz w:val="24"/>
        </w:rPr>
        <w:t xml:space="preserve"> 36.1投标人领取中标通知书（书面或电子）后，按“投标人须知前附表”规定向采购人出示相关证明材料，经采购人核验合格后方可签订采购合同（书面或电子）。</w:t>
      </w:r>
      <w:r>
        <w:rPr>
          <w:rFonts w:hint="eastAsia" w:ascii="仿宋" w:hAnsi="仿宋" w:eastAsia="仿宋"/>
          <w:b w:val="0"/>
          <w:bCs/>
          <w:sz w:val="24"/>
        </w:rPr>
        <w:t>如中标人为联合体的，</w:t>
      </w:r>
      <w:r>
        <w:rPr>
          <w:rFonts w:ascii="仿宋" w:hAnsi="仿宋" w:eastAsia="仿宋"/>
          <w:b w:val="0"/>
          <w:bCs/>
          <w:sz w:val="24"/>
        </w:rPr>
        <w:t>联合体各方应当共同与采购人签订采购合同，就采购合同约定的事项对采购人承担连带责任。</w:t>
      </w:r>
    </w:p>
    <w:p>
      <w:pPr>
        <w:pStyle w:val="8"/>
        <w:keepNext w:val="0"/>
        <w:keepLines w:val="0"/>
        <w:numPr>
          <w:ilvl w:val="0"/>
          <w:numId w:val="0"/>
        </w:numPr>
        <w:spacing w:before="0" w:after="0" w:line="360" w:lineRule="auto"/>
        <w:ind w:firstLine="480" w:firstLineChars="200"/>
        <w:rPr>
          <w:rFonts w:ascii="仿宋" w:hAnsi="仿宋" w:eastAsia="仿宋"/>
          <w:b w:val="0"/>
          <w:sz w:val="24"/>
        </w:rPr>
      </w:pPr>
      <w:r>
        <w:rPr>
          <w:rFonts w:hint="eastAsia" w:ascii="仿宋" w:hAnsi="仿宋" w:eastAsia="仿宋"/>
          <w:b w:val="0"/>
          <w:sz w:val="24"/>
        </w:rPr>
        <w:t>36.2签订合同时间：中标通知书（中标公告）发出之日起25个日历日内。</w:t>
      </w:r>
    </w:p>
    <w:p>
      <w:pPr>
        <w:pStyle w:val="8"/>
        <w:keepNext w:val="0"/>
        <w:keepLines w:val="0"/>
        <w:spacing w:before="0" w:after="0" w:line="360" w:lineRule="auto"/>
        <w:ind w:firstLine="360" w:firstLineChars="150"/>
        <w:rPr>
          <w:rFonts w:ascii="仿宋" w:hAnsi="仿宋" w:eastAsia="仿宋"/>
          <w:b w:val="0"/>
          <w:sz w:val="24"/>
        </w:rPr>
      </w:pPr>
      <w:r>
        <w:rPr>
          <w:rFonts w:hint="eastAsia" w:ascii="仿宋" w:hAnsi="仿宋" w:eastAsia="仿宋"/>
          <w:b w:val="0"/>
          <w:sz w:val="24"/>
        </w:rPr>
        <w:t xml:space="preserve"> 36.</w:t>
      </w:r>
      <w:r>
        <w:rPr>
          <w:rFonts w:ascii="仿宋" w:hAnsi="仿宋" w:eastAsia="仿宋"/>
          <w:b w:val="0"/>
          <w:sz w:val="24"/>
        </w:rPr>
        <w:t>3</w:t>
      </w:r>
      <w:r>
        <w:rPr>
          <w:rFonts w:hint="eastAsia" w:ascii="仿宋" w:hAnsi="仿宋" w:eastAsia="仿宋"/>
          <w:b w:val="0"/>
          <w:sz w:val="24"/>
        </w:rPr>
        <w:t>中标人拒绝与采购人签订合同的，按照本须知正文第3</w:t>
      </w:r>
      <w:r>
        <w:rPr>
          <w:rFonts w:ascii="仿宋" w:hAnsi="仿宋" w:eastAsia="仿宋"/>
          <w:b w:val="0"/>
          <w:sz w:val="24"/>
        </w:rPr>
        <w:t>0.4条</w:t>
      </w:r>
      <w:r>
        <w:rPr>
          <w:rFonts w:hint="eastAsia" w:ascii="仿宋" w:hAnsi="仿宋" w:eastAsia="仿宋"/>
          <w:b w:val="0"/>
          <w:sz w:val="24"/>
        </w:rPr>
        <w:t>的规定执行。</w:t>
      </w:r>
    </w:p>
    <w:p>
      <w:pPr>
        <w:pStyle w:val="8"/>
        <w:keepNext w:val="0"/>
        <w:keepLines w:val="0"/>
        <w:spacing w:before="0" w:after="0" w:line="360" w:lineRule="auto"/>
        <w:ind w:left="420" w:leftChars="200"/>
        <w:rPr>
          <w:rFonts w:ascii="仿宋" w:hAnsi="仿宋" w:eastAsia="仿宋"/>
          <w:sz w:val="24"/>
        </w:rPr>
      </w:pPr>
      <w:bookmarkStart w:id="199" w:name="_41.政府采购合同公告"/>
      <w:bookmarkEnd w:id="199"/>
      <w:r>
        <w:rPr>
          <w:rFonts w:hint="eastAsia" w:ascii="仿宋" w:hAnsi="仿宋" w:eastAsia="仿宋"/>
          <w:sz w:val="24"/>
        </w:rPr>
        <w:t>37.政府采购合同公告</w:t>
      </w:r>
    </w:p>
    <w:p>
      <w:pPr>
        <w:pStyle w:val="28"/>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采购人或者受托采购代理机构应当自政府采购合同签订之日起2个工作日内，将政府采购合同在省级以上人民政府财政部门指定的媒体上公告，</w:t>
      </w:r>
      <w:r>
        <w:rPr>
          <w:rFonts w:ascii="仿宋" w:hAnsi="仿宋" w:eastAsia="仿宋"/>
          <w:sz w:val="24"/>
          <w:szCs w:val="24"/>
        </w:rPr>
        <w:t>但政府采购合同中涉及国家秘密、商业秘密的内容除外。</w:t>
      </w:r>
    </w:p>
    <w:p>
      <w:pPr>
        <w:pStyle w:val="8"/>
        <w:keepNext w:val="0"/>
        <w:keepLines w:val="0"/>
        <w:spacing w:before="0" w:after="0" w:line="360" w:lineRule="auto"/>
        <w:ind w:left="420" w:leftChars="200"/>
        <w:rPr>
          <w:rFonts w:ascii="仿宋" w:hAnsi="仿宋" w:eastAsia="仿宋"/>
          <w:sz w:val="24"/>
        </w:rPr>
      </w:pPr>
      <w:r>
        <w:rPr>
          <w:rFonts w:hint="eastAsia" w:ascii="仿宋" w:hAnsi="仿宋" w:eastAsia="仿宋"/>
          <w:sz w:val="24"/>
        </w:rPr>
        <w:t>3</w:t>
      </w:r>
      <w:r>
        <w:rPr>
          <w:rFonts w:ascii="仿宋" w:hAnsi="仿宋" w:eastAsia="仿宋"/>
          <w:sz w:val="24"/>
        </w:rPr>
        <w:t>8.</w:t>
      </w:r>
      <w:r>
        <w:rPr>
          <w:rFonts w:hint="eastAsia" w:ascii="仿宋" w:hAnsi="仿宋" w:eastAsia="仿宋"/>
          <w:sz w:val="24"/>
        </w:rPr>
        <w:t xml:space="preserve"> 询问、质疑和投诉</w:t>
      </w:r>
    </w:p>
    <w:p>
      <w:pPr>
        <w:pStyle w:val="9"/>
        <w:spacing w:line="360" w:lineRule="auto"/>
        <w:rPr>
          <w:rFonts w:ascii="仿宋" w:hAnsi="仿宋" w:eastAsia="仿宋"/>
          <w:sz w:val="24"/>
          <w:szCs w:val="24"/>
        </w:rPr>
      </w:pPr>
      <w:r>
        <w:rPr>
          <w:rFonts w:ascii="仿宋" w:hAnsi="仿宋" w:eastAsia="仿宋"/>
          <w:sz w:val="24"/>
          <w:szCs w:val="24"/>
        </w:rPr>
        <w:t>38.1</w:t>
      </w:r>
      <w:r>
        <w:rPr>
          <w:rFonts w:hint="eastAsia" w:ascii="仿宋" w:hAnsi="仿宋" w:eastAsia="仿宋"/>
          <w:sz w:val="24"/>
          <w:szCs w:val="24"/>
        </w:rPr>
        <w:t>供应商对政府采购活动事项有疑问的，可以向采购人提出询问，采购人或者采购代理机构应当在3个工作日内对供应商依法提出的询问作出答复，但答复的内容不得涉及商业秘密。</w:t>
      </w:r>
    </w:p>
    <w:p>
      <w:pPr>
        <w:pStyle w:val="9"/>
        <w:spacing w:line="360" w:lineRule="auto"/>
        <w:rPr>
          <w:rFonts w:ascii="仿宋" w:hAnsi="仿宋" w:eastAsia="仿宋"/>
          <w:sz w:val="24"/>
          <w:szCs w:val="24"/>
        </w:rPr>
      </w:pPr>
      <w:r>
        <w:rPr>
          <w:rFonts w:ascii="仿宋" w:hAnsi="仿宋" w:eastAsia="仿宋"/>
          <w:sz w:val="24"/>
        </w:rPr>
        <w:t>38</w:t>
      </w:r>
      <w:r>
        <w:rPr>
          <w:rFonts w:hint="eastAsia" w:ascii="仿宋" w:hAnsi="仿宋" w:eastAsia="仿宋"/>
          <w:sz w:val="24"/>
        </w:rPr>
        <w:t>.</w:t>
      </w:r>
      <w:r>
        <w:rPr>
          <w:rFonts w:ascii="仿宋" w:hAnsi="仿宋" w:eastAsia="仿宋"/>
          <w:sz w:val="24"/>
        </w:rPr>
        <w:t>2</w:t>
      </w:r>
      <w:r>
        <w:rPr>
          <w:rFonts w:hint="eastAsia" w:ascii="仿宋" w:hAnsi="仿宋" w:eastAsia="仿宋"/>
          <w:sz w:val="24"/>
        </w:rPr>
        <w:t xml:space="preserve">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pPr>
        <w:pStyle w:val="28"/>
        <w:snapToGrid w:val="0"/>
        <w:spacing w:line="360" w:lineRule="auto"/>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1</w:t>
      </w:r>
      <w:r>
        <w:rPr>
          <w:rFonts w:ascii="仿宋" w:hAnsi="仿宋" w:eastAsia="仿宋"/>
          <w:sz w:val="24"/>
          <w:szCs w:val="24"/>
        </w:rPr>
        <w:t>）对可以质疑的</w:t>
      </w:r>
      <w:r>
        <w:rPr>
          <w:rFonts w:hint="eastAsia" w:ascii="仿宋" w:hAnsi="仿宋" w:eastAsia="仿宋"/>
          <w:sz w:val="24"/>
          <w:szCs w:val="24"/>
        </w:rPr>
        <w:t>招标</w:t>
      </w:r>
      <w:r>
        <w:rPr>
          <w:rFonts w:ascii="仿宋" w:hAnsi="仿宋" w:eastAsia="仿宋"/>
          <w:sz w:val="24"/>
          <w:szCs w:val="24"/>
        </w:rPr>
        <w:t>文件提出质疑的，为收到</w:t>
      </w:r>
      <w:r>
        <w:rPr>
          <w:rFonts w:hint="eastAsia" w:ascii="仿宋" w:hAnsi="仿宋" w:eastAsia="仿宋"/>
          <w:sz w:val="24"/>
          <w:szCs w:val="24"/>
        </w:rPr>
        <w:t>招标</w:t>
      </w:r>
      <w:r>
        <w:rPr>
          <w:rFonts w:ascii="仿宋" w:hAnsi="仿宋" w:eastAsia="仿宋"/>
          <w:sz w:val="24"/>
          <w:szCs w:val="24"/>
        </w:rPr>
        <w:t>文件之日</w:t>
      </w:r>
      <w:r>
        <w:rPr>
          <w:rFonts w:hint="eastAsia" w:ascii="仿宋" w:hAnsi="仿宋" w:eastAsia="仿宋"/>
          <w:sz w:val="24"/>
          <w:szCs w:val="24"/>
        </w:rPr>
        <w:t>或者招标文件公告期限届满之日</w:t>
      </w:r>
      <w:r>
        <w:rPr>
          <w:rFonts w:ascii="仿宋" w:hAnsi="仿宋" w:eastAsia="仿宋"/>
          <w:sz w:val="24"/>
          <w:szCs w:val="24"/>
        </w:rPr>
        <w:t>；</w:t>
      </w:r>
    </w:p>
    <w:p>
      <w:pPr>
        <w:pStyle w:val="28"/>
        <w:snapToGrid w:val="0"/>
        <w:spacing w:line="360" w:lineRule="auto"/>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2</w:t>
      </w:r>
      <w:r>
        <w:rPr>
          <w:rFonts w:ascii="仿宋" w:hAnsi="仿宋" w:eastAsia="仿宋"/>
          <w:sz w:val="24"/>
          <w:szCs w:val="24"/>
        </w:rPr>
        <w:t>）对</w:t>
      </w:r>
      <w:r>
        <w:rPr>
          <w:rFonts w:hint="eastAsia" w:ascii="仿宋" w:hAnsi="仿宋" w:eastAsia="仿宋"/>
          <w:sz w:val="24"/>
          <w:szCs w:val="24"/>
        </w:rPr>
        <w:t>采购</w:t>
      </w:r>
      <w:r>
        <w:rPr>
          <w:rFonts w:ascii="仿宋" w:hAnsi="仿宋" w:eastAsia="仿宋"/>
          <w:sz w:val="24"/>
          <w:szCs w:val="24"/>
        </w:rPr>
        <w:t>过程提出质疑的，为各采购程序环节结束之日；</w:t>
      </w:r>
    </w:p>
    <w:p>
      <w:pPr>
        <w:pStyle w:val="28"/>
        <w:snapToGrid w:val="0"/>
        <w:spacing w:line="360" w:lineRule="auto"/>
        <w:ind w:firstLine="480" w:firstLineChars="200"/>
        <w:rPr>
          <w:rFonts w:ascii="仿宋" w:hAnsi="仿宋" w:eastAsia="仿宋"/>
          <w:bCs/>
          <w:sz w:val="24"/>
          <w:szCs w:val="24"/>
        </w:rPr>
      </w:pPr>
      <w:r>
        <w:rPr>
          <w:rFonts w:ascii="仿宋" w:hAnsi="仿宋" w:eastAsia="仿宋"/>
          <w:sz w:val="24"/>
          <w:szCs w:val="24"/>
        </w:rPr>
        <w:t>（</w:t>
      </w:r>
      <w:r>
        <w:rPr>
          <w:rFonts w:hint="eastAsia" w:ascii="仿宋" w:hAnsi="仿宋" w:eastAsia="仿宋"/>
          <w:sz w:val="24"/>
          <w:szCs w:val="24"/>
        </w:rPr>
        <w:t>3</w:t>
      </w:r>
      <w:r>
        <w:rPr>
          <w:rFonts w:ascii="仿宋" w:hAnsi="仿宋" w:eastAsia="仿宋"/>
          <w:sz w:val="24"/>
          <w:szCs w:val="24"/>
        </w:rPr>
        <w:t>）对中标结果提出质疑的，为中标结果公告期限届满之日。</w:t>
      </w:r>
    </w:p>
    <w:p>
      <w:pPr>
        <w:pStyle w:val="8"/>
        <w:keepNext w:val="0"/>
        <w:keepLines w:val="0"/>
        <w:spacing w:before="0" w:after="0" w:line="360" w:lineRule="auto"/>
        <w:ind w:firstLine="360" w:firstLineChars="150"/>
        <w:rPr>
          <w:rFonts w:ascii="仿宋" w:hAnsi="仿宋" w:eastAsia="仿宋"/>
          <w:b w:val="0"/>
          <w:sz w:val="24"/>
        </w:rPr>
      </w:pPr>
      <w:r>
        <w:rPr>
          <w:rFonts w:ascii="仿宋" w:hAnsi="仿宋" w:eastAsia="仿宋"/>
          <w:b w:val="0"/>
          <w:sz w:val="24"/>
        </w:rPr>
        <w:t>38</w:t>
      </w:r>
      <w:r>
        <w:rPr>
          <w:rFonts w:hint="eastAsia" w:ascii="仿宋" w:hAnsi="仿宋" w:eastAsia="仿宋"/>
          <w:b w:val="0"/>
          <w:sz w:val="24"/>
        </w:rPr>
        <w:t>.</w:t>
      </w:r>
      <w:r>
        <w:rPr>
          <w:rFonts w:ascii="仿宋" w:hAnsi="仿宋" w:eastAsia="仿宋"/>
          <w:b w:val="0"/>
          <w:sz w:val="24"/>
        </w:rPr>
        <w:t>3</w:t>
      </w:r>
      <w:r>
        <w:rPr>
          <w:rFonts w:ascii="仿宋" w:hAnsi="仿宋" w:eastAsia="仿宋"/>
          <w:bCs/>
          <w:sz w:val="24"/>
        </w:rPr>
        <w:t>供应商提出质疑应当提交质疑函和必要的证明材料</w:t>
      </w:r>
      <w:r>
        <w:rPr>
          <w:rFonts w:hint="eastAsia" w:ascii="仿宋" w:hAnsi="仿宋" w:eastAsia="仿宋"/>
          <w:bCs/>
          <w:sz w:val="24"/>
        </w:rPr>
        <w:t>，</w:t>
      </w:r>
      <w:r>
        <w:rPr>
          <w:rFonts w:ascii="仿宋" w:hAnsi="仿宋" w:eastAsia="仿宋"/>
          <w:bCs/>
          <w:sz w:val="24"/>
        </w:rPr>
        <w:t>针对同一采购程序环节的质疑</w:t>
      </w:r>
      <w:r>
        <w:rPr>
          <w:rFonts w:hint="eastAsia" w:ascii="仿宋" w:hAnsi="仿宋" w:eastAsia="仿宋"/>
          <w:bCs/>
          <w:sz w:val="24"/>
        </w:rPr>
        <w:t>必须</w:t>
      </w:r>
      <w:r>
        <w:rPr>
          <w:rFonts w:ascii="仿宋" w:hAnsi="仿宋" w:eastAsia="仿宋"/>
          <w:bCs/>
          <w:sz w:val="24"/>
        </w:rPr>
        <w:t>在法定质疑期内一次性提出。质疑函应当包括下列内容</w:t>
      </w:r>
      <w:r>
        <w:rPr>
          <w:rFonts w:hint="eastAsia" w:ascii="仿宋" w:hAnsi="仿宋" w:eastAsia="仿宋"/>
          <w:bCs/>
          <w:sz w:val="24"/>
        </w:rPr>
        <w:t>（质疑函格式后附）</w:t>
      </w:r>
      <w:r>
        <w:rPr>
          <w:rFonts w:ascii="仿宋" w:hAnsi="仿宋" w:eastAsia="仿宋"/>
          <w:bCs/>
          <w:sz w:val="24"/>
        </w:rPr>
        <w:t>：</w:t>
      </w:r>
    </w:p>
    <w:p>
      <w:pPr>
        <w:pStyle w:val="28"/>
        <w:snapToGrid w:val="0"/>
        <w:spacing w:line="360" w:lineRule="auto"/>
        <w:ind w:firstLine="480" w:firstLineChars="200"/>
        <w:rPr>
          <w:rFonts w:ascii="仿宋" w:hAnsi="仿宋" w:eastAsia="仿宋"/>
          <w:bCs/>
          <w:sz w:val="24"/>
          <w:szCs w:val="24"/>
        </w:rPr>
      </w:pPr>
      <w:r>
        <w:rPr>
          <w:rFonts w:ascii="仿宋" w:hAnsi="仿宋" w:eastAsia="仿宋"/>
          <w:bCs/>
          <w:sz w:val="24"/>
          <w:szCs w:val="24"/>
        </w:rPr>
        <w:t>（</w:t>
      </w:r>
      <w:r>
        <w:rPr>
          <w:rFonts w:hint="eastAsia" w:ascii="仿宋" w:hAnsi="仿宋" w:eastAsia="仿宋"/>
          <w:bCs/>
          <w:sz w:val="24"/>
          <w:szCs w:val="24"/>
        </w:rPr>
        <w:t>1</w:t>
      </w:r>
      <w:r>
        <w:rPr>
          <w:rFonts w:ascii="仿宋" w:hAnsi="仿宋" w:eastAsia="仿宋"/>
          <w:bCs/>
          <w:sz w:val="24"/>
          <w:szCs w:val="24"/>
        </w:rPr>
        <w:t>）供应商的姓名或者名称、地址、邮编、联系人及联系电话；</w:t>
      </w:r>
    </w:p>
    <w:p>
      <w:pPr>
        <w:pStyle w:val="28"/>
        <w:snapToGrid w:val="0"/>
        <w:spacing w:line="360" w:lineRule="auto"/>
        <w:ind w:firstLine="480" w:firstLineChars="200"/>
        <w:rPr>
          <w:rFonts w:ascii="仿宋" w:hAnsi="仿宋" w:eastAsia="仿宋"/>
          <w:bCs/>
          <w:sz w:val="24"/>
          <w:szCs w:val="24"/>
        </w:rPr>
      </w:pPr>
      <w:r>
        <w:rPr>
          <w:rFonts w:ascii="仿宋" w:hAnsi="仿宋" w:eastAsia="仿宋"/>
          <w:bCs/>
          <w:sz w:val="24"/>
          <w:szCs w:val="24"/>
        </w:rPr>
        <w:t>（</w:t>
      </w:r>
      <w:r>
        <w:rPr>
          <w:rFonts w:hint="eastAsia" w:ascii="仿宋" w:hAnsi="仿宋" w:eastAsia="仿宋"/>
          <w:bCs/>
          <w:sz w:val="24"/>
          <w:szCs w:val="24"/>
        </w:rPr>
        <w:t>2</w:t>
      </w:r>
      <w:r>
        <w:rPr>
          <w:rFonts w:ascii="仿宋" w:hAnsi="仿宋" w:eastAsia="仿宋"/>
          <w:bCs/>
          <w:sz w:val="24"/>
          <w:szCs w:val="24"/>
        </w:rPr>
        <w:t>）质疑项目的名称、编号；</w:t>
      </w:r>
    </w:p>
    <w:p>
      <w:pPr>
        <w:pStyle w:val="28"/>
        <w:snapToGrid w:val="0"/>
        <w:spacing w:line="360" w:lineRule="auto"/>
        <w:ind w:firstLine="480" w:firstLineChars="200"/>
        <w:rPr>
          <w:rFonts w:ascii="仿宋" w:hAnsi="仿宋" w:eastAsia="仿宋"/>
          <w:bCs/>
          <w:sz w:val="24"/>
          <w:szCs w:val="24"/>
        </w:rPr>
      </w:pPr>
      <w:r>
        <w:rPr>
          <w:rFonts w:ascii="仿宋" w:hAnsi="仿宋" w:eastAsia="仿宋"/>
          <w:bCs/>
          <w:sz w:val="24"/>
          <w:szCs w:val="24"/>
        </w:rPr>
        <w:t>（</w:t>
      </w:r>
      <w:r>
        <w:rPr>
          <w:rFonts w:hint="eastAsia" w:ascii="仿宋" w:hAnsi="仿宋" w:eastAsia="仿宋"/>
          <w:bCs/>
          <w:sz w:val="24"/>
          <w:szCs w:val="24"/>
        </w:rPr>
        <w:t>3</w:t>
      </w:r>
      <w:r>
        <w:rPr>
          <w:rFonts w:ascii="仿宋" w:hAnsi="仿宋" w:eastAsia="仿宋"/>
          <w:bCs/>
          <w:sz w:val="24"/>
          <w:szCs w:val="24"/>
        </w:rPr>
        <w:t>）具体、明确的质疑事项和与质疑事项相关的请求；</w:t>
      </w:r>
    </w:p>
    <w:p>
      <w:pPr>
        <w:pStyle w:val="28"/>
        <w:snapToGrid w:val="0"/>
        <w:spacing w:line="360" w:lineRule="auto"/>
        <w:ind w:firstLine="480" w:firstLineChars="200"/>
        <w:rPr>
          <w:rFonts w:ascii="仿宋" w:hAnsi="仿宋" w:eastAsia="仿宋"/>
          <w:bCs/>
          <w:sz w:val="24"/>
          <w:szCs w:val="24"/>
        </w:rPr>
      </w:pPr>
      <w:r>
        <w:rPr>
          <w:rFonts w:ascii="仿宋" w:hAnsi="仿宋" w:eastAsia="仿宋"/>
          <w:bCs/>
          <w:sz w:val="24"/>
          <w:szCs w:val="24"/>
        </w:rPr>
        <w:t>（</w:t>
      </w:r>
      <w:r>
        <w:rPr>
          <w:rFonts w:hint="eastAsia" w:ascii="仿宋" w:hAnsi="仿宋" w:eastAsia="仿宋"/>
          <w:bCs/>
          <w:sz w:val="24"/>
          <w:szCs w:val="24"/>
        </w:rPr>
        <w:t>4</w:t>
      </w:r>
      <w:r>
        <w:rPr>
          <w:rFonts w:ascii="仿宋" w:hAnsi="仿宋" w:eastAsia="仿宋"/>
          <w:bCs/>
          <w:sz w:val="24"/>
          <w:szCs w:val="24"/>
        </w:rPr>
        <w:t>）事实依据；</w:t>
      </w:r>
    </w:p>
    <w:p>
      <w:pPr>
        <w:pStyle w:val="28"/>
        <w:snapToGrid w:val="0"/>
        <w:spacing w:line="360" w:lineRule="auto"/>
        <w:ind w:firstLine="480" w:firstLineChars="200"/>
        <w:rPr>
          <w:rFonts w:ascii="仿宋" w:hAnsi="仿宋" w:eastAsia="仿宋"/>
          <w:bCs/>
          <w:sz w:val="24"/>
          <w:szCs w:val="24"/>
        </w:rPr>
      </w:pPr>
      <w:r>
        <w:rPr>
          <w:rFonts w:ascii="仿宋" w:hAnsi="仿宋" w:eastAsia="仿宋"/>
          <w:bCs/>
          <w:sz w:val="24"/>
          <w:szCs w:val="24"/>
        </w:rPr>
        <w:t>（</w:t>
      </w:r>
      <w:r>
        <w:rPr>
          <w:rFonts w:hint="eastAsia" w:ascii="仿宋" w:hAnsi="仿宋" w:eastAsia="仿宋"/>
          <w:bCs/>
          <w:sz w:val="24"/>
          <w:szCs w:val="24"/>
        </w:rPr>
        <w:t>5</w:t>
      </w:r>
      <w:r>
        <w:rPr>
          <w:rFonts w:ascii="仿宋" w:hAnsi="仿宋" w:eastAsia="仿宋"/>
          <w:bCs/>
          <w:sz w:val="24"/>
          <w:szCs w:val="24"/>
        </w:rPr>
        <w:t>）必要的法律依据；</w:t>
      </w:r>
    </w:p>
    <w:p>
      <w:pPr>
        <w:pStyle w:val="28"/>
        <w:snapToGrid w:val="0"/>
        <w:spacing w:line="360" w:lineRule="auto"/>
        <w:ind w:firstLine="480" w:firstLineChars="200"/>
        <w:rPr>
          <w:rFonts w:ascii="仿宋" w:hAnsi="仿宋" w:eastAsia="仿宋"/>
          <w:bCs/>
          <w:sz w:val="24"/>
          <w:szCs w:val="24"/>
        </w:rPr>
      </w:pPr>
      <w:r>
        <w:rPr>
          <w:rFonts w:ascii="仿宋" w:hAnsi="仿宋" w:eastAsia="仿宋"/>
          <w:bCs/>
          <w:sz w:val="24"/>
          <w:szCs w:val="24"/>
        </w:rPr>
        <w:t>（</w:t>
      </w:r>
      <w:r>
        <w:rPr>
          <w:rFonts w:hint="eastAsia" w:ascii="仿宋" w:hAnsi="仿宋" w:eastAsia="仿宋"/>
          <w:bCs/>
          <w:sz w:val="24"/>
          <w:szCs w:val="24"/>
        </w:rPr>
        <w:t>6</w:t>
      </w:r>
      <w:r>
        <w:rPr>
          <w:rFonts w:ascii="仿宋" w:hAnsi="仿宋" w:eastAsia="仿宋"/>
          <w:bCs/>
          <w:sz w:val="24"/>
          <w:szCs w:val="24"/>
        </w:rPr>
        <w:t>）提出质疑的日期。</w:t>
      </w:r>
    </w:p>
    <w:p>
      <w:pPr>
        <w:pStyle w:val="28"/>
        <w:snapToGrid w:val="0"/>
        <w:spacing w:line="360" w:lineRule="auto"/>
        <w:ind w:firstLine="480" w:firstLineChars="200"/>
        <w:rPr>
          <w:rFonts w:ascii="仿宋" w:hAnsi="仿宋" w:eastAsia="仿宋"/>
          <w:bCs/>
          <w:sz w:val="24"/>
          <w:szCs w:val="24"/>
        </w:rPr>
      </w:pPr>
      <w:r>
        <w:rPr>
          <w:rFonts w:ascii="仿宋" w:hAnsi="仿宋" w:eastAsia="仿宋"/>
          <w:bCs/>
          <w:sz w:val="24"/>
          <w:szCs w:val="24"/>
        </w:rPr>
        <w:t>供应商为自然人的，应当由本人签字；供应商为法人或者其他组织的，应当由法定代表人、主要负责人，或者其委托代理人签字或者盖章，并加盖公章</w:t>
      </w:r>
      <w:r>
        <w:rPr>
          <w:rFonts w:hint="eastAsia" w:ascii="仿宋" w:hAnsi="仿宋" w:eastAsia="仿宋"/>
          <w:bCs/>
          <w:sz w:val="24"/>
          <w:szCs w:val="24"/>
        </w:rPr>
        <w:t>。</w:t>
      </w:r>
    </w:p>
    <w:p>
      <w:pPr>
        <w:pStyle w:val="8"/>
        <w:keepNext w:val="0"/>
        <w:keepLines w:val="0"/>
        <w:snapToGrid w:val="0"/>
        <w:spacing w:before="0" w:after="0" w:line="360" w:lineRule="auto"/>
        <w:ind w:firstLine="480" w:firstLineChars="200"/>
        <w:rPr>
          <w:rFonts w:ascii="仿宋" w:hAnsi="仿宋" w:eastAsia="仿宋"/>
          <w:b w:val="0"/>
          <w:bCs/>
          <w:sz w:val="24"/>
        </w:rPr>
      </w:pPr>
      <w:r>
        <w:rPr>
          <w:rFonts w:ascii="仿宋" w:hAnsi="仿宋" w:eastAsia="仿宋"/>
          <w:b w:val="0"/>
          <w:sz w:val="24"/>
        </w:rPr>
        <w:t>3</w:t>
      </w:r>
      <w:r>
        <w:rPr>
          <w:rFonts w:ascii="仿宋" w:hAnsi="仿宋" w:eastAsia="仿宋"/>
          <w:b w:val="0"/>
          <w:bCs/>
          <w:sz w:val="24"/>
        </w:rPr>
        <w:t>8.4</w:t>
      </w:r>
      <w:r>
        <w:rPr>
          <w:rFonts w:hint="eastAsia" w:ascii="仿宋" w:hAnsi="仿宋" w:eastAsia="仿宋"/>
          <w:b w:val="0"/>
          <w:bCs/>
          <w:sz w:val="24"/>
        </w:rPr>
        <w:t>采购人、采购代理机构认为供应商质疑不成立，或者成立但未对中标结果构成影响的，继续开展采购活动；认为供应商质疑成立且影响或者可能影响中标结果的，按照下列情况处理：</w:t>
      </w:r>
    </w:p>
    <w:p>
      <w:pPr>
        <w:pStyle w:val="28"/>
        <w:snapToGrid w:val="0"/>
        <w:spacing w:line="360" w:lineRule="auto"/>
        <w:rPr>
          <w:rFonts w:ascii="仿宋" w:hAnsi="仿宋" w:eastAsia="仿宋"/>
          <w:bCs/>
          <w:sz w:val="24"/>
          <w:szCs w:val="24"/>
        </w:rPr>
      </w:pPr>
      <w:r>
        <w:rPr>
          <w:rFonts w:hint="eastAsia" w:ascii="仿宋" w:hAnsi="仿宋" w:eastAsia="仿宋"/>
          <w:bCs/>
          <w:sz w:val="24"/>
          <w:szCs w:val="24"/>
        </w:rPr>
        <w:t>　　（1）对招标文件提出的质疑，依法通过澄清或者修改可以继续开展采购活动的，澄清或者修改招标文件后继续开展采购活动；否则应当修改招标文件后重新开展采购活动。</w:t>
      </w:r>
    </w:p>
    <w:p>
      <w:pPr>
        <w:pStyle w:val="28"/>
        <w:snapToGrid w:val="0"/>
        <w:spacing w:line="360" w:lineRule="auto"/>
        <w:rPr>
          <w:rFonts w:ascii="仿宋" w:hAnsi="仿宋" w:eastAsia="仿宋"/>
          <w:bCs/>
          <w:sz w:val="24"/>
          <w:szCs w:val="24"/>
        </w:rPr>
      </w:pPr>
      <w:r>
        <w:rPr>
          <w:rFonts w:hint="eastAsia" w:ascii="仿宋" w:hAnsi="仿宋" w:eastAsia="仿宋"/>
          <w:bCs/>
          <w:sz w:val="24"/>
          <w:szCs w:val="24"/>
        </w:rPr>
        <w:t>　　（2）对采购过程、中标结果提出的质疑，合格供应商符合法定数量时，可以从合格的中标候选人中另行确定中标供应商的，应当依法另行确定中标供应商；否则应当重新开展采购活动。</w:t>
      </w:r>
    </w:p>
    <w:p>
      <w:pPr>
        <w:pStyle w:val="28"/>
        <w:snapToGrid w:val="0"/>
        <w:spacing w:line="360" w:lineRule="auto"/>
        <w:ind w:firstLine="420"/>
        <w:rPr>
          <w:rFonts w:ascii="仿宋" w:hAnsi="仿宋" w:eastAsia="仿宋"/>
          <w:bCs/>
          <w:sz w:val="24"/>
          <w:szCs w:val="24"/>
        </w:rPr>
      </w:pPr>
      <w:r>
        <w:rPr>
          <w:rFonts w:hint="eastAsia" w:ascii="仿宋" w:hAnsi="仿宋" w:eastAsia="仿宋"/>
          <w:bCs/>
          <w:sz w:val="24"/>
          <w:szCs w:val="24"/>
        </w:rPr>
        <w:t>质疑答复导致中标结果改变的，采购人或者采购代理机构应当将有关情况书面报告本级财政部门。</w:t>
      </w:r>
    </w:p>
    <w:p>
      <w:pPr>
        <w:pStyle w:val="28"/>
        <w:snapToGrid w:val="0"/>
        <w:spacing w:line="360" w:lineRule="auto"/>
        <w:ind w:firstLine="480" w:firstLineChars="200"/>
        <w:rPr>
          <w:rFonts w:ascii="仿宋" w:hAnsi="仿宋" w:eastAsia="仿宋"/>
          <w:sz w:val="24"/>
          <w:szCs w:val="24"/>
        </w:rPr>
      </w:pPr>
      <w:r>
        <w:rPr>
          <w:rFonts w:ascii="仿宋" w:hAnsi="仿宋" w:eastAsia="仿宋"/>
          <w:sz w:val="24"/>
          <w:szCs w:val="24"/>
        </w:rPr>
        <w:t>38</w:t>
      </w: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200" w:name="_八、其他事项"/>
      <w:bookmarkEnd w:id="200"/>
    </w:p>
    <w:p>
      <w:pPr>
        <w:pStyle w:val="6"/>
        <w:keepNext w:val="0"/>
        <w:keepLines w:val="0"/>
        <w:jc w:val="center"/>
        <w:rPr>
          <w:rFonts w:ascii="仿宋" w:hAnsi="仿宋" w:eastAsia="仿宋"/>
        </w:rPr>
      </w:pPr>
      <w:r>
        <w:rPr>
          <w:rFonts w:hint="eastAsia" w:ascii="仿宋" w:hAnsi="仿宋" w:eastAsia="仿宋"/>
        </w:rPr>
        <w:t>八、其他事项</w:t>
      </w:r>
    </w:p>
    <w:p>
      <w:pPr>
        <w:pStyle w:val="8"/>
        <w:keepNext w:val="0"/>
        <w:keepLines w:val="0"/>
        <w:spacing w:before="0" w:after="0" w:line="360" w:lineRule="auto"/>
        <w:ind w:left="420" w:leftChars="200"/>
        <w:rPr>
          <w:rFonts w:ascii="仿宋" w:hAnsi="仿宋" w:eastAsia="仿宋"/>
          <w:sz w:val="24"/>
        </w:rPr>
      </w:pPr>
      <w:bookmarkStart w:id="201" w:name="_42.代理服务费"/>
      <w:bookmarkEnd w:id="201"/>
      <w:r>
        <w:rPr>
          <w:rFonts w:hint="eastAsia" w:ascii="仿宋" w:hAnsi="仿宋" w:eastAsia="仿宋"/>
          <w:sz w:val="24"/>
        </w:rPr>
        <w:t>3</w:t>
      </w:r>
      <w:r>
        <w:rPr>
          <w:rFonts w:ascii="仿宋" w:hAnsi="仿宋" w:eastAsia="仿宋"/>
          <w:sz w:val="24"/>
        </w:rPr>
        <w:t>9</w:t>
      </w:r>
      <w:r>
        <w:rPr>
          <w:rFonts w:hint="eastAsia" w:ascii="仿宋" w:hAnsi="仿宋" w:eastAsia="仿宋"/>
          <w:sz w:val="24"/>
        </w:rPr>
        <w:t>.代理服务费</w:t>
      </w:r>
    </w:p>
    <w:p>
      <w:pPr>
        <w:pStyle w:val="28"/>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9</w:t>
      </w:r>
      <w:r>
        <w:rPr>
          <w:rFonts w:hint="eastAsia" w:ascii="仿宋" w:hAnsi="仿宋" w:eastAsia="仿宋"/>
          <w:sz w:val="24"/>
          <w:szCs w:val="24"/>
        </w:rPr>
        <w:t>.1代理服务收取标准及缴费账户详见“投标人须知前附表”，投标人为联合体的，可以由联合体中的一方或者多方共同交纳代理服务费。</w:t>
      </w:r>
    </w:p>
    <w:p>
      <w:pPr>
        <w:pStyle w:val="28"/>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9</w:t>
      </w:r>
      <w:r>
        <w:rPr>
          <w:rFonts w:hint="eastAsia" w:ascii="仿宋" w:hAnsi="仿宋" w:eastAsia="仿宋"/>
          <w:sz w:val="24"/>
          <w:szCs w:val="24"/>
        </w:rPr>
        <w:t>.2代理服务收费标准（按</w:t>
      </w:r>
      <w:r>
        <w:rPr>
          <w:rFonts w:hint="eastAsia" w:ascii="仿宋" w:hAnsi="仿宋" w:eastAsia="仿宋" w:cs="宋体"/>
          <w:sz w:val="24"/>
          <w:szCs w:val="24"/>
        </w:rPr>
        <w:t>固定采购代理收费标准的不适合此条款</w:t>
      </w:r>
      <w:r>
        <w:rPr>
          <w:rFonts w:hint="eastAsia" w:ascii="仿宋" w:hAnsi="仿宋" w:eastAsia="仿宋"/>
          <w:sz w:val="24"/>
          <w:szCs w:val="24"/>
        </w:rPr>
        <w:t>）：</w:t>
      </w:r>
    </w:p>
    <w:tbl>
      <w:tblPr>
        <w:tblStyle w:val="54"/>
        <w:tblW w:w="9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6"/>
        <w:gridCol w:w="1914"/>
        <w:gridCol w:w="1946"/>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jc w:val="center"/>
        </w:trPr>
        <w:tc>
          <w:tcPr>
            <w:tcW w:w="4006" w:type="dxa"/>
            <w:tcBorders>
              <w:tl2br w:val="single" w:color="auto" w:sz="4" w:space="0"/>
            </w:tcBorders>
            <w:vAlign w:val="center"/>
          </w:tcPr>
          <w:p>
            <w:pPr>
              <w:spacing w:line="360" w:lineRule="auto"/>
              <w:ind w:firstLine="3000" w:firstLineChars="1250"/>
              <w:rPr>
                <w:rFonts w:ascii="仿宋" w:hAnsi="仿宋" w:eastAsia="仿宋"/>
                <w:sz w:val="24"/>
              </w:rPr>
            </w:pPr>
            <w:r>
              <w:rPr>
                <w:rFonts w:hint="eastAsia" w:ascii="仿宋" w:hAnsi="仿宋" w:eastAsia="仿宋"/>
                <w:sz w:val="24"/>
              </w:rPr>
              <w:t>费率</w:t>
            </w:r>
          </w:p>
          <w:p>
            <w:pPr>
              <w:spacing w:line="360" w:lineRule="auto"/>
              <w:rPr>
                <w:rFonts w:ascii="仿宋" w:hAnsi="仿宋" w:eastAsia="仿宋"/>
                <w:sz w:val="24"/>
              </w:rPr>
            </w:pPr>
            <w:r>
              <w:rPr>
                <w:rFonts w:hint="eastAsia" w:ascii="仿宋" w:hAnsi="仿宋" w:eastAsia="仿宋"/>
                <w:sz w:val="24"/>
              </w:rPr>
              <w:t>中标金额</w:t>
            </w:r>
          </w:p>
        </w:tc>
        <w:tc>
          <w:tcPr>
            <w:tcW w:w="1914" w:type="dxa"/>
            <w:vAlign w:val="center"/>
          </w:tcPr>
          <w:p>
            <w:pPr>
              <w:spacing w:line="360" w:lineRule="auto"/>
              <w:ind w:firstLine="120" w:firstLineChars="50"/>
              <w:jc w:val="center"/>
              <w:rPr>
                <w:rFonts w:ascii="仿宋" w:hAnsi="仿宋" w:eastAsia="仿宋"/>
                <w:sz w:val="24"/>
              </w:rPr>
            </w:pPr>
            <w:r>
              <w:rPr>
                <w:rFonts w:hint="eastAsia" w:ascii="仿宋" w:hAnsi="仿宋" w:eastAsia="仿宋"/>
                <w:sz w:val="24"/>
              </w:rPr>
              <w:t>货物招标</w:t>
            </w:r>
          </w:p>
        </w:tc>
        <w:tc>
          <w:tcPr>
            <w:tcW w:w="1946" w:type="dxa"/>
            <w:vAlign w:val="center"/>
          </w:tcPr>
          <w:p>
            <w:pPr>
              <w:spacing w:line="360" w:lineRule="auto"/>
              <w:jc w:val="center"/>
              <w:rPr>
                <w:rFonts w:ascii="仿宋" w:hAnsi="仿宋" w:eastAsia="仿宋"/>
                <w:sz w:val="24"/>
              </w:rPr>
            </w:pPr>
            <w:r>
              <w:rPr>
                <w:rFonts w:hint="eastAsia" w:ascii="仿宋" w:hAnsi="仿宋" w:eastAsia="仿宋"/>
                <w:sz w:val="24"/>
              </w:rPr>
              <w:t>服务招标</w:t>
            </w:r>
          </w:p>
        </w:tc>
        <w:tc>
          <w:tcPr>
            <w:tcW w:w="1914" w:type="dxa"/>
            <w:vAlign w:val="center"/>
          </w:tcPr>
          <w:p>
            <w:pPr>
              <w:spacing w:line="360" w:lineRule="auto"/>
              <w:jc w:val="center"/>
              <w:rPr>
                <w:rFonts w:ascii="仿宋" w:hAnsi="仿宋" w:eastAsia="仿宋"/>
                <w:sz w:val="24"/>
              </w:rPr>
            </w:pPr>
            <w:r>
              <w:rPr>
                <w:rFonts w:hint="eastAsia" w:ascii="仿宋" w:hAnsi="仿宋" w:eastAsia="仿宋"/>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4006" w:type="dxa"/>
            <w:vAlign w:val="center"/>
          </w:tcPr>
          <w:p>
            <w:pPr>
              <w:spacing w:line="360" w:lineRule="auto"/>
              <w:rPr>
                <w:rFonts w:ascii="仿宋" w:hAnsi="仿宋" w:eastAsia="仿宋"/>
                <w:sz w:val="24"/>
              </w:rPr>
            </w:pPr>
            <w:r>
              <w:rPr>
                <w:rFonts w:hint="eastAsia" w:ascii="仿宋" w:hAnsi="仿宋" w:eastAsia="仿宋"/>
                <w:sz w:val="24"/>
              </w:rPr>
              <w:t>100万元以下</w:t>
            </w:r>
          </w:p>
        </w:tc>
        <w:tc>
          <w:tcPr>
            <w:tcW w:w="1914" w:type="dxa"/>
            <w:vAlign w:val="center"/>
          </w:tcPr>
          <w:p>
            <w:pPr>
              <w:spacing w:line="360" w:lineRule="auto"/>
              <w:jc w:val="center"/>
              <w:rPr>
                <w:rFonts w:ascii="仿宋" w:hAnsi="仿宋" w:eastAsia="仿宋"/>
                <w:sz w:val="24"/>
              </w:rPr>
            </w:pPr>
            <w:r>
              <w:rPr>
                <w:rFonts w:ascii="仿宋" w:hAnsi="仿宋" w:eastAsia="仿宋" w:cs="宋体"/>
                <w:kern w:val="0"/>
                <w:sz w:val="24"/>
              </w:rPr>
              <w:t>1.5%</w:t>
            </w:r>
          </w:p>
        </w:tc>
        <w:tc>
          <w:tcPr>
            <w:tcW w:w="1946" w:type="dxa"/>
            <w:vAlign w:val="center"/>
          </w:tcPr>
          <w:p>
            <w:pPr>
              <w:spacing w:line="360" w:lineRule="auto"/>
              <w:jc w:val="center"/>
              <w:rPr>
                <w:rFonts w:ascii="仿宋" w:hAnsi="仿宋" w:eastAsia="仿宋"/>
                <w:sz w:val="24"/>
              </w:rPr>
            </w:pPr>
            <w:r>
              <w:rPr>
                <w:rFonts w:ascii="仿宋" w:hAnsi="仿宋" w:eastAsia="仿宋" w:cs="宋体"/>
                <w:kern w:val="0"/>
                <w:sz w:val="24"/>
              </w:rPr>
              <w:t>1.5%</w:t>
            </w:r>
          </w:p>
        </w:tc>
        <w:tc>
          <w:tcPr>
            <w:tcW w:w="1914" w:type="dxa"/>
            <w:vAlign w:val="center"/>
          </w:tcPr>
          <w:p>
            <w:pPr>
              <w:spacing w:line="360" w:lineRule="auto"/>
              <w:jc w:val="center"/>
              <w:rPr>
                <w:rFonts w:ascii="仿宋" w:hAnsi="仿宋" w:eastAsia="仿宋"/>
                <w:sz w:val="24"/>
              </w:rPr>
            </w:pPr>
            <w:r>
              <w:rPr>
                <w:rFonts w:ascii="仿宋" w:hAnsi="仿宋" w:eastAsia="仿宋" w:cs="宋体"/>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4006" w:type="dxa"/>
            <w:vAlign w:val="center"/>
          </w:tcPr>
          <w:p>
            <w:pPr>
              <w:spacing w:line="360" w:lineRule="auto"/>
              <w:rPr>
                <w:rFonts w:ascii="仿宋" w:hAnsi="仿宋" w:eastAsia="仿宋"/>
                <w:sz w:val="24"/>
              </w:rPr>
            </w:pPr>
            <w:r>
              <w:rPr>
                <w:rFonts w:hint="eastAsia" w:ascii="仿宋" w:hAnsi="仿宋" w:eastAsia="仿宋"/>
                <w:sz w:val="24"/>
              </w:rPr>
              <w:t>100～500万元</w:t>
            </w:r>
          </w:p>
        </w:tc>
        <w:tc>
          <w:tcPr>
            <w:tcW w:w="1914" w:type="dxa"/>
            <w:vAlign w:val="center"/>
          </w:tcPr>
          <w:p>
            <w:pPr>
              <w:spacing w:line="360" w:lineRule="auto"/>
              <w:jc w:val="center"/>
              <w:rPr>
                <w:rFonts w:ascii="仿宋" w:hAnsi="仿宋" w:eastAsia="仿宋"/>
                <w:sz w:val="24"/>
              </w:rPr>
            </w:pPr>
            <w:r>
              <w:rPr>
                <w:rFonts w:ascii="仿宋" w:hAnsi="仿宋" w:eastAsia="仿宋" w:cs="宋体"/>
                <w:kern w:val="0"/>
                <w:sz w:val="24"/>
              </w:rPr>
              <w:t>1.1%</w:t>
            </w:r>
          </w:p>
        </w:tc>
        <w:tc>
          <w:tcPr>
            <w:tcW w:w="1946" w:type="dxa"/>
            <w:vAlign w:val="center"/>
          </w:tcPr>
          <w:p>
            <w:pPr>
              <w:spacing w:line="360" w:lineRule="auto"/>
              <w:jc w:val="center"/>
              <w:rPr>
                <w:rFonts w:ascii="仿宋" w:hAnsi="仿宋" w:eastAsia="仿宋"/>
                <w:sz w:val="24"/>
              </w:rPr>
            </w:pPr>
            <w:r>
              <w:rPr>
                <w:rFonts w:ascii="仿宋" w:hAnsi="仿宋" w:eastAsia="仿宋" w:cs="宋体"/>
                <w:kern w:val="0"/>
                <w:sz w:val="24"/>
              </w:rPr>
              <w:t>0.8%</w:t>
            </w:r>
          </w:p>
        </w:tc>
        <w:tc>
          <w:tcPr>
            <w:tcW w:w="1914" w:type="dxa"/>
            <w:vAlign w:val="center"/>
          </w:tcPr>
          <w:p>
            <w:pPr>
              <w:spacing w:line="360" w:lineRule="auto"/>
              <w:jc w:val="center"/>
              <w:rPr>
                <w:rFonts w:ascii="仿宋" w:hAnsi="仿宋" w:eastAsia="仿宋"/>
                <w:sz w:val="24"/>
              </w:rPr>
            </w:pPr>
            <w:r>
              <w:rPr>
                <w:rFonts w:ascii="仿宋" w:hAnsi="仿宋" w:eastAsia="仿宋" w:cs="宋体"/>
                <w:kern w:val="0"/>
                <w:sz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006" w:type="dxa"/>
            <w:vAlign w:val="center"/>
          </w:tcPr>
          <w:p>
            <w:pPr>
              <w:spacing w:line="360" w:lineRule="auto"/>
              <w:rPr>
                <w:rFonts w:ascii="仿宋" w:hAnsi="仿宋" w:eastAsia="仿宋"/>
                <w:sz w:val="24"/>
              </w:rPr>
            </w:pPr>
            <w:r>
              <w:rPr>
                <w:rFonts w:hint="eastAsia" w:ascii="仿宋" w:hAnsi="仿宋" w:eastAsia="仿宋"/>
                <w:sz w:val="24"/>
              </w:rPr>
              <w:t>500～1000万元</w:t>
            </w:r>
          </w:p>
        </w:tc>
        <w:tc>
          <w:tcPr>
            <w:tcW w:w="1914" w:type="dxa"/>
            <w:vAlign w:val="center"/>
          </w:tcPr>
          <w:p>
            <w:pPr>
              <w:spacing w:line="360" w:lineRule="auto"/>
              <w:jc w:val="center"/>
              <w:rPr>
                <w:rFonts w:ascii="仿宋" w:hAnsi="仿宋" w:eastAsia="仿宋"/>
                <w:sz w:val="24"/>
              </w:rPr>
            </w:pPr>
            <w:r>
              <w:rPr>
                <w:rFonts w:ascii="仿宋" w:hAnsi="仿宋" w:eastAsia="仿宋" w:cs="宋体"/>
                <w:kern w:val="0"/>
                <w:sz w:val="24"/>
              </w:rPr>
              <w:t>0.8%</w:t>
            </w:r>
          </w:p>
        </w:tc>
        <w:tc>
          <w:tcPr>
            <w:tcW w:w="1946" w:type="dxa"/>
            <w:vAlign w:val="center"/>
          </w:tcPr>
          <w:p>
            <w:pPr>
              <w:spacing w:line="360" w:lineRule="auto"/>
              <w:jc w:val="center"/>
              <w:rPr>
                <w:rFonts w:ascii="仿宋" w:hAnsi="仿宋" w:eastAsia="仿宋"/>
                <w:sz w:val="24"/>
              </w:rPr>
            </w:pPr>
            <w:r>
              <w:rPr>
                <w:rFonts w:ascii="仿宋" w:hAnsi="仿宋" w:eastAsia="仿宋" w:cs="宋体"/>
                <w:kern w:val="0"/>
                <w:sz w:val="24"/>
              </w:rPr>
              <w:t>0.45%</w:t>
            </w:r>
          </w:p>
        </w:tc>
        <w:tc>
          <w:tcPr>
            <w:tcW w:w="1914" w:type="dxa"/>
            <w:vAlign w:val="center"/>
          </w:tcPr>
          <w:p>
            <w:pPr>
              <w:spacing w:line="360" w:lineRule="auto"/>
              <w:jc w:val="center"/>
              <w:rPr>
                <w:rFonts w:ascii="仿宋" w:hAnsi="仿宋" w:eastAsia="仿宋"/>
                <w:sz w:val="24"/>
              </w:rPr>
            </w:pPr>
            <w:r>
              <w:rPr>
                <w:rFonts w:ascii="仿宋" w:hAnsi="仿宋" w:eastAsia="仿宋" w:cs="宋体"/>
                <w:kern w:val="0"/>
                <w:sz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4006" w:type="dxa"/>
            <w:vAlign w:val="center"/>
          </w:tcPr>
          <w:p>
            <w:pPr>
              <w:spacing w:line="360" w:lineRule="auto"/>
              <w:rPr>
                <w:rFonts w:ascii="仿宋" w:hAnsi="仿宋" w:eastAsia="仿宋"/>
                <w:sz w:val="24"/>
              </w:rPr>
            </w:pPr>
            <w:r>
              <w:rPr>
                <w:rFonts w:hint="eastAsia" w:ascii="仿宋" w:hAnsi="仿宋" w:eastAsia="仿宋"/>
                <w:sz w:val="24"/>
              </w:rPr>
              <w:t>1000～5000万元</w:t>
            </w:r>
          </w:p>
        </w:tc>
        <w:tc>
          <w:tcPr>
            <w:tcW w:w="1914" w:type="dxa"/>
            <w:vAlign w:val="center"/>
          </w:tcPr>
          <w:p>
            <w:pPr>
              <w:spacing w:line="360" w:lineRule="auto"/>
              <w:jc w:val="center"/>
              <w:rPr>
                <w:rFonts w:ascii="仿宋" w:hAnsi="仿宋" w:eastAsia="仿宋"/>
                <w:sz w:val="24"/>
              </w:rPr>
            </w:pPr>
            <w:r>
              <w:rPr>
                <w:rFonts w:ascii="仿宋" w:hAnsi="仿宋" w:eastAsia="仿宋" w:cs="宋体"/>
                <w:kern w:val="0"/>
                <w:sz w:val="24"/>
              </w:rPr>
              <w:t>0.5%</w:t>
            </w:r>
          </w:p>
        </w:tc>
        <w:tc>
          <w:tcPr>
            <w:tcW w:w="1946" w:type="dxa"/>
            <w:vAlign w:val="center"/>
          </w:tcPr>
          <w:p>
            <w:pPr>
              <w:spacing w:line="360" w:lineRule="auto"/>
              <w:jc w:val="center"/>
              <w:rPr>
                <w:rFonts w:ascii="仿宋" w:hAnsi="仿宋" w:eastAsia="仿宋"/>
                <w:sz w:val="24"/>
              </w:rPr>
            </w:pPr>
            <w:r>
              <w:rPr>
                <w:rFonts w:ascii="仿宋" w:hAnsi="仿宋" w:eastAsia="仿宋" w:cs="宋体"/>
                <w:kern w:val="0"/>
                <w:sz w:val="24"/>
              </w:rPr>
              <w:t>0.25%</w:t>
            </w:r>
          </w:p>
        </w:tc>
        <w:tc>
          <w:tcPr>
            <w:tcW w:w="1914" w:type="dxa"/>
            <w:vAlign w:val="center"/>
          </w:tcPr>
          <w:p>
            <w:pPr>
              <w:spacing w:line="360" w:lineRule="auto"/>
              <w:jc w:val="center"/>
              <w:rPr>
                <w:rFonts w:ascii="仿宋" w:hAnsi="仿宋" w:eastAsia="仿宋"/>
                <w:sz w:val="24"/>
              </w:rPr>
            </w:pPr>
            <w:r>
              <w:rPr>
                <w:rFonts w:ascii="仿宋" w:hAnsi="仿宋" w:eastAsia="仿宋" w:cs="宋体"/>
                <w:kern w:val="0"/>
                <w:sz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4006" w:type="dxa"/>
            <w:vAlign w:val="center"/>
          </w:tcPr>
          <w:p>
            <w:pPr>
              <w:spacing w:line="360" w:lineRule="auto"/>
              <w:rPr>
                <w:rFonts w:ascii="仿宋" w:hAnsi="仿宋" w:eastAsia="仿宋"/>
                <w:sz w:val="24"/>
              </w:rPr>
            </w:pPr>
            <w:r>
              <w:rPr>
                <w:rFonts w:hint="eastAsia" w:ascii="仿宋" w:hAnsi="仿宋" w:eastAsia="仿宋"/>
                <w:sz w:val="24"/>
              </w:rPr>
              <w:t>5000万元～1亿元</w:t>
            </w:r>
          </w:p>
        </w:tc>
        <w:tc>
          <w:tcPr>
            <w:tcW w:w="1914" w:type="dxa"/>
            <w:vAlign w:val="center"/>
          </w:tcPr>
          <w:p>
            <w:pPr>
              <w:spacing w:line="360" w:lineRule="auto"/>
              <w:jc w:val="center"/>
              <w:rPr>
                <w:rFonts w:ascii="仿宋" w:hAnsi="仿宋" w:eastAsia="仿宋"/>
                <w:sz w:val="24"/>
              </w:rPr>
            </w:pPr>
            <w:r>
              <w:rPr>
                <w:rFonts w:ascii="仿宋" w:hAnsi="仿宋" w:eastAsia="仿宋" w:cs="宋体"/>
                <w:kern w:val="0"/>
                <w:sz w:val="24"/>
              </w:rPr>
              <w:t>0.25%</w:t>
            </w:r>
          </w:p>
        </w:tc>
        <w:tc>
          <w:tcPr>
            <w:tcW w:w="1946" w:type="dxa"/>
            <w:vAlign w:val="center"/>
          </w:tcPr>
          <w:p>
            <w:pPr>
              <w:spacing w:line="360" w:lineRule="auto"/>
              <w:jc w:val="center"/>
              <w:rPr>
                <w:rFonts w:ascii="仿宋" w:hAnsi="仿宋" w:eastAsia="仿宋"/>
                <w:sz w:val="24"/>
              </w:rPr>
            </w:pPr>
            <w:r>
              <w:rPr>
                <w:rFonts w:ascii="仿宋" w:hAnsi="仿宋" w:eastAsia="仿宋" w:cs="宋体"/>
                <w:kern w:val="0"/>
                <w:sz w:val="24"/>
              </w:rPr>
              <w:t>0.1%</w:t>
            </w:r>
          </w:p>
        </w:tc>
        <w:tc>
          <w:tcPr>
            <w:tcW w:w="1914" w:type="dxa"/>
            <w:vAlign w:val="center"/>
          </w:tcPr>
          <w:p>
            <w:pPr>
              <w:spacing w:line="360" w:lineRule="auto"/>
              <w:jc w:val="center"/>
              <w:rPr>
                <w:rFonts w:ascii="仿宋" w:hAnsi="仿宋" w:eastAsia="仿宋"/>
                <w:sz w:val="24"/>
              </w:rPr>
            </w:pPr>
            <w:r>
              <w:rPr>
                <w:rFonts w:ascii="仿宋" w:hAnsi="仿宋" w:eastAsia="仿宋" w:cs="宋体"/>
                <w:kern w:val="0"/>
                <w:sz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4006" w:type="dxa"/>
            <w:vAlign w:val="center"/>
          </w:tcPr>
          <w:p>
            <w:pPr>
              <w:spacing w:line="360" w:lineRule="auto"/>
              <w:rPr>
                <w:rFonts w:ascii="仿宋" w:hAnsi="仿宋" w:eastAsia="仿宋"/>
                <w:sz w:val="24"/>
              </w:rPr>
            </w:pPr>
            <w:r>
              <w:rPr>
                <w:rFonts w:hint="eastAsia" w:ascii="仿宋" w:hAnsi="仿宋" w:eastAsia="仿宋"/>
                <w:sz w:val="24"/>
              </w:rPr>
              <w:t>1～5亿元</w:t>
            </w:r>
          </w:p>
        </w:tc>
        <w:tc>
          <w:tcPr>
            <w:tcW w:w="1914" w:type="dxa"/>
            <w:vAlign w:val="center"/>
          </w:tcPr>
          <w:p>
            <w:pPr>
              <w:spacing w:line="360" w:lineRule="auto"/>
              <w:jc w:val="center"/>
              <w:rPr>
                <w:rFonts w:ascii="仿宋" w:hAnsi="仿宋" w:eastAsia="仿宋"/>
                <w:sz w:val="24"/>
              </w:rPr>
            </w:pPr>
            <w:r>
              <w:rPr>
                <w:rFonts w:hint="eastAsia" w:ascii="仿宋" w:hAnsi="仿宋" w:eastAsia="仿宋"/>
                <w:sz w:val="24"/>
              </w:rPr>
              <w:t>0.05%</w:t>
            </w:r>
          </w:p>
        </w:tc>
        <w:tc>
          <w:tcPr>
            <w:tcW w:w="1946" w:type="dxa"/>
            <w:vAlign w:val="center"/>
          </w:tcPr>
          <w:p>
            <w:pPr>
              <w:spacing w:line="360" w:lineRule="auto"/>
              <w:jc w:val="center"/>
              <w:rPr>
                <w:rFonts w:ascii="仿宋" w:hAnsi="仿宋" w:eastAsia="仿宋"/>
                <w:sz w:val="24"/>
              </w:rPr>
            </w:pPr>
            <w:r>
              <w:rPr>
                <w:rFonts w:hint="eastAsia" w:ascii="仿宋" w:hAnsi="仿宋" w:eastAsia="仿宋"/>
                <w:sz w:val="24"/>
              </w:rPr>
              <w:t>0.05%</w:t>
            </w:r>
          </w:p>
        </w:tc>
        <w:tc>
          <w:tcPr>
            <w:tcW w:w="1914" w:type="dxa"/>
            <w:vAlign w:val="center"/>
          </w:tcPr>
          <w:p>
            <w:pPr>
              <w:spacing w:line="360" w:lineRule="auto"/>
              <w:jc w:val="center"/>
              <w:rPr>
                <w:rFonts w:ascii="仿宋" w:hAnsi="仿宋" w:eastAsia="仿宋"/>
                <w:sz w:val="24"/>
              </w:rPr>
            </w:pPr>
            <w:r>
              <w:rPr>
                <w:rFonts w:hint="eastAsia" w:ascii="仿宋" w:hAnsi="仿宋" w:eastAsia="仿宋"/>
                <w:sz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006" w:type="dxa"/>
            <w:vAlign w:val="center"/>
          </w:tcPr>
          <w:p>
            <w:pPr>
              <w:spacing w:line="360" w:lineRule="auto"/>
              <w:rPr>
                <w:rFonts w:ascii="仿宋" w:hAnsi="仿宋" w:eastAsia="仿宋"/>
                <w:sz w:val="24"/>
              </w:rPr>
            </w:pPr>
            <w:r>
              <w:rPr>
                <w:rFonts w:hint="eastAsia" w:ascii="仿宋" w:hAnsi="仿宋" w:eastAsia="仿宋"/>
                <w:sz w:val="24"/>
              </w:rPr>
              <w:t>5～10亿元</w:t>
            </w:r>
          </w:p>
        </w:tc>
        <w:tc>
          <w:tcPr>
            <w:tcW w:w="1914" w:type="dxa"/>
            <w:vAlign w:val="center"/>
          </w:tcPr>
          <w:p>
            <w:pPr>
              <w:spacing w:line="360" w:lineRule="auto"/>
              <w:jc w:val="center"/>
              <w:rPr>
                <w:rFonts w:ascii="仿宋" w:hAnsi="仿宋" w:eastAsia="仿宋"/>
                <w:sz w:val="24"/>
              </w:rPr>
            </w:pPr>
            <w:r>
              <w:rPr>
                <w:rFonts w:hint="eastAsia" w:ascii="仿宋" w:hAnsi="仿宋" w:eastAsia="仿宋"/>
                <w:sz w:val="24"/>
              </w:rPr>
              <w:t>0.035%</w:t>
            </w:r>
          </w:p>
        </w:tc>
        <w:tc>
          <w:tcPr>
            <w:tcW w:w="1946" w:type="dxa"/>
            <w:vAlign w:val="center"/>
          </w:tcPr>
          <w:p>
            <w:pPr>
              <w:spacing w:line="360" w:lineRule="auto"/>
              <w:jc w:val="center"/>
              <w:rPr>
                <w:rFonts w:ascii="仿宋" w:hAnsi="仿宋" w:eastAsia="仿宋"/>
                <w:sz w:val="24"/>
              </w:rPr>
            </w:pPr>
            <w:r>
              <w:rPr>
                <w:rFonts w:hint="eastAsia" w:ascii="仿宋" w:hAnsi="仿宋" w:eastAsia="仿宋"/>
                <w:sz w:val="24"/>
              </w:rPr>
              <w:t>0.035%</w:t>
            </w:r>
          </w:p>
        </w:tc>
        <w:tc>
          <w:tcPr>
            <w:tcW w:w="1914" w:type="dxa"/>
            <w:vAlign w:val="center"/>
          </w:tcPr>
          <w:p>
            <w:pPr>
              <w:spacing w:line="360" w:lineRule="auto"/>
              <w:jc w:val="center"/>
              <w:rPr>
                <w:rFonts w:ascii="仿宋" w:hAnsi="仿宋" w:eastAsia="仿宋"/>
                <w:sz w:val="24"/>
              </w:rPr>
            </w:pPr>
            <w:r>
              <w:rPr>
                <w:rFonts w:hint="eastAsia" w:ascii="仿宋" w:hAnsi="仿宋" w:eastAsia="仿宋"/>
                <w:sz w:val="24"/>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4006" w:type="dxa"/>
            <w:vAlign w:val="center"/>
          </w:tcPr>
          <w:p>
            <w:pPr>
              <w:spacing w:line="360" w:lineRule="auto"/>
              <w:rPr>
                <w:rFonts w:ascii="仿宋" w:hAnsi="仿宋" w:eastAsia="仿宋"/>
                <w:sz w:val="24"/>
              </w:rPr>
            </w:pPr>
            <w:r>
              <w:rPr>
                <w:rFonts w:hint="eastAsia" w:ascii="仿宋" w:hAnsi="仿宋" w:eastAsia="仿宋"/>
                <w:sz w:val="24"/>
              </w:rPr>
              <w:t>10～50亿元</w:t>
            </w:r>
          </w:p>
        </w:tc>
        <w:tc>
          <w:tcPr>
            <w:tcW w:w="1914" w:type="dxa"/>
            <w:vAlign w:val="center"/>
          </w:tcPr>
          <w:p>
            <w:pPr>
              <w:spacing w:line="360" w:lineRule="auto"/>
              <w:jc w:val="center"/>
              <w:rPr>
                <w:rFonts w:ascii="仿宋" w:hAnsi="仿宋" w:eastAsia="仿宋"/>
                <w:sz w:val="24"/>
              </w:rPr>
            </w:pPr>
            <w:r>
              <w:rPr>
                <w:rFonts w:hint="eastAsia" w:ascii="仿宋" w:hAnsi="仿宋" w:eastAsia="仿宋"/>
                <w:sz w:val="24"/>
              </w:rPr>
              <w:t>0.008%</w:t>
            </w:r>
          </w:p>
        </w:tc>
        <w:tc>
          <w:tcPr>
            <w:tcW w:w="1946" w:type="dxa"/>
            <w:vAlign w:val="center"/>
          </w:tcPr>
          <w:p>
            <w:pPr>
              <w:spacing w:line="360" w:lineRule="auto"/>
              <w:jc w:val="center"/>
              <w:rPr>
                <w:rFonts w:ascii="仿宋" w:hAnsi="仿宋" w:eastAsia="仿宋"/>
                <w:sz w:val="24"/>
              </w:rPr>
            </w:pPr>
            <w:r>
              <w:rPr>
                <w:rFonts w:hint="eastAsia" w:ascii="仿宋" w:hAnsi="仿宋" w:eastAsia="仿宋"/>
                <w:sz w:val="24"/>
              </w:rPr>
              <w:t>0.008%</w:t>
            </w:r>
          </w:p>
        </w:tc>
        <w:tc>
          <w:tcPr>
            <w:tcW w:w="1914" w:type="dxa"/>
            <w:vAlign w:val="center"/>
          </w:tcPr>
          <w:p>
            <w:pPr>
              <w:spacing w:line="360" w:lineRule="auto"/>
              <w:jc w:val="center"/>
              <w:rPr>
                <w:rFonts w:ascii="仿宋" w:hAnsi="仿宋" w:eastAsia="仿宋"/>
                <w:sz w:val="24"/>
              </w:rPr>
            </w:pPr>
            <w:r>
              <w:rPr>
                <w:rFonts w:hint="eastAsia" w:ascii="仿宋" w:hAnsi="仿宋" w:eastAsia="仿宋"/>
                <w:sz w:val="24"/>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4006" w:type="dxa"/>
            <w:vAlign w:val="center"/>
          </w:tcPr>
          <w:p>
            <w:pPr>
              <w:spacing w:line="360" w:lineRule="auto"/>
              <w:rPr>
                <w:rFonts w:ascii="仿宋" w:hAnsi="仿宋" w:eastAsia="仿宋"/>
                <w:sz w:val="24"/>
              </w:rPr>
            </w:pPr>
            <w:r>
              <w:rPr>
                <w:rFonts w:hint="eastAsia" w:ascii="仿宋" w:hAnsi="仿宋" w:eastAsia="仿宋"/>
                <w:sz w:val="24"/>
              </w:rPr>
              <w:t>50～100亿元</w:t>
            </w:r>
          </w:p>
        </w:tc>
        <w:tc>
          <w:tcPr>
            <w:tcW w:w="1914" w:type="dxa"/>
            <w:vAlign w:val="center"/>
          </w:tcPr>
          <w:p>
            <w:pPr>
              <w:spacing w:line="360" w:lineRule="auto"/>
              <w:jc w:val="center"/>
              <w:rPr>
                <w:rFonts w:ascii="仿宋" w:hAnsi="仿宋" w:eastAsia="仿宋"/>
                <w:sz w:val="24"/>
              </w:rPr>
            </w:pPr>
            <w:r>
              <w:rPr>
                <w:rFonts w:hint="eastAsia" w:ascii="仿宋" w:hAnsi="仿宋" w:eastAsia="仿宋"/>
                <w:sz w:val="24"/>
              </w:rPr>
              <w:t>0.006%</w:t>
            </w:r>
          </w:p>
        </w:tc>
        <w:tc>
          <w:tcPr>
            <w:tcW w:w="1946" w:type="dxa"/>
            <w:vAlign w:val="center"/>
          </w:tcPr>
          <w:p>
            <w:pPr>
              <w:spacing w:line="360" w:lineRule="auto"/>
              <w:jc w:val="center"/>
              <w:rPr>
                <w:rFonts w:ascii="仿宋" w:hAnsi="仿宋" w:eastAsia="仿宋"/>
                <w:sz w:val="24"/>
              </w:rPr>
            </w:pPr>
            <w:r>
              <w:rPr>
                <w:rFonts w:hint="eastAsia" w:ascii="仿宋" w:hAnsi="仿宋" w:eastAsia="仿宋"/>
                <w:sz w:val="24"/>
              </w:rPr>
              <w:t>0.006%</w:t>
            </w:r>
          </w:p>
        </w:tc>
        <w:tc>
          <w:tcPr>
            <w:tcW w:w="1914" w:type="dxa"/>
            <w:vAlign w:val="center"/>
          </w:tcPr>
          <w:p>
            <w:pPr>
              <w:spacing w:line="360" w:lineRule="auto"/>
              <w:jc w:val="center"/>
              <w:rPr>
                <w:rFonts w:ascii="仿宋" w:hAnsi="仿宋" w:eastAsia="仿宋"/>
                <w:sz w:val="24"/>
              </w:rPr>
            </w:pPr>
            <w:r>
              <w:rPr>
                <w:rFonts w:hint="eastAsia" w:ascii="仿宋" w:hAnsi="仿宋" w:eastAsia="仿宋"/>
                <w:sz w:val="24"/>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4006" w:type="dxa"/>
            <w:vAlign w:val="center"/>
          </w:tcPr>
          <w:p>
            <w:pPr>
              <w:spacing w:line="360" w:lineRule="auto"/>
              <w:rPr>
                <w:rFonts w:ascii="仿宋" w:hAnsi="仿宋" w:eastAsia="仿宋"/>
                <w:sz w:val="24"/>
              </w:rPr>
            </w:pPr>
            <w:r>
              <w:rPr>
                <w:rFonts w:hint="eastAsia" w:ascii="仿宋" w:hAnsi="仿宋" w:eastAsia="仿宋"/>
                <w:sz w:val="24"/>
              </w:rPr>
              <w:t>100亿以上</w:t>
            </w:r>
          </w:p>
        </w:tc>
        <w:tc>
          <w:tcPr>
            <w:tcW w:w="1914" w:type="dxa"/>
            <w:vAlign w:val="center"/>
          </w:tcPr>
          <w:p>
            <w:pPr>
              <w:spacing w:line="360" w:lineRule="auto"/>
              <w:jc w:val="center"/>
              <w:rPr>
                <w:rFonts w:ascii="仿宋" w:hAnsi="仿宋" w:eastAsia="仿宋"/>
                <w:sz w:val="24"/>
              </w:rPr>
            </w:pPr>
            <w:r>
              <w:rPr>
                <w:rFonts w:hint="eastAsia" w:ascii="仿宋" w:hAnsi="仿宋" w:eastAsia="仿宋"/>
                <w:sz w:val="24"/>
              </w:rPr>
              <w:t>0.004%</w:t>
            </w:r>
          </w:p>
        </w:tc>
        <w:tc>
          <w:tcPr>
            <w:tcW w:w="1946" w:type="dxa"/>
            <w:vAlign w:val="center"/>
          </w:tcPr>
          <w:p>
            <w:pPr>
              <w:spacing w:line="360" w:lineRule="auto"/>
              <w:jc w:val="center"/>
              <w:rPr>
                <w:rFonts w:ascii="仿宋" w:hAnsi="仿宋" w:eastAsia="仿宋"/>
                <w:sz w:val="24"/>
              </w:rPr>
            </w:pPr>
            <w:r>
              <w:rPr>
                <w:rFonts w:hint="eastAsia" w:ascii="仿宋" w:hAnsi="仿宋" w:eastAsia="仿宋"/>
                <w:sz w:val="24"/>
              </w:rPr>
              <w:t>0.004%</w:t>
            </w:r>
          </w:p>
        </w:tc>
        <w:tc>
          <w:tcPr>
            <w:tcW w:w="1914" w:type="dxa"/>
            <w:vAlign w:val="center"/>
          </w:tcPr>
          <w:p>
            <w:pPr>
              <w:spacing w:line="360" w:lineRule="auto"/>
              <w:jc w:val="center"/>
              <w:rPr>
                <w:rFonts w:ascii="仿宋" w:hAnsi="仿宋" w:eastAsia="仿宋"/>
                <w:sz w:val="24"/>
              </w:rPr>
            </w:pPr>
            <w:r>
              <w:rPr>
                <w:rFonts w:hint="eastAsia" w:ascii="仿宋" w:hAnsi="仿宋" w:eastAsia="仿宋"/>
                <w:sz w:val="24"/>
              </w:rPr>
              <w:t>0.004%</w:t>
            </w:r>
          </w:p>
        </w:tc>
      </w:tr>
    </w:tbl>
    <w:p>
      <w:pPr>
        <w:spacing w:line="360" w:lineRule="auto"/>
        <w:ind w:firstLine="480" w:firstLineChars="200"/>
        <w:rPr>
          <w:rFonts w:ascii="仿宋" w:hAnsi="仿宋" w:eastAsia="仿宋" w:cs="宋体"/>
          <w:sz w:val="24"/>
        </w:rPr>
      </w:pPr>
      <w:r>
        <w:rPr>
          <w:rFonts w:hint="eastAsia" w:ascii="仿宋" w:hAnsi="仿宋" w:eastAsia="仿宋"/>
          <w:sz w:val="24"/>
        </w:rPr>
        <w:t>注:</w:t>
      </w:r>
    </w:p>
    <w:p>
      <w:pPr>
        <w:spacing w:line="360" w:lineRule="auto"/>
        <w:ind w:firstLine="480" w:firstLineChars="200"/>
        <w:rPr>
          <w:rFonts w:ascii="仿宋" w:hAnsi="仿宋" w:eastAsia="仿宋" w:cs="宋体"/>
          <w:sz w:val="24"/>
        </w:rPr>
      </w:pPr>
      <w:r>
        <w:rPr>
          <w:rFonts w:hint="eastAsia" w:ascii="仿宋" w:hAnsi="仿宋" w:eastAsia="仿宋" w:cs="宋体"/>
          <w:sz w:val="24"/>
        </w:rPr>
        <w:t>（1）</w:t>
      </w:r>
      <w:r>
        <w:rPr>
          <w:rFonts w:ascii="仿宋" w:hAnsi="仿宋" w:eastAsia="仿宋" w:cs="宋体"/>
          <w:sz w:val="24"/>
        </w:rPr>
        <w:t>按本表费率计算的收费为</w:t>
      </w:r>
      <w:r>
        <w:rPr>
          <w:rFonts w:hint="eastAsia" w:ascii="仿宋" w:hAnsi="仿宋" w:eastAsia="仿宋" w:cs="宋体"/>
          <w:sz w:val="24"/>
        </w:rPr>
        <w:t>采购</w:t>
      </w:r>
      <w:r>
        <w:rPr>
          <w:rFonts w:ascii="仿宋" w:hAnsi="仿宋" w:eastAsia="仿宋" w:cs="宋体"/>
          <w:sz w:val="24"/>
        </w:rPr>
        <w:t>代理的收费基准价格</w:t>
      </w:r>
      <w:r>
        <w:rPr>
          <w:rFonts w:hint="eastAsia" w:ascii="仿宋" w:hAnsi="仿宋" w:eastAsia="仿宋" w:cs="宋体"/>
          <w:sz w:val="24"/>
        </w:rPr>
        <w:t>；</w:t>
      </w:r>
    </w:p>
    <w:p>
      <w:pPr>
        <w:spacing w:line="360" w:lineRule="auto"/>
        <w:ind w:firstLine="480" w:firstLineChars="200"/>
        <w:rPr>
          <w:rFonts w:ascii="仿宋" w:hAnsi="仿宋" w:eastAsia="仿宋" w:cs="宋体"/>
          <w:sz w:val="24"/>
        </w:rPr>
      </w:pPr>
      <w:r>
        <w:rPr>
          <w:rFonts w:hint="eastAsia" w:ascii="仿宋" w:hAnsi="仿宋" w:eastAsia="仿宋" w:cs="宋体"/>
          <w:sz w:val="24"/>
        </w:rPr>
        <w:t>（2）采购</w:t>
      </w:r>
      <w:r>
        <w:rPr>
          <w:rFonts w:ascii="仿宋" w:hAnsi="仿宋" w:eastAsia="仿宋" w:cs="宋体"/>
          <w:sz w:val="24"/>
        </w:rPr>
        <w:t>代理收费按差额定率累进法计算。</w:t>
      </w:r>
    </w:p>
    <w:p>
      <w:pPr>
        <w:spacing w:line="360" w:lineRule="auto"/>
        <w:ind w:firstLine="480" w:firstLineChars="200"/>
        <w:rPr>
          <w:rFonts w:ascii="仿宋" w:hAnsi="仿宋" w:eastAsia="仿宋" w:cs="宋体"/>
          <w:sz w:val="24"/>
        </w:rPr>
      </w:pPr>
      <w:r>
        <w:rPr>
          <w:rFonts w:ascii="仿宋" w:hAnsi="仿宋" w:eastAsia="仿宋" w:cs="宋体"/>
          <w:sz w:val="24"/>
        </w:rPr>
        <w:t>例如：某</w:t>
      </w:r>
      <w:r>
        <w:rPr>
          <w:rFonts w:hint="eastAsia" w:ascii="仿宋" w:hAnsi="仿宋" w:eastAsia="仿宋" w:cs="宋体"/>
          <w:sz w:val="24"/>
        </w:rPr>
        <w:t>货物采购</w:t>
      </w:r>
      <w:r>
        <w:rPr>
          <w:rFonts w:ascii="仿宋" w:hAnsi="仿宋" w:eastAsia="仿宋" w:cs="宋体"/>
          <w:sz w:val="24"/>
        </w:rPr>
        <w:t>代理业务</w:t>
      </w:r>
      <w:r>
        <w:rPr>
          <w:rFonts w:hint="eastAsia" w:ascii="仿宋" w:hAnsi="仿宋" w:eastAsia="仿宋" w:cs="宋体"/>
          <w:sz w:val="24"/>
        </w:rPr>
        <w:t>中标</w:t>
      </w:r>
      <w:r>
        <w:rPr>
          <w:rFonts w:ascii="仿宋" w:hAnsi="仿宋" w:eastAsia="仿宋" w:cs="宋体"/>
          <w:sz w:val="24"/>
        </w:rPr>
        <w:t>金额</w:t>
      </w:r>
      <w:r>
        <w:rPr>
          <w:rFonts w:hint="eastAsia" w:ascii="仿宋" w:hAnsi="仿宋" w:eastAsia="仿宋" w:cs="宋体"/>
          <w:sz w:val="24"/>
        </w:rPr>
        <w:t>或者暂定价</w:t>
      </w:r>
      <w:r>
        <w:rPr>
          <w:rFonts w:ascii="仿宋" w:hAnsi="仿宋" w:eastAsia="仿宋" w:cs="宋体"/>
          <w:sz w:val="24"/>
        </w:rPr>
        <w:t>为200万元，计算</w:t>
      </w:r>
      <w:r>
        <w:rPr>
          <w:rFonts w:hint="eastAsia" w:ascii="仿宋" w:hAnsi="仿宋" w:eastAsia="仿宋" w:cs="宋体"/>
          <w:sz w:val="24"/>
        </w:rPr>
        <w:t>采购</w:t>
      </w:r>
      <w:r>
        <w:rPr>
          <w:rFonts w:ascii="仿宋" w:hAnsi="仿宋" w:eastAsia="仿宋" w:cs="宋体"/>
          <w:sz w:val="24"/>
        </w:rPr>
        <w:t>代理收费额如下：</w:t>
      </w:r>
    </w:p>
    <w:p>
      <w:pPr>
        <w:spacing w:line="360" w:lineRule="auto"/>
        <w:ind w:firstLine="480" w:firstLineChars="200"/>
        <w:rPr>
          <w:rFonts w:ascii="仿宋" w:hAnsi="仿宋" w:eastAsia="仿宋" w:cs="宋体"/>
          <w:sz w:val="24"/>
        </w:rPr>
      </w:pPr>
      <w:r>
        <w:rPr>
          <w:rFonts w:ascii="仿宋" w:hAnsi="仿宋" w:eastAsia="仿宋" w:cs="宋体"/>
          <w:sz w:val="24"/>
        </w:rPr>
        <w:t>100万元×l.5％＝1.5万元</w:t>
      </w:r>
    </w:p>
    <w:p>
      <w:pPr>
        <w:spacing w:line="360" w:lineRule="auto"/>
        <w:ind w:firstLine="480" w:firstLineChars="200"/>
        <w:rPr>
          <w:rFonts w:ascii="仿宋" w:hAnsi="仿宋" w:eastAsia="仿宋" w:cs="宋体"/>
          <w:sz w:val="24"/>
        </w:rPr>
      </w:pPr>
      <w:r>
        <w:rPr>
          <w:rFonts w:ascii="仿宋" w:hAnsi="仿宋" w:eastAsia="仿宋" w:cs="宋体"/>
          <w:sz w:val="24"/>
        </w:rPr>
        <w:t>（200－100）万元 ×1.1％＝1.1万元</w:t>
      </w:r>
    </w:p>
    <w:p>
      <w:pPr>
        <w:spacing w:line="360" w:lineRule="auto"/>
        <w:ind w:firstLine="480" w:firstLineChars="200"/>
        <w:rPr>
          <w:rFonts w:ascii="仿宋" w:hAnsi="仿宋" w:eastAsia="仿宋" w:cs="宋体"/>
          <w:sz w:val="24"/>
        </w:rPr>
      </w:pPr>
      <w:r>
        <w:rPr>
          <w:rFonts w:ascii="仿宋" w:hAnsi="仿宋" w:eastAsia="仿宋" w:cs="宋体"/>
          <w:sz w:val="24"/>
        </w:rPr>
        <w:t>合计收费＝1.5</w:t>
      </w:r>
      <w:r>
        <w:rPr>
          <w:rFonts w:hint="eastAsia" w:ascii="仿宋" w:hAnsi="仿宋" w:eastAsia="仿宋" w:cs="宋体"/>
          <w:sz w:val="24"/>
        </w:rPr>
        <w:t>+</w:t>
      </w:r>
      <w:r>
        <w:rPr>
          <w:rFonts w:ascii="仿宋" w:hAnsi="仿宋" w:eastAsia="仿宋" w:cs="宋体"/>
          <w:sz w:val="24"/>
        </w:rPr>
        <w:t>1.1＝2.6（万元）</w:t>
      </w:r>
    </w:p>
    <w:p>
      <w:pPr>
        <w:spacing w:line="360" w:lineRule="auto"/>
        <w:ind w:firstLine="480" w:firstLineChars="200"/>
        <w:rPr>
          <w:rFonts w:ascii="仿宋" w:hAnsi="仿宋" w:eastAsia="仿宋" w:cs="宋体"/>
          <w:sz w:val="24"/>
        </w:rPr>
      </w:pPr>
      <w:r>
        <w:rPr>
          <w:rFonts w:ascii="仿宋" w:hAnsi="仿宋" w:eastAsia="仿宋" w:cs="宋体"/>
          <w:sz w:val="24"/>
        </w:rPr>
        <w:t>3</w:t>
      </w:r>
      <w:r>
        <w:rPr>
          <w:rFonts w:hint="eastAsia" w:ascii="仿宋" w:hAnsi="仿宋" w:eastAsia="仿宋" w:cs="宋体"/>
          <w:sz w:val="24"/>
        </w:rPr>
        <w:t>9</w:t>
      </w:r>
      <w:r>
        <w:rPr>
          <w:rFonts w:ascii="仿宋" w:hAnsi="仿宋" w:eastAsia="仿宋" w:cs="宋体"/>
          <w:sz w:val="24"/>
        </w:rPr>
        <w:t>.</w:t>
      </w:r>
      <w:r>
        <w:rPr>
          <w:rFonts w:hint="eastAsia" w:ascii="仿宋" w:hAnsi="仿宋" w:eastAsia="仿宋" w:cs="宋体"/>
          <w:sz w:val="24"/>
        </w:rPr>
        <w:t>3代理服务费交纳</w:t>
      </w:r>
      <w:r>
        <w:rPr>
          <w:rFonts w:ascii="仿宋" w:hAnsi="仿宋" w:eastAsia="仿宋" w:cs="宋体"/>
          <w:sz w:val="24"/>
        </w:rPr>
        <w:t>银行</w:t>
      </w:r>
      <w:r>
        <w:rPr>
          <w:rFonts w:hint="eastAsia" w:ascii="仿宋" w:hAnsi="仿宋" w:eastAsia="仿宋" w:cs="宋体"/>
          <w:sz w:val="24"/>
        </w:rPr>
        <w:t>账</w:t>
      </w:r>
      <w:r>
        <w:rPr>
          <w:rFonts w:ascii="仿宋" w:hAnsi="仿宋" w:eastAsia="仿宋" w:cs="宋体"/>
          <w:sz w:val="24"/>
        </w:rPr>
        <w:t>号信息</w:t>
      </w:r>
      <w:r>
        <w:rPr>
          <w:rFonts w:hint="eastAsia" w:ascii="仿宋" w:hAnsi="仿宋" w:eastAsia="仿宋" w:cs="宋体"/>
          <w:sz w:val="24"/>
        </w:rPr>
        <w:t>：详见“投标人须知前附表”</w:t>
      </w:r>
    </w:p>
    <w:p>
      <w:pPr>
        <w:pStyle w:val="8"/>
        <w:keepNext w:val="0"/>
        <w:keepLines w:val="0"/>
        <w:spacing w:before="0" w:after="0" w:line="360" w:lineRule="auto"/>
        <w:ind w:left="420" w:leftChars="200"/>
        <w:rPr>
          <w:rFonts w:ascii="仿宋" w:hAnsi="仿宋" w:eastAsia="仿宋"/>
          <w:sz w:val="24"/>
        </w:rPr>
      </w:pPr>
      <w:r>
        <w:rPr>
          <w:rFonts w:ascii="仿宋" w:hAnsi="仿宋" w:eastAsia="仿宋"/>
          <w:sz w:val="24"/>
        </w:rPr>
        <w:t>40. 需要补充的其他内容</w:t>
      </w:r>
    </w:p>
    <w:p>
      <w:pPr>
        <w:spacing w:line="360" w:lineRule="auto"/>
        <w:ind w:firstLine="480" w:firstLineChars="200"/>
        <w:rPr>
          <w:rFonts w:ascii="仿宋" w:hAnsi="仿宋" w:eastAsia="仿宋" w:cs="宋体"/>
          <w:sz w:val="24"/>
        </w:rPr>
      </w:pPr>
      <w:r>
        <w:rPr>
          <w:rFonts w:hint="eastAsia" w:ascii="仿宋" w:hAnsi="仿宋" w:eastAsia="仿宋" w:cs="宋体"/>
          <w:sz w:val="24"/>
        </w:rPr>
        <w:t>40.1本招标文件解释规则详见“投标人须知前附表”。</w:t>
      </w:r>
    </w:p>
    <w:p>
      <w:pPr>
        <w:spacing w:line="360" w:lineRule="auto"/>
        <w:ind w:firstLine="480" w:firstLineChars="200"/>
        <w:rPr>
          <w:rFonts w:ascii="仿宋" w:hAnsi="仿宋" w:eastAsia="仿宋" w:cs="宋体"/>
          <w:sz w:val="24"/>
        </w:rPr>
      </w:pPr>
      <w:r>
        <w:rPr>
          <w:rFonts w:hint="eastAsia" w:ascii="仿宋" w:hAnsi="仿宋" w:eastAsia="仿宋" w:cs="宋体"/>
          <w:sz w:val="24"/>
        </w:rPr>
        <w:t>40.2 其他事项详见“投标人须知前附表”。</w:t>
      </w:r>
    </w:p>
    <w:p>
      <w:pPr>
        <w:spacing w:line="360" w:lineRule="auto"/>
        <w:ind w:firstLine="480" w:firstLineChars="200"/>
        <w:rPr>
          <w:rFonts w:ascii="仿宋" w:hAnsi="仿宋" w:eastAsia="仿宋" w:cs="宋体"/>
          <w:sz w:val="24"/>
        </w:rPr>
      </w:pPr>
      <w:r>
        <w:rPr>
          <w:rFonts w:hint="eastAsia" w:ascii="仿宋" w:hAnsi="仿宋" w:eastAsia="仿宋" w:cs="宋体"/>
          <w:sz w:val="24"/>
        </w:rPr>
        <w:t>40.3</w:t>
      </w:r>
      <w:bookmarkStart w:id="202" w:name="_Hlk65857140"/>
      <w:r>
        <w:rPr>
          <w:rFonts w:hint="eastAsia" w:ascii="仿宋" w:hAnsi="仿宋" w:eastAsia="仿宋" w:cs="宋体"/>
          <w:sz w:val="24"/>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pPr>
        <w:pStyle w:val="28"/>
        <w:spacing w:before="120" w:after="120"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（1）在货物采购项目中，货物由中小企业制造，即货物由中小企业生产且使用该中小企业商号或者注册商标，不对其中涉及的工程承建商和服务的承接商作出要求；</w:t>
      </w:r>
    </w:p>
    <w:p>
      <w:pPr>
        <w:pStyle w:val="28"/>
        <w:spacing w:before="120" w:after="120"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（2）在工程采购项目中，工程由中小企业承建，即工程施工单位为中小企业，不对其中涉及的货物的制造商和服务的承接商作出要求；</w:t>
      </w:r>
    </w:p>
    <w:p>
      <w:pPr>
        <w:pStyle w:val="28"/>
        <w:spacing w:before="120" w:after="120"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（3）在服务采购项目中，服务由中小企业承接，即提供服务的人员为中小企业依照《中华人民共和国劳动合同法》订立劳动合同的从业人员，不对其中涉及的货物的制造商和工程承建商作出要求。</w:t>
      </w:r>
    </w:p>
    <w:p>
      <w:pPr>
        <w:pStyle w:val="28"/>
        <w:spacing w:before="120" w:after="120"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pPr>
        <w:pStyle w:val="28"/>
        <w:spacing w:before="120" w:after="120"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依据本招标文件规定享受扶持政策获得政府采购合同的，小微企业不得将合同分包给大中型企业，中型企业不得将合同分包给大型企业。</w:t>
      </w:r>
      <w:bookmarkEnd w:id="202"/>
    </w:p>
    <w:p>
      <w:pPr>
        <w:pStyle w:val="4"/>
        <w:keepNext w:val="0"/>
        <w:keepLines w:val="0"/>
        <w:pageBreakBefore/>
        <w:spacing w:before="0" w:after="0" w:line="360" w:lineRule="auto"/>
        <w:jc w:val="center"/>
        <w:rPr>
          <w:rFonts w:ascii="仿宋" w:hAnsi="仿宋" w:eastAsia="仿宋"/>
        </w:rPr>
      </w:pPr>
      <w:bookmarkStart w:id="203" w:name="_Toc330456896"/>
      <w:bookmarkStart w:id="204" w:name="_Toc254970689"/>
      <w:bookmarkStart w:id="205" w:name="_Toc254970548"/>
      <w:bookmarkStart w:id="206" w:name="_Toc74320803"/>
      <w:r>
        <w:rPr>
          <w:rFonts w:hint="eastAsia" w:ascii="仿宋" w:hAnsi="仿宋" w:eastAsia="仿宋"/>
        </w:rPr>
        <w:t>第四章  评标方法及评标标准</w:t>
      </w:r>
      <w:bookmarkEnd w:id="203"/>
      <w:bookmarkEnd w:id="204"/>
      <w:bookmarkEnd w:id="205"/>
      <w:bookmarkEnd w:id="206"/>
    </w:p>
    <w:p>
      <w:pPr>
        <w:pStyle w:val="6"/>
        <w:keepNext w:val="0"/>
        <w:keepLines w:val="0"/>
        <w:spacing w:before="0" w:after="0" w:line="415" w:lineRule="auto"/>
        <w:jc w:val="center"/>
        <w:rPr>
          <w:rFonts w:ascii="仿宋" w:hAnsi="仿宋" w:eastAsia="仿宋"/>
          <w:sz w:val="30"/>
          <w:szCs w:val="30"/>
        </w:rPr>
      </w:pPr>
      <w:r>
        <w:rPr>
          <w:rFonts w:hint="eastAsia" w:ascii="仿宋" w:hAnsi="仿宋" w:eastAsia="仿宋"/>
          <w:sz w:val="30"/>
          <w:szCs w:val="30"/>
        </w:rPr>
        <w:t>一、评标方法</w:t>
      </w:r>
    </w:p>
    <w:p>
      <w:pPr>
        <w:pStyle w:val="28"/>
        <w:spacing w:line="360" w:lineRule="auto"/>
        <w:ind w:firstLine="420"/>
        <w:rPr>
          <w:rFonts w:ascii="仿宋" w:hAnsi="仿宋" w:eastAsia="仿宋"/>
          <w:sz w:val="24"/>
          <w:szCs w:val="24"/>
        </w:rPr>
      </w:pPr>
      <w:r>
        <w:rPr>
          <w:rFonts w:hint="eastAsia" w:ascii="仿宋" w:hAnsi="仿宋" w:eastAsia="仿宋"/>
          <w:sz w:val="24"/>
          <w:szCs w:val="24"/>
        </w:rPr>
        <w:t>综合评分法，是指投标文件满足招标文件全部实质性要求，且按照评审因素的量化指标评审得分最高的投标人为中标候选人的评标方法。</w:t>
      </w:r>
    </w:p>
    <w:p>
      <w:pPr>
        <w:pStyle w:val="6"/>
        <w:keepNext w:val="0"/>
        <w:keepLines w:val="0"/>
        <w:spacing w:before="120" w:beforeLines="50" w:after="0" w:line="360" w:lineRule="auto"/>
        <w:jc w:val="center"/>
        <w:rPr>
          <w:rFonts w:ascii="仿宋" w:hAnsi="仿宋" w:eastAsia="仿宋"/>
          <w:sz w:val="30"/>
          <w:szCs w:val="30"/>
        </w:rPr>
      </w:pPr>
      <w:r>
        <w:rPr>
          <w:rFonts w:hint="eastAsia" w:ascii="仿宋" w:hAnsi="仿宋" w:eastAsia="仿宋"/>
          <w:sz w:val="30"/>
          <w:szCs w:val="30"/>
        </w:rPr>
        <w:t>二、评标程序</w:t>
      </w:r>
    </w:p>
    <w:p>
      <w:pPr>
        <w:pStyle w:val="8"/>
        <w:keepNext w:val="0"/>
        <w:keepLines w:val="0"/>
        <w:spacing w:before="0" w:after="0" w:line="360" w:lineRule="auto"/>
        <w:ind w:left="420" w:leftChars="200"/>
        <w:rPr>
          <w:rFonts w:ascii="仿宋" w:hAnsi="仿宋" w:eastAsia="仿宋"/>
          <w:sz w:val="24"/>
        </w:rPr>
      </w:pPr>
      <w:r>
        <w:rPr>
          <w:rFonts w:hint="eastAsia" w:ascii="仿宋" w:hAnsi="仿宋" w:eastAsia="仿宋"/>
          <w:sz w:val="24"/>
        </w:rPr>
        <w:t>1.符合性审查</w:t>
      </w:r>
    </w:p>
    <w:p>
      <w:pPr>
        <w:pStyle w:val="28"/>
        <w:snapToGrid w:val="0"/>
        <w:spacing w:line="360" w:lineRule="auto"/>
        <w:ind w:left="1" w:firstLine="420"/>
        <w:rPr>
          <w:rFonts w:ascii="仿宋" w:hAnsi="仿宋" w:eastAsia="仿宋"/>
          <w:b/>
          <w:kern w:val="2"/>
          <w:sz w:val="24"/>
          <w:szCs w:val="24"/>
        </w:rPr>
      </w:pPr>
      <w:r>
        <w:rPr>
          <w:rFonts w:hint="eastAsia" w:ascii="仿宋" w:hAnsi="仿宋" w:eastAsia="仿宋"/>
          <w:b/>
          <w:kern w:val="2"/>
          <w:sz w:val="24"/>
          <w:szCs w:val="24"/>
        </w:rPr>
        <w:t>评标委员会应当对符合资格的投标人的投标文件进行投标报价、商务、技术等实质性内容符合性审查，以确定其是否满足招标文件的实质性要求。</w:t>
      </w:r>
    </w:p>
    <w:p>
      <w:pPr>
        <w:pStyle w:val="8"/>
        <w:keepNext w:val="0"/>
        <w:keepLines w:val="0"/>
        <w:spacing w:before="0" w:after="0" w:line="360" w:lineRule="auto"/>
        <w:ind w:left="420" w:leftChars="200"/>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符合性审查不通过而导致投标无效的情形</w:t>
      </w:r>
    </w:p>
    <w:p>
      <w:pPr>
        <w:snapToGrid w:val="0"/>
        <w:spacing w:line="360" w:lineRule="auto"/>
        <w:ind w:firstLine="482" w:firstLineChars="200"/>
        <w:rPr>
          <w:rFonts w:ascii="仿宋" w:hAnsi="仿宋" w:eastAsia="仿宋"/>
          <w:b/>
          <w:sz w:val="24"/>
        </w:rPr>
      </w:pPr>
      <w:r>
        <w:rPr>
          <w:rFonts w:hint="eastAsia" w:ascii="仿宋" w:hAnsi="仿宋" w:eastAsia="仿宋"/>
          <w:b/>
          <w:sz w:val="24"/>
        </w:rPr>
        <w:t>投标人的投标文件中存在对招标文件的任何实质性要求和条件的负偏离，将被视为投标无效。</w:t>
      </w:r>
    </w:p>
    <w:p>
      <w:pPr>
        <w:pStyle w:val="8"/>
        <w:keepNext w:val="0"/>
        <w:keepLines w:val="0"/>
        <w:spacing w:before="0" w:after="0" w:line="360" w:lineRule="auto"/>
        <w:ind w:left="420" w:leftChars="200"/>
        <w:rPr>
          <w:rFonts w:ascii="仿宋" w:hAnsi="仿宋" w:eastAsia="仿宋"/>
          <w:sz w:val="24"/>
        </w:rPr>
      </w:pPr>
      <w:r>
        <w:rPr>
          <w:rFonts w:hint="eastAsia" w:ascii="仿宋" w:hAnsi="仿宋" w:eastAsia="仿宋"/>
          <w:sz w:val="24"/>
        </w:rPr>
        <w:t>2.1在报价评审时，如发现下列情形之一的，将被视为投标无效：</w:t>
      </w:r>
    </w:p>
    <w:p>
      <w:pPr>
        <w:pStyle w:val="9"/>
        <w:numPr>
          <w:ilvl w:val="0"/>
          <w:numId w:val="63"/>
        </w:numPr>
        <w:spacing w:line="360" w:lineRule="auto"/>
        <w:ind w:firstLine="422"/>
        <w:rPr>
          <w:rFonts w:ascii="仿宋" w:hAnsi="仿宋" w:eastAsia="仿宋"/>
          <w:b/>
          <w:sz w:val="24"/>
          <w:szCs w:val="24"/>
        </w:rPr>
      </w:pPr>
      <w:r>
        <w:rPr>
          <w:rFonts w:hint="eastAsia" w:ascii="仿宋" w:hAnsi="仿宋" w:eastAsia="仿宋"/>
          <w:b/>
          <w:spacing w:val="-6"/>
          <w:sz w:val="24"/>
          <w:szCs w:val="24"/>
        </w:rPr>
        <w:t>报价文件</w:t>
      </w:r>
      <w:r>
        <w:rPr>
          <w:rFonts w:hint="eastAsia" w:ascii="仿宋" w:hAnsi="仿宋" w:eastAsia="仿宋"/>
          <w:b/>
          <w:sz w:val="24"/>
          <w:szCs w:val="24"/>
        </w:rPr>
        <w:t>未提供“投标人须知前附表”第13.1条规定中“必须提供”的文件资料的；</w:t>
      </w:r>
    </w:p>
    <w:p>
      <w:pPr>
        <w:pStyle w:val="9"/>
        <w:numPr>
          <w:ilvl w:val="0"/>
          <w:numId w:val="63"/>
        </w:numPr>
        <w:spacing w:line="360" w:lineRule="auto"/>
        <w:ind w:firstLine="422"/>
        <w:rPr>
          <w:rFonts w:ascii="仿宋" w:hAnsi="仿宋" w:eastAsia="仿宋"/>
          <w:b/>
          <w:sz w:val="24"/>
          <w:szCs w:val="24"/>
        </w:rPr>
      </w:pPr>
      <w:r>
        <w:rPr>
          <w:rFonts w:hint="eastAsia" w:ascii="仿宋" w:hAnsi="仿宋" w:eastAsia="仿宋"/>
          <w:b/>
          <w:sz w:val="24"/>
          <w:szCs w:val="24"/>
        </w:rPr>
        <w:t>未采用人民币报价或者未按照招标文件标明的币种报价的；</w:t>
      </w:r>
    </w:p>
    <w:p>
      <w:pPr>
        <w:pStyle w:val="9"/>
        <w:numPr>
          <w:ilvl w:val="0"/>
          <w:numId w:val="63"/>
        </w:numPr>
        <w:spacing w:line="360" w:lineRule="auto"/>
        <w:ind w:firstLine="422"/>
        <w:rPr>
          <w:rFonts w:ascii="仿宋" w:hAnsi="仿宋" w:eastAsia="仿宋"/>
          <w:b/>
          <w:sz w:val="24"/>
          <w:szCs w:val="24"/>
        </w:rPr>
      </w:pPr>
      <w:r>
        <w:rPr>
          <w:rFonts w:hint="eastAsia" w:ascii="仿宋" w:hAnsi="仿宋" w:eastAsia="仿宋"/>
          <w:b/>
          <w:sz w:val="24"/>
          <w:szCs w:val="24"/>
        </w:rPr>
        <w:t>各</w:t>
      </w:r>
      <w:r>
        <w:rPr>
          <w:rFonts w:hint="eastAsia" w:ascii="仿宋" w:hAnsi="仿宋" w:eastAsia="仿宋"/>
          <w:b/>
          <w:sz w:val="24"/>
        </w:rPr>
        <w:t>标项</w:t>
      </w:r>
      <w:r>
        <w:rPr>
          <w:rFonts w:hint="eastAsia" w:ascii="仿宋" w:hAnsi="仿宋" w:eastAsia="仿宋"/>
          <w:b/>
          <w:sz w:val="24"/>
          <w:szCs w:val="24"/>
        </w:rPr>
        <w:t>报价超出招标文件相应</w:t>
      </w:r>
      <w:r>
        <w:rPr>
          <w:rFonts w:hint="eastAsia" w:ascii="仿宋" w:hAnsi="仿宋" w:eastAsia="仿宋"/>
          <w:b/>
          <w:sz w:val="24"/>
        </w:rPr>
        <w:t>标项</w:t>
      </w:r>
      <w:r>
        <w:rPr>
          <w:rFonts w:hint="eastAsia" w:ascii="仿宋" w:hAnsi="仿宋" w:eastAsia="仿宋"/>
          <w:b/>
          <w:sz w:val="24"/>
          <w:szCs w:val="24"/>
        </w:rPr>
        <w:t>规定最高限价，或者超出相应</w:t>
      </w:r>
      <w:r>
        <w:rPr>
          <w:rFonts w:hint="eastAsia" w:ascii="仿宋" w:hAnsi="仿宋" w:eastAsia="仿宋"/>
          <w:b/>
          <w:sz w:val="24"/>
        </w:rPr>
        <w:t>标项</w:t>
      </w:r>
      <w:r>
        <w:rPr>
          <w:rFonts w:hint="eastAsia" w:ascii="仿宋" w:hAnsi="仿宋" w:eastAsia="仿宋"/>
          <w:b/>
          <w:sz w:val="24"/>
          <w:szCs w:val="24"/>
        </w:rPr>
        <w:t>采购预算金额的；</w:t>
      </w:r>
    </w:p>
    <w:p>
      <w:pPr>
        <w:pStyle w:val="9"/>
        <w:numPr>
          <w:ilvl w:val="0"/>
          <w:numId w:val="63"/>
        </w:numPr>
        <w:spacing w:line="360" w:lineRule="auto"/>
        <w:ind w:firstLine="422"/>
        <w:rPr>
          <w:rFonts w:ascii="仿宋" w:hAnsi="仿宋" w:eastAsia="仿宋"/>
          <w:b/>
          <w:sz w:val="24"/>
          <w:szCs w:val="24"/>
        </w:rPr>
      </w:pPr>
      <w:r>
        <w:rPr>
          <w:rFonts w:hint="eastAsia" w:ascii="仿宋" w:hAnsi="仿宋" w:eastAsia="仿宋"/>
          <w:b/>
          <w:sz w:val="24"/>
          <w:szCs w:val="24"/>
        </w:rPr>
        <w:t>投标人未就所投</w:t>
      </w:r>
      <w:r>
        <w:rPr>
          <w:rFonts w:hint="eastAsia" w:ascii="仿宋" w:hAnsi="仿宋" w:eastAsia="仿宋"/>
          <w:b/>
          <w:sz w:val="24"/>
        </w:rPr>
        <w:t>标项</w:t>
      </w:r>
      <w:r>
        <w:rPr>
          <w:rFonts w:hint="eastAsia" w:ascii="仿宋" w:hAnsi="仿宋" w:eastAsia="仿宋"/>
          <w:b/>
          <w:sz w:val="24"/>
          <w:szCs w:val="24"/>
        </w:rPr>
        <w:t>进行报价或者存在漏项报价；投标人未就所投</w:t>
      </w:r>
      <w:r>
        <w:rPr>
          <w:rFonts w:hint="eastAsia" w:ascii="仿宋" w:hAnsi="仿宋" w:eastAsia="仿宋"/>
          <w:b/>
          <w:sz w:val="24"/>
        </w:rPr>
        <w:t>标项</w:t>
      </w:r>
      <w:r>
        <w:rPr>
          <w:rFonts w:hint="eastAsia" w:ascii="仿宋" w:hAnsi="仿宋" w:eastAsia="仿宋"/>
          <w:b/>
          <w:sz w:val="24"/>
          <w:szCs w:val="24"/>
        </w:rPr>
        <w:t>的单项内容作唯一报价；投标人未就所投</w:t>
      </w:r>
      <w:r>
        <w:rPr>
          <w:rFonts w:hint="eastAsia" w:ascii="仿宋" w:hAnsi="仿宋" w:eastAsia="仿宋"/>
          <w:b/>
          <w:sz w:val="24"/>
        </w:rPr>
        <w:t>标项</w:t>
      </w:r>
      <w:r>
        <w:rPr>
          <w:rFonts w:hint="eastAsia" w:ascii="仿宋" w:hAnsi="仿宋" w:eastAsia="仿宋"/>
          <w:b/>
          <w:sz w:val="24"/>
          <w:szCs w:val="24"/>
        </w:rPr>
        <w:t>的全部内容作完整唯一总价报价；存在有选择、有条件报价的（招标文件允许有备选方案或者其他约定的除外）；</w:t>
      </w:r>
    </w:p>
    <w:p>
      <w:pPr>
        <w:pStyle w:val="9"/>
        <w:numPr>
          <w:ilvl w:val="0"/>
          <w:numId w:val="63"/>
        </w:numPr>
        <w:spacing w:line="360" w:lineRule="auto"/>
        <w:ind w:firstLine="422"/>
        <w:rPr>
          <w:rFonts w:ascii="仿宋" w:hAnsi="仿宋" w:eastAsia="仿宋"/>
          <w:b/>
          <w:sz w:val="24"/>
          <w:szCs w:val="24"/>
        </w:rPr>
      </w:pPr>
      <w:r>
        <w:rPr>
          <w:rFonts w:hint="eastAsia" w:ascii="仿宋" w:hAnsi="仿宋" w:eastAsia="仿宋"/>
          <w:b/>
          <w:sz w:val="24"/>
          <w:szCs w:val="24"/>
        </w:rPr>
        <w:t>修正后的报价，投标人不确认的；</w:t>
      </w:r>
    </w:p>
    <w:p>
      <w:pPr>
        <w:pStyle w:val="9"/>
        <w:numPr>
          <w:ilvl w:val="0"/>
          <w:numId w:val="63"/>
        </w:numPr>
        <w:spacing w:line="360" w:lineRule="auto"/>
        <w:ind w:firstLine="422"/>
        <w:rPr>
          <w:rFonts w:ascii="仿宋" w:hAnsi="仿宋" w:eastAsia="仿宋"/>
          <w:b/>
          <w:sz w:val="24"/>
          <w:szCs w:val="24"/>
        </w:rPr>
      </w:pPr>
      <w:r>
        <w:rPr>
          <w:rFonts w:hint="eastAsia" w:ascii="仿宋" w:hAnsi="仿宋" w:eastAsia="仿宋"/>
          <w:b/>
          <w:sz w:val="24"/>
          <w:szCs w:val="24"/>
        </w:rPr>
        <w:t>投标人属于本章第</w:t>
      </w:r>
      <w:r>
        <w:rPr>
          <w:rFonts w:ascii="仿宋" w:hAnsi="仿宋" w:eastAsia="仿宋"/>
          <w:b/>
          <w:sz w:val="24"/>
          <w:szCs w:val="24"/>
        </w:rPr>
        <w:t>5.1</w:t>
      </w:r>
      <w:r>
        <w:rPr>
          <w:rFonts w:hint="eastAsia" w:ascii="仿宋" w:hAnsi="仿宋" w:eastAsia="仿宋"/>
          <w:b/>
          <w:sz w:val="24"/>
          <w:szCs w:val="24"/>
        </w:rPr>
        <w:t>条（2）或者第5</w:t>
      </w:r>
      <w:r>
        <w:rPr>
          <w:rFonts w:ascii="仿宋" w:hAnsi="仿宋" w:eastAsia="仿宋"/>
          <w:b/>
          <w:sz w:val="24"/>
          <w:szCs w:val="24"/>
        </w:rPr>
        <w:t>.2条</w:t>
      </w:r>
      <w:r>
        <w:rPr>
          <w:rFonts w:hint="eastAsia" w:ascii="仿宋" w:hAnsi="仿宋" w:eastAsia="仿宋"/>
          <w:b/>
          <w:sz w:val="24"/>
          <w:szCs w:val="24"/>
        </w:rPr>
        <w:t>（2）项情形的；</w:t>
      </w:r>
    </w:p>
    <w:p>
      <w:pPr>
        <w:pStyle w:val="9"/>
        <w:numPr>
          <w:ilvl w:val="0"/>
          <w:numId w:val="63"/>
        </w:numPr>
        <w:spacing w:line="360" w:lineRule="auto"/>
        <w:ind w:firstLine="422"/>
        <w:rPr>
          <w:rFonts w:ascii="仿宋" w:hAnsi="仿宋" w:eastAsia="仿宋"/>
          <w:b/>
          <w:sz w:val="24"/>
          <w:szCs w:val="24"/>
        </w:rPr>
      </w:pPr>
      <w:r>
        <w:rPr>
          <w:rFonts w:hint="eastAsia" w:ascii="仿宋" w:hAnsi="仿宋" w:eastAsia="仿宋"/>
          <w:b/>
          <w:spacing w:val="-6"/>
          <w:sz w:val="24"/>
          <w:szCs w:val="24"/>
        </w:rPr>
        <w:t>报价文件</w:t>
      </w:r>
      <w:r>
        <w:rPr>
          <w:rFonts w:hint="eastAsia" w:ascii="仿宋" w:hAnsi="仿宋" w:eastAsia="仿宋"/>
          <w:b/>
          <w:sz w:val="24"/>
          <w:szCs w:val="24"/>
        </w:rPr>
        <w:t>响应的标的数量及单位与招标文件要求实质性不一致的。</w:t>
      </w:r>
    </w:p>
    <w:p>
      <w:pPr>
        <w:pStyle w:val="8"/>
        <w:keepNext w:val="0"/>
        <w:keepLines w:val="0"/>
        <w:spacing w:before="0" w:after="0" w:line="360" w:lineRule="auto"/>
        <w:ind w:left="420" w:leftChars="200"/>
        <w:rPr>
          <w:rFonts w:ascii="仿宋" w:hAnsi="仿宋" w:eastAsia="仿宋"/>
          <w:sz w:val="24"/>
        </w:rPr>
      </w:pPr>
      <w:r>
        <w:rPr>
          <w:rFonts w:hint="eastAsia" w:ascii="仿宋" w:hAnsi="仿宋" w:eastAsia="仿宋"/>
          <w:sz w:val="24"/>
        </w:rPr>
        <w:t>2.2在商务评审时，如发现下列情形之一的，将被视为投标无效：</w:t>
      </w:r>
    </w:p>
    <w:p>
      <w:pPr>
        <w:numPr>
          <w:ilvl w:val="0"/>
          <w:numId w:val="64"/>
        </w:numPr>
        <w:snapToGrid w:val="0"/>
        <w:spacing w:line="360" w:lineRule="auto"/>
        <w:ind w:firstLine="482" w:firstLineChars="200"/>
        <w:rPr>
          <w:rFonts w:ascii="仿宋" w:hAnsi="仿宋" w:eastAsia="仿宋"/>
          <w:b/>
          <w:sz w:val="24"/>
        </w:rPr>
      </w:pPr>
      <w:r>
        <w:rPr>
          <w:rFonts w:hint="eastAsia" w:ascii="仿宋" w:hAnsi="仿宋" w:eastAsia="仿宋"/>
          <w:b/>
          <w:sz w:val="24"/>
        </w:rPr>
        <w:t>投标文件未按招标文件要求签署、盖章的；</w:t>
      </w:r>
    </w:p>
    <w:p>
      <w:pPr>
        <w:numPr>
          <w:ilvl w:val="0"/>
          <w:numId w:val="64"/>
        </w:numPr>
        <w:snapToGrid w:val="0"/>
        <w:spacing w:line="360" w:lineRule="auto"/>
        <w:ind w:firstLine="482" w:firstLineChars="200"/>
        <w:rPr>
          <w:rFonts w:ascii="仿宋" w:hAnsi="仿宋" w:eastAsia="仿宋"/>
          <w:b/>
          <w:sz w:val="24"/>
        </w:rPr>
      </w:pPr>
      <w:r>
        <w:rPr>
          <w:rFonts w:hint="eastAsia" w:ascii="仿宋" w:hAnsi="仿宋" w:eastAsia="仿宋"/>
          <w:b/>
          <w:sz w:val="24"/>
        </w:rPr>
        <w:t>委托代理人未能出具有效身份证或者出具的身份证与授权委托书中的信息不符的；</w:t>
      </w:r>
    </w:p>
    <w:p>
      <w:pPr>
        <w:numPr>
          <w:ilvl w:val="0"/>
          <w:numId w:val="64"/>
        </w:numPr>
        <w:snapToGrid w:val="0"/>
        <w:spacing w:line="360" w:lineRule="auto"/>
        <w:ind w:firstLine="482" w:firstLineChars="200"/>
        <w:rPr>
          <w:rFonts w:ascii="仿宋" w:hAnsi="仿宋" w:eastAsia="仿宋"/>
          <w:b/>
          <w:sz w:val="24"/>
        </w:rPr>
      </w:pPr>
      <w:r>
        <w:rPr>
          <w:rFonts w:hint="eastAsia" w:ascii="仿宋" w:hAnsi="仿宋" w:eastAsia="仿宋"/>
          <w:b/>
          <w:sz w:val="24"/>
        </w:rPr>
        <w:t>为无效投标保证金的或者未按照招标文件的规定提交投标保证金的；</w:t>
      </w:r>
    </w:p>
    <w:p>
      <w:pPr>
        <w:numPr>
          <w:ilvl w:val="0"/>
          <w:numId w:val="64"/>
        </w:numPr>
        <w:snapToGrid w:val="0"/>
        <w:spacing w:line="360" w:lineRule="auto"/>
        <w:ind w:firstLine="482" w:firstLineChars="200"/>
        <w:rPr>
          <w:rFonts w:ascii="仿宋" w:hAnsi="仿宋" w:eastAsia="仿宋"/>
          <w:b/>
          <w:sz w:val="24"/>
        </w:rPr>
      </w:pPr>
      <w:r>
        <w:rPr>
          <w:rFonts w:hint="eastAsia" w:ascii="仿宋" w:hAnsi="仿宋" w:eastAsia="仿宋"/>
          <w:b/>
          <w:sz w:val="24"/>
        </w:rPr>
        <w:t>投标文件未提供“投标人须知前附表”第13.</w:t>
      </w:r>
      <w:r>
        <w:rPr>
          <w:rFonts w:ascii="仿宋" w:hAnsi="仿宋" w:eastAsia="仿宋"/>
          <w:b/>
          <w:sz w:val="24"/>
        </w:rPr>
        <w:t>1</w:t>
      </w:r>
      <w:r>
        <w:rPr>
          <w:rFonts w:hint="eastAsia" w:ascii="仿宋" w:hAnsi="仿宋" w:eastAsia="仿宋"/>
          <w:b/>
          <w:sz w:val="24"/>
        </w:rPr>
        <w:t>条规定中“必须提供”或者“委托时必须提供”的文件资料的；</w:t>
      </w:r>
    </w:p>
    <w:p>
      <w:pPr>
        <w:numPr>
          <w:ilvl w:val="0"/>
          <w:numId w:val="64"/>
        </w:numPr>
        <w:snapToGrid w:val="0"/>
        <w:spacing w:line="360" w:lineRule="auto"/>
        <w:ind w:firstLine="482" w:firstLineChars="200"/>
        <w:rPr>
          <w:rFonts w:ascii="仿宋" w:hAnsi="仿宋" w:eastAsia="仿宋"/>
          <w:b/>
          <w:sz w:val="24"/>
        </w:rPr>
      </w:pPr>
      <w:r>
        <w:rPr>
          <w:rFonts w:hint="eastAsia" w:ascii="仿宋" w:hAnsi="仿宋" w:eastAsia="仿宋"/>
          <w:b/>
          <w:sz w:val="24"/>
        </w:rPr>
        <w:t>商务要求评审允许负偏离的条款数超过“投标人须知前附表”规定项数的；</w:t>
      </w:r>
    </w:p>
    <w:p>
      <w:pPr>
        <w:numPr>
          <w:ilvl w:val="0"/>
          <w:numId w:val="64"/>
        </w:numPr>
        <w:snapToGrid w:val="0"/>
        <w:spacing w:line="360" w:lineRule="auto"/>
        <w:ind w:firstLine="482" w:firstLineChars="200"/>
        <w:rPr>
          <w:rFonts w:ascii="仿宋" w:hAnsi="仿宋" w:eastAsia="仿宋"/>
          <w:b/>
          <w:sz w:val="24"/>
        </w:rPr>
      </w:pPr>
      <w:r>
        <w:rPr>
          <w:rFonts w:hint="eastAsia" w:ascii="仿宋" w:hAnsi="仿宋" w:eastAsia="仿宋"/>
          <w:b/>
          <w:sz w:val="24"/>
        </w:rPr>
        <w:t>投标文件的实质性内容未使用中文表述、使用计量单位不符合招标文件要求的；</w:t>
      </w:r>
    </w:p>
    <w:p>
      <w:pPr>
        <w:numPr>
          <w:ilvl w:val="0"/>
          <w:numId w:val="64"/>
        </w:numPr>
        <w:snapToGrid w:val="0"/>
        <w:spacing w:line="360" w:lineRule="auto"/>
        <w:ind w:firstLine="482" w:firstLineChars="200"/>
        <w:rPr>
          <w:rFonts w:ascii="仿宋" w:hAnsi="仿宋" w:eastAsia="仿宋"/>
          <w:b/>
          <w:sz w:val="24"/>
        </w:rPr>
      </w:pPr>
      <w:r>
        <w:rPr>
          <w:rFonts w:hint="eastAsia" w:ascii="仿宋" w:hAnsi="仿宋" w:eastAsia="仿宋"/>
          <w:b/>
          <w:sz w:val="24"/>
        </w:rPr>
        <w:t>投标文件中的文件资料因填写不齐全或者内容虚假或者出现其他情形而导致被评标委员会认定无效的；</w:t>
      </w:r>
    </w:p>
    <w:p>
      <w:pPr>
        <w:numPr>
          <w:ilvl w:val="0"/>
          <w:numId w:val="64"/>
        </w:numPr>
        <w:snapToGrid w:val="0"/>
        <w:spacing w:line="360" w:lineRule="auto"/>
        <w:ind w:firstLine="482" w:firstLineChars="200"/>
        <w:rPr>
          <w:rFonts w:ascii="仿宋" w:hAnsi="仿宋" w:eastAsia="仿宋"/>
          <w:b/>
          <w:sz w:val="24"/>
        </w:rPr>
      </w:pPr>
      <w:r>
        <w:rPr>
          <w:rFonts w:hint="eastAsia" w:ascii="仿宋" w:hAnsi="仿宋" w:eastAsia="仿宋"/>
          <w:b/>
          <w:sz w:val="24"/>
        </w:rPr>
        <w:t>投标文件含有采购人不能接受的附加条件的；</w:t>
      </w:r>
    </w:p>
    <w:p>
      <w:pPr>
        <w:numPr>
          <w:ilvl w:val="0"/>
          <w:numId w:val="64"/>
        </w:numPr>
        <w:snapToGrid w:val="0"/>
        <w:spacing w:line="360" w:lineRule="auto"/>
        <w:ind w:firstLine="482" w:firstLineChars="200"/>
        <w:rPr>
          <w:rFonts w:ascii="仿宋" w:hAnsi="仿宋" w:eastAsia="仿宋"/>
          <w:b/>
          <w:sz w:val="24"/>
        </w:rPr>
      </w:pPr>
      <w:r>
        <w:rPr>
          <w:rFonts w:hint="eastAsia" w:ascii="仿宋" w:hAnsi="仿宋" w:eastAsia="仿宋"/>
          <w:b/>
          <w:sz w:val="24"/>
        </w:rPr>
        <w:t>属于投标人须知正文第</w:t>
      </w:r>
      <w:r>
        <w:rPr>
          <w:rFonts w:ascii="仿宋" w:hAnsi="仿宋" w:eastAsia="仿宋"/>
          <w:b/>
          <w:sz w:val="24"/>
        </w:rPr>
        <w:t>9.2</w:t>
      </w:r>
      <w:r>
        <w:rPr>
          <w:rFonts w:hint="eastAsia" w:ascii="仿宋" w:hAnsi="仿宋" w:eastAsia="仿宋"/>
          <w:b/>
          <w:sz w:val="24"/>
        </w:rPr>
        <w:t>条情形的；</w:t>
      </w:r>
    </w:p>
    <w:p>
      <w:pPr>
        <w:numPr>
          <w:ilvl w:val="0"/>
          <w:numId w:val="64"/>
        </w:numPr>
        <w:snapToGrid w:val="0"/>
        <w:spacing w:line="360" w:lineRule="auto"/>
        <w:ind w:firstLine="482" w:firstLineChars="200"/>
        <w:rPr>
          <w:rFonts w:ascii="仿宋" w:hAnsi="仿宋" w:eastAsia="仿宋"/>
          <w:b/>
          <w:sz w:val="24"/>
        </w:rPr>
      </w:pPr>
      <w:r>
        <w:rPr>
          <w:rFonts w:hint="eastAsia" w:ascii="仿宋" w:hAnsi="仿宋" w:eastAsia="仿宋"/>
          <w:b/>
          <w:sz w:val="24"/>
        </w:rPr>
        <w:t>投标文件标注的项目名称或者项目编号与招标文件标注的项目名称或者项目编号不一致的；</w:t>
      </w:r>
    </w:p>
    <w:p>
      <w:pPr>
        <w:numPr>
          <w:ilvl w:val="0"/>
          <w:numId w:val="64"/>
        </w:numPr>
        <w:snapToGrid w:val="0"/>
        <w:spacing w:line="360" w:lineRule="auto"/>
        <w:ind w:firstLine="482" w:firstLineChars="200"/>
        <w:rPr>
          <w:rFonts w:ascii="仿宋" w:hAnsi="仿宋" w:eastAsia="仿宋"/>
          <w:b/>
          <w:sz w:val="24"/>
        </w:rPr>
      </w:pPr>
      <w:r>
        <w:rPr>
          <w:rFonts w:hint="eastAsia" w:ascii="仿宋" w:hAnsi="仿宋" w:eastAsia="仿宋"/>
          <w:b/>
          <w:sz w:val="24"/>
        </w:rPr>
        <w:t>招标文件明确不允许分包，投标文件拟分包的；</w:t>
      </w:r>
    </w:p>
    <w:p>
      <w:pPr>
        <w:numPr>
          <w:ilvl w:val="0"/>
          <w:numId w:val="64"/>
        </w:numPr>
        <w:snapToGrid w:val="0"/>
        <w:spacing w:line="360" w:lineRule="auto"/>
        <w:ind w:firstLine="482" w:firstLineChars="200"/>
        <w:rPr>
          <w:rFonts w:ascii="仿宋" w:hAnsi="仿宋" w:eastAsia="仿宋"/>
          <w:b/>
          <w:sz w:val="24"/>
        </w:rPr>
      </w:pPr>
      <w:r>
        <w:rPr>
          <w:rFonts w:hint="eastAsia" w:ascii="仿宋" w:hAnsi="仿宋" w:eastAsia="仿宋"/>
          <w:b/>
          <w:sz w:val="24"/>
        </w:rPr>
        <w:t>未响应招标文件实质性要求的；</w:t>
      </w:r>
    </w:p>
    <w:p>
      <w:pPr>
        <w:numPr>
          <w:ilvl w:val="0"/>
          <w:numId w:val="64"/>
        </w:numPr>
        <w:snapToGrid w:val="0"/>
        <w:spacing w:line="360" w:lineRule="auto"/>
        <w:ind w:firstLine="482" w:firstLineChars="200"/>
        <w:rPr>
          <w:rFonts w:ascii="仿宋" w:hAnsi="仿宋" w:eastAsia="仿宋"/>
          <w:b/>
          <w:sz w:val="24"/>
        </w:rPr>
      </w:pPr>
      <w:r>
        <w:rPr>
          <w:rFonts w:hint="eastAsia" w:ascii="仿宋" w:hAnsi="仿宋" w:eastAsia="仿宋"/>
          <w:b/>
          <w:sz w:val="24"/>
        </w:rPr>
        <w:t>法律、法规和招标文件规定的其他无效情形。</w:t>
      </w:r>
    </w:p>
    <w:p>
      <w:pPr>
        <w:pStyle w:val="8"/>
        <w:keepNext w:val="0"/>
        <w:keepLines w:val="0"/>
        <w:spacing w:before="0" w:after="0" w:line="360" w:lineRule="auto"/>
        <w:ind w:left="420" w:leftChars="200"/>
        <w:rPr>
          <w:rFonts w:ascii="仿宋" w:hAnsi="仿宋" w:eastAsia="仿宋"/>
          <w:sz w:val="24"/>
        </w:rPr>
      </w:pPr>
      <w:r>
        <w:rPr>
          <w:rFonts w:hint="eastAsia" w:ascii="仿宋" w:hAnsi="仿宋" w:eastAsia="仿宋"/>
          <w:sz w:val="24"/>
        </w:rPr>
        <w:t>2.3在技术评审时，如发现下列情形之一的，将被视为投标无效：</w:t>
      </w:r>
    </w:p>
    <w:p>
      <w:pPr>
        <w:pStyle w:val="22"/>
        <w:snapToGrid w:val="0"/>
        <w:spacing w:line="360" w:lineRule="auto"/>
        <w:ind w:firstLine="472" w:firstLineChars="196"/>
        <w:rPr>
          <w:rFonts w:ascii="仿宋" w:hAnsi="仿宋" w:eastAsia="仿宋"/>
          <w:b/>
          <w:kern w:val="2"/>
          <w:sz w:val="24"/>
          <w:szCs w:val="24"/>
        </w:rPr>
      </w:pPr>
      <w:r>
        <w:rPr>
          <w:rFonts w:hint="eastAsia" w:ascii="仿宋" w:hAnsi="仿宋" w:eastAsia="仿宋"/>
          <w:b/>
          <w:kern w:val="2"/>
          <w:sz w:val="24"/>
          <w:szCs w:val="24"/>
        </w:rPr>
        <w:t>（1）技术要求评审允许负偏离的条款数超过“投标人须知前附表”规定项数的；</w:t>
      </w:r>
    </w:p>
    <w:p>
      <w:pPr>
        <w:pStyle w:val="22"/>
        <w:snapToGrid w:val="0"/>
        <w:spacing w:line="360" w:lineRule="auto"/>
        <w:ind w:firstLine="472" w:firstLineChars="196"/>
        <w:rPr>
          <w:rFonts w:ascii="仿宋" w:hAnsi="仿宋" w:eastAsia="仿宋"/>
          <w:b/>
          <w:kern w:val="2"/>
          <w:sz w:val="24"/>
          <w:szCs w:val="24"/>
        </w:rPr>
      </w:pPr>
      <w:r>
        <w:rPr>
          <w:rFonts w:hint="eastAsia" w:ascii="仿宋" w:hAnsi="仿宋" w:eastAsia="仿宋"/>
          <w:b/>
          <w:kern w:val="2"/>
          <w:sz w:val="24"/>
          <w:szCs w:val="24"/>
        </w:rPr>
        <w:t>（2）投标文件未提供“投标人须知前附表”第13.</w:t>
      </w:r>
      <w:r>
        <w:rPr>
          <w:rFonts w:ascii="仿宋" w:hAnsi="仿宋" w:eastAsia="仿宋"/>
          <w:b/>
          <w:kern w:val="2"/>
          <w:sz w:val="24"/>
          <w:szCs w:val="24"/>
        </w:rPr>
        <w:t>1</w:t>
      </w:r>
      <w:r>
        <w:rPr>
          <w:rFonts w:hint="eastAsia" w:ascii="仿宋" w:hAnsi="仿宋" w:eastAsia="仿宋"/>
          <w:b/>
          <w:kern w:val="2"/>
          <w:sz w:val="24"/>
          <w:szCs w:val="24"/>
        </w:rPr>
        <w:t>条规定中“必须提供”的文件资料的；</w:t>
      </w:r>
    </w:p>
    <w:p>
      <w:pPr>
        <w:pStyle w:val="22"/>
        <w:snapToGrid w:val="0"/>
        <w:spacing w:line="360" w:lineRule="auto"/>
        <w:ind w:firstLine="472" w:firstLineChars="196"/>
        <w:rPr>
          <w:rFonts w:ascii="仿宋" w:hAnsi="仿宋" w:eastAsia="仿宋"/>
          <w:b/>
          <w:kern w:val="2"/>
          <w:sz w:val="24"/>
          <w:szCs w:val="24"/>
        </w:rPr>
      </w:pPr>
      <w:r>
        <w:rPr>
          <w:rFonts w:hint="eastAsia" w:ascii="仿宋" w:hAnsi="仿宋" w:eastAsia="仿宋"/>
          <w:b/>
          <w:kern w:val="2"/>
          <w:sz w:val="24"/>
          <w:szCs w:val="24"/>
        </w:rPr>
        <w:t>（3）虚假投标，或者出现其他情形而导致被评标委员会认定无效的；</w:t>
      </w:r>
    </w:p>
    <w:p>
      <w:pPr>
        <w:pStyle w:val="22"/>
        <w:snapToGrid w:val="0"/>
        <w:spacing w:line="360" w:lineRule="auto"/>
        <w:ind w:firstLine="472" w:firstLineChars="196"/>
        <w:rPr>
          <w:rFonts w:ascii="仿宋" w:hAnsi="仿宋" w:eastAsia="仿宋"/>
          <w:b/>
          <w:kern w:val="2"/>
          <w:sz w:val="24"/>
          <w:szCs w:val="24"/>
        </w:rPr>
      </w:pPr>
      <w:r>
        <w:rPr>
          <w:rFonts w:hint="eastAsia" w:ascii="仿宋" w:hAnsi="仿宋" w:eastAsia="仿宋"/>
          <w:b/>
          <w:kern w:val="2"/>
          <w:sz w:val="24"/>
          <w:szCs w:val="24"/>
        </w:rPr>
        <w:t>（4）</w:t>
      </w:r>
      <w:bookmarkStart w:id="207" w:name="_Hlk71706244"/>
      <w:r>
        <w:rPr>
          <w:rFonts w:hint="eastAsia" w:ascii="仿宋" w:hAnsi="仿宋" w:eastAsia="仿宋"/>
          <w:b/>
          <w:kern w:val="2"/>
          <w:sz w:val="24"/>
          <w:szCs w:val="24"/>
        </w:rPr>
        <w:t>招标文件未载明允许提供备选（替代）投标方案或明确不允许提供备选（替代）投标方案时，投标人提供了备选（替代）投标方案的；</w:t>
      </w:r>
      <w:bookmarkEnd w:id="207"/>
    </w:p>
    <w:p>
      <w:pPr>
        <w:pStyle w:val="22"/>
        <w:snapToGrid w:val="0"/>
        <w:spacing w:line="360" w:lineRule="auto"/>
        <w:ind w:firstLine="472" w:firstLineChars="196"/>
        <w:rPr>
          <w:rFonts w:ascii="仿宋" w:hAnsi="仿宋" w:eastAsia="仿宋"/>
          <w:b/>
          <w:kern w:val="2"/>
          <w:sz w:val="24"/>
          <w:szCs w:val="24"/>
        </w:rPr>
      </w:pPr>
      <w:r>
        <w:rPr>
          <w:rFonts w:hint="eastAsia" w:ascii="仿宋" w:hAnsi="仿宋" w:eastAsia="仿宋"/>
          <w:b/>
          <w:kern w:val="2"/>
          <w:sz w:val="24"/>
          <w:szCs w:val="24"/>
        </w:rPr>
        <w:t>（5）未响应招标文件实质性要求的。</w:t>
      </w:r>
    </w:p>
    <w:p>
      <w:pPr>
        <w:pStyle w:val="22"/>
        <w:snapToGrid w:val="0"/>
        <w:spacing w:line="360" w:lineRule="auto"/>
        <w:ind w:firstLine="472" w:firstLineChars="196"/>
        <w:rPr>
          <w:rFonts w:ascii="仿宋" w:hAnsi="仿宋" w:eastAsia="仿宋"/>
          <w:b/>
          <w:kern w:val="2"/>
          <w:sz w:val="24"/>
          <w:szCs w:val="24"/>
        </w:rPr>
      </w:pPr>
      <w:r>
        <w:rPr>
          <w:rFonts w:hint="eastAsia" w:ascii="仿宋" w:hAnsi="仿宋" w:eastAsia="仿宋"/>
          <w:b/>
          <w:kern w:val="2"/>
          <w:sz w:val="24"/>
          <w:szCs w:val="24"/>
        </w:rPr>
        <w:t>2.4通过符合性审查的投标人不足3家，评标委员会不得继续评标，并出具评标报告。</w:t>
      </w:r>
    </w:p>
    <w:p>
      <w:pPr>
        <w:pStyle w:val="8"/>
        <w:keepNext w:val="0"/>
        <w:keepLines w:val="0"/>
        <w:spacing w:before="0" w:after="0" w:line="360" w:lineRule="auto"/>
        <w:ind w:left="420" w:leftChars="200"/>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澄清补正</w:t>
      </w:r>
    </w:p>
    <w:p>
      <w:pPr>
        <w:snapToGrid w:val="0"/>
        <w:spacing w:line="360" w:lineRule="auto"/>
        <w:ind w:firstLine="480" w:firstLineChars="200"/>
        <w:rPr>
          <w:rFonts w:ascii="仿宋" w:hAnsi="仿宋" w:eastAsia="仿宋" w:cs="Courier New"/>
          <w:sz w:val="24"/>
        </w:rPr>
      </w:pPr>
      <w:r>
        <w:rPr>
          <w:rFonts w:hint="eastAsia" w:ascii="仿宋" w:hAnsi="仿宋" w:eastAsia="仿宋" w:cs="Courier New"/>
          <w:sz w:val="24"/>
        </w:rPr>
        <w:t>对投标文件中含义不明确、同类问题表述不一致或者有明显文字和计算错误的内容，评标委员会以</w:t>
      </w:r>
      <w:r>
        <w:rPr>
          <w:rFonts w:hint="eastAsia" w:ascii="仿宋" w:hAnsi="仿宋" w:eastAsia="仿宋" w:cs="宋体"/>
          <w:sz w:val="24"/>
        </w:rPr>
        <w:t>电子澄清函形式</w:t>
      </w:r>
      <w:r>
        <w:rPr>
          <w:rFonts w:hint="eastAsia" w:ascii="仿宋" w:hAnsi="仿宋" w:eastAsia="仿宋" w:cs="Courier New"/>
          <w:sz w:val="24"/>
        </w:rPr>
        <w:t>要求投标人在规定时间内作出必要的澄清、说明或者纠正。投标人的澄清、说明或者补正必须采用</w:t>
      </w:r>
      <w:r>
        <w:rPr>
          <w:rFonts w:hint="eastAsia" w:ascii="仿宋" w:hAnsi="仿宋" w:eastAsia="仿宋" w:cs="宋体"/>
          <w:sz w:val="24"/>
        </w:rPr>
        <w:t>电子回函形式</w:t>
      </w:r>
      <w:r>
        <w:rPr>
          <w:rFonts w:hint="eastAsia" w:ascii="仿宋" w:hAnsi="仿宋" w:eastAsia="仿宋" w:cs="Courier New"/>
          <w:sz w:val="24"/>
        </w:rPr>
        <w:t>，并加盖投标人公章，或者由法定代表人或者其授权的代表签字。投标人的澄清、说明或者补正不得超出投标文件的范围或者改变投标文件的实质性内容。</w:t>
      </w:r>
    </w:p>
    <w:p>
      <w:pPr>
        <w:pStyle w:val="8"/>
        <w:keepNext w:val="0"/>
        <w:keepLines w:val="0"/>
        <w:spacing w:before="0" w:after="0" w:line="360" w:lineRule="auto"/>
        <w:ind w:left="420" w:leftChars="200"/>
        <w:rPr>
          <w:rFonts w:ascii="仿宋" w:hAnsi="仿宋" w:eastAsia="仿宋"/>
          <w:sz w:val="24"/>
        </w:rPr>
      </w:pPr>
      <w:r>
        <w:rPr>
          <w:rFonts w:ascii="仿宋" w:hAnsi="仿宋" w:eastAsia="仿宋"/>
          <w:sz w:val="24"/>
        </w:rPr>
        <w:t>4.</w:t>
      </w:r>
      <w:r>
        <w:rPr>
          <w:rFonts w:hint="eastAsia" w:ascii="仿宋" w:hAnsi="仿宋" w:eastAsia="仿宋"/>
          <w:sz w:val="24"/>
        </w:rPr>
        <w:t>投标文件修正</w:t>
      </w:r>
    </w:p>
    <w:p>
      <w:pPr>
        <w:pStyle w:val="8"/>
        <w:keepNext w:val="0"/>
        <w:keepLines w:val="0"/>
        <w:spacing w:before="0" w:after="0" w:line="360" w:lineRule="auto"/>
        <w:ind w:left="420" w:leftChars="200"/>
        <w:rPr>
          <w:rFonts w:ascii="仿宋" w:hAnsi="仿宋" w:eastAsia="仿宋"/>
          <w:b w:val="0"/>
          <w:sz w:val="24"/>
        </w:rPr>
      </w:pPr>
      <w:r>
        <w:rPr>
          <w:rFonts w:ascii="仿宋" w:hAnsi="仿宋" w:eastAsia="仿宋"/>
          <w:b w:val="0"/>
          <w:sz w:val="24"/>
        </w:rPr>
        <w:t>4</w:t>
      </w:r>
      <w:r>
        <w:rPr>
          <w:rFonts w:hint="eastAsia" w:ascii="仿宋" w:hAnsi="仿宋" w:eastAsia="仿宋"/>
          <w:b w:val="0"/>
          <w:sz w:val="24"/>
        </w:rPr>
        <w:t xml:space="preserve">.1投标文件报价出现前后不一致的，按照下列规定修正： </w:t>
      </w:r>
    </w:p>
    <w:p>
      <w:pPr>
        <w:pStyle w:val="28"/>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（1）投标文件中开标一览表（报价表）内容与投标文件中相应内容不一致的，以开标一览表（报价表）为准；</w:t>
      </w:r>
    </w:p>
    <w:p>
      <w:pPr>
        <w:pStyle w:val="28"/>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（2）大写金额和小写金额不一致的，以大写金额为准；</w:t>
      </w:r>
    </w:p>
    <w:p>
      <w:pPr>
        <w:pStyle w:val="28"/>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（3）单价金额小数点或者百分比有明显错位的，以开标一览表的总价为准，并修改单价；</w:t>
      </w:r>
    </w:p>
    <w:p>
      <w:pPr>
        <w:pStyle w:val="28"/>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（4）总价金额与按单价汇总金额不一致的，以单价金额计算结果为准。</w:t>
      </w:r>
    </w:p>
    <w:p>
      <w:pPr>
        <w:pStyle w:val="28"/>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同时出现两种以上不一致的，按照以上（1）-（4）规定的顺序修正。修正后的报价经投标人确认后产生约束力，投标人不确认的，</w:t>
      </w:r>
      <w:r>
        <w:rPr>
          <w:rFonts w:hint="eastAsia" w:ascii="仿宋" w:hAnsi="仿宋" w:eastAsia="仿宋"/>
          <w:b/>
          <w:kern w:val="2"/>
          <w:sz w:val="24"/>
          <w:szCs w:val="24"/>
        </w:rPr>
        <w:t>其投标无效</w:t>
      </w:r>
      <w:r>
        <w:rPr>
          <w:rFonts w:hint="eastAsia" w:ascii="仿宋" w:hAnsi="仿宋" w:eastAsia="仿宋"/>
          <w:sz w:val="24"/>
          <w:szCs w:val="24"/>
        </w:rPr>
        <w:t>。</w:t>
      </w:r>
    </w:p>
    <w:p>
      <w:pPr>
        <w:pStyle w:val="8"/>
        <w:keepNext w:val="0"/>
        <w:keepLines w:val="0"/>
        <w:spacing w:before="0" w:after="0" w:line="360" w:lineRule="auto"/>
        <w:rPr>
          <w:rFonts w:ascii="仿宋" w:hAnsi="仿宋" w:eastAsia="仿宋"/>
          <w:b w:val="0"/>
          <w:sz w:val="24"/>
        </w:rPr>
      </w:pPr>
      <w:r>
        <w:rPr>
          <w:rFonts w:ascii="仿宋" w:hAnsi="仿宋" w:eastAsia="仿宋"/>
          <w:b w:val="0"/>
          <w:sz w:val="24"/>
        </w:rPr>
        <w:t xml:space="preserve">    4</w:t>
      </w:r>
      <w:r>
        <w:rPr>
          <w:rFonts w:hint="eastAsia" w:ascii="仿宋" w:hAnsi="仿宋" w:eastAsia="仿宋"/>
          <w:b w:val="0"/>
          <w:sz w:val="24"/>
        </w:rPr>
        <w:t>.2经投标人确认修正后的报价若超过采购预算金额或者最高限价，</w:t>
      </w:r>
      <w:r>
        <w:rPr>
          <w:rFonts w:hint="eastAsia" w:ascii="仿宋" w:hAnsi="仿宋" w:eastAsia="仿宋"/>
          <w:sz w:val="24"/>
        </w:rPr>
        <w:t>投标人的投标文件作无效投标处理</w:t>
      </w:r>
      <w:r>
        <w:rPr>
          <w:rFonts w:hint="eastAsia" w:ascii="仿宋" w:hAnsi="仿宋" w:eastAsia="仿宋"/>
          <w:b w:val="0"/>
          <w:sz w:val="24"/>
        </w:rPr>
        <w:t>。</w:t>
      </w:r>
    </w:p>
    <w:p>
      <w:pPr>
        <w:snapToGrid w:val="0"/>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.3经投标人确认修正后的报价作为签订合同的依据，并以此报价计算价格分。</w:t>
      </w:r>
    </w:p>
    <w:p>
      <w:pPr>
        <w:pStyle w:val="8"/>
        <w:keepNext w:val="0"/>
        <w:keepLines w:val="0"/>
        <w:spacing w:before="0" w:after="0" w:line="360" w:lineRule="auto"/>
        <w:ind w:left="420" w:leftChars="200"/>
        <w:rPr>
          <w:rFonts w:ascii="仿宋" w:hAnsi="仿宋" w:eastAsia="仿宋"/>
          <w:sz w:val="24"/>
        </w:rPr>
      </w:pPr>
      <w:r>
        <w:rPr>
          <w:rFonts w:ascii="仿宋" w:hAnsi="仿宋" w:eastAsia="仿宋"/>
          <w:sz w:val="24"/>
        </w:rPr>
        <w:t>5.</w:t>
      </w:r>
      <w:r>
        <w:rPr>
          <w:rFonts w:hint="eastAsia" w:ascii="仿宋" w:hAnsi="仿宋" w:eastAsia="仿宋"/>
          <w:sz w:val="24"/>
        </w:rPr>
        <w:t>比较与评价</w:t>
      </w:r>
    </w:p>
    <w:p>
      <w:pPr>
        <w:snapToGrid w:val="0"/>
        <w:spacing w:line="360" w:lineRule="auto"/>
        <w:ind w:firstLine="480" w:firstLineChars="200"/>
        <w:rPr>
          <w:rFonts w:ascii="仿宋" w:hAnsi="仿宋" w:eastAsia="仿宋"/>
          <w:sz w:val="24"/>
        </w:rPr>
      </w:pPr>
      <w:r>
        <w:rPr>
          <w:rFonts w:hint="eastAsia" w:ascii="仿宋" w:hAnsi="仿宋" w:eastAsia="仿宋"/>
          <w:sz w:val="24"/>
        </w:rPr>
        <w:t>5.1采用综合评分法的</w:t>
      </w:r>
    </w:p>
    <w:p>
      <w:pPr>
        <w:snapToGrid w:val="0"/>
        <w:spacing w:line="360" w:lineRule="auto"/>
        <w:ind w:firstLine="480" w:firstLineChars="200"/>
        <w:rPr>
          <w:rFonts w:ascii="仿宋" w:hAnsi="仿宋" w:eastAsia="仿宋"/>
          <w:sz w:val="24"/>
        </w:rPr>
      </w:pPr>
      <w:r>
        <w:rPr>
          <w:rFonts w:hint="eastAsia" w:ascii="仿宋" w:hAnsi="仿宋" w:eastAsia="仿宋"/>
          <w:sz w:val="24"/>
        </w:rPr>
        <w:t>（1）评标委员会按照招标文件中规定的评标方法及评标标准，对符合性审查合格的投标文件进行商务和技术评估，综合比较与评价。</w:t>
      </w:r>
    </w:p>
    <w:p>
      <w:pPr>
        <w:snapToGrid w:val="0"/>
        <w:spacing w:line="360" w:lineRule="auto"/>
        <w:ind w:firstLine="480" w:firstLineChars="200"/>
        <w:rPr>
          <w:rFonts w:ascii="仿宋" w:hAnsi="仿宋" w:eastAsia="仿宋"/>
          <w:sz w:val="24"/>
        </w:rPr>
      </w:pPr>
      <w:r>
        <w:rPr>
          <w:rFonts w:hint="eastAsia" w:ascii="仿宋" w:hAnsi="仿宋" w:eastAsia="仿宋"/>
          <w:sz w:val="24"/>
        </w:rPr>
        <w:t>（2）评标委员会独立对每个投标人的投标文件进行评价，并汇总每个投标人的得分。</w:t>
      </w:r>
    </w:p>
    <w:p>
      <w:pPr>
        <w:snapToGrid w:val="0"/>
        <w:spacing w:line="360" w:lineRule="auto"/>
        <w:ind w:firstLine="480" w:firstLineChars="200"/>
        <w:rPr>
          <w:rFonts w:ascii="仿宋" w:hAnsi="仿宋" w:eastAsia="仿宋"/>
          <w:sz w:val="24"/>
        </w:rPr>
      </w:pPr>
      <w:r>
        <w:rPr>
          <w:rFonts w:hint="eastAsia" w:ascii="仿宋" w:hAnsi="仿宋" w:eastAsia="仿宋"/>
          <w:sz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 w:hAnsi="仿宋" w:eastAsia="仿宋"/>
          <w:b/>
          <w:sz w:val="24"/>
        </w:rPr>
        <w:t>投标人不能证明其报价合理性的，评标委员会将其作为无效投标处理</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（3）评标委员会按照招标文件中规定的评标方法和标准计算各投标人的报价得分。在计算过程中，不得去掉最高报价或者最低报价。</w:t>
      </w:r>
    </w:p>
    <w:p>
      <w:pPr>
        <w:snapToGrid w:val="0"/>
        <w:spacing w:line="360" w:lineRule="auto"/>
        <w:ind w:firstLine="480" w:firstLineChars="200"/>
        <w:rPr>
          <w:rFonts w:ascii="仿宋" w:hAnsi="仿宋" w:eastAsia="仿宋"/>
          <w:sz w:val="24"/>
        </w:rPr>
      </w:pPr>
      <w:r>
        <w:rPr>
          <w:rFonts w:hint="eastAsia" w:ascii="仿宋" w:hAnsi="仿宋" w:eastAsia="仿宋"/>
          <w:sz w:val="24"/>
        </w:rPr>
        <w:t>（4）各投标人的得分为所有评委的有效评分的算术平均数。</w:t>
      </w:r>
    </w:p>
    <w:p>
      <w:pPr>
        <w:snapToGrid w:val="0"/>
        <w:spacing w:line="360" w:lineRule="auto"/>
        <w:ind w:firstLine="480" w:firstLineChars="200"/>
        <w:rPr>
          <w:rFonts w:ascii="仿宋" w:hAnsi="仿宋" w:eastAsia="仿宋"/>
          <w:sz w:val="24"/>
        </w:rPr>
      </w:pPr>
      <w:r>
        <w:rPr>
          <w:rFonts w:hint="eastAsia" w:ascii="仿宋" w:hAnsi="仿宋" w:eastAsia="仿宋"/>
          <w:sz w:val="24"/>
        </w:rPr>
        <w:t>（5）评标委员会按照招标文件中的规定推荐中标候选人。</w:t>
      </w:r>
    </w:p>
    <w:p>
      <w:pPr>
        <w:snapToGrid w:val="0"/>
        <w:spacing w:line="360" w:lineRule="auto"/>
        <w:ind w:firstLine="480" w:firstLineChars="200"/>
        <w:rPr>
          <w:rFonts w:ascii="仿宋" w:hAnsi="仿宋" w:eastAsia="仿宋"/>
          <w:sz w:val="24"/>
        </w:rPr>
      </w:pPr>
      <w:r>
        <w:rPr>
          <w:rFonts w:hint="eastAsia" w:ascii="仿宋" w:hAnsi="仿宋" w:eastAsia="仿宋"/>
          <w:sz w:val="24"/>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pPr>
        <w:snapToGrid w:val="0"/>
        <w:spacing w:line="360" w:lineRule="auto"/>
        <w:ind w:firstLine="480" w:firstLineChars="200"/>
        <w:rPr>
          <w:rFonts w:ascii="仿宋" w:hAnsi="仿宋" w:eastAsia="仿宋"/>
          <w:sz w:val="24"/>
        </w:rPr>
      </w:pPr>
      <w:r>
        <w:rPr>
          <w:rFonts w:hint="eastAsia" w:ascii="仿宋" w:hAnsi="仿宋" w:eastAsia="仿宋"/>
          <w:sz w:val="24"/>
        </w:rPr>
        <w:t>5.2采用最低评标价法的</w:t>
      </w:r>
    </w:p>
    <w:p>
      <w:pPr>
        <w:snapToGrid w:val="0"/>
        <w:spacing w:line="360" w:lineRule="auto"/>
        <w:ind w:firstLine="484" w:firstLineChars="202"/>
        <w:jc w:val="left"/>
        <w:rPr>
          <w:rFonts w:ascii="仿宋" w:hAnsi="仿宋" w:eastAsia="仿宋"/>
          <w:sz w:val="24"/>
        </w:rPr>
      </w:pPr>
      <w:r>
        <w:rPr>
          <w:rFonts w:hint="eastAsia" w:ascii="仿宋" w:hAnsi="仿宋" w:eastAsia="仿宋"/>
          <w:sz w:val="24"/>
        </w:rPr>
        <w:t>（1）评标委员会按照招标文件中规定的评标方法及评标标准，对符合性审查合格的投标文件报价进行比较。</w:t>
      </w:r>
    </w:p>
    <w:p>
      <w:pPr>
        <w:snapToGrid w:val="0"/>
        <w:spacing w:line="360" w:lineRule="auto"/>
        <w:ind w:firstLine="460" w:firstLineChars="202"/>
        <w:jc w:val="left"/>
        <w:rPr>
          <w:rFonts w:ascii="仿宋" w:hAnsi="仿宋" w:eastAsia="仿宋"/>
          <w:spacing w:val="-6"/>
          <w:sz w:val="24"/>
        </w:rPr>
      </w:pPr>
      <w:r>
        <w:rPr>
          <w:rFonts w:hint="eastAsia" w:ascii="仿宋" w:hAnsi="仿宋" w:eastAsia="仿宋"/>
          <w:spacing w:val="-6"/>
          <w:sz w:val="24"/>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 w:hAnsi="仿宋" w:eastAsia="仿宋"/>
          <w:b/>
          <w:spacing w:val="-6"/>
          <w:sz w:val="24"/>
        </w:rPr>
        <w:t>投标人不能证明其报价合理性的，评标委员会将其作为无效投标处理</w:t>
      </w:r>
      <w:r>
        <w:rPr>
          <w:rFonts w:hint="eastAsia" w:ascii="仿宋" w:hAnsi="仿宋" w:eastAsia="仿宋"/>
          <w:spacing w:val="-6"/>
          <w:sz w:val="24"/>
        </w:rPr>
        <w:t>。</w:t>
      </w:r>
    </w:p>
    <w:p>
      <w:pPr>
        <w:snapToGrid w:val="0"/>
        <w:spacing w:line="360" w:lineRule="auto"/>
        <w:ind w:firstLine="484" w:firstLineChars="202"/>
        <w:jc w:val="left"/>
        <w:rPr>
          <w:rFonts w:ascii="仿宋" w:hAnsi="仿宋" w:eastAsia="仿宋"/>
          <w:sz w:val="24"/>
        </w:rPr>
      </w:pPr>
      <w:r>
        <w:rPr>
          <w:rFonts w:hint="eastAsia" w:ascii="仿宋" w:hAnsi="仿宋" w:eastAsia="仿宋"/>
          <w:sz w:val="24"/>
        </w:rPr>
        <w:t>（3）评标委员会按照招标文件中的规定推荐中标候选人。</w:t>
      </w:r>
    </w:p>
    <w:p>
      <w:pPr>
        <w:snapToGrid w:val="0"/>
        <w:spacing w:line="360" w:lineRule="auto"/>
        <w:ind w:firstLine="484" w:firstLineChars="202"/>
        <w:jc w:val="left"/>
        <w:rPr>
          <w:rFonts w:ascii="仿宋" w:hAnsi="仿宋" w:eastAsia="仿宋"/>
          <w:sz w:val="24"/>
        </w:rPr>
      </w:pPr>
      <w:r>
        <w:rPr>
          <w:rFonts w:hint="eastAsia" w:ascii="仿宋" w:hAnsi="仿宋" w:eastAsia="仿宋"/>
          <w:sz w:val="24"/>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pPr>
        <w:snapToGrid w:val="0"/>
        <w:spacing w:line="360" w:lineRule="auto"/>
        <w:jc w:val="center"/>
        <w:rPr>
          <w:rFonts w:ascii="仿宋" w:hAnsi="仿宋" w:eastAsia="仿宋" w:cs="宋体"/>
          <w:b/>
          <w:bCs/>
          <w:sz w:val="32"/>
          <w:szCs w:val="32"/>
        </w:rPr>
      </w:pPr>
      <w:r>
        <w:rPr>
          <w:rFonts w:ascii="仿宋" w:hAnsi="仿宋" w:eastAsia="仿宋"/>
        </w:rPr>
        <w:br w:type="page"/>
      </w:r>
      <w:r>
        <w:rPr>
          <w:rFonts w:hint="eastAsia" w:ascii="仿宋" w:hAnsi="仿宋" w:eastAsia="仿宋" w:cs="宋体"/>
          <w:b/>
          <w:bCs/>
          <w:sz w:val="32"/>
          <w:szCs w:val="32"/>
        </w:rPr>
        <w:t>第三章、评标标准</w:t>
      </w:r>
    </w:p>
    <w:p>
      <w:pPr>
        <w:pStyle w:val="6"/>
        <w:keepNext w:val="0"/>
        <w:keepLines w:val="0"/>
        <w:spacing w:before="0" w:after="0" w:line="360" w:lineRule="auto"/>
        <w:jc w:val="center"/>
        <w:rPr>
          <w:rFonts w:ascii="仿宋" w:hAnsi="仿宋" w:eastAsia="仿宋"/>
        </w:rPr>
      </w:pPr>
      <w:r>
        <w:rPr>
          <w:rFonts w:hint="eastAsia" w:ascii="仿宋" w:hAnsi="仿宋" w:eastAsia="仿宋"/>
        </w:rPr>
        <w:t>综合评分法</w:t>
      </w:r>
    </w:p>
    <w:p>
      <w:pPr>
        <w:rPr>
          <w:rFonts w:ascii="仿宋" w:hAnsi="仿宋" w:eastAsia="仿宋"/>
          <w:b/>
          <w:sz w:val="28"/>
          <w:szCs w:val="28"/>
        </w:rPr>
      </w:pPr>
      <w:r>
        <w:rPr>
          <w:rFonts w:hint="eastAsia" w:ascii="仿宋" w:hAnsi="仿宋" w:eastAsia="仿宋"/>
          <w:b/>
          <w:sz w:val="28"/>
          <w:szCs w:val="28"/>
        </w:rPr>
        <w:t>评标标准：</w:t>
      </w:r>
    </w:p>
    <w:tbl>
      <w:tblPr>
        <w:tblStyle w:val="54"/>
        <w:tblW w:w="10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993"/>
        <w:gridCol w:w="850"/>
        <w:gridCol w:w="1396"/>
        <w:gridCol w:w="6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575" w:type="dxa"/>
            <w:vAlign w:val="center"/>
          </w:tcPr>
          <w:p>
            <w:pPr>
              <w:spacing w:line="40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993" w:type="dxa"/>
            <w:vAlign w:val="center"/>
          </w:tcPr>
          <w:p>
            <w:pPr>
              <w:spacing w:line="40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评审</w:t>
            </w:r>
          </w:p>
          <w:p>
            <w:pPr>
              <w:spacing w:line="400" w:lineRule="exact"/>
              <w:jc w:val="center"/>
              <w:rPr>
                <w:rFonts w:ascii="仿宋" w:hAnsi="仿宋" w:eastAsia="仿宋" w:cs="仿宋"/>
                <w:color w:val="auto"/>
                <w:sz w:val="24"/>
                <w:highlight w:val="none"/>
              </w:rPr>
            </w:pPr>
            <w:r>
              <w:rPr>
                <w:rFonts w:hint="eastAsia" w:ascii="仿宋" w:hAnsi="仿宋" w:eastAsia="仿宋" w:cs="仿宋"/>
                <w:b/>
                <w:color w:val="auto"/>
                <w:sz w:val="24"/>
                <w:highlight w:val="none"/>
              </w:rPr>
              <w:t>因素</w:t>
            </w:r>
          </w:p>
        </w:tc>
        <w:tc>
          <w:tcPr>
            <w:tcW w:w="850" w:type="dxa"/>
            <w:vAlign w:val="center"/>
          </w:tcPr>
          <w:p>
            <w:pPr>
              <w:spacing w:line="40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分值</w:t>
            </w:r>
          </w:p>
        </w:tc>
        <w:tc>
          <w:tcPr>
            <w:tcW w:w="7802" w:type="dxa"/>
            <w:gridSpan w:val="2"/>
            <w:vAlign w:val="center"/>
          </w:tcPr>
          <w:p>
            <w:pPr>
              <w:spacing w:line="40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575" w:type="dxa"/>
            <w:vAlign w:val="center"/>
          </w:tcPr>
          <w:p>
            <w:pPr>
              <w:spacing w:line="40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1</w:t>
            </w:r>
          </w:p>
        </w:tc>
        <w:tc>
          <w:tcPr>
            <w:tcW w:w="993" w:type="dxa"/>
            <w:vAlign w:val="center"/>
          </w:tcPr>
          <w:p>
            <w:pPr>
              <w:spacing w:line="40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投标</w:t>
            </w:r>
          </w:p>
          <w:p>
            <w:pPr>
              <w:spacing w:line="40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报价</w:t>
            </w:r>
          </w:p>
        </w:tc>
        <w:tc>
          <w:tcPr>
            <w:tcW w:w="850" w:type="dxa"/>
            <w:vAlign w:val="center"/>
          </w:tcPr>
          <w:p>
            <w:pPr>
              <w:spacing w:line="40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15分</w:t>
            </w:r>
          </w:p>
        </w:tc>
        <w:tc>
          <w:tcPr>
            <w:tcW w:w="7802" w:type="dxa"/>
            <w:gridSpan w:val="2"/>
            <w:vAlign w:val="center"/>
          </w:tcPr>
          <w:p>
            <w:pPr>
              <w:spacing w:line="400" w:lineRule="exact"/>
              <w:rPr>
                <w:rFonts w:ascii="仿宋" w:hAnsi="仿宋" w:eastAsia="仿宋" w:cs="宋体"/>
                <w:b/>
                <w:bCs/>
                <w:color w:val="auto"/>
                <w:sz w:val="24"/>
                <w:highlight w:val="none"/>
              </w:rPr>
            </w:pPr>
            <w:r>
              <w:rPr>
                <w:rFonts w:hint="eastAsia" w:ascii="仿宋" w:hAnsi="仿宋" w:eastAsia="仿宋" w:cs="宋体"/>
                <w:b/>
                <w:bCs/>
                <w:color w:val="auto"/>
                <w:sz w:val="24"/>
                <w:highlight w:val="none"/>
              </w:rPr>
              <w:t>一、政府采购政策扣除</w:t>
            </w:r>
          </w:p>
          <w:p>
            <w:pPr>
              <w:spacing w:line="400" w:lineRule="exact"/>
              <w:ind w:firstLine="480" w:firstLineChars="200"/>
              <w:rPr>
                <w:rFonts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1、根据《政府采购促进中小企业发展管理办法》的规定、广西壮族自治区财政厅关于进一步发挥政府采购政策功能促进企业发展的通知-桂财采〔2022〕30号规定，对于经主管预算单位统筹后未预留份额专门面向中小企业采购的采购项目，以及预留份额项目中的非预留部分采购包，投标人在其投标文件中提供《中小企业声明函》，且其投标产品全部为小型和微型企业产品的，对投标报价给予20%的扣除，用扣除后的价格参加评审；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的扣除，用扣除后的价格参加评审。符合上述规定对报价给予扣除的，扣除后的价格为评标价，即评标价=投标报价×（1-扣除比例）；不符合上述给予扣除情形的，评标价=投标报价。</w:t>
            </w:r>
          </w:p>
          <w:p>
            <w:pPr>
              <w:spacing w:line="400" w:lineRule="exact"/>
              <w:ind w:firstLine="480" w:firstLineChars="200"/>
              <w:rPr>
                <w:rFonts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2、</w:t>
            </w:r>
            <w:r>
              <w:rPr>
                <w:rFonts w:hint="eastAsia" w:ascii="仿宋" w:hAnsi="仿宋" w:eastAsia="仿宋" w:cs="宋体"/>
                <w:color w:val="auto"/>
                <w:kern w:val="0"/>
                <w:sz w:val="24"/>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spacing w:line="400" w:lineRule="exact"/>
              <w:ind w:firstLine="480" w:firstLineChars="200"/>
              <w:outlineLvl w:val="0"/>
              <w:rPr>
                <w:rFonts w:ascii="仿宋" w:hAnsi="仿宋" w:eastAsia="仿宋" w:cs="宋体"/>
                <w:color w:val="auto"/>
                <w:kern w:val="0"/>
                <w:sz w:val="24"/>
                <w:highlight w:val="none"/>
              </w:rPr>
            </w:pPr>
            <w:r>
              <w:rPr>
                <w:rFonts w:hint="eastAsia" w:ascii="仿宋" w:hAnsi="仿宋" w:eastAsia="仿宋" w:cs="宋体"/>
                <w:bCs/>
                <w:color w:val="auto"/>
                <w:kern w:val="0"/>
                <w:sz w:val="24"/>
                <w:highlight w:val="none"/>
              </w:rPr>
              <w:t>3、</w:t>
            </w:r>
            <w:r>
              <w:rPr>
                <w:rFonts w:hint="eastAsia" w:ascii="仿宋" w:hAnsi="仿宋" w:eastAsia="仿宋" w:cs="宋体"/>
                <w:color w:val="auto"/>
                <w:kern w:val="0"/>
                <w:sz w:val="24"/>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400" w:lineRule="exact"/>
              <w:outlineLvl w:val="0"/>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二、投标报价分（满分15分）</w:t>
            </w:r>
          </w:p>
          <w:p>
            <w:pPr>
              <w:spacing w:line="400" w:lineRule="exact"/>
              <w:ind w:firstLine="480" w:firstLineChars="200"/>
              <w:rPr>
                <w:rFonts w:ascii="仿宋" w:hAnsi="仿宋" w:eastAsia="仿宋" w:cs="仿宋"/>
                <w:bCs/>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bCs/>
                <w:color w:val="auto"/>
                <w:kern w:val="0"/>
                <w:sz w:val="24"/>
                <w:highlight w:val="none"/>
              </w:rPr>
              <w:t>投标报价分采用低价优先法计算，满足招标文件要求且评标价最低的有效投标人的评标价为评标基准价，其投标报价分为满分。</w:t>
            </w:r>
          </w:p>
          <w:p>
            <w:pPr>
              <w:spacing w:line="400" w:lineRule="exact"/>
              <w:ind w:firstLine="480" w:firstLineChars="200"/>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2、其他投标人的价格分统一按照下列公式计算：</w:t>
            </w:r>
          </w:p>
          <w:p>
            <w:pPr>
              <w:spacing w:line="400" w:lineRule="exact"/>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某有效投标人的投标报价分=（评标基准价／某有效投标人评标价）×15分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575" w:type="dxa"/>
            <w:vMerge w:val="restart"/>
            <w:vAlign w:val="center"/>
          </w:tcPr>
          <w:p>
            <w:pPr>
              <w:spacing w:line="40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2</w:t>
            </w:r>
          </w:p>
        </w:tc>
        <w:tc>
          <w:tcPr>
            <w:tcW w:w="993" w:type="dxa"/>
            <w:vMerge w:val="restart"/>
            <w:vAlign w:val="center"/>
          </w:tcPr>
          <w:p>
            <w:pPr>
              <w:spacing w:line="40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技术分</w:t>
            </w:r>
          </w:p>
        </w:tc>
        <w:tc>
          <w:tcPr>
            <w:tcW w:w="850" w:type="dxa"/>
            <w:vMerge w:val="restart"/>
            <w:vAlign w:val="center"/>
          </w:tcPr>
          <w:p>
            <w:pPr>
              <w:spacing w:line="40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69分</w:t>
            </w:r>
          </w:p>
        </w:tc>
        <w:tc>
          <w:tcPr>
            <w:tcW w:w="1396" w:type="dxa"/>
            <w:vAlign w:val="center"/>
          </w:tcPr>
          <w:p>
            <w:pPr>
              <w:spacing w:line="40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项目实施方案</w:t>
            </w:r>
          </w:p>
          <w:p>
            <w:pPr>
              <w:spacing w:line="400" w:lineRule="exact"/>
              <w:jc w:val="center"/>
              <w:rPr>
                <w:rFonts w:ascii="仿宋" w:hAnsi="仿宋" w:eastAsia="仿宋" w:cs="仿宋"/>
                <w:b/>
                <w:bCs/>
                <w:color w:val="auto"/>
                <w:kern w:val="0"/>
                <w:sz w:val="24"/>
                <w:highlight w:val="none"/>
              </w:rPr>
            </w:pPr>
            <w:r>
              <w:rPr>
                <w:rFonts w:hint="eastAsia" w:ascii="仿宋" w:hAnsi="仿宋" w:eastAsia="仿宋" w:cs="仿宋"/>
                <w:b/>
                <w:bCs/>
                <w:color w:val="auto"/>
                <w:sz w:val="24"/>
                <w:highlight w:val="none"/>
              </w:rPr>
              <w:t>（20分）</w:t>
            </w:r>
          </w:p>
        </w:tc>
        <w:tc>
          <w:tcPr>
            <w:tcW w:w="6406" w:type="dxa"/>
            <w:vAlign w:val="center"/>
          </w:tcPr>
          <w:p>
            <w:pPr>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评标委员会对投标人提供的项目实施方案内容进行独立评审：</w:t>
            </w:r>
          </w:p>
          <w:p>
            <w:pPr>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一档（7分）：方案能提供对项目的整体理解，正确列出实施本项目各项工作计划、工作标准及工作流程等，包括但不限于平台和在线课程的设计、开发和维护，以及教务管理系统的运营和维护、使用部门或师生培训计划等；</w:t>
            </w:r>
          </w:p>
          <w:p>
            <w:pPr>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二档（14分）：方案较详细，投标人对项目要求理解和表述清晰且正确，内容优于上一档，能够提供配合采购人后期建设网络课程、在线开放课程等课程资源的工作措施方案，课程持续改进实时更新计划等。</w:t>
            </w:r>
          </w:p>
          <w:p>
            <w:pPr>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三档（20分）：方案科学合理，内容优于上一档，还能够结合国内其他高校同类项目实施的先进经验，为采购人提供不少于3项利于提升项目实施效果的合理化建议，促进采购人相关工作质量的不断提升。要求合理化建议须正确、与项目相关且符合采购人教育事业发展方向。</w:t>
            </w:r>
          </w:p>
          <w:p>
            <w:pPr>
              <w:spacing w:line="400" w:lineRule="exact"/>
              <w:rPr>
                <w:rFonts w:ascii="仿宋" w:hAnsi="仿宋" w:eastAsia="仿宋" w:cs="仿宋"/>
                <w:color w:val="auto"/>
                <w:sz w:val="24"/>
                <w:highlight w:val="none"/>
              </w:rPr>
            </w:pPr>
            <w:r>
              <w:rPr>
                <w:rFonts w:hint="eastAsia" w:ascii="仿宋" w:hAnsi="仿宋" w:eastAsia="仿宋" w:cs="仿宋"/>
                <w:bCs/>
                <w:color w:val="auto"/>
                <w:spacing w:val="3"/>
                <w:sz w:val="24"/>
                <w:highlight w:val="none"/>
              </w:rPr>
              <w:t>注：</w:t>
            </w:r>
            <w:r>
              <w:rPr>
                <w:rFonts w:hint="eastAsia" w:ascii="仿宋" w:hAnsi="仿宋" w:eastAsia="仿宋" w:cs="仿宋"/>
                <w:b/>
                <w:color w:val="auto"/>
                <w:spacing w:val="3"/>
                <w:sz w:val="24"/>
                <w:highlight w:val="none"/>
              </w:rPr>
              <w:t>未提供方案或方案不满足第一档的不得分。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575" w:type="dxa"/>
            <w:vMerge w:val="continue"/>
            <w:vAlign w:val="center"/>
          </w:tcPr>
          <w:p>
            <w:pPr>
              <w:spacing w:line="400" w:lineRule="exact"/>
              <w:jc w:val="center"/>
              <w:rPr>
                <w:rFonts w:ascii="仿宋" w:hAnsi="仿宋" w:eastAsia="仿宋" w:cs="仿宋"/>
                <w:b/>
                <w:color w:val="auto"/>
                <w:sz w:val="24"/>
                <w:highlight w:val="none"/>
              </w:rPr>
            </w:pPr>
          </w:p>
        </w:tc>
        <w:tc>
          <w:tcPr>
            <w:tcW w:w="993" w:type="dxa"/>
            <w:vMerge w:val="continue"/>
            <w:vAlign w:val="center"/>
          </w:tcPr>
          <w:p>
            <w:pPr>
              <w:spacing w:line="400" w:lineRule="exact"/>
              <w:jc w:val="center"/>
              <w:rPr>
                <w:rFonts w:ascii="仿宋" w:hAnsi="仿宋" w:eastAsia="仿宋" w:cs="仿宋"/>
                <w:b/>
                <w:color w:val="auto"/>
                <w:sz w:val="24"/>
                <w:highlight w:val="none"/>
              </w:rPr>
            </w:pPr>
          </w:p>
        </w:tc>
        <w:tc>
          <w:tcPr>
            <w:tcW w:w="850" w:type="dxa"/>
            <w:vMerge w:val="continue"/>
            <w:vAlign w:val="center"/>
          </w:tcPr>
          <w:p>
            <w:pPr>
              <w:spacing w:line="400" w:lineRule="exact"/>
              <w:jc w:val="center"/>
              <w:rPr>
                <w:rFonts w:ascii="仿宋" w:hAnsi="仿宋" w:eastAsia="仿宋" w:cs="仿宋"/>
                <w:b/>
                <w:color w:val="auto"/>
                <w:sz w:val="24"/>
                <w:highlight w:val="none"/>
              </w:rPr>
            </w:pPr>
          </w:p>
        </w:tc>
        <w:tc>
          <w:tcPr>
            <w:tcW w:w="1396" w:type="dxa"/>
            <w:vAlign w:val="center"/>
          </w:tcPr>
          <w:p>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平台数据安全与个人信息保护方案</w:t>
            </w:r>
          </w:p>
          <w:p>
            <w:pPr>
              <w:spacing w:line="400" w:lineRule="exact"/>
              <w:jc w:val="center"/>
              <w:rPr>
                <w:rFonts w:ascii="仿宋" w:hAnsi="仿宋" w:eastAsia="仿宋" w:cs="仿宋"/>
                <w:b/>
                <w:bCs/>
                <w:color w:val="auto"/>
                <w:kern w:val="0"/>
                <w:sz w:val="24"/>
                <w:highlight w:val="none"/>
              </w:rPr>
            </w:pPr>
            <w:r>
              <w:rPr>
                <w:rFonts w:hint="eastAsia" w:ascii="仿宋" w:hAnsi="仿宋" w:eastAsia="仿宋" w:cs="仿宋"/>
                <w:b/>
                <w:bCs/>
                <w:color w:val="auto"/>
                <w:sz w:val="24"/>
                <w:highlight w:val="none"/>
              </w:rPr>
              <w:t>（15分）</w:t>
            </w:r>
          </w:p>
        </w:tc>
        <w:tc>
          <w:tcPr>
            <w:tcW w:w="6406" w:type="dxa"/>
            <w:vAlign w:val="center"/>
          </w:tcPr>
          <w:p>
            <w:pPr>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评标委员会对投标人提供的平台数据安全与个人信息保护方案内容进行独立评审：</w:t>
            </w:r>
          </w:p>
          <w:p>
            <w:pPr>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一档（5分）：方案能提供对平台数据安全与个人信息保护的整体理解，正确列出数据分类分级、访问控制、加密传输与存储、日志审计、应急响应等基本安全措施，涵盖平台运行、教务管理、用户培训等环节的数据保护要求。</w:t>
            </w:r>
          </w:p>
          <w:p>
            <w:pPr>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二档（10分）：方案较详细，对数据安全与个人信息保护要求理解和表述清晰且正确，内容优于上一档，符合高等学历继续教育平台运行特点，能够提供数据生命周期安全管理、隐私政策合规性说明、师生个人信息保护培训计划、数据泄露应急预案等具体措施。</w:t>
            </w:r>
          </w:p>
          <w:p>
            <w:pPr>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三档（15分）：方案科学合理，内容优于上一档，方案能够结合国内其他高校或教育平台在数据安全与个人信息保护方面的先进经验，方案内容符合项目相关且符合采购人教育信息化发展方向。</w:t>
            </w:r>
          </w:p>
          <w:p>
            <w:pPr>
              <w:spacing w:line="400" w:lineRule="exact"/>
              <w:rPr>
                <w:rFonts w:ascii="仿宋" w:hAnsi="仿宋" w:eastAsia="仿宋" w:cs="仿宋"/>
                <w:color w:val="auto"/>
                <w:sz w:val="24"/>
                <w:highlight w:val="none"/>
              </w:rPr>
            </w:pPr>
            <w:r>
              <w:rPr>
                <w:rFonts w:hint="eastAsia" w:ascii="仿宋" w:hAnsi="仿宋" w:eastAsia="仿宋" w:cs="仿宋"/>
                <w:bCs/>
                <w:color w:val="auto"/>
                <w:spacing w:val="3"/>
                <w:sz w:val="24"/>
                <w:highlight w:val="none"/>
              </w:rPr>
              <w:t>注：</w:t>
            </w:r>
            <w:r>
              <w:rPr>
                <w:rFonts w:hint="eastAsia" w:ascii="仿宋" w:hAnsi="仿宋" w:eastAsia="仿宋" w:cs="仿宋"/>
                <w:b/>
                <w:color w:val="auto"/>
                <w:spacing w:val="3"/>
                <w:sz w:val="24"/>
                <w:highlight w:val="none"/>
              </w:rPr>
              <w:t>未提供方案或方案不满足第一档的不得分。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575" w:type="dxa"/>
            <w:vMerge w:val="continue"/>
            <w:vAlign w:val="center"/>
          </w:tcPr>
          <w:p>
            <w:pPr>
              <w:spacing w:line="400" w:lineRule="exact"/>
              <w:jc w:val="center"/>
              <w:rPr>
                <w:rFonts w:ascii="仿宋" w:hAnsi="仿宋" w:eastAsia="仿宋" w:cs="仿宋"/>
                <w:b/>
                <w:color w:val="auto"/>
                <w:sz w:val="24"/>
                <w:highlight w:val="none"/>
              </w:rPr>
            </w:pPr>
          </w:p>
        </w:tc>
        <w:tc>
          <w:tcPr>
            <w:tcW w:w="993" w:type="dxa"/>
            <w:vMerge w:val="continue"/>
            <w:vAlign w:val="center"/>
          </w:tcPr>
          <w:p>
            <w:pPr>
              <w:spacing w:line="400" w:lineRule="exact"/>
              <w:jc w:val="center"/>
              <w:rPr>
                <w:rFonts w:ascii="仿宋" w:hAnsi="仿宋" w:eastAsia="仿宋" w:cs="仿宋"/>
                <w:b/>
                <w:color w:val="auto"/>
                <w:sz w:val="24"/>
                <w:highlight w:val="none"/>
              </w:rPr>
            </w:pPr>
          </w:p>
        </w:tc>
        <w:tc>
          <w:tcPr>
            <w:tcW w:w="850" w:type="dxa"/>
            <w:vMerge w:val="continue"/>
            <w:vAlign w:val="center"/>
          </w:tcPr>
          <w:p>
            <w:pPr>
              <w:spacing w:line="400" w:lineRule="exact"/>
              <w:jc w:val="center"/>
              <w:rPr>
                <w:rFonts w:ascii="仿宋" w:hAnsi="仿宋" w:eastAsia="仿宋" w:cs="仿宋"/>
                <w:b/>
                <w:color w:val="auto"/>
                <w:sz w:val="24"/>
                <w:highlight w:val="none"/>
              </w:rPr>
            </w:pPr>
          </w:p>
        </w:tc>
        <w:tc>
          <w:tcPr>
            <w:tcW w:w="1396" w:type="dxa"/>
            <w:vAlign w:val="center"/>
          </w:tcPr>
          <w:p>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平台升级服务方案</w:t>
            </w:r>
          </w:p>
          <w:p>
            <w:pPr>
              <w:spacing w:line="400" w:lineRule="exact"/>
              <w:jc w:val="center"/>
              <w:rPr>
                <w:rFonts w:ascii="仿宋" w:hAnsi="仿宋" w:eastAsia="仿宋" w:cs="仿宋"/>
                <w:b/>
                <w:bCs/>
                <w:color w:val="auto"/>
                <w:kern w:val="0"/>
                <w:sz w:val="24"/>
                <w:highlight w:val="none"/>
              </w:rPr>
            </w:pPr>
            <w:r>
              <w:rPr>
                <w:rFonts w:hint="eastAsia" w:ascii="仿宋" w:hAnsi="仿宋" w:eastAsia="仿宋" w:cs="仿宋"/>
                <w:b/>
                <w:bCs/>
                <w:color w:val="auto"/>
                <w:sz w:val="24"/>
                <w:highlight w:val="none"/>
              </w:rPr>
              <w:t>（9分）</w:t>
            </w:r>
          </w:p>
        </w:tc>
        <w:tc>
          <w:tcPr>
            <w:tcW w:w="6406" w:type="dxa"/>
            <w:vAlign w:val="center"/>
          </w:tcPr>
          <w:p>
            <w:pPr>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评标委员会对投标人提供的平台升级服务方案内容进行独立评审：</w:t>
            </w:r>
          </w:p>
          <w:p>
            <w:pPr>
              <w:spacing w:line="400" w:lineRule="exact"/>
              <w:rPr>
                <w:rFonts w:ascii="仿宋" w:hAnsi="仿宋" w:eastAsia="仿宋" w:cs="仿宋"/>
                <w:bCs/>
                <w:color w:val="auto"/>
                <w:spacing w:val="3"/>
                <w:sz w:val="24"/>
                <w:highlight w:val="none"/>
              </w:rPr>
            </w:pPr>
            <w:r>
              <w:rPr>
                <w:rFonts w:hint="eastAsia" w:ascii="仿宋" w:hAnsi="仿宋" w:eastAsia="仿宋" w:cs="仿宋"/>
                <w:bCs/>
                <w:color w:val="auto"/>
                <w:spacing w:val="3"/>
                <w:sz w:val="24"/>
                <w:highlight w:val="none"/>
              </w:rPr>
              <w:t>一档（3分）：方案能提供对平台升级项目的整体理解，正确列出实施本项目各项工作计划、工作标准及工作流程等，包括但不限于平台功能模块升级、系统兼容性优化、数据迁移与安全保障、教务管理系统运营维护、使用部门或师生培训计划等内容。</w:t>
            </w:r>
          </w:p>
          <w:p>
            <w:pPr>
              <w:spacing w:line="400" w:lineRule="exact"/>
              <w:rPr>
                <w:rFonts w:ascii="仿宋" w:hAnsi="仿宋" w:eastAsia="仿宋" w:cs="仿宋"/>
                <w:bCs/>
                <w:color w:val="auto"/>
                <w:spacing w:val="3"/>
                <w:sz w:val="24"/>
                <w:highlight w:val="none"/>
              </w:rPr>
            </w:pPr>
            <w:r>
              <w:rPr>
                <w:rFonts w:hint="eastAsia" w:ascii="仿宋" w:hAnsi="仿宋" w:eastAsia="仿宋" w:cs="仿宋"/>
                <w:bCs/>
                <w:color w:val="auto"/>
                <w:spacing w:val="3"/>
                <w:sz w:val="24"/>
                <w:highlight w:val="none"/>
              </w:rPr>
              <w:t>二档（6分）：</w:t>
            </w:r>
          </w:p>
          <w:p>
            <w:pPr>
              <w:spacing w:line="400" w:lineRule="exact"/>
              <w:rPr>
                <w:rFonts w:ascii="仿宋" w:hAnsi="仿宋" w:eastAsia="仿宋" w:cs="仿宋"/>
                <w:bCs/>
                <w:color w:val="auto"/>
                <w:spacing w:val="3"/>
                <w:sz w:val="24"/>
                <w:highlight w:val="none"/>
              </w:rPr>
            </w:pPr>
            <w:r>
              <w:rPr>
                <w:rFonts w:hint="eastAsia" w:ascii="仿宋" w:hAnsi="仿宋" w:eastAsia="仿宋" w:cs="仿宋"/>
                <w:bCs/>
                <w:color w:val="auto"/>
                <w:spacing w:val="3"/>
                <w:sz w:val="24"/>
                <w:highlight w:val="none"/>
              </w:rPr>
              <w:t>方案较详细，投标人对项目要求理解和表述清晰且正确，内容优于上一档，且符合高等学历继续教育的特点与教学管理需求，能够提供配合采购人后期开展网络课程建设、在线开放课程资源开发与整合的工作措施方案，以及课程资源持续改进与实时更新计划等。</w:t>
            </w:r>
          </w:p>
          <w:p>
            <w:pPr>
              <w:spacing w:line="400" w:lineRule="exact"/>
              <w:rPr>
                <w:rFonts w:ascii="仿宋" w:hAnsi="仿宋" w:eastAsia="仿宋" w:cs="仿宋"/>
                <w:bCs/>
                <w:color w:val="auto"/>
                <w:spacing w:val="3"/>
                <w:sz w:val="24"/>
                <w:highlight w:val="none"/>
              </w:rPr>
            </w:pPr>
            <w:r>
              <w:rPr>
                <w:rFonts w:hint="eastAsia" w:ascii="仿宋" w:hAnsi="仿宋" w:eastAsia="仿宋" w:cs="仿宋"/>
                <w:bCs/>
                <w:color w:val="auto"/>
                <w:spacing w:val="3"/>
                <w:sz w:val="24"/>
                <w:highlight w:val="none"/>
              </w:rPr>
              <w:t>三档（9分）：</w:t>
            </w:r>
          </w:p>
          <w:p>
            <w:pPr>
              <w:spacing w:line="400" w:lineRule="exact"/>
              <w:rPr>
                <w:rFonts w:ascii="仿宋" w:hAnsi="仿宋" w:eastAsia="仿宋" w:cs="仿宋"/>
                <w:bCs/>
                <w:color w:val="auto"/>
                <w:spacing w:val="3"/>
                <w:sz w:val="24"/>
                <w:highlight w:val="none"/>
              </w:rPr>
            </w:pPr>
            <w:r>
              <w:rPr>
                <w:rFonts w:hint="eastAsia" w:ascii="仿宋" w:hAnsi="仿宋" w:eastAsia="仿宋" w:cs="仿宋"/>
                <w:bCs/>
                <w:color w:val="auto"/>
                <w:spacing w:val="3"/>
                <w:sz w:val="24"/>
                <w:highlight w:val="none"/>
              </w:rPr>
              <w:t>方案科学合理，内容优于上一档，还能够结合国内其他高校同类平台升级项目的先进经验，方案内容需要与项目高度相关且符合采购人高等学历继续教育事业发展方向。</w:t>
            </w:r>
          </w:p>
          <w:p>
            <w:pPr>
              <w:spacing w:line="400" w:lineRule="exact"/>
              <w:rPr>
                <w:rFonts w:ascii="仿宋" w:hAnsi="仿宋" w:eastAsia="仿宋" w:cs="仿宋"/>
                <w:color w:val="auto"/>
                <w:sz w:val="24"/>
                <w:highlight w:val="none"/>
              </w:rPr>
            </w:pPr>
            <w:r>
              <w:rPr>
                <w:rFonts w:hint="eastAsia" w:ascii="仿宋" w:hAnsi="仿宋" w:eastAsia="仿宋" w:cs="仿宋"/>
                <w:b/>
                <w:color w:val="auto"/>
                <w:spacing w:val="3"/>
                <w:sz w:val="24"/>
                <w:highlight w:val="none"/>
              </w:rPr>
              <w:t>未提供方案或方案不满足第一档的不得分。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575" w:type="dxa"/>
            <w:vMerge w:val="continue"/>
            <w:vAlign w:val="center"/>
          </w:tcPr>
          <w:p>
            <w:pPr>
              <w:spacing w:line="400" w:lineRule="exact"/>
              <w:jc w:val="center"/>
              <w:rPr>
                <w:rFonts w:ascii="仿宋" w:hAnsi="仿宋" w:eastAsia="仿宋" w:cs="仿宋"/>
                <w:b/>
                <w:color w:val="auto"/>
                <w:sz w:val="24"/>
                <w:highlight w:val="none"/>
              </w:rPr>
            </w:pPr>
          </w:p>
        </w:tc>
        <w:tc>
          <w:tcPr>
            <w:tcW w:w="993" w:type="dxa"/>
            <w:vMerge w:val="continue"/>
            <w:vAlign w:val="center"/>
          </w:tcPr>
          <w:p>
            <w:pPr>
              <w:spacing w:line="400" w:lineRule="exact"/>
              <w:jc w:val="center"/>
              <w:rPr>
                <w:rFonts w:ascii="仿宋" w:hAnsi="仿宋" w:eastAsia="仿宋" w:cs="仿宋"/>
                <w:b/>
                <w:color w:val="auto"/>
                <w:sz w:val="24"/>
                <w:highlight w:val="none"/>
              </w:rPr>
            </w:pPr>
          </w:p>
        </w:tc>
        <w:tc>
          <w:tcPr>
            <w:tcW w:w="850" w:type="dxa"/>
            <w:vMerge w:val="continue"/>
            <w:vAlign w:val="center"/>
          </w:tcPr>
          <w:p>
            <w:pPr>
              <w:spacing w:line="400" w:lineRule="exact"/>
              <w:jc w:val="center"/>
              <w:rPr>
                <w:rFonts w:ascii="仿宋" w:hAnsi="仿宋" w:eastAsia="仿宋" w:cs="仿宋"/>
                <w:b/>
                <w:color w:val="auto"/>
                <w:sz w:val="24"/>
                <w:highlight w:val="none"/>
              </w:rPr>
            </w:pPr>
          </w:p>
        </w:tc>
        <w:tc>
          <w:tcPr>
            <w:tcW w:w="1396" w:type="dxa"/>
            <w:vAlign w:val="center"/>
          </w:tcPr>
          <w:p>
            <w:pPr>
              <w:keepLines/>
              <w:wordWrap w:val="0"/>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演示分</w:t>
            </w:r>
          </w:p>
          <w:p>
            <w:pPr>
              <w:keepLines/>
              <w:wordWrap w:val="0"/>
              <w:spacing w:line="40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（25分）</w:t>
            </w:r>
          </w:p>
        </w:tc>
        <w:tc>
          <w:tcPr>
            <w:tcW w:w="6406" w:type="dxa"/>
            <w:vAlign w:val="center"/>
          </w:tcPr>
          <w:p>
            <w:pPr>
              <w:keepLines/>
              <w:wordWrap w:val="0"/>
              <w:spacing w:line="40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一、系统演示（满分20分）</w:t>
            </w:r>
          </w:p>
          <w:p>
            <w:pPr>
              <w:keepLines/>
              <w:wordWrap w:val="0"/>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根据线上演示情况进行评审，投标人对以下10项功能进行演示，完全演示成功且演示内容符合招标文件要求得20分，对于每一个演示项存在部分演示或者不演示本项得0分。</w:t>
            </w:r>
          </w:p>
          <w:p>
            <w:pPr>
              <w:keepLines/>
              <w:wordWrap w:val="0"/>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教学教务管理平台</w:t>
            </w:r>
          </w:p>
          <w:p>
            <w:pPr>
              <w:keepLines/>
              <w:numPr>
                <w:ilvl w:val="0"/>
                <w:numId w:val="65"/>
              </w:numPr>
              <w:wordWrap w:val="0"/>
              <w:spacing w:line="400" w:lineRule="exact"/>
              <w:ind w:firstLine="0"/>
              <w:rPr>
                <w:rFonts w:ascii="仿宋" w:hAnsi="仿宋" w:eastAsia="仿宋" w:cs="仿宋"/>
                <w:color w:val="auto"/>
                <w:sz w:val="24"/>
                <w:highlight w:val="none"/>
              </w:rPr>
            </w:pPr>
            <w:r>
              <w:rPr>
                <w:rFonts w:hint="eastAsia" w:ascii="仿宋" w:hAnsi="仿宋" w:eastAsia="仿宋" w:cs="仿宋"/>
                <w:color w:val="auto"/>
                <w:sz w:val="24"/>
                <w:highlight w:val="none"/>
              </w:rPr>
              <w:t>数据看板：</w:t>
            </w:r>
            <w:r>
              <w:rPr>
                <w:rFonts w:hint="eastAsia" w:ascii="仿宋" w:hAnsi="仿宋" w:eastAsia="仿宋" w:cs="仿宋"/>
                <w:snapToGrid w:val="0"/>
                <w:color w:val="auto"/>
                <w:kern w:val="21"/>
                <w:sz w:val="24"/>
                <w:highlight w:val="none"/>
              </w:rPr>
              <w:t>数据看板模板的设置允许定制不同角色的看板样式，包括自定义添加看板名称，以及自定义选择支持的单位和工作范围；支持筛选和勾选可用单位、工作范围和角色；提供看板名称搜索功能，以及编辑预设看板模板的能力，涵盖看板名称、卡片数量和布局；还支持批量将模板分配给不同角色，作为他们的默认看板</w:t>
            </w:r>
            <w:r>
              <w:rPr>
                <w:rFonts w:hint="eastAsia" w:ascii="仿宋" w:hAnsi="仿宋" w:eastAsia="仿宋" w:cs="仿宋"/>
                <w:color w:val="auto"/>
                <w:sz w:val="24"/>
                <w:highlight w:val="none"/>
              </w:rPr>
              <w:t>。（2分）</w:t>
            </w:r>
          </w:p>
          <w:p>
            <w:pPr>
              <w:keepLines/>
              <w:numPr>
                <w:ilvl w:val="0"/>
                <w:numId w:val="65"/>
              </w:numPr>
              <w:wordWrap w:val="0"/>
              <w:spacing w:line="400" w:lineRule="exact"/>
              <w:ind w:firstLine="0"/>
              <w:rPr>
                <w:rFonts w:ascii="仿宋" w:hAnsi="仿宋" w:eastAsia="仿宋" w:cs="仿宋"/>
                <w:color w:val="auto"/>
                <w:sz w:val="24"/>
                <w:highlight w:val="none"/>
              </w:rPr>
            </w:pPr>
            <w:r>
              <w:rPr>
                <w:rFonts w:hint="eastAsia" w:ascii="仿宋" w:hAnsi="仿宋" w:eastAsia="仿宋" w:cs="仿宋"/>
                <w:snapToGrid w:val="0"/>
                <w:color w:val="auto"/>
                <w:kern w:val="21"/>
                <w:sz w:val="24"/>
                <w:highlight w:val="none"/>
              </w:rPr>
              <w:t>基础数据管理</w:t>
            </w:r>
            <w:r>
              <w:rPr>
                <w:rFonts w:hint="eastAsia" w:ascii="仿宋" w:hAnsi="仿宋" w:eastAsia="仿宋" w:cs="仿宋"/>
                <w:color w:val="auto"/>
                <w:sz w:val="24"/>
                <w:highlight w:val="none"/>
              </w:rPr>
              <w:t>：支持设置论文成绩单模板，支持设置论文批次信息、成绩单可选学生信息、论文信息，论文信息包括并不仅限于是否计划申请学位、论文选题、论文类型、选题来源、撰写语种、研究方向、选题状态等，组成论文成绩单模板。（2分）</w:t>
            </w:r>
          </w:p>
          <w:p>
            <w:pPr>
              <w:keepLines/>
              <w:numPr>
                <w:ilvl w:val="0"/>
                <w:numId w:val="65"/>
              </w:numPr>
              <w:wordWrap w:val="0"/>
              <w:spacing w:line="400" w:lineRule="exact"/>
              <w:ind w:firstLine="0"/>
              <w:rPr>
                <w:rFonts w:ascii="仿宋" w:hAnsi="仿宋" w:eastAsia="仿宋" w:cs="仿宋"/>
                <w:color w:val="auto"/>
                <w:sz w:val="24"/>
                <w:highlight w:val="none"/>
              </w:rPr>
            </w:pPr>
            <w:r>
              <w:rPr>
                <w:rFonts w:hint="eastAsia" w:ascii="仿宋" w:hAnsi="仿宋" w:eastAsia="仿宋" w:cs="仿宋"/>
                <w:color w:val="auto"/>
                <w:sz w:val="24"/>
                <w:highlight w:val="none"/>
              </w:rPr>
              <w:t>安全监管：支持开启防录屏安全设置，防录屏必须同时包含开启动态水印、禁止回放下载、禁止 APP录屏，自定义水印尺寸和不透明度，可预览查看课程视频中水印动态；支持自定义选择角色和老师赋予紧急终止直播权限。（2分）</w:t>
            </w:r>
          </w:p>
          <w:p>
            <w:pPr>
              <w:keepLines/>
              <w:numPr>
                <w:ilvl w:val="0"/>
                <w:numId w:val="65"/>
              </w:numPr>
              <w:wordWrap w:val="0"/>
              <w:spacing w:line="400" w:lineRule="exact"/>
              <w:ind w:firstLine="0"/>
              <w:rPr>
                <w:rFonts w:ascii="仿宋" w:hAnsi="仿宋" w:eastAsia="仿宋" w:cs="仿宋"/>
                <w:color w:val="auto"/>
                <w:sz w:val="24"/>
                <w:highlight w:val="none"/>
              </w:rPr>
            </w:pPr>
            <w:r>
              <w:rPr>
                <w:rFonts w:hint="eastAsia" w:ascii="仿宋" w:hAnsi="仿宋" w:eastAsia="仿宋" w:cs="仿宋"/>
                <w:snapToGrid w:val="0"/>
                <w:color w:val="auto"/>
                <w:kern w:val="21"/>
                <w:sz w:val="24"/>
                <w:highlight w:val="none"/>
              </w:rPr>
              <w:t>安全监管：</w:t>
            </w:r>
            <w:r>
              <w:rPr>
                <w:rFonts w:hint="eastAsia" w:ascii="仿宋" w:hAnsi="仿宋" w:eastAsia="仿宋" w:cs="仿宋"/>
                <w:color w:val="auto"/>
                <w:sz w:val="24"/>
                <w:highlight w:val="none"/>
              </w:rPr>
              <w:t>支持学生隐私信息提取，支持提取类型选择，类型包括隐私信息导出和学生照片下载，支持自定义选择需提取的范围，范围包括年级、入学批次、层次、专业、教学点、班级；隐私信息提取需要短信验证和输入用途保证信息安全性。（2分）</w:t>
            </w:r>
          </w:p>
          <w:p>
            <w:pPr>
              <w:keepLines/>
              <w:numPr>
                <w:ilvl w:val="0"/>
                <w:numId w:val="65"/>
              </w:numPr>
              <w:wordWrap w:val="0"/>
              <w:spacing w:line="400" w:lineRule="exact"/>
              <w:ind w:firstLine="0"/>
              <w:rPr>
                <w:rFonts w:ascii="仿宋" w:hAnsi="仿宋" w:eastAsia="仿宋" w:cs="仿宋"/>
                <w:color w:val="auto"/>
                <w:sz w:val="24"/>
                <w:highlight w:val="none"/>
              </w:rPr>
            </w:pPr>
            <w:r>
              <w:rPr>
                <w:rFonts w:hint="eastAsia" w:ascii="仿宋" w:hAnsi="仿宋" w:eastAsia="仿宋" w:cs="仿宋"/>
                <w:color w:val="auto"/>
                <w:sz w:val="24"/>
                <w:highlight w:val="none"/>
              </w:rPr>
              <w:t>学籍管理:可针对统考生、免考生分别设置收集材料类型，实现学生所属类别上传不同的材料（2分）</w:t>
            </w:r>
          </w:p>
          <w:p>
            <w:pPr>
              <w:keepLines/>
              <w:numPr>
                <w:ilvl w:val="0"/>
                <w:numId w:val="65"/>
              </w:numPr>
              <w:wordWrap w:val="0"/>
              <w:spacing w:line="400" w:lineRule="exact"/>
              <w:ind w:firstLine="0"/>
              <w:rPr>
                <w:rFonts w:ascii="仿宋" w:hAnsi="仿宋" w:eastAsia="仿宋" w:cs="仿宋"/>
                <w:color w:val="auto"/>
                <w:sz w:val="24"/>
                <w:highlight w:val="none"/>
              </w:rPr>
            </w:pPr>
            <w:r>
              <w:rPr>
                <w:rFonts w:hint="eastAsia" w:ascii="仿宋" w:hAnsi="仿宋" w:eastAsia="仿宋" w:cs="仿宋"/>
                <w:color w:val="auto"/>
                <w:sz w:val="24"/>
                <w:highlight w:val="none"/>
              </w:rPr>
              <w:t>统计分析管理：论文数据统计支持按批次查看查重、格式等论文质量情况，把握论文批次质量变化统计，支持折线图查看、导出批次下学生论文查重率、格式差错率；支持导出学生论文查重率、格式差错率；支持多批次同时查看比对（2分）</w:t>
            </w:r>
          </w:p>
          <w:p>
            <w:pPr>
              <w:keepLines/>
              <w:numPr>
                <w:ilvl w:val="0"/>
                <w:numId w:val="65"/>
              </w:numPr>
              <w:wordWrap w:val="0"/>
              <w:spacing w:line="400" w:lineRule="exact"/>
              <w:ind w:firstLine="0"/>
              <w:rPr>
                <w:rFonts w:ascii="仿宋" w:hAnsi="仿宋" w:eastAsia="仿宋" w:cs="仿宋"/>
                <w:color w:val="auto"/>
                <w:sz w:val="24"/>
                <w:highlight w:val="none"/>
              </w:rPr>
            </w:pPr>
            <w:r>
              <w:rPr>
                <w:rFonts w:hint="eastAsia" w:ascii="仿宋" w:hAnsi="仿宋" w:eastAsia="仿宋" w:cs="仿宋"/>
                <w:b/>
                <w:bCs/>
                <w:color w:val="auto"/>
                <w:sz w:val="24"/>
                <w:highlight w:val="none"/>
              </w:rPr>
              <w:t>督导评教管理:</w:t>
            </w:r>
            <w:r>
              <w:rPr>
                <w:rFonts w:hint="eastAsia" w:ascii="仿宋" w:hAnsi="仿宋" w:eastAsia="仿宋" w:cs="仿宋"/>
                <w:color w:val="auto"/>
                <w:sz w:val="24"/>
                <w:highlight w:val="none"/>
              </w:rPr>
              <w:t>支持批量或单独添加督导任务，可选择按照课程或按教师添加两种形式，实现对教师授课课程的督导设置。可设置任务的开始与截止时间，支持设置是否必须完成、是否推门听课、是否需要反馈，反馈支持关联预设的督导模板；支持批量或单独指派督导员。（2分）</w:t>
            </w:r>
          </w:p>
          <w:p>
            <w:pPr>
              <w:pStyle w:val="56"/>
              <w:spacing w:line="400" w:lineRule="exact"/>
              <w:rPr>
                <w:rFonts w:ascii="仿宋" w:hAnsi="仿宋" w:eastAsia="仿宋" w:cs="仿宋"/>
                <w:color w:val="auto"/>
                <w:highlight w:val="none"/>
              </w:rPr>
            </w:pPr>
            <w:r>
              <w:rPr>
                <w:rFonts w:hint="eastAsia" w:ascii="仿宋" w:hAnsi="仿宋" w:eastAsia="仿宋" w:cs="仿宋"/>
                <w:color w:val="auto"/>
                <w:highlight w:val="none"/>
              </w:rPr>
              <w:t>教师教学平台</w:t>
            </w:r>
          </w:p>
          <w:p>
            <w:pPr>
              <w:keepLines/>
              <w:numPr>
                <w:ilvl w:val="0"/>
                <w:numId w:val="65"/>
              </w:numPr>
              <w:wordWrap w:val="0"/>
              <w:spacing w:line="400" w:lineRule="exact"/>
              <w:ind w:firstLine="0"/>
              <w:rPr>
                <w:rFonts w:ascii="仿宋" w:hAnsi="仿宋" w:eastAsia="仿宋" w:cs="仿宋"/>
                <w:color w:val="auto"/>
                <w:sz w:val="24"/>
                <w:highlight w:val="none"/>
              </w:rPr>
            </w:pPr>
            <w:r>
              <w:rPr>
                <w:rFonts w:hint="eastAsia" w:ascii="仿宋" w:hAnsi="仿宋" w:eastAsia="仿宋" w:cs="仿宋"/>
                <w:color w:val="auto"/>
                <w:sz w:val="24"/>
                <w:highlight w:val="none"/>
              </w:rPr>
              <w:t>论文指导:流程管理支持独立设置指导、审核要求，如是否大数据辅助指导，指导、审核意见、环节分数是否需要与必填。（2分）</w:t>
            </w:r>
          </w:p>
          <w:p>
            <w:pPr>
              <w:keepLines/>
              <w:numPr>
                <w:ilvl w:val="0"/>
                <w:numId w:val="65"/>
              </w:numPr>
              <w:wordWrap w:val="0"/>
              <w:spacing w:line="400" w:lineRule="exact"/>
              <w:ind w:firstLine="0"/>
              <w:rPr>
                <w:rFonts w:ascii="仿宋" w:hAnsi="仿宋" w:eastAsia="仿宋" w:cs="仿宋"/>
                <w:color w:val="auto"/>
                <w:sz w:val="24"/>
                <w:highlight w:val="none"/>
              </w:rPr>
            </w:pPr>
            <w:r>
              <w:rPr>
                <w:rFonts w:hint="eastAsia" w:ascii="仿宋" w:hAnsi="仿宋" w:eastAsia="仿宋" w:cs="仿宋"/>
                <w:color w:val="auto"/>
                <w:sz w:val="24"/>
                <w:highlight w:val="none"/>
              </w:rPr>
              <w:t>论文专家指导:支持论文老师在线查看和下载学生的智慧论文指导意见，用于提供大数据指导参考。（2分）</w:t>
            </w:r>
          </w:p>
          <w:p>
            <w:pPr>
              <w:keepLines/>
              <w:numPr>
                <w:ilvl w:val="0"/>
                <w:numId w:val="65"/>
              </w:numPr>
              <w:wordWrap w:val="0"/>
              <w:spacing w:line="400" w:lineRule="exact"/>
              <w:ind w:firstLine="0"/>
              <w:rPr>
                <w:rFonts w:ascii="仿宋" w:hAnsi="仿宋" w:eastAsia="仿宋" w:cs="仿宋"/>
                <w:color w:val="auto"/>
                <w:sz w:val="24"/>
                <w:highlight w:val="none"/>
              </w:rPr>
            </w:pPr>
            <w:r>
              <w:rPr>
                <w:rFonts w:hint="eastAsia" w:ascii="仿宋" w:hAnsi="仿宋" w:eastAsia="仿宋" w:cs="仿宋"/>
                <w:color w:val="auto"/>
                <w:sz w:val="24"/>
                <w:highlight w:val="none"/>
              </w:rPr>
              <w:t>论文专家指导:提供智能评分报告服务，旨在使用大数据云计算技术针对学生论文进行全面客观的评估，规避人工主观判定因素。（2分）</w:t>
            </w:r>
          </w:p>
          <w:p>
            <w:pPr>
              <w:keepLines/>
              <w:wordWrap w:val="0"/>
              <w:spacing w:line="40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二、课程演示（满分5分）</w:t>
            </w:r>
          </w:p>
          <w:p>
            <w:pPr>
              <w:keepLines/>
              <w:wordWrap w:val="0"/>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 xml:space="preserve">课程演示：现场由评标委员会随机抽取演示 5 门课程 (备选核心课程见《项目内容及需求》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(四) 中所附课程列表) ，每门课程演示限 1 分钟，同时必须满足以下要求：第一，视频质 量良好，清晰度高于或等于 480P；第二，习 题和考试题不少于 200 道；</w:t>
            </w:r>
          </w:p>
          <w:p>
            <w:pPr>
              <w:keepLines/>
              <w:wordWrap w:val="0"/>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每门课程同时满足以上两点，得 1 分。有一点 或多点不满足，本门课程得 0 分，本项满分 5分。</w:t>
            </w:r>
          </w:p>
          <w:p>
            <w:pPr>
              <w:keepLines/>
              <w:wordWrap w:val="0"/>
              <w:spacing w:line="400" w:lineRule="exact"/>
              <w:rPr>
                <w:rFonts w:ascii="仿宋" w:hAnsi="仿宋" w:eastAsia="仿宋" w:cs="仿宋"/>
                <w:color w:val="auto"/>
                <w:sz w:val="24"/>
                <w:highlight w:val="none"/>
              </w:rPr>
            </w:pPr>
            <w:r>
              <w:rPr>
                <w:rFonts w:hint="eastAsia" w:ascii="仿宋" w:hAnsi="仿宋" w:eastAsia="仿宋" w:cs="仿宋"/>
                <w:b/>
                <w:bCs/>
                <w:color w:val="auto"/>
                <w:sz w:val="24"/>
                <w:highlight w:val="none"/>
              </w:rPr>
              <w:t>评审依据：投标人通过政采云平台进行线上演示时间≤25分钟，必须为真实系统，采用真实用户系统环境演示视频，仅通过PPT或静态图演示的不得分。</w:t>
            </w:r>
          </w:p>
          <w:p>
            <w:pPr>
              <w:keepLines/>
              <w:wordWrap w:val="0"/>
              <w:spacing w:line="400" w:lineRule="exact"/>
              <w:rPr>
                <w:rFonts w:ascii="仿宋" w:hAnsi="仿宋" w:eastAsia="仿宋" w:cs="仿宋"/>
                <w:color w:val="auto"/>
                <w:sz w:val="24"/>
                <w:highlight w:val="none"/>
              </w:rPr>
            </w:pPr>
            <w:r>
              <w:rPr>
                <w:rFonts w:hint="eastAsia" w:ascii="仿宋" w:hAnsi="仿宋" w:eastAsia="仿宋" w:cs="仿宋"/>
                <w:b/>
                <w:bCs/>
                <w:color w:val="auto"/>
                <w:sz w:val="24"/>
                <w:highlight w:val="none"/>
              </w:rPr>
              <w:t>未演示或演示不满足要求的不得分。（演示顺序按提交投标文件的顺序）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8" w:hRule="atLeast"/>
          <w:jc w:val="center"/>
        </w:trPr>
        <w:tc>
          <w:tcPr>
            <w:tcW w:w="575" w:type="dxa"/>
            <w:vMerge w:val="restart"/>
            <w:vAlign w:val="center"/>
          </w:tcPr>
          <w:p>
            <w:pPr>
              <w:spacing w:line="40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3</w:t>
            </w:r>
          </w:p>
        </w:tc>
        <w:tc>
          <w:tcPr>
            <w:tcW w:w="993" w:type="dxa"/>
            <w:vMerge w:val="restart"/>
            <w:vAlign w:val="center"/>
          </w:tcPr>
          <w:p>
            <w:pPr>
              <w:spacing w:line="40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商务分</w:t>
            </w:r>
          </w:p>
        </w:tc>
        <w:tc>
          <w:tcPr>
            <w:tcW w:w="850" w:type="dxa"/>
            <w:vMerge w:val="restart"/>
            <w:vAlign w:val="center"/>
          </w:tcPr>
          <w:p>
            <w:pPr>
              <w:spacing w:line="40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16分</w:t>
            </w:r>
          </w:p>
        </w:tc>
        <w:tc>
          <w:tcPr>
            <w:tcW w:w="1396" w:type="dxa"/>
            <w:vAlign w:val="center"/>
          </w:tcPr>
          <w:p>
            <w:pPr>
              <w:spacing w:line="4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业绩</w:t>
            </w:r>
          </w:p>
          <w:p>
            <w:pPr>
              <w:spacing w:line="40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（3分）</w:t>
            </w:r>
          </w:p>
        </w:tc>
        <w:tc>
          <w:tcPr>
            <w:tcW w:w="6406" w:type="dxa"/>
            <w:vAlign w:val="center"/>
          </w:tcPr>
          <w:p>
            <w:pPr>
              <w:spacing w:line="400" w:lineRule="exact"/>
              <w:rPr>
                <w:rFonts w:ascii="仿宋" w:hAnsi="仿宋" w:eastAsia="仿宋" w:cs="仿宋"/>
                <w:color w:val="auto"/>
                <w:sz w:val="24"/>
                <w:highlight w:val="none"/>
                <w:shd w:val="clear" w:color="auto" w:fill="FFFF00"/>
              </w:rPr>
            </w:pPr>
            <w:r>
              <w:rPr>
                <w:rFonts w:hint="eastAsia" w:ascii="仿宋" w:hAnsi="仿宋" w:eastAsia="仿宋" w:cs="仿宋"/>
                <w:color w:val="auto"/>
                <w:sz w:val="24"/>
                <w:highlight w:val="none"/>
              </w:rPr>
              <w:t>2022年1月1日至今（以合同签订时间为准），供应商具有高等学历继续教育相关系统建设和服务业绩的，每提供一个得1</w:t>
            </w:r>
            <w:r>
              <w:rPr>
                <w:rFonts w:hint="eastAsia" w:ascii="仿宋" w:hAnsi="仿宋" w:eastAsia="仿宋" w:cs="仿宋"/>
                <w:color w:val="auto"/>
                <w:sz w:val="24"/>
                <w:highlight w:val="none"/>
                <w:shd w:val="clear" w:color="auto" w:fill="FFFFFF"/>
              </w:rPr>
              <w:t>分，</w:t>
            </w:r>
            <w:r>
              <w:rPr>
                <w:rFonts w:hint="eastAsia" w:ascii="仿宋" w:hAnsi="仿宋" w:eastAsia="仿宋" w:cs="仿宋"/>
                <w:color w:val="auto"/>
                <w:sz w:val="24"/>
                <w:highlight w:val="none"/>
              </w:rPr>
              <w:t>本项最高得3分。</w:t>
            </w:r>
          </w:p>
          <w:p>
            <w:pPr>
              <w:pStyle w:val="28"/>
              <w:spacing w:line="400" w:lineRule="exact"/>
              <w:rPr>
                <w:rFonts w:ascii="仿宋" w:hAnsi="仿宋" w:eastAsia="仿宋" w:cs="仿宋"/>
                <w:color w:val="auto"/>
                <w:kern w:val="2"/>
                <w:sz w:val="24"/>
                <w:szCs w:val="24"/>
                <w:highlight w:val="none"/>
              </w:rPr>
            </w:pPr>
            <w:r>
              <w:rPr>
                <w:rFonts w:hint="eastAsia" w:ascii="仿宋" w:hAnsi="仿宋" w:eastAsia="仿宋" w:cs="仿宋"/>
                <w:b/>
                <w:bCs/>
                <w:color w:val="auto"/>
                <w:sz w:val="24"/>
                <w:szCs w:val="24"/>
                <w:highlight w:val="none"/>
              </w:rPr>
              <w:t>评审依据：中标通知书（或中标公示网页截图）或合同原件复印件，未提供或提供不符不得分。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8" w:hRule="atLeast"/>
          <w:jc w:val="center"/>
        </w:trPr>
        <w:tc>
          <w:tcPr>
            <w:tcW w:w="575" w:type="dxa"/>
            <w:vMerge w:val="continue"/>
            <w:vAlign w:val="center"/>
          </w:tcPr>
          <w:p>
            <w:pPr>
              <w:spacing w:line="400" w:lineRule="exact"/>
              <w:jc w:val="center"/>
              <w:rPr>
                <w:rFonts w:ascii="仿宋" w:hAnsi="仿宋" w:eastAsia="仿宋" w:cs="仿宋"/>
                <w:b/>
                <w:color w:val="auto"/>
                <w:sz w:val="24"/>
                <w:highlight w:val="none"/>
              </w:rPr>
            </w:pPr>
          </w:p>
        </w:tc>
        <w:tc>
          <w:tcPr>
            <w:tcW w:w="993" w:type="dxa"/>
            <w:vMerge w:val="continue"/>
            <w:vAlign w:val="center"/>
          </w:tcPr>
          <w:p>
            <w:pPr>
              <w:spacing w:line="400" w:lineRule="exact"/>
              <w:jc w:val="center"/>
              <w:rPr>
                <w:rFonts w:ascii="仿宋" w:hAnsi="仿宋" w:eastAsia="仿宋" w:cs="仿宋"/>
                <w:b/>
                <w:color w:val="auto"/>
                <w:sz w:val="24"/>
                <w:highlight w:val="none"/>
              </w:rPr>
            </w:pPr>
          </w:p>
        </w:tc>
        <w:tc>
          <w:tcPr>
            <w:tcW w:w="850" w:type="dxa"/>
            <w:vMerge w:val="continue"/>
            <w:vAlign w:val="center"/>
          </w:tcPr>
          <w:p>
            <w:pPr>
              <w:spacing w:line="400" w:lineRule="exact"/>
              <w:jc w:val="center"/>
              <w:rPr>
                <w:rFonts w:ascii="仿宋" w:hAnsi="仿宋" w:eastAsia="仿宋" w:cs="仿宋"/>
                <w:b/>
                <w:color w:val="auto"/>
                <w:sz w:val="24"/>
                <w:highlight w:val="none"/>
              </w:rPr>
            </w:pPr>
          </w:p>
        </w:tc>
        <w:tc>
          <w:tcPr>
            <w:tcW w:w="1396" w:type="dxa"/>
            <w:vAlign w:val="center"/>
          </w:tcPr>
          <w:p>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平台安全性</w:t>
            </w:r>
          </w:p>
          <w:p>
            <w:pPr>
              <w:spacing w:line="400" w:lineRule="exact"/>
              <w:jc w:val="center"/>
              <w:rPr>
                <w:rFonts w:ascii="仿宋" w:hAnsi="仿宋" w:eastAsia="仿宋" w:cs="仿宋"/>
                <w:b/>
                <w:color w:val="auto"/>
                <w:sz w:val="24"/>
                <w:highlight w:val="none"/>
              </w:rPr>
            </w:pPr>
            <w:r>
              <w:rPr>
                <w:rFonts w:hint="eastAsia" w:ascii="仿宋" w:hAnsi="仿宋" w:eastAsia="仿宋" w:cs="仿宋"/>
                <w:b/>
                <w:bCs/>
                <w:color w:val="auto"/>
                <w:sz w:val="24"/>
                <w:highlight w:val="none"/>
              </w:rPr>
              <w:t>（2分）</w:t>
            </w:r>
          </w:p>
        </w:tc>
        <w:tc>
          <w:tcPr>
            <w:tcW w:w="6406" w:type="dxa"/>
            <w:vAlign w:val="center"/>
          </w:tcPr>
          <w:p>
            <w:pPr>
              <w:pStyle w:val="28"/>
              <w:spacing w:line="400" w:lineRule="exact"/>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投标人所投入本项目的服务平台具备国家信息安全等级保护三级（或以上）认证证书或备案证明，并附有2025年测评报告复印件的得2分。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8" w:hRule="atLeast"/>
          <w:jc w:val="center"/>
        </w:trPr>
        <w:tc>
          <w:tcPr>
            <w:tcW w:w="575" w:type="dxa"/>
            <w:vMerge w:val="continue"/>
            <w:vAlign w:val="center"/>
          </w:tcPr>
          <w:p>
            <w:pPr>
              <w:spacing w:line="400" w:lineRule="exact"/>
              <w:jc w:val="center"/>
              <w:rPr>
                <w:rFonts w:ascii="仿宋" w:hAnsi="仿宋" w:eastAsia="仿宋" w:cs="仿宋"/>
                <w:b/>
                <w:color w:val="auto"/>
                <w:sz w:val="24"/>
                <w:highlight w:val="none"/>
              </w:rPr>
            </w:pPr>
          </w:p>
        </w:tc>
        <w:tc>
          <w:tcPr>
            <w:tcW w:w="993" w:type="dxa"/>
            <w:vMerge w:val="continue"/>
            <w:vAlign w:val="center"/>
          </w:tcPr>
          <w:p>
            <w:pPr>
              <w:spacing w:line="400" w:lineRule="exact"/>
              <w:jc w:val="center"/>
              <w:rPr>
                <w:rFonts w:ascii="仿宋" w:hAnsi="仿宋" w:eastAsia="仿宋" w:cs="仿宋"/>
                <w:b/>
                <w:color w:val="auto"/>
                <w:sz w:val="24"/>
                <w:highlight w:val="none"/>
              </w:rPr>
            </w:pPr>
          </w:p>
        </w:tc>
        <w:tc>
          <w:tcPr>
            <w:tcW w:w="850" w:type="dxa"/>
            <w:vMerge w:val="continue"/>
            <w:vAlign w:val="center"/>
          </w:tcPr>
          <w:p>
            <w:pPr>
              <w:spacing w:line="400" w:lineRule="exact"/>
              <w:jc w:val="center"/>
              <w:rPr>
                <w:rFonts w:ascii="仿宋" w:hAnsi="仿宋" w:eastAsia="仿宋" w:cs="仿宋"/>
                <w:b/>
                <w:bCs/>
                <w:color w:val="auto"/>
                <w:sz w:val="24"/>
                <w:highlight w:val="none"/>
              </w:rPr>
            </w:pPr>
          </w:p>
        </w:tc>
        <w:tc>
          <w:tcPr>
            <w:tcW w:w="1396" w:type="dxa"/>
            <w:vAlign w:val="center"/>
          </w:tcPr>
          <w:p>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软件知识产权</w:t>
            </w:r>
          </w:p>
          <w:p>
            <w:pPr>
              <w:spacing w:line="400" w:lineRule="exact"/>
              <w:jc w:val="center"/>
              <w:rPr>
                <w:rFonts w:ascii="仿宋" w:hAnsi="仿宋" w:eastAsia="仿宋" w:cs="仿宋"/>
                <w:b/>
                <w:color w:val="auto"/>
                <w:sz w:val="24"/>
                <w:highlight w:val="none"/>
              </w:rPr>
            </w:pPr>
            <w:r>
              <w:rPr>
                <w:rFonts w:hint="eastAsia" w:ascii="仿宋" w:hAnsi="仿宋" w:eastAsia="仿宋" w:cs="仿宋"/>
                <w:b/>
                <w:bCs/>
                <w:color w:val="auto"/>
                <w:sz w:val="24"/>
                <w:highlight w:val="none"/>
              </w:rPr>
              <w:t>（5分）</w:t>
            </w:r>
          </w:p>
        </w:tc>
        <w:tc>
          <w:tcPr>
            <w:tcW w:w="6406" w:type="dxa"/>
            <w:vAlign w:val="center"/>
          </w:tcPr>
          <w:p>
            <w:pPr>
              <w:autoSpaceDE w:val="0"/>
              <w:autoSpaceDN w:val="0"/>
              <w:adjustRightInd w:val="0"/>
              <w:spacing w:line="400" w:lineRule="exact"/>
              <w:rPr>
                <w:rFonts w:ascii="仿宋" w:hAnsi="仿宋" w:eastAsia="仿宋" w:cs="仿宋"/>
                <w:color w:val="auto"/>
                <w:sz w:val="24"/>
                <w:highlight w:val="none"/>
                <w:lang w:bidi="zh-CN"/>
              </w:rPr>
            </w:pPr>
            <w:r>
              <w:rPr>
                <w:rFonts w:hint="eastAsia" w:ascii="仿宋" w:hAnsi="仿宋" w:eastAsia="仿宋" w:cs="仿宋"/>
                <w:color w:val="auto"/>
                <w:kern w:val="0"/>
                <w:sz w:val="24"/>
                <w:highlight w:val="none"/>
              </w:rPr>
              <w:t>供应商需具有软件开发经验</w:t>
            </w:r>
            <w:r>
              <w:rPr>
                <w:rFonts w:hint="eastAsia" w:ascii="仿宋" w:hAnsi="仿宋" w:eastAsia="仿宋" w:cs="仿宋"/>
                <w:color w:val="auto"/>
                <w:sz w:val="24"/>
                <w:highlight w:val="none"/>
                <w:lang w:bidi="zh-CN"/>
              </w:rPr>
              <w:t>，软件著作权登记证书名称包含：</w:t>
            </w:r>
            <w:r>
              <w:rPr>
                <w:rFonts w:hint="eastAsia" w:ascii="仿宋" w:hAnsi="仿宋" w:eastAsia="仿宋" w:cs="仿宋"/>
                <w:color w:val="auto"/>
                <w:sz w:val="24"/>
                <w:highlight w:val="none"/>
              </w:rPr>
              <w:t>①学籍管理、②选修课管理、③智能阅卷、④考试安全及防作弊、⑤大数据分析</w:t>
            </w:r>
            <w:r>
              <w:rPr>
                <w:rFonts w:hint="eastAsia" w:ascii="仿宋" w:hAnsi="仿宋" w:eastAsia="仿宋" w:cs="仿宋"/>
                <w:color w:val="auto"/>
                <w:sz w:val="24"/>
                <w:highlight w:val="none"/>
                <w:lang w:bidi="zh-CN"/>
              </w:rPr>
              <w:t>等相关关键字的（证书实质内容需与项目相符），</w:t>
            </w:r>
            <w:r>
              <w:rPr>
                <w:rFonts w:hint="eastAsia" w:ascii="仿宋" w:hAnsi="仿宋" w:eastAsia="仿宋" w:cs="仿宋"/>
                <w:color w:val="auto"/>
                <w:sz w:val="24"/>
                <w:highlight w:val="none"/>
                <w:lang w:val="zh-CN" w:bidi="zh-CN"/>
              </w:rPr>
              <w:t>每提供一</w:t>
            </w:r>
            <w:r>
              <w:rPr>
                <w:rFonts w:hint="eastAsia" w:ascii="仿宋" w:hAnsi="仿宋" w:eastAsia="仿宋" w:cs="仿宋"/>
                <w:color w:val="auto"/>
                <w:sz w:val="24"/>
                <w:highlight w:val="none"/>
                <w:lang w:bidi="zh-CN"/>
              </w:rPr>
              <w:t>个</w:t>
            </w:r>
            <w:r>
              <w:rPr>
                <w:rFonts w:hint="eastAsia" w:ascii="仿宋" w:hAnsi="仿宋" w:eastAsia="仿宋" w:cs="仿宋"/>
                <w:color w:val="auto"/>
                <w:sz w:val="24"/>
                <w:highlight w:val="none"/>
                <w:lang w:val="zh-CN" w:bidi="zh-CN"/>
              </w:rPr>
              <w:t>得</w:t>
            </w:r>
            <w:r>
              <w:rPr>
                <w:rFonts w:hint="eastAsia" w:ascii="仿宋" w:hAnsi="仿宋" w:eastAsia="仿宋" w:cs="仿宋"/>
                <w:color w:val="auto"/>
                <w:sz w:val="24"/>
                <w:highlight w:val="none"/>
                <w:lang w:bidi="zh-CN"/>
              </w:rPr>
              <w:t>1</w:t>
            </w:r>
            <w:r>
              <w:rPr>
                <w:rFonts w:hint="eastAsia" w:ascii="仿宋" w:hAnsi="仿宋" w:eastAsia="仿宋" w:cs="仿宋"/>
                <w:color w:val="auto"/>
                <w:sz w:val="24"/>
                <w:highlight w:val="none"/>
                <w:lang w:val="zh-CN" w:bidi="zh-CN"/>
              </w:rPr>
              <w:t>分，本项最多可得</w:t>
            </w:r>
            <w:r>
              <w:rPr>
                <w:rFonts w:hint="eastAsia" w:ascii="仿宋" w:hAnsi="仿宋" w:eastAsia="仿宋" w:cs="仿宋"/>
                <w:color w:val="auto"/>
                <w:sz w:val="24"/>
                <w:highlight w:val="none"/>
                <w:lang w:bidi="zh-CN"/>
              </w:rPr>
              <w:t>5</w:t>
            </w:r>
            <w:r>
              <w:rPr>
                <w:rFonts w:hint="eastAsia" w:ascii="仿宋" w:hAnsi="仿宋" w:eastAsia="仿宋" w:cs="仿宋"/>
                <w:color w:val="auto"/>
                <w:sz w:val="24"/>
                <w:highlight w:val="none"/>
                <w:lang w:val="zh-CN" w:bidi="zh-CN"/>
              </w:rPr>
              <w:t>分。</w:t>
            </w:r>
          </w:p>
          <w:p>
            <w:pPr>
              <w:pStyle w:val="28"/>
              <w:spacing w:line="400" w:lineRule="exact"/>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评审依据：</w:t>
            </w:r>
            <w:r>
              <w:rPr>
                <w:rFonts w:hint="eastAsia" w:ascii="仿宋" w:hAnsi="仿宋" w:eastAsia="仿宋" w:cs="仿宋"/>
                <w:b/>
                <w:bCs/>
                <w:color w:val="auto"/>
                <w:sz w:val="24"/>
                <w:szCs w:val="24"/>
                <w:highlight w:val="none"/>
                <w:lang w:val="zh-CN" w:bidi="zh-CN"/>
              </w:rPr>
              <w:t>《</w:t>
            </w:r>
            <w:r>
              <w:rPr>
                <w:rFonts w:hint="eastAsia" w:ascii="仿宋" w:hAnsi="仿宋" w:eastAsia="仿宋" w:cs="仿宋"/>
                <w:b/>
                <w:bCs/>
                <w:color w:val="auto"/>
                <w:sz w:val="24"/>
                <w:szCs w:val="24"/>
                <w:highlight w:val="none"/>
                <w:lang w:bidi="zh-CN"/>
              </w:rPr>
              <w:t>计算机软件著作权登记证书》复印件</w:t>
            </w:r>
            <w:r>
              <w:rPr>
                <w:rFonts w:hint="eastAsia" w:ascii="仿宋" w:hAnsi="仿宋" w:eastAsia="仿宋" w:cs="仿宋"/>
                <w:b/>
                <w:bCs/>
                <w:color w:val="auto"/>
                <w:sz w:val="24"/>
                <w:szCs w:val="24"/>
                <w:highlight w:val="none"/>
              </w:rPr>
              <w:t>及证书颁发机构官方网站查询截图，并加盖供应商公章。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8" w:hRule="atLeast"/>
          <w:jc w:val="center"/>
        </w:trPr>
        <w:tc>
          <w:tcPr>
            <w:tcW w:w="575" w:type="dxa"/>
            <w:vMerge w:val="continue"/>
            <w:vAlign w:val="center"/>
          </w:tcPr>
          <w:p>
            <w:pPr>
              <w:spacing w:line="400" w:lineRule="exact"/>
              <w:jc w:val="center"/>
              <w:rPr>
                <w:rFonts w:ascii="仿宋" w:hAnsi="仿宋" w:eastAsia="仿宋" w:cs="仿宋"/>
                <w:b/>
                <w:color w:val="auto"/>
                <w:sz w:val="24"/>
                <w:highlight w:val="none"/>
              </w:rPr>
            </w:pPr>
          </w:p>
        </w:tc>
        <w:tc>
          <w:tcPr>
            <w:tcW w:w="993" w:type="dxa"/>
            <w:vMerge w:val="continue"/>
            <w:vAlign w:val="center"/>
          </w:tcPr>
          <w:p>
            <w:pPr>
              <w:spacing w:line="400" w:lineRule="exact"/>
              <w:jc w:val="center"/>
              <w:rPr>
                <w:rFonts w:ascii="仿宋" w:hAnsi="仿宋" w:eastAsia="仿宋" w:cs="仿宋"/>
                <w:b/>
                <w:color w:val="auto"/>
                <w:sz w:val="24"/>
                <w:highlight w:val="none"/>
              </w:rPr>
            </w:pPr>
          </w:p>
        </w:tc>
        <w:tc>
          <w:tcPr>
            <w:tcW w:w="850" w:type="dxa"/>
            <w:vMerge w:val="continue"/>
            <w:vAlign w:val="center"/>
          </w:tcPr>
          <w:p>
            <w:pPr>
              <w:spacing w:line="400" w:lineRule="exact"/>
              <w:jc w:val="center"/>
              <w:rPr>
                <w:rFonts w:ascii="仿宋" w:hAnsi="仿宋" w:eastAsia="仿宋" w:cs="仿宋"/>
                <w:b/>
                <w:bCs/>
                <w:color w:val="auto"/>
                <w:sz w:val="24"/>
                <w:highlight w:val="none"/>
              </w:rPr>
            </w:pPr>
          </w:p>
        </w:tc>
        <w:tc>
          <w:tcPr>
            <w:tcW w:w="1396" w:type="dxa"/>
            <w:vAlign w:val="center"/>
          </w:tcPr>
          <w:p>
            <w:pPr>
              <w:spacing w:line="400" w:lineRule="exact"/>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售后服务方案</w:t>
            </w:r>
          </w:p>
          <w:p>
            <w:pPr>
              <w:spacing w:line="40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（6分）</w:t>
            </w:r>
          </w:p>
        </w:tc>
        <w:tc>
          <w:tcPr>
            <w:tcW w:w="6406" w:type="dxa"/>
            <w:vAlign w:val="center"/>
          </w:tcPr>
          <w:p>
            <w:pPr>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评标委员会对投标人提供的售后服务方案内容进行独立评审：</w:t>
            </w:r>
          </w:p>
          <w:p>
            <w:pPr>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一档（2分）：方案可清晰呈现对高等学历继续教育售后服务项目的整体理解，准确列出售后服务的核心工作计划、执行标准及操作流程，覆盖项目全周期售后需求，具体内容包括但不限于：售后支持服务、学习平台技术售后、教学资源售后基础保障、教务相关售后协助等。</w:t>
            </w:r>
          </w:p>
          <w:p>
            <w:pPr>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二档（4分）本方案在一档基础上进一步细化，对高等学历继续教育的售后需求理解清晰且表述精准，内容更贴合项目特性，同时提供后期配套支持与持续改进计划和后期建设的措施。</w:t>
            </w:r>
          </w:p>
          <w:p>
            <w:pPr>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三档（6分）本方案科学合理，在二档基础上融合国内高校继续教育售后项目的先进经验，同时提供符合采购人教育事业发展方向、与项目高度相关的合理化建议，助力提升售后效果与整体教学服务质量。</w:t>
            </w:r>
          </w:p>
          <w:p>
            <w:pPr>
              <w:pStyle w:val="28"/>
              <w:spacing w:line="400" w:lineRule="exact"/>
              <w:rPr>
                <w:rFonts w:ascii="仿宋" w:hAnsi="仿宋" w:eastAsia="仿宋" w:cs="仿宋"/>
                <w:b/>
                <w:bCs/>
                <w:color w:val="auto"/>
                <w:sz w:val="24"/>
                <w:szCs w:val="24"/>
                <w:highlight w:val="none"/>
              </w:rPr>
            </w:pPr>
            <w:r>
              <w:rPr>
                <w:rFonts w:hint="eastAsia" w:ascii="仿宋" w:hAnsi="仿宋" w:eastAsia="仿宋" w:cs="仿宋"/>
                <w:bCs/>
                <w:color w:val="auto"/>
                <w:spacing w:val="3"/>
                <w:sz w:val="24"/>
                <w:szCs w:val="24"/>
                <w:highlight w:val="none"/>
              </w:rPr>
              <w:t>注：</w:t>
            </w:r>
            <w:r>
              <w:rPr>
                <w:rFonts w:hint="eastAsia" w:ascii="仿宋" w:hAnsi="仿宋" w:eastAsia="仿宋" w:cs="仿宋"/>
                <w:b/>
                <w:color w:val="auto"/>
                <w:spacing w:val="3"/>
                <w:sz w:val="24"/>
                <w:szCs w:val="24"/>
                <w:highlight w:val="none"/>
              </w:rPr>
              <w:t>未提供方案或方案不满足第一档的不得分。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0" w:type="dxa"/>
            <w:gridSpan w:val="5"/>
            <w:vAlign w:val="center"/>
          </w:tcPr>
          <w:p>
            <w:pPr>
              <w:spacing w:line="40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总得分=1+2+3。</w:t>
            </w:r>
          </w:p>
          <w:p>
            <w:pPr>
              <w:spacing w:line="400" w:lineRule="exact"/>
              <w:rPr>
                <w:rFonts w:ascii="仿宋" w:hAnsi="仿宋" w:eastAsia="仿宋" w:cs="仿宋"/>
                <w:bCs/>
                <w:color w:val="auto"/>
                <w:sz w:val="24"/>
                <w:highlight w:val="none"/>
              </w:rPr>
            </w:pPr>
            <w:r>
              <w:rPr>
                <w:rFonts w:hint="eastAsia" w:ascii="仿宋" w:hAnsi="仿宋" w:eastAsia="仿宋" w:cs="仿宋"/>
                <w:bCs/>
                <w:color w:val="auto"/>
                <w:sz w:val="24"/>
                <w:highlight w:val="none"/>
              </w:rPr>
              <w:t>注：1.计分方法按四舍五入取至百分位；</w:t>
            </w:r>
          </w:p>
          <w:p>
            <w:pPr>
              <w:spacing w:line="400" w:lineRule="exact"/>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    2.因落实政府采购政策进行价格调整的，以调整后的价格计算评标基准价和投标报价。</w:t>
            </w:r>
          </w:p>
        </w:tc>
      </w:tr>
    </w:tbl>
    <w:p>
      <w:pPr>
        <w:pStyle w:val="6"/>
        <w:keepNext w:val="0"/>
        <w:keepLines w:val="0"/>
        <w:spacing w:before="0" w:after="0" w:line="415" w:lineRule="auto"/>
        <w:jc w:val="center"/>
        <w:rPr>
          <w:rFonts w:ascii="仿宋" w:hAnsi="仿宋" w:eastAsia="仿宋"/>
          <w:sz w:val="30"/>
          <w:szCs w:val="30"/>
        </w:rPr>
      </w:pPr>
      <w:r>
        <w:rPr>
          <w:rFonts w:hint="eastAsia" w:ascii="仿宋" w:hAnsi="仿宋" w:eastAsia="仿宋"/>
          <w:sz w:val="30"/>
          <w:szCs w:val="30"/>
        </w:rPr>
        <w:br w:type="page"/>
      </w:r>
    </w:p>
    <w:p>
      <w:pPr>
        <w:pStyle w:val="6"/>
        <w:keepNext w:val="0"/>
        <w:keepLines w:val="0"/>
        <w:spacing w:before="0" w:after="0" w:line="415" w:lineRule="auto"/>
        <w:jc w:val="center"/>
        <w:rPr>
          <w:rFonts w:ascii="仿宋" w:hAnsi="仿宋" w:eastAsia="仿宋"/>
          <w:sz w:val="30"/>
          <w:szCs w:val="30"/>
        </w:rPr>
      </w:pPr>
      <w:r>
        <w:rPr>
          <w:rFonts w:hint="eastAsia" w:ascii="仿宋" w:hAnsi="仿宋" w:eastAsia="仿宋"/>
          <w:sz w:val="30"/>
          <w:szCs w:val="30"/>
        </w:rPr>
        <w:t>四、中标候选人推荐原则</w:t>
      </w:r>
    </w:p>
    <w:p>
      <w:pPr>
        <w:pStyle w:val="28"/>
        <w:spacing w:line="360" w:lineRule="auto"/>
        <w:contextualSpacing/>
        <w:rPr>
          <w:rFonts w:ascii="仿宋" w:hAnsi="仿宋" w:eastAsia="仿宋"/>
          <w:b/>
          <w:bCs/>
          <w:sz w:val="24"/>
          <w:szCs w:val="24"/>
        </w:rPr>
      </w:pPr>
      <w:r>
        <w:rPr>
          <w:rFonts w:hint="eastAsia" w:ascii="仿宋" w:hAnsi="仿宋" w:eastAsia="仿宋"/>
          <w:b/>
          <w:bCs/>
          <w:sz w:val="24"/>
          <w:szCs w:val="24"/>
        </w:rPr>
        <w:t>（一）综合评分法</w:t>
      </w:r>
    </w:p>
    <w:p>
      <w:pPr>
        <w:pStyle w:val="28"/>
        <w:spacing w:line="360" w:lineRule="auto"/>
        <w:ind w:firstLine="480" w:firstLineChars="200"/>
        <w:contextualSpacing/>
        <w:rPr>
          <w:rFonts w:ascii="仿宋" w:hAnsi="仿宋" w:eastAsia="仿宋"/>
          <w:sz w:val="24"/>
          <w:szCs w:val="24"/>
        </w:rPr>
      </w:pPr>
      <w:r>
        <w:rPr>
          <w:rFonts w:hint="eastAsia" w:ascii="仿宋" w:hAnsi="仿宋" w:eastAsia="仿宋"/>
          <w:sz w:val="24"/>
          <w:szCs w:val="24"/>
        </w:rPr>
        <w:t>评标委员会将根据得分由高到低排列次序（得分相同时，以投标报价由低到高顺序排列；得分相同且投标报价相同的，按技术、商务得分高低顺序排列）并推荐三名中标候选供应商。招标采购人应当确定评审委员会推荐排名第一的中标候选人为中标人。排名第一的中标候选人放弃中标、因不可抗力提出不能履行合同，或者招标文件规定应当提交履约保证金而在规定的期限内未能提交的，招标采购人可以确定排名第二的中标候选人为中标人。排名第二的中标候选人因前款规定的同样原因不能签订合同的，招标采购人可以确定排名第三的中标候选人为中标人。</w:t>
      </w:r>
    </w:p>
    <w:p>
      <w:pPr>
        <w:pStyle w:val="5"/>
        <w:keepNext w:val="0"/>
        <w:keepLines w:val="0"/>
        <w:spacing w:before="0" w:after="0" w:line="360" w:lineRule="auto"/>
        <w:jc w:val="center"/>
        <w:rPr>
          <w:rFonts w:ascii="仿宋" w:hAnsi="仿宋" w:eastAsia="仿宋"/>
          <w:sz w:val="44"/>
          <w:szCs w:val="44"/>
        </w:rPr>
      </w:pPr>
      <w:r>
        <w:rPr>
          <w:rFonts w:ascii="仿宋" w:hAnsi="仿宋" w:eastAsia="仿宋"/>
        </w:rPr>
        <w:br w:type="page"/>
      </w:r>
      <w:bookmarkStart w:id="208" w:name="_Toc74320804"/>
      <w:r>
        <w:rPr>
          <w:rFonts w:hint="eastAsia" w:ascii="仿宋" w:hAnsi="仿宋" w:eastAsia="仿宋"/>
          <w:sz w:val="44"/>
          <w:szCs w:val="44"/>
        </w:rPr>
        <w:t>第五章  拟签订的合同文本</w:t>
      </w:r>
      <w:bookmarkEnd w:id="208"/>
    </w:p>
    <w:p>
      <w:pPr>
        <w:spacing w:before="120" w:line="320" w:lineRule="atLeast"/>
        <w:ind w:firstLine="723" w:firstLineChars="200"/>
        <w:jc w:val="center"/>
        <w:outlineLvl w:val="1"/>
        <w:rPr>
          <w:rFonts w:ascii="仿宋" w:hAnsi="仿宋" w:eastAsia="仿宋" w:cs="仿宋"/>
          <w:b/>
          <w:bCs/>
          <w:kern w:val="0"/>
          <w:sz w:val="36"/>
          <w:szCs w:val="36"/>
        </w:rPr>
      </w:pPr>
      <w:bookmarkStart w:id="209" w:name="_Toc4323"/>
      <w:bookmarkStart w:id="210" w:name="_Toc74320805"/>
      <w:r>
        <w:rPr>
          <w:rFonts w:hint="eastAsia" w:ascii="仿宋" w:hAnsi="仿宋" w:eastAsia="仿宋" w:cs="仿宋"/>
          <w:b/>
          <w:bCs/>
          <w:kern w:val="0"/>
          <w:sz w:val="36"/>
          <w:szCs w:val="36"/>
        </w:rPr>
        <w:t>广西壮族自治区政府采购合同</w:t>
      </w:r>
      <w:bookmarkEnd w:id="209"/>
    </w:p>
    <w:p>
      <w:pPr>
        <w:snapToGrid w:val="0"/>
        <w:spacing w:line="360" w:lineRule="exact"/>
        <w:ind w:right="480" w:firstLine="6840" w:firstLineChars="2850"/>
        <w:rPr>
          <w:rFonts w:ascii="仿宋" w:hAnsi="仿宋" w:eastAsia="仿宋" w:cs="仿宋"/>
          <w:bCs/>
          <w:sz w:val="24"/>
        </w:rPr>
      </w:pPr>
    </w:p>
    <w:p>
      <w:pPr>
        <w:snapToGrid w:val="0"/>
        <w:spacing w:line="360" w:lineRule="exact"/>
        <w:ind w:right="480" w:firstLine="6840" w:firstLineChars="2850"/>
        <w:rPr>
          <w:rFonts w:ascii="仿宋" w:hAnsi="仿宋" w:eastAsia="仿宋" w:cs="仿宋"/>
          <w:bCs/>
          <w:sz w:val="24"/>
          <w:u w:val="single"/>
        </w:rPr>
      </w:pPr>
      <w:r>
        <w:rPr>
          <w:rFonts w:hint="eastAsia" w:ascii="仿宋" w:hAnsi="仿宋" w:eastAsia="仿宋" w:cs="仿宋"/>
          <w:bCs/>
          <w:sz w:val="24"/>
        </w:rPr>
        <w:t>合同编号：</w:t>
      </w:r>
    </w:p>
    <w:p>
      <w:pPr>
        <w:snapToGrid w:val="0"/>
        <w:spacing w:line="360" w:lineRule="exact"/>
        <w:rPr>
          <w:rFonts w:ascii="仿宋" w:hAnsi="仿宋" w:eastAsia="仿宋" w:cs="仿宋"/>
          <w:sz w:val="24"/>
        </w:rPr>
      </w:pPr>
    </w:p>
    <w:p>
      <w:pPr>
        <w:snapToGrid w:val="0"/>
        <w:spacing w:line="288" w:lineRule="auto"/>
        <w:rPr>
          <w:rFonts w:ascii="仿宋" w:hAnsi="仿宋" w:eastAsia="仿宋" w:cs="仿宋"/>
          <w:sz w:val="24"/>
          <w:u w:val="single"/>
        </w:rPr>
      </w:pPr>
      <w:r>
        <w:rPr>
          <w:rFonts w:hint="eastAsia" w:ascii="仿宋" w:hAnsi="仿宋" w:eastAsia="仿宋" w:cs="仿宋"/>
          <w:sz w:val="24"/>
        </w:rPr>
        <w:t xml:space="preserve">采购单位（甲方）：                                       </w:t>
      </w:r>
      <w:r>
        <w:rPr>
          <w:rFonts w:hint="eastAsia" w:ascii="仿宋" w:hAnsi="仿宋" w:eastAsia="仿宋" w:cs="仿宋"/>
          <w:spacing w:val="-20"/>
          <w:sz w:val="24"/>
        </w:rPr>
        <w:t>采购计划号:</w:t>
      </w:r>
    </w:p>
    <w:p>
      <w:pPr>
        <w:snapToGrid w:val="0"/>
        <w:spacing w:line="288" w:lineRule="auto"/>
        <w:rPr>
          <w:rFonts w:ascii="仿宋" w:hAnsi="仿宋" w:eastAsia="仿宋" w:cs="仿宋"/>
          <w:sz w:val="24"/>
          <w:u w:val="single"/>
        </w:rPr>
      </w:pPr>
      <w:r>
        <w:rPr>
          <w:rFonts w:hint="eastAsia" w:ascii="仿宋" w:hAnsi="仿宋" w:eastAsia="仿宋" w:cs="仿宋"/>
          <w:sz w:val="24"/>
        </w:rPr>
        <w:t>供应商（乙方）：                                         项目名称</w:t>
      </w:r>
      <w:r>
        <w:rPr>
          <w:rFonts w:hint="eastAsia" w:ascii="仿宋" w:hAnsi="仿宋" w:eastAsia="仿宋" w:cs="仿宋"/>
          <w:spacing w:val="-20"/>
          <w:sz w:val="24"/>
        </w:rPr>
        <w:t>编号：</w:t>
      </w:r>
    </w:p>
    <w:p>
      <w:pPr>
        <w:snapToGrid w:val="0"/>
        <w:spacing w:line="288" w:lineRule="auto"/>
        <w:rPr>
          <w:rFonts w:ascii="仿宋" w:hAnsi="仿宋" w:eastAsia="仿宋" w:cs="仿宋"/>
          <w:sz w:val="24"/>
          <w:u w:val="single"/>
        </w:rPr>
      </w:pPr>
      <w:r>
        <w:rPr>
          <w:rFonts w:hint="eastAsia" w:ascii="仿宋" w:hAnsi="仿宋" w:eastAsia="仿宋" w:cs="仿宋"/>
          <w:sz w:val="24"/>
        </w:rPr>
        <w:t>签订地点:                                                签订时间:</w:t>
      </w:r>
    </w:p>
    <w:p>
      <w:pPr>
        <w:pStyle w:val="28"/>
        <w:spacing w:line="288" w:lineRule="auto"/>
        <w:ind w:firstLine="440" w:firstLineChars="200"/>
        <w:rPr>
          <w:rFonts w:ascii="仿宋" w:hAnsi="仿宋" w:eastAsia="仿宋" w:cs="仿宋"/>
          <w:sz w:val="22"/>
          <w:szCs w:val="24"/>
        </w:rPr>
      </w:pPr>
      <w:r>
        <w:rPr>
          <w:rFonts w:hint="eastAsia" w:ascii="仿宋" w:hAnsi="仿宋" w:eastAsia="仿宋" w:cs="仿宋"/>
          <w:sz w:val="22"/>
          <w:szCs w:val="24"/>
        </w:rPr>
        <w:t>根据《中华人民共和国政府采购法》等法律、法规规定，按照招标文件规定条款和乙方投标文件及其承诺，甲乙双方签订本合同。</w:t>
      </w:r>
    </w:p>
    <w:p>
      <w:pPr>
        <w:snapToGrid w:val="0"/>
        <w:spacing w:line="288" w:lineRule="auto"/>
        <w:ind w:firstLine="482" w:firstLineChars="200"/>
        <w:outlineLvl w:val="1"/>
        <w:rPr>
          <w:rFonts w:ascii="仿宋" w:hAnsi="仿宋" w:eastAsia="仿宋" w:cs="仿宋"/>
          <w:b/>
          <w:sz w:val="24"/>
        </w:rPr>
      </w:pPr>
      <w:bookmarkStart w:id="211" w:name="_Toc7517"/>
      <w:r>
        <w:rPr>
          <w:rFonts w:hint="eastAsia" w:ascii="仿宋" w:hAnsi="仿宋" w:eastAsia="仿宋" w:cs="仿宋"/>
          <w:b/>
          <w:sz w:val="24"/>
        </w:rPr>
        <w:t>第一条　项目概况及服务范围</w:t>
      </w:r>
      <w:bookmarkEnd w:id="211"/>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1.项目名称：高等学历继续教育综合学习平台与课程资源使用服务</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2.用途：</w:t>
      </w:r>
      <w:r>
        <w:rPr>
          <w:rFonts w:hint="eastAsia" w:ascii="仿宋" w:hAnsi="仿宋" w:eastAsia="仿宋" w:cs="仿宋"/>
          <w:sz w:val="24"/>
          <w:u w:val="single"/>
        </w:rPr>
        <w:t>满足2026级、2027级、2028级高等学历继续教育学生在线学习平台与课程资源的使用，完成学业。一是基于云服务的网络教学管理平台建设；二是基于云服务的移动网络教学资源建设；三是从软硬件两个方面全面实现资源的云存储和远程托管。</w:t>
      </w:r>
    </w:p>
    <w:p>
      <w:pPr>
        <w:snapToGrid w:val="0"/>
        <w:spacing w:line="288" w:lineRule="auto"/>
        <w:ind w:firstLine="480" w:firstLineChars="200"/>
        <w:rPr>
          <w:rFonts w:ascii="仿宋" w:hAnsi="仿宋" w:eastAsia="仿宋" w:cs="仿宋"/>
          <w:sz w:val="24"/>
          <w:u w:val="single"/>
        </w:rPr>
      </w:pPr>
      <w:r>
        <w:rPr>
          <w:rFonts w:hint="eastAsia" w:ascii="仿宋" w:hAnsi="仿宋" w:eastAsia="仿宋" w:cs="仿宋"/>
          <w:sz w:val="24"/>
        </w:rPr>
        <w:t>3.服务期：</w:t>
      </w:r>
      <w:r>
        <w:rPr>
          <w:rFonts w:hint="eastAsia" w:ascii="仿宋" w:hAnsi="仿宋" w:eastAsia="仿宋" w:cs="仿宋"/>
          <w:sz w:val="24"/>
          <w:u w:val="single"/>
        </w:rPr>
        <w:t xml:space="preserve">                          </w:t>
      </w:r>
    </w:p>
    <w:p>
      <w:pPr>
        <w:snapToGrid w:val="0"/>
        <w:spacing w:line="288" w:lineRule="auto"/>
        <w:ind w:firstLine="480" w:firstLineChars="200"/>
        <w:rPr>
          <w:rFonts w:ascii="仿宋" w:hAnsi="仿宋" w:eastAsia="仿宋" w:cs="仿宋"/>
          <w:sz w:val="24"/>
          <w:u w:val="single"/>
        </w:rPr>
      </w:pPr>
      <w:r>
        <w:rPr>
          <w:rFonts w:hint="eastAsia" w:ascii="仿宋" w:hAnsi="仿宋" w:eastAsia="仿宋" w:cs="仿宋"/>
          <w:sz w:val="24"/>
        </w:rPr>
        <w:t>4.交付时间及地点：</w:t>
      </w:r>
      <w:r>
        <w:rPr>
          <w:rFonts w:hint="eastAsia" w:ascii="仿宋" w:hAnsi="仿宋" w:eastAsia="仿宋" w:cs="仿宋"/>
          <w:sz w:val="24"/>
          <w:u w:val="single"/>
        </w:rPr>
        <w:t xml:space="preserve">                          </w:t>
      </w:r>
    </w:p>
    <w:p>
      <w:pPr>
        <w:snapToGrid w:val="0"/>
        <w:spacing w:line="288" w:lineRule="auto"/>
        <w:ind w:firstLine="480" w:firstLineChars="200"/>
        <w:rPr>
          <w:rFonts w:ascii="仿宋" w:hAnsi="仿宋" w:eastAsia="仿宋" w:cs="仿宋"/>
          <w:sz w:val="24"/>
          <w:highlight w:val="none"/>
        </w:rPr>
      </w:pPr>
      <w:r>
        <w:rPr>
          <w:rFonts w:hint="eastAsia" w:ascii="仿宋" w:hAnsi="仿宋" w:eastAsia="仿宋" w:cs="仿宋"/>
          <w:sz w:val="24"/>
        </w:rPr>
        <w:t>5.报价要求：合同合计金额可能包括服务交付成果（产品）、设计、编绘、组织、策划、开发、调研、安装、调试、技术</w:t>
      </w:r>
      <w:r>
        <w:rPr>
          <w:rFonts w:hint="eastAsia" w:ascii="仿宋" w:hAnsi="仿宋" w:eastAsia="仿宋" w:cs="仿宋"/>
          <w:sz w:val="24"/>
          <w:highlight w:val="none"/>
        </w:rPr>
        <w:t>协助、校准、培训、维修、技术指导等类似服务内容的全部费用。如招标文件对其另有规定的，从其规定。</w:t>
      </w:r>
    </w:p>
    <w:p>
      <w:pPr>
        <w:pStyle w:val="28"/>
        <w:spacing w:line="288" w:lineRule="auto"/>
        <w:ind w:firstLine="440" w:firstLineChars="200"/>
        <w:outlineLvl w:val="2"/>
        <w:rPr>
          <w:rFonts w:ascii="仿宋" w:hAnsi="仿宋" w:eastAsia="仿宋" w:cs="仿宋"/>
          <w:sz w:val="22"/>
          <w:szCs w:val="24"/>
          <w:highlight w:val="none"/>
        </w:rPr>
      </w:pPr>
      <w:bookmarkStart w:id="212" w:name="_Toc28931"/>
      <w:bookmarkStart w:id="213" w:name="_Hlk77611311"/>
      <w:r>
        <w:rPr>
          <w:rFonts w:hint="eastAsia" w:ascii="仿宋" w:hAnsi="仿宋" w:eastAsia="仿宋" w:cs="仿宋"/>
          <w:sz w:val="22"/>
          <w:szCs w:val="24"/>
          <w:highlight w:val="none"/>
        </w:rPr>
        <w:t>6.合同价格形式：固定单价</w:t>
      </w:r>
      <w:bookmarkEnd w:id="212"/>
    </w:p>
    <w:bookmarkEnd w:id="213"/>
    <w:p>
      <w:pPr>
        <w:snapToGrid w:val="0"/>
        <w:spacing w:line="288"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第二条　服务交付成果（产品）清单</w:t>
      </w:r>
    </w:p>
    <w:tbl>
      <w:tblPr>
        <w:tblStyle w:val="54"/>
        <w:tblW w:w="91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723"/>
        <w:gridCol w:w="676"/>
        <w:gridCol w:w="685"/>
        <w:gridCol w:w="1937"/>
        <w:gridCol w:w="1748"/>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8" w:hRule="atLeast"/>
          <w:jc w:val="center"/>
        </w:trPr>
        <w:tc>
          <w:tcPr>
            <w:tcW w:w="602" w:type="dxa"/>
            <w:vAlign w:val="center"/>
          </w:tcPr>
          <w:p>
            <w:pPr>
              <w:snapToGrid w:val="0"/>
              <w:spacing w:line="288" w:lineRule="auto"/>
              <w:jc w:val="center"/>
              <w:rPr>
                <w:rFonts w:ascii="仿宋" w:hAnsi="仿宋" w:eastAsia="仿宋" w:cs="仿宋"/>
                <w:sz w:val="24"/>
                <w:highlight w:val="none"/>
              </w:rPr>
            </w:pPr>
            <w:r>
              <w:rPr>
                <w:rFonts w:hint="eastAsia" w:ascii="仿宋" w:hAnsi="仿宋" w:eastAsia="仿宋" w:cs="仿宋"/>
                <w:sz w:val="24"/>
                <w:highlight w:val="none"/>
              </w:rPr>
              <w:t>序号</w:t>
            </w:r>
          </w:p>
        </w:tc>
        <w:tc>
          <w:tcPr>
            <w:tcW w:w="1723" w:type="dxa"/>
            <w:vAlign w:val="center"/>
          </w:tcPr>
          <w:p>
            <w:pPr>
              <w:snapToGrid w:val="0"/>
              <w:spacing w:line="288" w:lineRule="auto"/>
              <w:jc w:val="center"/>
              <w:rPr>
                <w:rFonts w:ascii="仿宋" w:hAnsi="仿宋" w:eastAsia="仿宋" w:cs="仿宋"/>
                <w:sz w:val="24"/>
                <w:highlight w:val="none"/>
              </w:rPr>
            </w:pPr>
            <w:r>
              <w:rPr>
                <w:rFonts w:hint="eastAsia" w:ascii="仿宋" w:hAnsi="仿宋" w:eastAsia="仿宋" w:cs="仿宋"/>
                <w:sz w:val="24"/>
                <w:highlight w:val="none"/>
              </w:rPr>
              <w:t>服务项目名称</w:t>
            </w:r>
          </w:p>
        </w:tc>
        <w:tc>
          <w:tcPr>
            <w:tcW w:w="676" w:type="dxa"/>
            <w:vAlign w:val="center"/>
          </w:tcPr>
          <w:p>
            <w:pPr>
              <w:snapToGrid w:val="0"/>
              <w:spacing w:line="288" w:lineRule="auto"/>
              <w:jc w:val="center"/>
              <w:rPr>
                <w:rFonts w:ascii="仿宋" w:hAnsi="仿宋" w:eastAsia="仿宋" w:cs="仿宋"/>
                <w:sz w:val="24"/>
                <w:highlight w:val="none"/>
              </w:rPr>
            </w:pPr>
            <w:r>
              <w:rPr>
                <w:rFonts w:hint="eastAsia" w:ascii="仿宋" w:hAnsi="仿宋" w:eastAsia="仿宋" w:cs="仿宋"/>
                <w:sz w:val="24"/>
                <w:highlight w:val="none"/>
              </w:rPr>
              <w:t>数量</w:t>
            </w:r>
          </w:p>
        </w:tc>
        <w:tc>
          <w:tcPr>
            <w:tcW w:w="685" w:type="dxa"/>
            <w:vAlign w:val="center"/>
          </w:tcPr>
          <w:p>
            <w:pPr>
              <w:snapToGrid w:val="0"/>
              <w:spacing w:line="288" w:lineRule="auto"/>
              <w:jc w:val="center"/>
              <w:rPr>
                <w:rFonts w:ascii="仿宋" w:hAnsi="仿宋" w:eastAsia="仿宋" w:cs="仿宋"/>
                <w:sz w:val="24"/>
                <w:highlight w:val="none"/>
              </w:rPr>
            </w:pPr>
            <w:r>
              <w:rPr>
                <w:rFonts w:hint="eastAsia" w:ascii="仿宋" w:hAnsi="仿宋" w:eastAsia="仿宋" w:cs="仿宋"/>
                <w:sz w:val="24"/>
                <w:highlight w:val="none"/>
              </w:rPr>
              <w:t>单位</w:t>
            </w:r>
          </w:p>
        </w:tc>
        <w:tc>
          <w:tcPr>
            <w:tcW w:w="1937" w:type="dxa"/>
            <w:vAlign w:val="center"/>
          </w:tcPr>
          <w:p>
            <w:pPr>
              <w:snapToGrid w:val="0"/>
              <w:spacing w:line="288" w:lineRule="auto"/>
              <w:jc w:val="center"/>
              <w:rPr>
                <w:rFonts w:ascii="仿宋" w:hAnsi="仿宋" w:eastAsia="仿宋" w:cs="仿宋"/>
                <w:sz w:val="24"/>
                <w:highlight w:val="none"/>
              </w:rPr>
            </w:pPr>
            <w:r>
              <w:rPr>
                <w:rFonts w:hint="eastAsia" w:ascii="仿宋" w:hAnsi="仿宋" w:eastAsia="仿宋" w:cs="仿宋"/>
                <w:sz w:val="24"/>
                <w:highlight w:val="none"/>
              </w:rPr>
              <w:t>每个学生单价</w:t>
            </w:r>
          </w:p>
          <w:p>
            <w:pPr>
              <w:snapToGrid w:val="0"/>
              <w:spacing w:line="288" w:lineRule="auto"/>
              <w:jc w:val="center"/>
              <w:rPr>
                <w:rFonts w:ascii="仿宋" w:hAnsi="仿宋" w:eastAsia="仿宋" w:cs="仿宋"/>
                <w:sz w:val="24"/>
                <w:highlight w:val="none"/>
              </w:rPr>
            </w:pPr>
            <w:r>
              <w:rPr>
                <w:rFonts w:hint="eastAsia" w:ascii="仿宋" w:hAnsi="仿宋" w:eastAsia="仿宋" w:cs="仿宋"/>
                <w:sz w:val="24"/>
                <w:highlight w:val="none"/>
              </w:rPr>
              <w:t>（元）</w:t>
            </w:r>
          </w:p>
        </w:tc>
        <w:tc>
          <w:tcPr>
            <w:tcW w:w="1748" w:type="dxa"/>
            <w:vAlign w:val="center"/>
          </w:tcPr>
          <w:p>
            <w:pPr>
              <w:snapToGrid w:val="0"/>
              <w:spacing w:line="288" w:lineRule="auto"/>
              <w:jc w:val="center"/>
              <w:rPr>
                <w:rFonts w:ascii="仿宋" w:hAnsi="仿宋" w:eastAsia="仿宋" w:cs="仿宋"/>
                <w:sz w:val="24"/>
                <w:highlight w:val="none"/>
              </w:rPr>
            </w:pPr>
            <w:r>
              <w:rPr>
                <w:rFonts w:hint="eastAsia" w:ascii="仿宋" w:hAnsi="仿宋" w:eastAsia="仿宋" w:cs="仿宋"/>
                <w:sz w:val="24"/>
                <w:highlight w:val="none"/>
              </w:rPr>
              <w:t>金额</w:t>
            </w:r>
          </w:p>
          <w:p>
            <w:pPr>
              <w:snapToGrid w:val="0"/>
              <w:spacing w:line="288" w:lineRule="auto"/>
              <w:jc w:val="center"/>
              <w:rPr>
                <w:rFonts w:ascii="仿宋" w:hAnsi="仿宋" w:eastAsia="仿宋" w:cs="仿宋"/>
                <w:sz w:val="24"/>
                <w:highlight w:val="none"/>
              </w:rPr>
            </w:pPr>
            <w:r>
              <w:rPr>
                <w:rFonts w:hint="eastAsia" w:ascii="仿宋" w:hAnsi="仿宋" w:eastAsia="仿宋" w:cs="仿宋"/>
                <w:sz w:val="24"/>
                <w:highlight w:val="none"/>
              </w:rPr>
              <w:t>（元）</w:t>
            </w:r>
          </w:p>
        </w:tc>
        <w:tc>
          <w:tcPr>
            <w:tcW w:w="1748" w:type="dxa"/>
          </w:tcPr>
          <w:p>
            <w:pPr>
              <w:snapToGrid w:val="0"/>
              <w:spacing w:line="288" w:lineRule="auto"/>
              <w:jc w:val="center"/>
              <w:rPr>
                <w:rFonts w:ascii="仿宋" w:hAnsi="仿宋" w:eastAsia="仿宋" w:cs="仿宋"/>
                <w:sz w:val="24"/>
                <w:highlight w:val="none"/>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602" w:type="dxa"/>
            <w:vAlign w:val="center"/>
          </w:tcPr>
          <w:p>
            <w:pPr>
              <w:snapToGrid w:val="0"/>
              <w:spacing w:line="288" w:lineRule="auto"/>
              <w:jc w:val="center"/>
              <w:rPr>
                <w:rFonts w:ascii="仿宋" w:hAnsi="仿宋" w:eastAsia="仿宋" w:cs="仿宋"/>
                <w:sz w:val="24"/>
                <w:highlight w:val="none"/>
              </w:rPr>
            </w:pPr>
            <w:r>
              <w:rPr>
                <w:rFonts w:hint="eastAsia" w:ascii="仿宋" w:hAnsi="仿宋" w:eastAsia="仿宋" w:cs="仿宋"/>
                <w:sz w:val="24"/>
                <w:highlight w:val="none"/>
              </w:rPr>
              <w:t>1</w:t>
            </w:r>
          </w:p>
        </w:tc>
        <w:tc>
          <w:tcPr>
            <w:tcW w:w="1723" w:type="dxa"/>
            <w:vAlign w:val="center"/>
          </w:tcPr>
          <w:p>
            <w:pPr>
              <w:snapToGrid w:val="0"/>
              <w:spacing w:line="288" w:lineRule="auto"/>
              <w:jc w:val="center"/>
              <w:rPr>
                <w:rFonts w:ascii="仿宋" w:hAnsi="仿宋" w:eastAsia="仿宋" w:cs="仿宋"/>
                <w:sz w:val="24"/>
                <w:highlight w:val="none"/>
              </w:rPr>
            </w:pPr>
          </w:p>
        </w:tc>
        <w:tc>
          <w:tcPr>
            <w:tcW w:w="676" w:type="dxa"/>
          </w:tcPr>
          <w:p>
            <w:pPr>
              <w:snapToGrid w:val="0"/>
              <w:spacing w:line="288" w:lineRule="auto"/>
              <w:jc w:val="center"/>
              <w:rPr>
                <w:rFonts w:ascii="仿宋" w:hAnsi="仿宋" w:eastAsia="仿宋" w:cs="仿宋"/>
                <w:sz w:val="24"/>
                <w:highlight w:val="none"/>
              </w:rPr>
            </w:pPr>
          </w:p>
        </w:tc>
        <w:tc>
          <w:tcPr>
            <w:tcW w:w="685" w:type="dxa"/>
          </w:tcPr>
          <w:p>
            <w:pPr>
              <w:snapToGrid w:val="0"/>
              <w:spacing w:line="288" w:lineRule="auto"/>
              <w:jc w:val="center"/>
              <w:rPr>
                <w:rFonts w:ascii="仿宋" w:hAnsi="仿宋" w:eastAsia="仿宋" w:cs="仿宋"/>
                <w:sz w:val="24"/>
                <w:highlight w:val="none"/>
              </w:rPr>
            </w:pPr>
          </w:p>
        </w:tc>
        <w:tc>
          <w:tcPr>
            <w:tcW w:w="1937" w:type="dxa"/>
            <w:vAlign w:val="center"/>
          </w:tcPr>
          <w:p>
            <w:pPr>
              <w:snapToGrid w:val="0"/>
              <w:spacing w:line="288" w:lineRule="auto"/>
              <w:jc w:val="center"/>
              <w:rPr>
                <w:rFonts w:ascii="仿宋" w:hAnsi="仿宋" w:eastAsia="仿宋" w:cs="仿宋"/>
                <w:sz w:val="24"/>
                <w:highlight w:val="none"/>
              </w:rPr>
            </w:pPr>
          </w:p>
        </w:tc>
        <w:tc>
          <w:tcPr>
            <w:tcW w:w="1748" w:type="dxa"/>
            <w:vAlign w:val="center"/>
          </w:tcPr>
          <w:p>
            <w:pPr>
              <w:snapToGrid w:val="0"/>
              <w:spacing w:line="288" w:lineRule="auto"/>
              <w:jc w:val="center"/>
              <w:rPr>
                <w:rFonts w:ascii="仿宋" w:hAnsi="仿宋" w:eastAsia="仿宋" w:cs="仿宋"/>
                <w:sz w:val="24"/>
                <w:highlight w:val="none"/>
              </w:rPr>
            </w:pPr>
          </w:p>
        </w:tc>
        <w:tc>
          <w:tcPr>
            <w:tcW w:w="1748" w:type="dxa"/>
          </w:tcPr>
          <w:p>
            <w:pPr>
              <w:snapToGrid w:val="0"/>
              <w:spacing w:line="288" w:lineRule="auto"/>
              <w:jc w:val="left"/>
              <w:rPr>
                <w:rFonts w:ascii="仿宋" w:hAnsi="仿宋" w:eastAsia="仿宋" w:cs="仿宋"/>
                <w:sz w:val="24"/>
                <w:highlight w:val="none"/>
              </w:rPr>
            </w:pPr>
            <w:r>
              <w:rPr>
                <w:rFonts w:hint="eastAsia" w:ascii="仿宋" w:hAnsi="仿宋" w:eastAsia="仿宋" w:cs="仿宋"/>
                <w:sz w:val="24"/>
                <w:highlight w:val="none"/>
              </w:rPr>
              <w:t>如有商标品牌、型号参数、生产厂家等信息请注明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602" w:type="dxa"/>
            <w:vAlign w:val="center"/>
          </w:tcPr>
          <w:p>
            <w:pPr>
              <w:snapToGrid w:val="0"/>
              <w:spacing w:line="288" w:lineRule="auto"/>
              <w:jc w:val="center"/>
              <w:rPr>
                <w:rFonts w:ascii="仿宋" w:hAnsi="仿宋" w:eastAsia="仿宋" w:cs="仿宋"/>
                <w:sz w:val="24"/>
              </w:rPr>
            </w:pPr>
          </w:p>
        </w:tc>
        <w:tc>
          <w:tcPr>
            <w:tcW w:w="8517" w:type="dxa"/>
            <w:gridSpan w:val="6"/>
            <w:vAlign w:val="center"/>
          </w:tcPr>
          <w:p>
            <w:pPr>
              <w:snapToGrid w:val="0"/>
              <w:spacing w:line="288" w:lineRule="auto"/>
              <w:jc w:val="left"/>
              <w:rPr>
                <w:rFonts w:ascii="仿宋" w:hAnsi="仿宋" w:eastAsia="仿宋" w:cs="仿宋"/>
                <w:sz w:val="24"/>
              </w:rPr>
            </w:pPr>
            <w:r>
              <w:rPr>
                <w:rFonts w:hint="eastAsia" w:ascii="仿宋" w:hAnsi="仿宋" w:eastAsia="仿宋" w:cs="仿宋"/>
                <w:sz w:val="24"/>
              </w:rPr>
              <w:t>人民币合计金额（大写）                      （小写）</w:t>
            </w:r>
          </w:p>
        </w:tc>
      </w:tr>
    </w:tbl>
    <w:p>
      <w:pPr>
        <w:snapToGrid w:val="0"/>
        <w:spacing w:line="288" w:lineRule="auto"/>
        <w:ind w:firstLine="482" w:firstLineChars="200"/>
        <w:rPr>
          <w:rFonts w:ascii="仿宋" w:hAnsi="仿宋" w:eastAsia="仿宋" w:cs="仿宋"/>
          <w:b/>
          <w:sz w:val="24"/>
        </w:rPr>
      </w:pPr>
      <w:r>
        <w:rPr>
          <w:rFonts w:hint="eastAsia" w:ascii="仿宋" w:hAnsi="仿宋" w:eastAsia="仿宋" w:cs="仿宋"/>
          <w:b/>
          <w:sz w:val="24"/>
        </w:rPr>
        <w:t>第三条甲方权利和义务</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1. 甲方有权要求乙方按时、按质、按量、按计划与合同协议约定完成本项目，并有权对乙方工作情况进行监督。</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2. 根据项目进度，甲方有权及时对乙方提交的方案提出修改意见，并要求乙方按修改意见完成服务工作。</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3. 乙方配备的项目投入人员应得到甲方的认可；对派遣到甲方的服务人员进行管理、考核、检查与奖惩。</w:t>
      </w:r>
    </w:p>
    <w:p>
      <w:pPr>
        <w:snapToGrid w:val="0"/>
        <w:spacing w:line="288" w:lineRule="auto"/>
        <w:ind w:firstLine="480" w:firstLineChars="200"/>
        <w:rPr>
          <w:rFonts w:ascii="仿宋" w:hAnsi="仿宋" w:eastAsia="仿宋" w:cs="仿宋"/>
          <w:strike/>
          <w:sz w:val="24"/>
        </w:rPr>
      </w:pPr>
      <w:r>
        <w:rPr>
          <w:rFonts w:hint="eastAsia" w:ascii="仿宋" w:hAnsi="仿宋" w:eastAsia="仿宋" w:cs="仿宋"/>
          <w:sz w:val="24"/>
        </w:rPr>
        <w:t>4.甲方有权要求乙方更换不合格的工作人员。</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5. 按合同要求及时向乙方支付产品的服务费用。</w:t>
      </w:r>
    </w:p>
    <w:p>
      <w:pPr>
        <w:snapToGrid w:val="0"/>
        <w:spacing w:line="288" w:lineRule="auto"/>
        <w:ind w:firstLine="480" w:firstLineChars="200"/>
        <w:rPr>
          <w:rFonts w:ascii="仿宋" w:hAnsi="仿宋" w:eastAsia="仿宋" w:cs="仿宋"/>
          <w:sz w:val="24"/>
        </w:rPr>
      </w:pPr>
      <w:bookmarkStart w:id="214" w:name="_Hlk77611324"/>
      <w:r>
        <w:rPr>
          <w:rFonts w:hint="eastAsia" w:ascii="仿宋" w:hAnsi="仿宋" w:eastAsia="仿宋" w:cs="仿宋"/>
          <w:sz w:val="24"/>
        </w:rPr>
        <w:t>6.如采购项目涉及采购标的的知识产权归属的，产权归属为：</w:t>
      </w:r>
      <w:r>
        <w:rPr>
          <w:rFonts w:hint="eastAsia" w:ascii="仿宋" w:hAnsi="仿宋" w:eastAsia="仿宋" w:cs="仿宋"/>
          <w:sz w:val="24"/>
          <w:u w:val="single"/>
        </w:rPr>
        <w:t>甲方</w:t>
      </w:r>
    </w:p>
    <w:p>
      <w:pPr>
        <w:snapToGrid w:val="0"/>
        <w:spacing w:line="288" w:lineRule="auto"/>
        <w:ind w:firstLine="480" w:firstLineChars="200"/>
        <w:rPr>
          <w:rFonts w:ascii="仿宋" w:hAnsi="仿宋" w:eastAsia="仿宋" w:cs="仿宋"/>
          <w:sz w:val="24"/>
          <w:u w:val="single"/>
        </w:rPr>
      </w:pPr>
      <w:r>
        <w:rPr>
          <w:rFonts w:hint="eastAsia" w:ascii="仿宋" w:hAnsi="仿宋" w:eastAsia="仿宋" w:cs="仿宋"/>
          <w:sz w:val="24"/>
        </w:rPr>
        <w:t>处理方式：</w:t>
      </w:r>
      <w:r>
        <w:rPr>
          <w:rFonts w:hint="eastAsia" w:ascii="仿宋" w:hAnsi="仿宋" w:eastAsia="仿宋" w:cs="仿宋"/>
          <w:sz w:val="24"/>
          <w:u w:val="single"/>
        </w:rPr>
        <w:t>采购人在中华人民共和国境内使用供应商提供的产品及服务时免受第三方提出的侵犯其专利权或其它知识产权的起诉。如果第三方提出侵权指控，乙方应承担由此而引起的一切法律责任和费用。</w:t>
      </w:r>
    </w:p>
    <w:bookmarkEnd w:id="214"/>
    <w:p>
      <w:pPr>
        <w:snapToGrid w:val="0"/>
        <w:spacing w:line="288" w:lineRule="auto"/>
        <w:ind w:firstLine="482" w:firstLineChars="200"/>
        <w:outlineLvl w:val="1"/>
        <w:rPr>
          <w:rFonts w:ascii="仿宋" w:hAnsi="仿宋" w:eastAsia="仿宋" w:cs="仿宋"/>
          <w:b/>
          <w:sz w:val="24"/>
        </w:rPr>
      </w:pPr>
      <w:bookmarkStart w:id="215" w:name="_Toc3201"/>
      <w:r>
        <w:rPr>
          <w:rFonts w:hint="eastAsia" w:ascii="仿宋" w:hAnsi="仿宋" w:eastAsia="仿宋" w:cs="仿宋"/>
          <w:b/>
          <w:sz w:val="24"/>
        </w:rPr>
        <w:t>第四条乙方权利和义务</w:t>
      </w:r>
      <w:bookmarkEnd w:id="215"/>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1. 严格履行合同文件（含招标文件、投标文件等）约定和承诺的服务内容和质量标准，保证甲方项目的相关工作质量和进度。</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2. 必须严格实施乙方投标文件中承诺的人力资源配置。在必须补充或更换人员时，必须补充或更换优于或等同于投标文件所承诺资质的服务人员，并需取得甲方书面同意。</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3. 乙方项目负责人及服务团队成员须与投标文件保持一致。合同存续期内，未经甲方书面要求或同意，项目负责人不应调整。项目负责人及服务团队成员必须保证在岗工作时间和重要活动在岗，如有变化，须取得甲方同意。</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4.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5. 乙方服务人员应履行保密义务。如乙方因违反本条约定给甲方造成损失的，乙方应当承担相应的法律责任，并赔偿由此给甲方造成的一切损失。</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6. 按照合同约定收取服务费，当甲方出现无故拖欠费用时，乙方有权采取适当方式进行催缴，若甲方仍未支付费用，乙方有权停止工作。</w:t>
      </w:r>
    </w:p>
    <w:p>
      <w:pPr>
        <w:snapToGrid w:val="0"/>
        <w:spacing w:line="288" w:lineRule="auto"/>
        <w:ind w:firstLine="482" w:firstLineChars="200"/>
        <w:outlineLvl w:val="1"/>
        <w:rPr>
          <w:rFonts w:ascii="仿宋" w:hAnsi="仿宋" w:eastAsia="仿宋" w:cs="仿宋"/>
          <w:b/>
          <w:sz w:val="24"/>
        </w:rPr>
      </w:pPr>
      <w:bookmarkStart w:id="216" w:name="_Toc12705"/>
      <w:r>
        <w:rPr>
          <w:rFonts w:hint="eastAsia" w:ascii="仿宋" w:hAnsi="仿宋" w:eastAsia="仿宋" w:cs="仿宋"/>
          <w:b/>
          <w:sz w:val="24"/>
        </w:rPr>
        <w:t>第五条包装和运输</w:t>
      </w:r>
      <w:bookmarkEnd w:id="216"/>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1.乙方提供的服务交付成果或产品均应按招标文件要求的包装材料、包装标准、包装方式进行包装，每一包装单元内应附详细的交付清单和质量合格证，如有缺失应及时补齐，否则视为逾期交付。</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2. 乙方负责服务交付成果、产品的运输。服务交付成果、产品的运输方式由乙方自定。服务交付成果、产品运输合理损耗及计算方法由乙方负责。</w:t>
      </w:r>
    </w:p>
    <w:p>
      <w:pPr>
        <w:pStyle w:val="28"/>
        <w:spacing w:line="288" w:lineRule="auto"/>
        <w:ind w:firstLine="440" w:firstLineChars="200"/>
        <w:rPr>
          <w:rFonts w:ascii="仿宋" w:hAnsi="仿宋" w:eastAsia="仿宋" w:cs="仿宋"/>
          <w:color w:val="000000"/>
          <w:sz w:val="22"/>
          <w:szCs w:val="24"/>
        </w:rPr>
      </w:pPr>
      <w:bookmarkStart w:id="217" w:name="_Hlk60651149"/>
      <w:r>
        <w:rPr>
          <w:rFonts w:hint="eastAsia" w:ascii="仿宋" w:hAnsi="仿宋" w:eastAsia="仿宋" w:cs="仿宋"/>
          <w:color w:val="000000"/>
          <w:sz w:val="22"/>
          <w:szCs w:val="24"/>
        </w:rPr>
        <w:t>3.乙方提供的产品包装及快递包装应满足《财政部等三部门联合印发商品包装和快递包装政府采购需求标准（试行）》财办库【2020】123号文要求。</w:t>
      </w:r>
      <w:bookmarkEnd w:id="217"/>
    </w:p>
    <w:p>
      <w:pPr>
        <w:snapToGrid w:val="0"/>
        <w:spacing w:line="288" w:lineRule="auto"/>
        <w:ind w:firstLine="482" w:firstLineChars="200"/>
        <w:outlineLvl w:val="1"/>
        <w:rPr>
          <w:rFonts w:ascii="仿宋" w:hAnsi="仿宋" w:eastAsia="仿宋" w:cs="仿宋"/>
          <w:sz w:val="24"/>
        </w:rPr>
      </w:pPr>
      <w:bookmarkStart w:id="218" w:name="_Toc27300"/>
      <w:r>
        <w:rPr>
          <w:rFonts w:hint="eastAsia" w:ascii="仿宋" w:hAnsi="仿宋" w:eastAsia="仿宋" w:cs="仿宋"/>
          <w:b/>
          <w:sz w:val="24"/>
        </w:rPr>
        <w:t>第六条交付和验收</w:t>
      </w:r>
      <w:bookmarkEnd w:id="218"/>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1.交付使用时间：按乙方投标文件中所承诺的时间；地点：甲方指定地点。</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2.乙方提供不符合招标文件、投标文件和本合同规定的货物或服务及包装要求的，甲方有权拒绝接受，</w:t>
      </w:r>
      <w:r>
        <w:rPr>
          <w:rFonts w:hint="eastAsia" w:ascii="仿宋" w:hAnsi="仿宋" w:eastAsia="仿宋" w:cs="仿宋"/>
          <w:sz w:val="24"/>
          <w:szCs w:val="32"/>
        </w:rPr>
        <w:t>招标文件对包装和快递有具体要求的，必要时可要求乙方出具检测报告</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3.甲方应当在产品或服务成果提交并安装、测试、检验完后七个工作日内进行验收，逾期不验收的，乙方可视同验收合格。</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4.甲方对验收有异议的，在验收后五个工作日内以书面形式向乙方提出，乙方应自收到甲方书面异议后 7 日内及时予以解决。</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5. 其他未尽事宜应严格按照《关于印发广西壮族自治区政府采购项目履约验收管理办法的通知》[桂财采〔2015〕22号]以及《财政部关于进一步加强政府采购需求和履约验收管理的指导意见》[财库〔2016〕205号]规定执行。</w:t>
      </w:r>
    </w:p>
    <w:p>
      <w:pPr>
        <w:pStyle w:val="28"/>
        <w:snapToGrid w:val="0"/>
        <w:spacing w:before="120" w:after="120" w:line="288" w:lineRule="auto"/>
        <w:ind w:firstLine="440" w:firstLineChars="200"/>
        <w:jc w:val="left"/>
        <w:outlineLvl w:val="2"/>
        <w:rPr>
          <w:rFonts w:ascii="仿宋" w:hAnsi="仿宋" w:eastAsia="仿宋" w:cs="仿宋"/>
          <w:sz w:val="22"/>
          <w:szCs w:val="24"/>
        </w:rPr>
      </w:pPr>
      <w:bookmarkStart w:id="219" w:name="_Toc22757"/>
      <w:bookmarkStart w:id="220" w:name="_Hlk77611338"/>
      <w:r>
        <w:rPr>
          <w:rFonts w:hint="eastAsia" w:ascii="仿宋" w:hAnsi="仿宋" w:eastAsia="仿宋" w:cs="仿宋"/>
          <w:sz w:val="22"/>
          <w:szCs w:val="24"/>
        </w:rPr>
        <w:t>6.履约验收方案详见附件。</w:t>
      </w:r>
      <w:bookmarkEnd w:id="219"/>
    </w:p>
    <w:bookmarkEnd w:id="220"/>
    <w:p>
      <w:pPr>
        <w:snapToGrid w:val="0"/>
        <w:spacing w:line="288" w:lineRule="auto"/>
        <w:ind w:firstLine="482" w:firstLineChars="200"/>
        <w:outlineLvl w:val="1"/>
        <w:rPr>
          <w:rFonts w:ascii="仿宋" w:hAnsi="仿宋" w:eastAsia="仿宋" w:cs="仿宋"/>
          <w:b/>
          <w:sz w:val="24"/>
        </w:rPr>
      </w:pPr>
      <w:bookmarkStart w:id="221" w:name="_Toc19187"/>
      <w:r>
        <w:rPr>
          <w:rFonts w:hint="eastAsia" w:ascii="仿宋" w:hAnsi="仿宋" w:eastAsia="仿宋" w:cs="仿宋"/>
          <w:b/>
          <w:sz w:val="24"/>
        </w:rPr>
        <w:t>第七条安装和培训</w:t>
      </w:r>
      <w:bookmarkEnd w:id="221"/>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1.甲方应提供必要安装条件（如场地、电源、水源等）。</w:t>
      </w:r>
    </w:p>
    <w:p>
      <w:pPr>
        <w:snapToGrid w:val="0"/>
        <w:spacing w:line="288" w:lineRule="auto"/>
        <w:ind w:firstLine="480" w:firstLineChars="200"/>
        <w:rPr>
          <w:rFonts w:ascii="仿宋" w:hAnsi="仿宋" w:eastAsia="仿宋" w:cs="仿宋"/>
          <w:sz w:val="24"/>
          <w:u w:val="single"/>
        </w:rPr>
      </w:pPr>
      <w:r>
        <w:rPr>
          <w:rFonts w:hint="eastAsia" w:ascii="仿宋" w:hAnsi="仿宋" w:eastAsia="仿宋" w:cs="仿宋"/>
          <w:sz w:val="24"/>
        </w:rPr>
        <w:t>2.乙方负责甲方有关人员的培训。培训时间、地点：</w:t>
      </w:r>
      <w:r>
        <w:rPr>
          <w:rFonts w:hint="eastAsia" w:ascii="仿宋" w:hAnsi="仿宋" w:eastAsia="仿宋" w:cs="仿宋"/>
          <w:sz w:val="24"/>
          <w:u w:val="single"/>
        </w:rPr>
        <w:t>由甲方决定。</w:t>
      </w:r>
    </w:p>
    <w:p>
      <w:pPr>
        <w:snapToGrid w:val="0"/>
        <w:spacing w:line="288" w:lineRule="auto"/>
        <w:ind w:firstLine="482" w:firstLineChars="200"/>
        <w:outlineLvl w:val="1"/>
        <w:rPr>
          <w:rFonts w:ascii="仿宋" w:hAnsi="仿宋" w:eastAsia="仿宋" w:cs="仿宋"/>
          <w:b/>
          <w:sz w:val="24"/>
        </w:rPr>
      </w:pPr>
      <w:bookmarkStart w:id="222" w:name="_Toc25672"/>
      <w:r>
        <w:rPr>
          <w:rFonts w:hint="eastAsia" w:ascii="仿宋" w:hAnsi="仿宋" w:eastAsia="仿宋" w:cs="仿宋"/>
          <w:b/>
          <w:sz w:val="24"/>
        </w:rPr>
        <w:t>第八条售后服务、质保期</w:t>
      </w:r>
      <w:bookmarkEnd w:id="222"/>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1.乙方应按照国家有关法律法规和“三包”规定以及招标文件、投标文件和本合同附件，为甲方提供售后服务。</w:t>
      </w:r>
    </w:p>
    <w:p>
      <w:pPr>
        <w:snapToGrid w:val="0"/>
        <w:spacing w:line="288" w:lineRule="auto"/>
        <w:ind w:firstLine="480" w:firstLineChars="200"/>
        <w:rPr>
          <w:rFonts w:ascii="仿宋" w:hAnsi="仿宋" w:eastAsia="仿宋" w:cs="仿宋"/>
          <w:sz w:val="24"/>
          <w:u w:val="single"/>
        </w:rPr>
      </w:pPr>
      <w:r>
        <w:rPr>
          <w:rFonts w:hint="eastAsia" w:ascii="仿宋" w:hAnsi="仿宋" w:eastAsia="仿宋" w:cs="仿宋"/>
          <w:sz w:val="24"/>
        </w:rPr>
        <w:t>2.货物或服务成果质保期：</w:t>
      </w:r>
      <w:r>
        <w:rPr>
          <w:rFonts w:hint="eastAsia" w:ascii="仿宋" w:hAnsi="仿宋" w:eastAsia="仿宋" w:cs="仿宋"/>
          <w:sz w:val="24"/>
          <w:u w:val="single"/>
        </w:rPr>
        <w:t>按乙方承诺，但不得低于国家相关标准</w:t>
      </w:r>
      <w:r>
        <w:rPr>
          <w:rFonts w:hint="eastAsia" w:ascii="仿宋" w:hAnsi="仿宋" w:eastAsia="仿宋" w:cs="仿宋"/>
          <w:sz w:val="24"/>
        </w:rPr>
        <w:t>。</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3.按招标文件规定的服务质量标准，并达到或优于中标人承诺的标准。</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4.乙方所提供的产品型号、技术规格、技术参数等质量必须与</w:t>
      </w:r>
      <w:bookmarkStart w:id="223" w:name="_Hlk19187447"/>
      <w:r>
        <w:rPr>
          <w:rFonts w:hint="eastAsia" w:ascii="仿宋" w:hAnsi="仿宋" w:eastAsia="仿宋" w:cs="仿宋"/>
          <w:sz w:val="24"/>
        </w:rPr>
        <w:t>招标文件、投标文件</w:t>
      </w:r>
      <w:bookmarkEnd w:id="223"/>
      <w:r>
        <w:rPr>
          <w:rFonts w:hint="eastAsia" w:ascii="仿宋" w:hAnsi="仿宋" w:eastAsia="仿宋" w:cs="仿宋"/>
          <w:sz w:val="24"/>
        </w:rPr>
        <w:t>和承诺相一致。</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5.如在使用过程中发生质量问题，乙方在接到甲方通知后在小时内到达甲方现场。</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6.在质保期内，乙方应对货物或服务成果出现的质量及安全问题负责处理解决并承担一切费用。</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7.上述的货物或服务成果因人为因素出现的故障不在免费保修范围内。超过质保期的机器设备，终生维修，维修时只收部件成本费。</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8.乙方提供的服务承诺和售后服务及质保期责任等其它具体约定事项。</w:t>
      </w:r>
    </w:p>
    <w:p>
      <w:pPr>
        <w:snapToGrid w:val="0"/>
        <w:spacing w:line="288" w:lineRule="auto"/>
        <w:ind w:firstLine="482" w:firstLineChars="200"/>
        <w:outlineLvl w:val="1"/>
        <w:rPr>
          <w:rFonts w:ascii="仿宋" w:hAnsi="仿宋" w:eastAsia="仿宋" w:cs="仿宋"/>
          <w:sz w:val="24"/>
          <w:highlight w:val="none"/>
        </w:rPr>
      </w:pPr>
      <w:bookmarkStart w:id="224" w:name="_Toc6141"/>
      <w:r>
        <w:rPr>
          <w:rFonts w:hint="eastAsia" w:ascii="仿宋" w:hAnsi="仿宋" w:eastAsia="仿宋" w:cs="仿宋"/>
          <w:b/>
          <w:sz w:val="24"/>
        </w:rPr>
        <w:t>第九条</w:t>
      </w:r>
      <w:r>
        <w:rPr>
          <w:rFonts w:hint="eastAsia" w:ascii="仿宋" w:hAnsi="仿宋" w:eastAsia="仿宋" w:cs="仿宋"/>
          <w:b/>
          <w:sz w:val="24"/>
          <w:highlight w:val="none"/>
        </w:rPr>
        <w:t>　付款方式</w:t>
      </w:r>
      <w:bookmarkEnd w:id="224"/>
    </w:p>
    <w:p>
      <w:pPr>
        <w:snapToGrid w:val="0"/>
        <w:spacing w:line="288"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1.资金性质：</w:t>
      </w:r>
      <w:r>
        <w:rPr>
          <w:rFonts w:hint="eastAsia" w:ascii="仿宋" w:hAnsi="仿宋" w:eastAsia="仿宋" w:cs="仿宋"/>
          <w:sz w:val="24"/>
          <w:highlight w:val="none"/>
          <w:u w:val="single"/>
        </w:rPr>
        <w:t>财政性资金。</w:t>
      </w:r>
    </w:p>
    <w:p>
      <w:pPr>
        <w:snapToGrid w:val="0"/>
        <w:spacing w:line="288"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2.付款方式：</w:t>
      </w:r>
    </w:p>
    <w:p>
      <w:pPr>
        <w:pStyle w:val="15"/>
        <w:ind w:firstLine="600" w:firstLineChars="250"/>
        <w:rPr>
          <w:rFonts w:ascii="仿宋" w:hAnsi="仿宋" w:eastAsia="仿宋" w:cs="仿宋"/>
          <w:sz w:val="24"/>
          <w:szCs w:val="32"/>
          <w:highlight w:val="none"/>
        </w:rPr>
      </w:pPr>
      <w:r>
        <w:rPr>
          <w:rFonts w:hint="eastAsia" w:ascii="仿宋" w:hAnsi="仿宋" w:eastAsia="仿宋" w:cs="仿宋"/>
          <w:sz w:val="24"/>
          <w:szCs w:val="32"/>
          <w:highlight w:val="none"/>
        </w:rPr>
        <w:t>本项目按年度支付合同金额，每年的10月30日核定实际使用高等学历继续教育综合学习平台与课程资源使用服务的学生数量，根据“对应年度实际使用高等学历继续教育综合学习平台与课程资源使用服务的学生数量*投标报价*50%”的总金额，由乙方开具增值税专用发票给甲方，甲方收到增值税专用发票后20个工作日内支付对应年度合同金额（无息）。已累计支付投标报价金额的学生数量不计入对应年度应缴费的学生数量。</w:t>
      </w:r>
    </w:p>
    <w:p>
      <w:pPr>
        <w:snapToGrid w:val="0"/>
        <w:spacing w:line="288" w:lineRule="auto"/>
        <w:ind w:firstLine="482" w:firstLineChars="200"/>
        <w:outlineLvl w:val="1"/>
        <w:rPr>
          <w:rFonts w:ascii="仿宋" w:hAnsi="仿宋" w:eastAsia="仿宋" w:cs="仿宋"/>
          <w:b/>
          <w:sz w:val="24"/>
        </w:rPr>
      </w:pPr>
      <w:bookmarkStart w:id="225" w:name="_Toc21291"/>
      <w:r>
        <w:rPr>
          <w:rFonts w:hint="eastAsia" w:ascii="仿宋" w:hAnsi="仿宋" w:eastAsia="仿宋" w:cs="仿宋"/>
          <w:b/>
          <w:sz w:val="24"/>
        </w:rPr>
        <w:t>第十条履约保证金</w:t>
      </w:r>
      <w:bookmarkStart w:id="226" w:name="_Hlk47715711"/>
      <w:r>
        <w:rPr>
          <w:rFonts w:hint="eastAsia" w:ascii="仿宋" w:hAnsi="仿宋" w:eastAsia="仿宋" w:cs="仿宋"/>
          <w:b/>
          <w:sz w:val="24"/>
        </w:rPr>
        <w:t>及投标保证金</w:t>
      </w:r>
      <w:bookmarkEnd w:id="225"/>
      <w:bookmarkEnd w:id="226"/>
    </w:p>
    <w:p>
      <w:pPr>
        <w:spacing w:line="288" w:lineRule="auto"/>
        <w:ind w:firstLine="600" w:firstLineChars="250"/>
        <w:jc w:val="left"/>
        <w:rPr>
          <w:rFonts w:ascii="仿宋" w:hAnsi="仿宋" w:eastAsia="仿宋" w:cs="仿宋"/>
          <w:sz w:val="24"/>
        </w:rPr>
      </w:pPr>
      <w:bookmarkStart w:id="227" w:name="_Hlk47715739"/>
      <w:r>
        <w:rPr>
          <w:rFonts w:hint="eastAsia" w:ascii="仿宋" w:hAnsi="仿宋" w:eastAsia="仿宋" w:cs="仿宋"/>
          <w:sz w:val="24"/>
        </w:rPr>
        <w:t>1、履约保证金收取：由乙方在签订合同前按中标金额的5%收取（如乙方为中小微型企业的，按中标金额的2%收取）。</w:t>
      </w:r>
    </w:p>
    <w:p>
      <w:pPr>
        <w:spacing w:line="288" w:lineRule="auto"/>
        <w:ind w:firstLine="600" w:firstLineChars="250"/>
        <w:jc w:val="left"/>
        <w:rPr>
          <w:rFonts w:ascii="仿宋" w:hAnsi="仿宋" w:eastAsia="仿宋" w:cs="仿宋"/>
          <w:sz w:val="24"/>
        </w:rPr>
      </w:pPr>
      <w:r>
        <w:rPr>
          <w:rFonts w:hint="eastAsia" w:ascii="仿宋" w:hAnsi="仿宋" w:eastAsia="仿宋" w:cs="仿宋"/>
          <w:sz w:val="24"/>
        </w:rPr>
        <w:t>2、交纳方式：履约保证金可以采用银行转账、支票、汇票、本票或者银行、保险机构出具的保函等非现金形式。甲方开具履约保证金财务凭证给乙方。</w:t>
      </w:r>
    </w:p>
    <w:p>
      <w:pPr>
        <w:spacing w:line="288" w:lineRule="auto"/>
        <w:ind w:firstLine="600" w:firstLineChars="250"/>
        <w:jc w:val="left"/>
        <w:rPr>
          <w:rFonts w:ascii="仿宋" w:hAnsi="仿宋" w:eastAsia="仿宋" w:cs="仿宋"/>
          <w:sz w:val="24"/>
        </w:rPr>
      </w:pPr>
      <w:r>
        <w:rPr>
          <w:rFonts w:hint="eastAsia" w:ascii="仿宋" w:hAnsi="仿宋" w:eastAsia="仿宋" w:cs="仿宋"/>
          <w:sz w:val="24"/>
        </w:rPr>
        <w:t>3、履约保证金退付：乙方履行完合同约定权利义务事项且服务期满后无违约情况，凭《项目验收单》 和履约保证金交纳凭证向甲方申请办理退还手续，甲方不得额外要求乙方提交其他证明材料，并应当自收到退还资料之日起5个工作日内退还其履约保证金（无息）。如乙方不按双方签订的合同规定履约，则没收其全部履约保证金，履约保证金不足以赔偿损失的，按实际损失赔偿。</w:t>
      </w:r>
    </w:p>
    <w:p>
      <w:pPr>
        <w:spacing w:line="288" w:lineRule="auto"/>
        <w:ind w:firstLine="600" w:firstLineChars="250"/>
        <w:jc w:val="left"/>
        <w:rPr>
          <w:rFonts w:ascii="仿宋" w:hAnsi="仿宋" w:eastAsia="仿宋" w:cs="仿宋"/>
          <w:sz w:val="24"/>
        </w:rPr>
      </w:pPr>
      <w:r>
        <w:rPr>
          <w:rFonts w:hint="eastAsia" w:ascii="仿宋" w:hAnsi="仿宋" w:eastAsia="仿宋" w:cs="仿宋"/>
          <w:sz w:val="24"/>
        </w:rPr>
        <w:t>4、履约保证金递交方式：支票、汇票、本票等非现金方式。由乙方在签订合同前按规定的金额直接缴入以下甲方账户。凭履约保证金缴纳凭证签订合同。</w:t>
      </w:r>
    </w:p>
    <w:p>
      <w:pPr>
        <w:spacing w:line="288" w:lineRule="auto"/>
        <w:ind w:firstLine="600" w:firstLineChars="250"/>
        <w:jc w:val="left"/>
        <w:rPr>
          <w:rFonts w:ascii="仿宋" w:hAnsi="仿宋" w:eastAsia="仿宋" w:cs="仿宋"/>
          <w:sz w:val="24"/>
        </w:rPr>
      </w:pPr>
      <w:r>
        <w:rPr>
          <w:rFonts w:hint="eastAsia" w:ascii="仿宋" w:hAnsi="仿宋" w:eastAsia="仿宋" w:cs="仿宋"/>
          <w:sz w:val="24"/>
        </w:rPr>
        <w:t>开户名称：桂林电子科技大学</w:t>
      </w:r>
    </w:p>
    <w:p>
      <w:pPr>
        <w:spacing w:line="288" w:lineRule="auto"/>
        <w:ind w:firstLine="600" w:firstLineChars="250"/>
        <w:jc w:val="left"/>
        <w:rPr>
          <w:rFonts w:ascii="仿宋" w:hAnsi="仿宋" w:eastAsia="仿宋" w:cs="仿宋"/>
          <w:sz w:val="24"/>
        </w:rPr>
      </w:pPr>
      <w:r>
        <w:rPr>
          <w:rFonts w:hint="eastAsia" w:ascii="仿宋" w:hAnsi="仿宋" w:eastAsia="仿宋" w:cs="仿宋"/>
          <w:sz w:val="24"/>
        </w:rPr>
        <w:t xml:space="preserve">开户银行：桂林市工商银行屏风支行       </w:t>
      </w:r>
    </w:p>
    <w:p>
      <w:pPr>
        <w:spacing w:line="288" w:lineRule="auto"/>
        <w:ind w:firstLine="600" w:firstLineChars="250"/>
        <w:jc w:val="left"/>
        <w:rPr>
          <w:rFonts w:ascii="仿宋" w:hAnsi="仿宋" w:eastAsia="仿宋" w:cs="仿宋"/>
          <w:sz w:val="24"/>
        </w:rPr>
      </w:pPr>
      <w:r>
        <w:rPr>
          <w:rFonts w:hint="eastAsia" w:ascii="仿宋" w:hAnsi="仿宋" w:eastAsia="仿宋" w:cs="仿宋"/>
          <w:sz w:val="24"/>
        </w:rPr>
        <w:t>银行账号：2103 2152 0924 9017 694。</w:t>
      </w:r>
      <w:bookmarkEnd w:id="227"/>
    </w:p>
    <w:p>
      <w:pPr>
        <w:snapToGrid w:val="0"/>
        <w:spacing w:line="288" w:lineRule="auto"/>
        <w:ind w:firstLine="482" w:firstLineChars="200"/>
        <w:outlineLvl w:val="1"/>
        <w:rPr>
          <w:rFonts w:ascii="仿宋" w:hAnsi="仿宋" w:eastAsia="仿宋" w:cs="仿宋"/>
          <w:b/>
          <w:sz w:val="24"/>
        </w:rPr>
      </w:pPr>
      <w:bookmarkStart w:id="228" w:name="_Toc24174"/>
      <w:r>
        <w:rPr>
          <w:rFonts w:hint="eastAsia" w:ascii="仿宋" w:hAnsi="仿宋" w:eastAsia="仿宋" w:cs="仿宋"/>
          <w:b/>
          <w:sz w:val="24"/>
        </w:rPr>
        <w:t>第十一条税费</w:t>
      </w:r>
      <w:bookmarkEnd w:id="228"/>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本合同执行中相关的一切税费均由乙方负担。</w:t>
      </w:r>
    </w:p>
    <w:p>
      <w:pPr>
        <w:snapToGrid w:val="0"/>
        <w:spacing w:line="288" w:lineRule="auto"/>
        <w:ind w:firstLine="482" w:firstLineChars="200"/>
        <w:outlineLvl w:val="1"/>
        <w:rPr>
          <w:rFonts w:ascii="仿宋" w:hAnsi="仿宋" w:eastAsia="仿宋" w:cs="仿宋"/>
          <w:b/>
          <w:sz w:val="24"/>
        </w:rPr>
      </w:pPr>
      <w:bookmarkStart w:id="229" w:name="_Toc1842"/>
      <w:r>
        <w:rPr>
          <w:rFonts w:hint="eastAsia" w:ascii="仿宋" w:hAnsi="仿宋" w:eastAsia="仿宋" w:cs="仿宋"/>
          <w:b/>
          <w:sz w:val="24"/>
        </w:rPr>
        <w:t>第十二条　违约责任</w:t>
      </w:r>
      <w:bookmarkEnd w:id="229"/>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1.若因乙方原因而未能履行合同或未达到合同约定的要求，甲方有权书面督促乙方履行合同，乙方应在收到甲方书面通知之日起七日内给予书面答复并进行整改；如乙方在上述时间未答复，或无故拖延履行合同超过日，或经次整改后仍未达到甲方要求，甲方有权书面通知乙方解除服务合同，且无需支付合同解除后的合同后续费用。同时，乙方必须退还甲方已付出的所有服务费用，并赔偿由此给甲方造成的全部损失。</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2. 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3.乙方或乙方人员违反保密义务时，甲方有权书面通知乙方解除咨询合同，且无需支付合同解除后的合同后续费用。同时，乙方必须退还甲方已付出的所有咨询费用，并赔偿由此给甲方造成的全部损失。</w:t>
      </w:r>
    </w:p>
    <w:p>
      <w:pPr>
        <w:snapToGrid w:val="0"/>
        <w:spacing w:line="288" w:lineRule="auto"/>
        <w:ind w:firstLine="480" w:firstLineChars="200"/>
        <w:jc w:val="left"/>
        <w:rPr>
          <w:rFonts w:ascii="仿宋" w:hAnsi="仿宋" w:eastAsia="仿宋" w:cs="仿宋"/>
          <w:sz w:val="24"/>
        </w:rPr>
      </w:pPr>
      <w:r>
        <w:rPr>
          <w:rFonts w:hint="eastAsia" w:ascii="仿宋" w:hAnsi="仿宋" w:eastAsia="仿宋" w:cs="仿宋"/>
          <w:sz w:val="24"/>
        </w:rPr>
        <w:t>4.乙方提供的货物或服务如侵犯了第三方合法权益而引发的任何纠纷或诉讼，均由乙方负责交涉并承担全部责任。</w:t>
      </w:r>
    </w:p>
    <w:p>
      <w:pPr>
        <w:snapToGrid w:val="0"/>
        <w:spacing w:line="288" w:lineRule="auto"/>
        <w:ind w:firstLine="480" w:firstLineChars="200"/>
        <w:outlineLvl w:val="2"/>
        <w:rPr>
          <w:rFonts w:ascii="仿宋" w:hAnsi="仿宋" w:eastAsia="仿宋" w:cs="仿宋"/>
          <w:sz w:val="24"/>
        </w:rPr>
      </w:pPr>
      <w:bookmarkStart w:id="230" w:name="_Toc27246"/>
      <w:r>
        <w:rPr>
          <w:rFonts w:hint="eastAsia" w:ascii="仿宋" w:hAnsi="仿宋" w:eastAsia="仿宋" w:cs="仿宋"/>
          <w:sz w:val="24"/>
        </w:rPr>
        <w:t>5.因包装、运输引起的货物或服务成果损坏，按质量不合格处罚。</w:t>
      </w:r>
      <w:bookmarkEnd w:id="230"/>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6.甲方无故延期接收货物或服务交付成果、乙方逾期交付的，每天向对方偿付违约货物或服务费用金额的</w:t>
      </w:r>
      <w:r>
        <w:rPr>
          <w:rFonts w:hint="eastAsia" w:ascii="仿宋" w:hAnsi="仿宋" w:eastAsia="仿宋" w:cs="仿宋"/>
          <w:sz w:val="24"/>
          <w:u w:val="single"/>
        </w:rPr>
        <w:t>3‰</w:t>
      </w:r>
      <w:r>
        <w:rPr>
          <w:rFonts w:hint="eastAsia" w:ascii="仿宋" w:hAnsi="仿宋" w:eastAsia="仿宋" w:cs="仿宋"/>
          <w:sz w:val="24"/>
        </w:rPr>
        <w:t>违约金，但违约金累计不得超过违约货物或服务费用金额的</w:t>
      </w:r>
      <w:r>
        <w:rPr>
          <w:rFonts w:hint="eastAsia" w:ascii="仿宋" w:hAnsi="仿宋" w:eastAsia="仿宋" w:cs="仿宋"/>
          <w:sz w:val="24"/>
          <w:u w:val="single"/>
        </w:rPr>
        <w:t>5%，</w:t>
      </w:r>
      <w:r>
        <w:rPr>
          <w:rFonts w:hint="eastAsia" w:ascii="仿宋" w:hAnsi="仿宋" w:eastAsia="仿宋" w:cs="仿宋"/>
          <w:sz w:val="24"/>
        </w:rPr>
        <w:t>超过</w:t>
      </w:r>
      <w:r>
        <w:rPr>
          <w:rFonts w:hint="eastAsia" w:ascii="仿宋" w:hAnsi="仿宋" w:eastAsia="仿宋" w:cs="仿宋"/>
          <w:sz w:val="24"/>
          <w:u w:val="single"/>
        </w:rPr>
        <w:t xml:space="preserve"> 30 </w:t>
      </w:r>
      <w:r>
        <w:rPr>
          <w:rFonts w:hint="eastAsia" w:ascii="仿宋" w:hAnsi="仿宋" w:eastAsia="仿宋" w:cs="仿宋"/>
          <w:sz w:val="24"/>
        </w:rPr>
        <w:t>天对方有权解除合同，违约方承担因此给对方造成经济损失；甲方延期付货物或服务费用金额的，每天向乙方偿付延期货物或服务费用金额的</w:t>
      </w:r>
      <w:r>
        <w:rPr>
          <w:rFonts w:hint="eastAsia" w:ascii="仿宋" w:hAnsi="仿宋" w:eastAsia="仿宋" w:cs="仿宋"/>
          <w:sz w:val="24"/>
          <w:u w:val="single"/>
        </w:rPr>
        <w:t xml:space="preserve">3‰ </w:t>
      </w:r>
      <w:r>
        <w:rPr>
          <w:rFonts w:hint="eastAsia" w:ascii="仿宋" w:hAnsi="仿宋" w:eastAsia="仿宋" w:cs="仿宋"/>
          <w:sz w:val="24"/>
        </w:rPr>
        <w:t>作为滞纳金，但滞纳金累计不得超过延期货物或服务费用金额的</w:t>
      </w:r>
      <w:r>
        <w:rPr>
          <w:rFonts w:hint="eastAsia" w:ascii="仿宋" w:hAnsi="仿宋" w:eastAsia="仿宋" w:cs="仿宋"/>
          <w:sz w:val="24"/>
          <w:u w:val="single"/>
        </w:rPr>
        <w:t>5%</w:t>
      </w:r>
      <w:r>
        <w:rPr>
          <w:rFonts w:hint="eastAsia" w:ascii="仿宋" w:hAnsi="仿宋" w:eastAsia="仿宋" w:cs="仿宋"/>
          <w:sz w:val="24"/>
        </w:rPr>
        <w:t>。</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7.乙方未按本合同和投标文件中规定的服务承诺提供售后服务的，乙方应按本合同合计金额</w:t>
      </w:r>
      <w:r>
        <w:rPr>
          <w:rFonts w:hint="eastAsia" w:ascii="仿宋" w:hAnsi="仿宋" w:eastAsia="仿宋" w:cs="仿宋"/>
          <w:sz w:val="24"/>
          <w:u w:val="single"/>
        </w:rPr>
        <w:t xml:space="preserve"> 5%</w:t>
      </w:r>
      <w:r>
        <w:rPr>
          <w:rFonts w:hint="eastAsia" w:ascii="仿宋" w:hAnsi="仿宋" w:eastAsia="仿宋" w:cs="仿宋"/>
          <w:sz w:val="24"/>
        </w:rPr>
        <w:t>向甲方支付违约金。</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8.乙方提供的货物或服务成果在质量保证期内，因设计、工艺或材料的缺陷和其它质量原因造成的问题，由乙方负责，费用从质量保证金中扣除，质量保证金不足以支付的，由乙方另行支付。</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9.其它违约行为按违约货物或服务成果费用金额5%收取违约金并赔偿经济损失。</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10.因甲方原因导致变更、中止或者终止政府采购合同的，应当依照合同约定对乙方受到的损失予以赔偿或者补偿。赔偿（补偿）标准：</w:t>
      </w:r>
      <w:r>
        <w:rPr>
          <w:rFonts w:hint="eastAsia" w:ascii="仿宋" w:hAnsi="仿宋" w:eastAsia="仿宋" w:cs="仿宋"/>
          <w:sz w:val="24"/>
          <w:u w:val="single"/>
        </w:rPr>
        <w:t>按实际损失赔偿</w:t>
      </w:r>
      <w:r>
        <w:rPr>
          <w:rFonts w:hint="eastAsia" w:ascii="仿宋" w:hAnsi="仿宋" w:eastAsia="仿宋" w:cs="仿宋"/>
          <w:sz w:val="24"/>
        </w:rPr>
        <w:t>。</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11.乙方于投标文件中必须对所有产品的技术参数要求作出真实、有效的响应和承诺。所提供的产品必须为原装正品的、全新的、符合国家有关质量标准的产品。验收前，甲方现场根据招标文件要求及响应文件承诺对各项参数逐条对应进行核验，核验或检测数据不符合甲方要求及投标文件承诺的指标的，甲方有权终止合同执行并全部退货，由此造成甲方经济损失的由乙方负责承担全部赔偿责任并向甲方支付合同金额的30%违约赔偿金。如有异议，将交由国家认可并具有检验检测资质的第三方机构进行检验，若核验结果的各项参数指标不满足甲方要求及响应文件承诺的指标要求，所有产生的费用由乙方承担，并承担政府采购虚假竞标的相关法律责任。</w:t>
      </w:r>
    </w:p>
    <w:p>
      <w:pPr>
        <w:pStyle w:val="28"/>
        <w:snapToGrid w:val="0"/>
        <w:spacing w:before="120" w:after="120" w:line="288" w:lineRule="auto"/>
        <w:ind w:firstLine="433" w:firstLineChars="196"/>
        <w:outlineLvl w:val="1"/>
        <w:rPr>
          <w:rFonts w:ascii="仿宋" w:hAnsi="仿宋" w:eastAsia="仿宋" w:cs="仿宋"/>
          <w:b/>
          <w:sz w:val="22"/>
          <w:szCs w:val="24"/>
        </w:rPr>
      </w:pPr>
      <w:bookmarkStart w:id="231" w:name="_Toc12435"/>
      <w:r>
        <w:rPr>
          <w:rFonts w:hint="eastAsia" w:ascii="仿宋" w:hAnsi="仿宋" w:eastAsia="仿宋" w:cs="仿宋"/>
          <w:b/>
          <w:sz w:val="22"/>
          <w:szCs w:val="24"/>
        </w:rPr>
        <w:t>第十三条不可抗力事件处理</w:t>
      </w:r>
      <w:bookmarkEnd w:id="231"/>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1. 在合同有效期内，任何一方因不可抗力事件导致不能履行合同，则合同履行期可延长，其延长期与不可抗力影响期相同。</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2. 不可抗力事件发生后，应立即通知对方，并寄送有关权威机构出具的证明。</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3. 不可抗力事件延续一百二十天以上，双方应通过友好协商，确定是否继续履行合同。</w:t>
      </w:r>
    </w:p>
    <w:p>
      <w:pPr>
        <w:snapToGrid w:val="0"/>
        <w:spacing w:line="288" w:lineRule="auto"/>
        <w:ind w:firstLine="482" w:firstLineChars="200"/>
        <w:outlineLvl w:val="1"/>
        <w:rPr>
          <w:rFonts w:ascii="仿宋" w:hAnsi="仿宋" w:eastAsia="仿宋" w:cs="仿宋"/>
          <w:sz w:val="24"/>
        </w:rPr>
      </w:pPr>
      <w:bookmarkStart w:id="232" w:name="_Toc13639"/>
      <w:r>
        <w:rPr>
          <w:rFonts w:hint="eastAsia" w:ascii="仿宋" w:hAnsi="仿宋" w:eastAsia="仿宋" w:cs="仿宋"/>
          <w:b/>
          <w:sz w:val="24"/>
        </w:rPr>
        <w:t>第十四条合同争议解决</w:t>
      </w:r>
      <w:bookmarkEnd w:id="232"/>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1 因货物或服务成果质量问题发生争议的，应邀请国家认定的质量检测机构按照国家标准对货物或服务成果质量进行验收。货物或服务成果符合国家标准的，鉴定费由甲方承担；货物或服务成果不符合国家标准的，鉴定费由乙方承担。</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2 因履行本合同引起的或与本合同有关的争议，甲乙双方应首先通过友好协商解决，如果协商不能解决，可向甲方所在地人民法院提起诉讼。</w:t>
      </w:r>
    </w:p>
    <w:p>
      <w:pPr>
        <w:snapToGrid w:val="0"/>
        <w:spacing w:line="288" w:lineRule="auto"/>
        <w:ind w:firstLine="480" w:firstLineChars="200"/>
        <w:outlineLvl w:val="2"/>
        <w:rPr>
          <w:rFonts w:ascii="仿宋" w:hAnsi="仿宋" w:eastAsia="仿宋" w:cs="仿宋"/>
          <w:sz w:val="24"/>
        </w:rPr>
      </w:pPr>
      <w:bookmarkStart w:id="233" w:name="_Toc28083"/>
      <w:r>
        <w:rPr>
          <w:rFonts w:hint="eastAsia" w:ascii="仿宋" w:hAnsi="仿宋" w:eastAsia="仿宋" w:cs="仿宋"/>
          <w:sz w:val="24"/>
        </w:rPr>
        <w:t>3 诉讼期间，本合同继续履行。</w:t>
      </w:r>
      <w:bookmarkEnd w:id="233"/>
    </w:p>
    <w:p>
      <w:pPr>
        <w:pStyle w:val="28"/>
        <w:snapToGrid w:val="0"/>
        <w:spacing w:before="120" w:after="120" w:line="288" w:lineRule="auto"/>
        <w:ind w:firstLine="442" w:firstLineChars="200"/>
        <w:outlineLvl w:val="1"/>
        <w:rPr>
          <w:rFonts w:ascii="仿宋" w:hAnsi="仿宋" w:eastAsia="仿宋" w:cs="仿宋"/>
          <w:b/>
          <w:sz w:val="22"/>
          <w:szCs w:val="24"/>
        </w:rPr>
      </w:pPr>
      <w:bookmarkStart w:id="234" w:name="_Toc19716"/>
      <w:r>
        <w:rPr>
          <w:rFonts w:hint="eastAsia" w:ascii="仿宋" w:hAnsi="仿宋" w:eastAsia="仿宋" w:cs="仿宋"/>
          <w:b/>
          <w:sz w:val="22"/>
          <w:szCs w:val="24"/>
        </w:rPr>
        <w:t>第十五条合同生效及其它</w:t>
      </w:r>
      <w:bookmarkEnd w:id="234"/>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1．本合同履行期限为：；合同履行地点为：；合同履行的方式：</w:t>
      </w:r>
      <w:r>
        <w:rPr>
          <w:rFonts w:hint="eastAsia" w:ascii="仿宋" w:hAnsi="仿宋" w:eastAsia="仿宋" w:cs="仿宋"/>
          <w:sz w:val="24"/>
          <w:u w:val="single"/>
        </w:rPr>
        <w:t>按照本合同约定</w:t>
      </w:r>
      <w:r>
        <w:rPr>
          <w:rFonts w:hint="eastAsia" w:ascii="仿宋" w:hAnsi="仿宋" w:eastAsia="仿宋" w:cs="仿宋"/>
          <w:sz w:val="24"/>
        </w:rPr>
        <w:t>。</w:t>
      </w:r>
    </w:p>
    <w:p>
      <w:pPr>
        <w:snapToGrid w:val="0"/>
        <w:spacing w:line="288" w:lineRule="auto"/>
        <w:ind w:firstLine="480" w:firstLineChars="200"/>
        <w:outlineLvl w:val="2"/>
        <w:rPr>
          <w:rFonts w:ascii="仿宋" w:hAnsi="仿宋" w:eastAsia="仿宋" w:cs="仿宋"/>
          <w:sz w:val="24"/>
        </w:rPr>
      </w:pPr>
      <w:bookmarkStart w:id="235" w:name="_Toc16579"/>
      <w:r>
        <w:rPr>
          <w:rFonts w:hint="eastAsia" w:ascii="仿宋" w:hAnsi="仿宋" w:eastAsia="仿宋" w:cs="仿宋"/>
          <w:sz w:val="24"/>
        </w:rPr>
        <w:t>2．合同经双方法定代表人或授权代表签字并加盖单位公章后生效。</w:t>
      </w:r>
      <w:bookmarkEnd w:id="235"/>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3．合同执行中涉及采购资金和采购内容修改或补充的，须经财政部门审批，并签书面补充协议报财政部门备案，方可作为主合同不可分割的一部分。</w:t>
      </w:r>
    </w:p>
    <w:p>
      <w:pPr>
        <w:snapToGrid w:val="0"/>
        <w:spacing w:line="288" w:lineRule="auto"/>
        <w:ind w:firstLine="480" w:firstLineChars="200"/>
        <w:outlineLvl w:val="2"/>
        <w:rPr>
          <w:rFonts w:ascii="仿宋" w:hAnsi="仿宋" w:eastAsia="仿宋" w:cs="仿宋"/>
          <w:sz w:val="24"/>
        </w:rPr>
      </w:pPr>
      <w:bookmarkStart w:id="236" w:name="_Toc28188"/>
      <w:r>
        <w:rPr>
          <w:rFonts w:hint="eastAsia" w:ascii="仿宋" w:hAnsi="仿宋" w:eastAsia="仿宋" w:cs="仿宋"/>
          <w:sz w:val="24"/>
        </w:rPr>
        <w:t>4．本合同未尽事宜，遵照《民法典》有关条文执行。</w:t>
      </w:r>
      <w:bookmarkEnd w:id="236"/>
    </w:p>
    <w:p>
      <w:pPr>
        <w:snapToGrid w:val="0"/>
        <w:spacing w:line="288" w:lineRule="auto"/>
        <w:ind w:firstLine="482" w:firstLineChars="200"/>
        <w:outlineLvl w:val="1"/>
        <w:rPr>
          <w:rFonts w:ascii="仿宋" w:hAnsi="仿宋" w:eastAsia="仿宋" w:cs="仿宋"/>
          <w:b/>
          <w:sz w:val="24"/>
        </w:rPr>
      </w:pPr>
      <w:bookmarkStart w:id="237" w:name="_Toc21315"/>
      <w:r>
        <w:rPr>
          <w:rFonts w:hint="eastAsia" w:ascii="仿宋" w:hAnsi="仿宋" w:eastAsia="仿宋" w:cs="仿宋"/>
          <w:b/>
          <w:sz w:val="24"/>
        </w:rPr>
        <w:t>第十六条　合同的变更、终止与转让</w:t>
      </w:r>
      <w:bookmarkEnd w:id="237"/>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1.除《中华人民共和国政府采购法》第五十条规定的情形外，本合同一经签订，甲乙双方不得擅自变更、中止或终止。</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2.未经甲方书面同意，乙方不得擅自转让（无进口资格的乙方委托进口货物除外）其应履行的合同义务。</w:t>
      </w:r>
    </w:p>
    <w:p>
      <w:pPr>
        <w:snapToGrid w:val="0"/>
        <w:spacing w:line="288" w:lineRule="auto"/>
        <w:ind w:firstLine="482" w:firstLineChars="200"/>
        <w:outlineLvl w:val="1"/>
        <w:rPr>
          <w:rFonts w:ascii="仿宋" w:hAnsi="仿宋" w:eastAsia="仿宋" w:cs="仿宋"/>
          <w:b/>
          <w:sz w:val="24"/>
        </w:rPr>
      </w:pPr>
      <w:bookmarkStart w:id="238" w:name="_Toc1898"/>
      <w:r>
        <w:rPr>
          <w:rFonts w:hint="eastAsia" w:ascii="仿宋" w:hAnsi="仿宋" w:eastAsia="仿宋" w:cs="仿宋"/>
          <w:b/>
          <w:sz w:val="24"/>
        </w:rPr>
        <w:t>第十七条　签订本合同依据</w:t>
      </w:r>
      <w:bookmarkEnd w:id="238"/>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1.政府采购招标文件；</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2.乙方提供的投标文件；</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3.投标承诺书；</w:t>
      </w:r>
    </w:p>
    <w:p>
      <w:pPr>
        <w:snapToGrid w:val="0"/>
        <w:spacing w:line="288" w:lineRule="auto"/>
        <w:ind w:firstLine="480" w:firstLineChars="200"/>
        <w:rPr>
          <w:rFonts w:ascii="仿宋" w:hAnsi="仿宋" w:eastAsia="仿宋" w:cs="仿宋"/>
          <w:sz w:val="24"/>
          <w:u w:val="single"/>
        </w:rPr>
      </w:pPr>
      <w:r>
        <w:rPr>
          <w:rFonts w:hint="eastAsia" w:ascii="仿宋" w:hAnsi="仿宋" w:eastAsia="仿宋" w:cs="仿宋"/>
          <w:sz w:val="24"/>
        </w:rPr>
        <w:t>4.中标通知书。</w:t>
      </w:r>
    </w:p>
    <w:p>
      <w:pPr>
        <w:snapToGrid w:val="0"/>
        <w:spacing w:line="288" w:lineRule="auto"/>
        <w:ind w:firstLine="482" w:firstLineChars="200"/>
        <w:rPr>
          <w:rFonts w:ascii="仿宋" w:hAnsi="仿宋" w:eastAsia="仿宋" w:cs="仿宋"/>
          <w:sz w:val="24"/>
        </w:rPr>
      </w:pPr>
      <w:r>
        <w:rPr>
          <w:rFonts w:hint="eastAsia" w:ascii="仿宋" w:hAnsi="仿宋" w:eastAsia="仿宋" w:cs="仿宋"/>
          <w:b/>
          <w:sz w:val="24"/>
        </w:rPr>
        <w:t>第十八条　</w:t>
      </w:r>
      <w:r>
        <w:rPr>
          <w:rFonts w:hint="eastAsia" w:ascii="仿宋" w:hAnsi="仿宋" w:eastAsia="仿宋" w:cs="仿宋"/>
          <w:sz w:val="24"/>
        </w:rPr>
        <w:t>本合同一式五份，具有同等法律效力。</w:t>
      </w:r>
      <w:r>
        <w:rPr>
          <w:rFonts w:hint="eastAsia" w:ascii="仿宋" w:hAnsi="仿宋" w:eastAsia="仿宋" w:cs="仿宋"/>
          <w:spacing w:val="4"/>
          <w:sz w:val="24"/>
        </w:rPr>
        <w:t>政府采购监督管理部门、采购代理机构</w:t>
      </w:r>
      <w:r>
        <w:rPr>
          <w:rFonts w:hint="eastAsia" w:ascii="仿宋" w:hAnsi="仿宋" w:eastAsia="仿宋" w:cs="仿宋"/>
          <w:sz w:val="24"/>
        </w:rPr>
        <w:t>各一份，甲方两份，乙方一份。</w:t>
      </w:r>
    </w:p>
    <w:p>
      <w:pPr>
        <w:snapToGrid w:val="0"/>
        <w:spacing w:line="288" w:lineRule="auto"/>
        <w:ind w:firstLine="480" w:firstLineChars="200"/>
        <w:rPr>
          <w:rFonts w:ascii="仿宋" w:hAnsi="仿宋" w:eastAsia="仿宋" w:cs="仿宋"/>
          <w:sz w:val="24"/>
        </w:rPr>
      </w:pPr>
      <w:r>
        <w:rPr>
          <w:rFonts w:hint="eastAsia" w:ascii="仿宋" w:hAnsi="仿宋" w:eastAsia="仿宋" w:cs="仿宋"/>
          <w:sz w:val="24"/>
        </w:rPr>
        <w:t>本合同经甲乙双方法定代表人或被授权代表签字并加盖单位公章后生效。</w:t>
      </w:r>
    </w:p>
    <w:tbl>
      <w:tblPr>
        <w:tblStyle w:val="54"/>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trPr>
        <w:tc>
          <w:tcPr>
            <w:tcW w:w="4437" w:type="dxa"/>
            <w:vAlign w:val="center"/>
          </w:tcPr>
          <w:p>
            <w:pPr>
              <w:snapToGrid w:val="0"/>
              <w:spacing w:line="288" w:lineRule="auto"/>
              <w:rPr>
                <w:rFonts w:ascii="仿宋" w:hAnsi="仿宋" w:eastAsia="仿宋" w:cs="仿宋"/>
                <w:sz w:val="24"/>
              </w:rPr>
            </w:pPr>
            <w:r>
              <w:rPr>
                <w:rFonts w:hint="eastAsia" w:ascii="仿宋" w:hAnsi="仿宋" w:eastAsia="仿宋" w:cs="仿宋"/>
                <w:sz w:val="24"/>
              </w:rPr>
              <w:t>甲方（章）</w:t>
            </w:r>
          </w:p>
          <w:p>
            <w:pPr>
              <w:snapToGrid w:val="0"/>
              <w:spacing w:line="288" w:lineRule="auto"/>
              <w:ind w:firstLine="1080" w:firstLineChars="450"/>
              <w:jc w:val="right"/>
              <w:rPr>
                <w:rFonts w:ascii="仿宋" w:hAnsi="仿宋" w:eastAsia="仿宋" w:cs="仿宋"/>
                <w:sz w:val="24"/>
              </w:rPr>
            </w:pPr>
          </w:p>
        </w:tc>
        <w:tc>
          <w:tcPr>
            <w:tcW w:w="4688" w:type="dxa"/>
            <w:vAlign w:val="center"/>
          </w:tcPr>
          <w:p>
            <w:pPr>
              <w:snapToGrid w:val="0"/>
              <w:spacing w:line="288" w:lineRule="auto"/>
              <w:rPr>
                <w:rFonts w:ascii="仿宋" w:hAnsi="仿宋" w:eastAsia="仿宋" w:cs="仿宋"/>
                <w:sz w:val="24"/>
              </w:rPr>
            </w:pPr>
            <w:r>
              <w:rPr>
                <w:rFonts w:hint="eastAsia" w:ascii="仿宋" w:hAnsi="仿宋" w:eastAsia="仿宋" w:cs="仿宋"/>
                <w:sz w:val="24"/>
              </w:rPr>
              <w:t>乙方（章）</w:t>
            </w:r>
          </w:p>
          <w:p>
            <w:pPr>
              <w:snapToGrid w:val="0"/>
              <w:spacing w:line="288" w:lineRule="auto"/>
              <w:jc w:val="righ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atLeast"/>
        </w:trPr>
        <w:tc>
          <w:tcPr>
            <w:tcW w:w="4437" w:type="dxa"/>
            <w:vAlign w:val="center"/>
          </w:tcPr>
          <w:p>
            <w:pPr>
              <w:snapToGrid w:val="0"/>
              <w:spacing w:line="288" w:lineRule="auto"/>
              <w:rPr>
                <w:rFonts w:ascii="仿宋" w:hAnsi="仿宋" w:eastAsia="仿宋" w:cs="仿宋"/>
                <w:sz w:val="24"/>
              </w:rPr>
            </w:pPr>
            <w:r>
              <w:rPr>
                <w:rFonts w:hint="eastAsia" w:ascii="仿宋" w:hAnsi="仿宋" w:eastAsia="仿宋" w:cs="仿宋"/>
                <w:sz w:val="24"/>
              </w:rPr>
              <w:t>单位地址：</w:t>
            </w:r>
          </w:p>
        </w:tc>
        <w:tc>
          <w:tcPr>
            <w:tcW w:w="4688" w:type="dxa"/>
            <w:vAlign w:val="center"/>
          </w:tcPr>
          <w:p>
            <w:pPr>
              <w:snapToGrid w:val="0"/>
              <w:spacing w:line="288" w:lineRule="auto"/>
              <w:rPr>
                <w:rFonts w:ascii="仿宋" w:hAnsi="仿宋" w:eastAsia="仿宋" w:cs="仿宋"/>
                <w:sz w:val="24"/>
              </w:rPr>
            </w:pPr>
            <w:r>
              <w:rPr>
                <w:rFonts w:hint="eastAsia" w:ascii="仿宋" w:hAnsi="仿宋" w:eastAsia="仿宋" w:cs="仿宋"/>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4437" w:type="dxa"/>
            <w:vAlign w:val="center"/>
          </w:tcPr>
          <w:p>
            <w:pPr>
              <w:snapToGrid w:val="0"/>
              <w:spacing w:line="288" w:lineRule="auto"/>
              <w:rPr>
                <w:rFonts w:ascii="仿宋" w:hAnsi="仿宋" w:eastAsia="仿宋" w:cs="仿宋"/>
                <w:sz w:val="24"/>
              </w:rPr>
            </w:pPr>
            <w:r>
              <w:rPr>
                <w:rFonts w:hint="eastAsia" w:ascii="仿宋" w:hAnsi="仿宋" w:eastAsia="仿宋" w:cs="仿宋"/>
                <w:sz w:val="24"/>
              </w:rPr>
              <w:t>法定代表人：</w:t>
            </w:r>
          </w:p>
        </w:tc>
        <w:tc>
          <w:tcPr>
            <w:tcW w:w="4688" w:type="dxa"/>
            <w:vAlign w:val="center"/>
          </w:tcPr>
          <w:p>
            <w:pPr>
              <w:snapToGrid w:val="0"/>
              <w:spacing w:line="288" w:lineRule="auto"/>
              <w:rPr>
                <w:rFonts w:ascii="仿宋" w:hAnsi="仿宋" w:eastAsia="仿宋" w:cs="仿宋"/>
                <w:sz w:val="24"/>
              </w:rPr>
            </w:pPr>
            <w:r>
              <w:rPr>
                <w:rFonts w:hint="eastAsia" w:ascii="仿宋" w:hAnsi="仿宋" w:eastAsia="仿宋" w:cs="仿宋"/>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trPr>
        <w:tc>
          <w:tcPr>
            <w:tcW w:w="4437" w:type="dxa"/>
            <w:vAlign w:val="center"/>
          </w:tcPr>
          <w:p>
            <w:pPr>
              <w:snapToGrid w:val="0"/>
              <w:spacing w:line="288" w:lineRule="auto"/>
              <w:rPr>
                <w:rFonts w:ascii="仿宋" w:hAnsi="仿宋" w:eastAsia="仿宋" w:cs="仿宋"/>
                <w:sz w:val="24"/>
              </w:rPr>
            </w:pPr>
            <w:r>
              <w:rPr>
                <w:rFonts w:hint="eastAsia" w:ascii="仿宋" w:hAnsi="仿宋" w:eastAsia="仿宋" w:cs="仿宋"/>
                <w:sz w:val="24"/>
              </w:rPr>
              <w:t>委托代理人：</w:t>
            </w:r>
          </w:p>
        </w:tc>
        <w:tc>
          <w:tcPr>
            <w:tcW w:w="4688" w:type="dxa"/>
            <w:vAlign w:val="center"/>
          </w:tcPr>
          <w:p>
            <w:pPr>
              <w:snapToGrid w:val="0"/>
              <w:spacing w:line="288" w:lineRule="auto"/>
              <w:rPr>
                <w:rFonts w:ascii="仿宋" w:hAnsi="仿宋" w:eastAsia="仿宋" w:cs="仿宋"/>
                <w:sz w:val="24"/>
              </w:rPr>
            </w:pPr>
            <w:r>
              <w:rPr>
                <w:rFonts w:hint="eastAsia" w:ascii="仿宋" w:hAnsi="仿宋" w:eastAsia="仿宋" w:cs="仿宋"/>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4437" w:type="dxa"/>
            <w:vAlign w:val="center"/>
          </w:tcPr>
          <w:p>
            <w:pPr>
              <w:snapToGrid w:val="0"/>
              <w:spacing w:line="288" w:lineRule="auto"/>
              <w:rPr>
                <w:rFonts w:ascii="仿宋" w:hAnsi="仿宋" w:eastAsia="仿宋" w:cs="仿宋"/>
                <w:sz w:val="24"/>
              </w:rPr>
            </w:pPr>
            <w:r>
              <w:rPr>
                <w:rFonts w:hint="eastAsia" w:ascii="仿宋" w:hAnsi="仿宋" w:eastAsia="仿宋" w:cs="仿宋"/>
                <w:sz w:val="24"/>
              </w:rPr>
              <w:t>电话：</w:t>
            </w:r>
          </w:p>
        </w:tc>
        <w:tc>
          <w:tcPr>
            <w:tcW w:w="4688" w:type="dxa"/>
            <w:vAlign w:val="center"/>
          </w:tcPr>
          <w:p>
            <w:pPr>
              <w:snapToGrid w:val="0"/>
              <w:spacing w:line="288" w:lineRule="auto"/>
              <w:rPr>
                <w:rFonts w:ascii="仿宋" w:hAnsi="仿宋" w:eastAsia="仿宋" w:cs="仿宋"/>
                <w:sz w:val="24"/>
              </w:rPr>
            </w:pPr>
            <w:r>
              <w:rPr>
                <w:rFonts w:hint="eastAsia" w:ascii="仿宋" w:hAnsi="仿宋" w:eastAsia="仿宋" w:cs="仿宋"/>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trPr>
        <w:tc>
          <w:tcPr>
            <w:tcW w:w="4437" w:type="dxa"/>
            <w:vAlign w:val="center"/>
          </w:tcPr>
          <w:p>
            <w:pPr>
              <w:snapToGrid w:val="0"/>
              <w:spacing w:line="288" w:lineRule="auto"/>
              <w:rPr>
                <w:rFonts w:ascii="仿宋" w:hAnsi="仿宋" w:eastAsia="仿宋" w:cs="仿宋"/>
                <w:sz w:val="24"/>
              </w:rPr>
            </w:pPr>
            <w:r>
              <w:rPr>
                <w:rFonts w:hint="eastAsia" w:ascii="仿宋" w:hAnsi="仿宋" w:eastAsia="仿宋" w:cs="仿宋"/>
                <w:sz w:val="24"/>
              </w:rPr>
              <w:t>电子邮箱：</w:t>
            </w:r>
          </w:p>
        </w:tc>
        <w:tc>
          <w:tcPr>
            <w:tcW w:w="4688" w:type="dxa"/>
            <w:vAlign w:val="center"/>
          </w:tcPr>
          <w:p>
            <w:pPr>
              <w:snapToGrid w:val="0"/>
              <w:spacing w:line="288" w:lineRule="auto"/>
              <w:rPr>
                <w:rFonts w:ascii="仿宋" w:hAnsi="仿宋" w:eastAsia="仿宋" w:cs="仿宋"/>
                <w:sz w:val="24"/>
              </w:rPr>
            </w:pPr>
            <w:r>
              <w:rPr>
                <w:rFonts w:hint="eastAsia" w:ascii="仿宋" w:hAnsi="仿宋" w:eastAsia="仿宋" w:cs="仿宋"/>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trPr>
        <w:tc>
          <w:tcPr>
            <w:tcW w:w="4437" w:type="dxa"/>
            <w:vAlign w:val="center"/>
          </w:tcPr>
          <w:p>
            <w:pPr>
              <w:snapToGrid w:val="0"/>
              <w:spacing w:line="288" w:lineRule="auto"/>
              <w:rPr>
                <w:rFonts w:ascii="仿宋" w:hAnsi="仿宋" w:eastAsia="仿宋" w:cs="仿宋"/>
                <w:sz w:val="24"/>
              </w:rPr>
            </w:pPr>
            <w:r>
              <w:rPr>
                <w:rFonts w:hint="eastAsia" w:ascii="仿宋" w:hAnsi="仿宋" w:eastAsia="仿宋" w:cs="仿宋"/>
                <w:sz w:val="24"/>
              </w:rPr>
              <w:t>开户银行：</w:t>
            </w:r>
          </w:p>
        </w:tc>
        <w:tc>
          <w:tcPr>
            <w:tcW w:w="4688" w:type="dxa"/>
            <w:vAlign w:val="center"/>
          </w:tcPr>
          <w:p>
            <w:pPr>
              <w:snapToGrid w:val="0"/>
              <w:spacing w:line="288" w:lineRule="auto"/>
              <w:rPr>
                <w:rFonts w:ascii="仿宋" w:hAnsi="仿宋" w:eastAsia="仿宋" w:cs="仿宋"/>
                <w:sz w:val="24"/>
              </w:rPr>
            </w:pPr>
            <w:r>
              <w:rPr>
                <w:rFonts w:hint="eastAsia" w:ascii="仿宋" w:hAnsi="仿宋" w:eastAsia="仿宋" w:cs="仿宋"/>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trPr>
        <w:tc>
          <w:tcPr>
            <w:tcW w:w="4437" w:type="dxa"/>
            <w:vAlign w:val="center"/>
          </w:tcPr>
          <w:p>
            <w:pPr>
              <w:snapToGrid w:val="0"/>
              <w:spacing w:line="288" w:lineRule="auto"/>
              <w:rPr>
                <w:rFonts w:ascii="仿宋" w:hAnsi="仿宋" w:eastAsia="仿宋" w:cs="仿宋"/>
                <w:sz w:val="24"/>
              </w:rPr>
            </w:pPr>
            <w:r>
              <w:rPr>
                <w:rFonts w:hint="eastAsia" w:ascii="仿宋" w:hAnsi="仿宋" w:eastAsia="仿宋" w:cs="仿宋"/>
                <w:sz w:val="24"/>
              </w:rPr>
              <w:t>账号：</w:t>
            </w:r>
          </w:p>
        </w:tc>
        <w:tc>
          <w:tcPr>
            <w:tcW w:w="4688" w:type="dxa"/>
            <w:vAlign w:val="center"/>
          </w:tcPr>
          <w:p>
            <w:pPr>
              <w:snapToGrid w:val="0"/>
              <w:spacing w:line="288" w:lineRule="auto"/>
              <w:rPr>
                <w:rFonts w:ascii="仿宋" w:hAnsi="仿宋" w:eastAsia="仿宋" w:cs="仿宋"/>
                <w:sz w:val="24"/>
              </w:rPr>
            </w:pPr>
            <w:r>
              <w:rPr>
                <w:rFonts w:hint="eastAsia" w:ascii="仿宋" w:hAnsi="仿宋" w:eastAsia="仿宋" w:cs="仿宋"/>
                <w:sz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trPr>
        <w:tc>
          <w:tcPr>
            <w:tcW w:w="4437" w:type="dxa"/>
            <w:vAlign w:val="center"/>
          </w:tcPr>
          <w:p>
            <w:pPr>
              <w:snapToGrid w:val="0"/>
              <w:spacing w:line="288" w:lineRule="auto"/>
              <w:rPr>
                <w:rFonts w:ascii="仿宋" w:hAnsi="仿宋" w:eastAsia="仿宋" w:cs="仿宋"/>
                <w:sz w:val="24"/>
              </w:rPr>
            </w:pPr>
            <w:r>
              <w:rPr>
                <w:rFonts w:hint="eastAsia" w:ascii="仿宋" w:hAnsi="仿宋" w:eastAsia="仿宋" w:cs="仿宋"/>
                <w:sz w:val="24"/>
              </w:rPr>
              <w:t>邮政编码：</w:t>
            </w:r>
          </w:p>
        </w:tc>
        <w:tc>
          <w:tcPr>
            <w:tcW w:w="4688" w:type="dxa"/>
            <w:vAlign w:val="center"/>
          </w:tcPr>
          <w:p>
            <w:pPr>
              <w:snapToGrid w:val="0"/>
              <w:spacing w:line="288" w:lineRule="auto"/>
              <w:rPr>
                <w:rFonts w:ascii="仿宋" w:hAnsi="仿宋" w:eastAsia="仿宋" w:cs="仿宋"/>
                <w:sz w:val="24"/>
              </w:rPr>
            </w:pPr>
            <w:r>
              <w:rPr>
                <w:rFonts w:hint="eastAsia" w:ascii="仿宋" w:hAnsi="仿宋" w:eastAsia="仿宋" w:cs="仿宋"/>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1" w:hRule="atLeast"/>
        </w:trPr>
        <w:tc>
          <w:tcPr>
            <w:tcW w:w="9125" w:type="dxa"/>
            <w:gridSpan w:val="2"/>
          </w:tcPr>
          <w:p>
            <w:pPr>
              <w:snapToGrid w:val="0"/>
              <w:spacing w:line="288" w:lineRule="auto"/>
              <w:rPr>
                <w:rFonts w:ascii="仿宋" w:hAnsi="仿宋" w:eastAsia="仿宋" w:cs="仿宋"/>
                <w:sz w:val="24"/>
              </w:rPr>
            </w:pPr>
            <w:r>
              <w:rPr>
                <w:rFonts w:hint="eastAsia" w:ascii="仿宋" w:hAnsi="仿宋" w:eastAsia="仿宋" w:cs="仿宋"/>
                <w:sz w:val="24"/>
              </w:rPr>
              <w:t>经办人：</w:t>
            </w:r>
          </w:p>
          <w:p>
            <w:pPr>
              <w:snapToGrid w:val="0"/>
              <w:spacing w:line="288" w:lineRule="auto"/>
              <w:ind w:firstLine="720" w:firstLineChars="300"/>
              <w:jc w:val="right"/>
              <w:rPr>
                <w:rFonts w:ascii="仿宋" w:hAnsi="仿宋" w:eastAsia="仿宋" w:cs="仿宋"/>
                <w:sz w:val="24"/>
              </w:rPr>
            </w:pPr>
            <w:r>
              <w:rPr>
                <w:rFonts w:hint="eastAsia" w:ascii="仿宋" w:hAnsi="仿宋" w:eastAsia="仿宋" w:cs="仿宋"/>
                <w:sz w:val="24"/>
              </w:rPr>
              <w:t>年月日</w:t>
            </w:r>
          </w:p>
        </w:tc>
      </w:tr>
    </w:tbl>
    <w:p>
      <w:pPr>
        <w:snapToGrid w:val="0"/>
        <w:spacing w:line="360" w:lineRule="exact"/>
        <w:ind w:firstLine="480" w:firstLineChars="200"/>
        <w:rPr>
          <w:rFonts w:ascii="仿宋" w:hAnsi="仿宋" w:eastAsia="仿宋" w:cs="仿宋"/>
          <w:sz w:val="24"/>
        </w:rPr>
      </w:pPr>
    </w:p>
    <w:p>
      <w:pPr>
        <w:spacing w:before="120" w:line="320" w:lineRule="atLeast"/>
        <w:jc w:val="left"/>
        <w:outlineLvl w:val="2"/>
        <w:rPr>
          <w:rFonts w:ascii="仿宋" w:hAnsi="仿宋" w:eastAsia="仿宋" w:cs="仿宋"/>
          <w:b/>
          <w:bCs/>
          <w:kern w:val="0"/>
          <w:sz w:val="24"/>
        </w:rPr>
      </w:pPr>
      <w:r>
        <w:rPr>
          <w:rFonts w:hint="eastAsia" w:ascii="仿宋" w:hAnsi="仿宋" w:eastAsia="仿宋" w:cs="仿宋"/>
          <w:sz w:val="24"/>
        </w:rPr>
        <w:br w:type="page"/>
      </w:r>
      <w:bookmarkStart w:id="239" w:name="_Toc32398"/>
      <w:r>
        <w:rPr>
          <w:rFonts w:hint="eastAsia" w:ascii="仿宋" w:hAnsi="仿宋" w:eastAsia="仿宋" w:cs="仿宋"/>
          <w:b/>
          <w:bCs/>
          <w:kern w:val="0"/>
          <w:sz w:val="24"/>
        </w:rPr>
        <w:t>合同附件1</w:t>
      </w:r>
      <w:bookmarkEnd w:id="239"/>
    </w:p>
    <w:tbl>
      <w:tblPr>
        <w:tblStyle w:val="54"/>
        <w:tblpPr w:leftFromText="180" w:rightFromText="180" w:vertAnchor="text" w:horzAnchor="page" w:tblpX="1025" w:tblpY="90"/>
        <w:tblOverlap w:val="never"/>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7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179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 w:val="24"/>
              </w:rPr>
            </w:pPr>
            <w:r>
              <w:rPr>
                <w:rFonts w:hint="eastAsia" w:ascii="仿宋" w:hAnsi="仿宋" w:eastAsia="仿宋" w:cs="仿宋"/>
                <w:sz w:val="24"/>
              </w:rPr>
              <w:t>供</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 w:val="24"/>
              </w:rPr>
            </w:pPr>
            <w:r>
              <w:rPr>
                <w:rFonts w:hint="eastAsia" w:ascii="仿宋" w:hAnsi="仿宋" w:eastAsia="仿宋" w:cs="仿宋"/>
                <w:sz w:val="24"/>
              </w:rPr>
              <w:t>应</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 w:val="24"/>
              </w:rPr>
            </w:pPr>
            <w:r>
              <w:rPr>
                <w:rFonts w:hint="eastAsia" w:ascii="仿宋" w:hAnsi="仿宋" w:eastAsia="仿宋" w:cs="仿宋"/>
                <w:sz w:val="24"/>
              </w:rPr>
              <w:t>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 w:val="24"/>
              </w:rPr>
            </w:pPr>
            <w:r>
              <w:rPr>
                <w:rFonts w:hint="eastAsia" w:ascii="仿宋" w:hAnsi="仿宋" w:eastAsia="仿宋" w:cs="仿宋"/>
                <w:sz w:val="24"/>
              </w:rPr>
              <w:t>申</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 w:val="24"/>
              </w:rPr>
            </w:pPr>
            <w:r>
              <w:rPr>
                <w:rFonts w:hint="eastAsia" w:ascii="仿宋" w:hAnsi="仿宋" w:eastAsia="仿宋" w:cs="仿宋"/>
                <w:sz w:val="24"/>
              </w:rPr>
              <w:t>请</w:t>
            </w:r>
          </w:p>
        </w:tc>
        <w:tc>
          <w:tcPr>
            <w:tcW w:w="785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 w:val="24"/>
              </w:rPr>
            </w:pPr>
            <w:r>
              <w:rPr>
                <w:rFonts w:hint="eastAsia" w:ascii="仿宋" w:hAnsi="仿宋" w:eastAsia="仿宋" w:cs="仿宋"/>
                <w:sz w:val="24"/>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trPr>
        <w:tc>
          <w:tcPr>
            <w:tcW w:w="179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 w:val="24"/>
              </w:rPr>
            </w:pPr>
          </w:p>
        </w:tc>
        <w:tc>
          <w:tcPr>
            <w:tcW w:w="785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 w:val="24"/>
              </w:rPr>
            </w:pPr>
            <w:r>
              <w:rPr>
                <w:rFonts w:hint="eastAsia" w:ascii="仿宋" w:hAnsi="仿宋" w:eastAsia="仿宋" w:cs="仿宋"/>
                <w:sz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7" w:hRule="atLeast"/>
        </w:trPr>
        <w:tc>
          <w:tcPr>
            <w:tcW w:w="1794"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 w:val="24"/>
              </w:rPr>
            </w:pPr>
          </w:p>
        </w:tc>
        <w:tc>
          <w:tcPr>
            <w:tcW w:w="7854" w:type="dxa"/>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ascii="仿宋" w:hAnsi="仿宋" w:eastAsia="仿宋" w:cs="仿宋"/>
                <w:sz w:val="24"/>
              </w:rPr>
            </w:pPr>
            <w:r>
              <w:rPr>
                <w:rFonts w:hint="eastAsia" w:ascii="仿宋" w:hAnsi="仿宋" w:eastAsia="仿宋" w:cs="仿宋"/>
                <w:sz w:val="24"/>
              </w:rPr>
              <w:t>该项目已于年月日验收并交付使用。根据合同规定，该项目的履约保证金期限于年月日已满，请将履约保证金</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 w:val="24"/>
              </w:rPr>
            </w:pPr>
            <w:r>
              <w:rPr>
                <w:rFonts w:hint="eastAsia" w:ascii="仿宋" w:hAnsi="仿宋" w:eastAsia="仿宋" w:cs="仿宋"/>
                <w:sz w:val="24"/>
              </w:rPr>
              <w:t>（大写）¥（小写）退付到达以下账户。</w:t>
            </w:r>
          </w:p>
          <w:p>
            <w:pPr>
              <w:keepNext w:val="0"/>
              <w:keepLines w:val="0"/>
              <w:pageBreakBefore w:val="0"/>
              <w:widowControl w:val="0"/>
              <w:kinsoku/>
              <w:wordWrap/>
              <w:overflowPunct/>
              <w:topLinePunct w:val="0"/>
              <w:autoSpaceDE/>
              <w:autoSpaceDN/>
              <w:bidi w:val="0"/>
              <w:adjustRightInd/>
              <w:snapToGrid/>
              <w:spacing w:line="400" w:lineRule="exact"/>
              <w:ind w:firstLine="705"/>
              <w:textAlignment w:val="auto"/>
              <w:outlineLvl w:val="9"/>
              <w:rPr>
                <w:rFonts w:ascii="仿宋" w:hAnsi="仿宋" w:eastAsia="仿宋" w:cs="仿宋"/>
                <w:sz w:val="24"/>
              </w:rPr>
            </w:pPr>
            <w:r>
              <w:rPr>
                <w:rFonts w:hint="eastAsia" w:ascii="仿宋" w:hAnsi="仿宋" w:eastAsia="仿宋" w:cs="仿宋"/>
                <w:sz w:val="24"/>
              </w:rPr>
              <w:t>单位名称：</w:t>
            </w:r>
          </w:p>
          <w:p>
            <w:pPr>
              <w:keepNext w:val="0"/>
              <w:keepLines w:val="0"/>
              <w:pageBreakBefore w:val="0"/>
              <w:widowControl w:val="0"/>
              <w:kinsoku/>
              <w:wordWrap/>
              <w:overflowPunct/>
              <w:topLinePunct w:val="0"/>
              <w:autoSpaceDE/>
              <w:autoSpaceDN/>
              <w:bidi w:val="0"/>
              <w:adjustRightInd/>
              <w:snapToGrid/>
              <w:spacing w:line="400" w:lineRule="exact"/>
              <w:ind w:firstLine="705"/>
              <w:textAlignment w:val="auto"/>
              <w:outlineLvl w:val="9"/>
              <w:rPr>
                <w:rFonts w:ascii="仿宋" w:hAnsi="仿宋" w:eastAsia="仿宋" w:cs="仿宋"/>
                <w:sz w:val="24"/>
              </w:rPr>
            </w:pPr>
            <w:r>
              <w:rPr>
                <w:rFonts w:hint="eastAsia" w:ascii="仿宋" w:hAnsi="仿宋" w:eastAsia="仿宋" w:cs="仿宋"/>
                <w:sz w:val="24"/>
              </w:rPr>
              <w:t>开户银行：</w:t>
            </w:r>
          </w:p>
          <w:p>
            <w:pPr>
              <w:keepNext w:val="0"/>
              <w:keepLines w:val="0"/>
              <w:pageBreakBefore w:val="0"/>
              <w:widowControl w:val="0"/>
              <w:kinsoku/>
              <w:wordWrap/>
              <w:overflowPunct/>
              <w:topLinePunct w:val="0"/>
              <w:autoSpaceDE/>
              <w:autoSpaceDN/>
              <w:bidi w:val="0"/>
              <w:adjustRightInd/>
              <w:snapToGrid/>
              <w:spacing w:line="400" w:lineRule="exact"/>
              <w:ind w:firstLine="705"/>
              <w:textAlignment w:val="auto"/>
              <w:outlineLvl w:val="9"/>
              <w:rPr>
                <w:rFonts w:ascii="仿宋" w:hAnsi="仿宋" w:eastAsia="仿宋" w:cs="仿宋"/>
                <w:sz w:val="24"/>
              </w:rPr>
            </w:pPr>
            <w:r>
              <w:rPr>
                <w:rFonts w:hint="eastAsia" w:ascii="仿宋" w:hAnsi="仿宋" w:eastAsia="仿宋" w:cs="仿宋"/>
                <w:sz w:val="24"/>
              </w:rPr>
              <w:t>账号：</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 w:val="24"/>
              </w:rPr>
            </w:pPr>
            <w:r>
              <w:rPr>
                <w:rFonts w:hint="eastAsia" w:ascii="仿宋" w:hAnsi="仿宋" w:eastAsia="仿宋" w:cs="仿宋"/>
                <w:sz w:val="24"/>
              </w:rPr>
              <w:t>联系人及电话：</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 w:val="24"/>
              </w:rPr>
            </w:pPr>
            <w:r>
              <w:rPr>
                <w:rFonts w:hint="eastAsia" w:ascii="仿宋" w:hAnsi="仿宋" w:eastAsia="仿宋" w:cs="仿宋"/>
                <w:sz w:val="24"/>
              </w:rPr>
              <w:t>供应商公章：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 w:val="24"/>
              </w:rPr>
            </w:pPr>
            <w:r>
              <w:rPr>
                <w:rFonts w:hint="eastAsia" w:ascii="仿宋" w:hAnsi="仿宋" w:eastAsia="仿宋" w:cs="仿宋"/>
                <w:sz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7" w:hRule="atLeast"/>
        </w:trPr>
        <w:tc>
          <w:tcPr>
            <w:tcW w:w="17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 w:val="24"/>
              </w:rPr>
            </w:pPr>
            <w:r>
              <w:rPr>
                <w:rFonts w:hint="eastAsia" w:ascii="仿宋" w:hAnsi="仿宋" w:eastAsia="仿宋" w:cs="仿宋"/>
                <w:sz w:val="24"/>
              </w:rPr>
              <w:t>采</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 w:val="24"/>
              </w:rPr>
            </w:pPr>
            <w:r>
              <w:rPr>
                <w:rFonts w:hint="eastAsia" w:ascii="仿宋" w:hAnsi="仿宋" w:eastAsia="仿宋" w:cs="仿宋"/>
                <w:sz w:val="24"/>
              </w:rPr>
              <w:t>购</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 w:val="24"/>
              </w:rPr>
            </w:pPr>
            <w:r>
              <w:rPr>
                <w:rFonts w:hint="eastAsia" w:ascii="仿宋" w:hAnsi="仿宋" w:eastAsia="仿宋" w:cs="仿宋"/>
                <w:sz w:val="24"/>
              </w:rPr>
              <w:t>单</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 w:val="24"/>
              </w:rPr>
            </w:pPr>
            <w:r>
              <w:rPr>
                <w:rFonts w:hint="eastAsia" w:ascii="仿宋" w:hAnsi="仿宋" w:eastAsia="仿宋" w:cs="仿宋"/>
                <w:sz w:val="24"/>
              </w:rPr>
              <w:t>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 w:val="24"/>
              </w:rPr>
            </w:pPr>
            <w:r>
              <w:rPr>
                <w:rFonts w:hint="eastAsia" w:ascii="仿宋" w:hAnsi="仿宋" w:eastAsia="仿宋" w:cs="仿宋"/>
                <w:sz w:val="24"/>
              </w:rPr>
              <w:t>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 w:val="24"/>
              </w:rPr>
            </w:pPr>
            <w:r>
              <w:rPr>
                <w:rFonts w:hint="eastAsia" w:ascii="仿宋" w:hAnsi="仿宋" w:eastAsia="仿宋" w:cs="仿宋"/>
                <w:sz w:val="24"/>
              </w:rPr>
              <w:t>见</w:t>
            </w:r>
          </w:p>
        </w:tc>
        <w:tc>
          <w:tcPr>
            <w:tcW w:w="7854" w:type="dxa"/>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 w:val="24"/>
              </w:rPr>
            </w:pPr>
            <w:r>
              <w:rPr>
                <w:rFonts w:hint="eastAsia" w:ascii="仿宋" w:hAnsi="仿宋" w:eastAsia="仿宋" w:cs="仿宋"/>
                <w:sz w:val="24"/>
              </w:rPr>
              <w:t>退付意见：是否同意退付履约保证金及退付金额：</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 w:val="24"/>
              </w:rPr>
            </w:pPr>
            <w:r>
              <w:rPr>
                <w:rFonts w:hint="eastAsia" w:ascii="仿宋" w:hAnsi="仿宋" w:eastAsia="仿宋" w:cs="仿宋"/>
                <w:sz w:val="24"/>
              </w:rPr>
              <w:t>联系人及电话：采购单位公章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 w:val="24"/>
              </w:rPr>
            </w:pPr>
            <w:r>
              <w:rPr>
                <w:rFonts w:hint="eastAsia" w:ascii="仿宋" w:hAnsi="仿宋" w:eastAsia="仿宋" w:cs="仿宋"/>
                <w:sz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9" w:hRule="atLeast"/>
        </w:trPr>
        <w:tc>
          <w:tcPr>
            <w:tcW w:w="17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 w:val="24"/>
              </w:rPr>
            </w:pPr>
            <w:r>
              <w:rPr>
                <w:rFonts w:hint="eastAsia" w:ascii="仿宋" w:hAnsi="仿宋" w:eastAsia="仿宋" w:cs="仿宋"/>
                <w:sz w:val="24"/>
              </w:rPr>
              <w:t>财</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 w:val="24"/>
              </w:rPr>
            </w:pPr>
            <w:r>
              <w:rPr>
                <w:rFonts w:hint="eastAsia" w:ascii="仿宋" w:hAnsi="仿宋" w:eastAsia="仿宋" w:cs="仿宋"/>
                <w:sz w:val="24"/>
              </w:rPr>
              <w:t>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 w:val="24"/>
              </w:rPr>
            </w:pPr>
            <w:r>
              <w:rPr>
                <w:rFonts w:hint="eastAsia" w:ascii="仿宋" w:hAnsi="仿宋" w:eastAsia="仿宋" w:cs="仿宋"/>
                <w:sz w:val="24"/>
              </w:rPr>
              <w:t>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 w:val="24"/>
              </w:rPr>
            </w:pPr>
            <w:r>
              <w:rPr>
                <w:rFonts w:hint="eastAsia" w:ascii="仿宋" w:hAnsi="仿宋" w:eastAsia="仿宋" w:cs="仿宋"/>
                <w:sz w:val="24"/>
              </w:rPr>
              <w:t>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 w:val="24"/>
              </w:rPr>
            </w:pPr>
            <w:r>
              <w:rPr>
                <w:rFonts w:hint="eastAsia" w:ascii="仿宋" w:hAnsi="仿宋" w:eastAsia="仿宋" w:cs="仿宋"/>
                <w:sz w:val="24"/>
              </w:rPr>
              <w:t>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仿宋" w:hAnsi="仿宋" w:eastAsia="仿宋" w:cs="仿宋"/>
                <w:sz w:val="24"/>
              </w:rPr>
            </w:pPr>
            <w:r>
              <w:rPr>
                <w:rFonts w:hint="eastAsia" w:ascii="仿宋" w:hAnsi="仿宋" w:eastAsia="仿宋" w:cs="仿宋"/>
                <w:sz w:val="24"/>
              </w:rPr>
              <w:t>见</w:t>
            </w:r>
          </w:p>
        </w:tc>
        <w:tc>
          <w:tcPr>
            <w:tcW w:w="7854" w:type="dxa"/>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 w:val="24"/>
              </w:rPr>
            </w:pPr>
            <w:r>
              <w:rPr>
                <w:rFonts w:hint="eastAsia" w:ascii="仿宋" w:hAnsi="仿宋" w:eastAsia="仿宋" w:cs="仿宋"/>
                <w:sz w:val="24"/>
              </w:rPr>
              <w:t>此表于年月日收到。</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 w:val="24"/>
              </w:rPr>
            </w:pPr>
            <w:r>
              <w:rPr>
                <w:rFonts w:hint="eastAsia" w:ascii="仿宋" w:hAnsi="仿宋" w:eastAsia="仿宋" w:cs="仿宋"/>
                <w:sz w:val="24"/>
              </w:rPr>
              <w:t>会计审核：</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 w:val="24"/>
              </w:rPr>
            </w:pPr>
            <w:r>
              <w:rPr>
                <w:rFonts w:hint="eastAsia" w:ascii="仿宋" w:hAnsi="仿宋" w:eastAsia="仿宋" w:cs="仿宋"/>
                <w:sz w:val="24"/>
              </w:rPr>
              <w:t>财务负责人审核：</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 w:val="24"/>
              </w:rPr>
            </w:pPr>
            <w:r>
              <w:rPr>
                <w:rFonts w:hint="eastAsia" w:ascii="仿宋" w:hAnsi="仿宋" w:eastAsia="仿宋" w:cs="仿宋"/>
                <w:sz w:val="24"/>
              </w:rPr>
              <w:t>单位负责人签字：</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 w:hAnsi="仿宋" w:eastAsia="仿宋" w:cs="仿宋"/>
                <w:sz w:val="24"/>
              </w:rPr>
            </w:pPr>
            <w:r>
              <w:rPr>
                <w:rFonts w:hint="eastAsia" w:ascii="仿宋" w:hAnsi="仿宋" w:eastAsia="仿宋" w:cs="仿宋"/>
                <w:sz w:val="24"/>
              </w:rPr>
              <w:t>出纳办理转账日期：</w:t>
            </w:r>
          </w:p>
        </w:tc>
      </w:tr>
    </w:tbl>
    <w:p>
      <w:pPr>
        <w:snapToGrid w:val="0"/>
        <w:rPr>
          <w:rFonts w:ascii="仿宋" w:hAnsi="仿宋" w:eastAsia="仿宋" w:cs="仿宋"/>
          <w:szCs w:val="21"/>
        </w:rPr>
      </w:pPr>
    </w:p>
    <w:p>
      <w:pPr>
        <w:pStyle w:val="2"/>
        <w:ind w:left="480" w:leftChars="114" w:hanging="241" w:hangingChars="100"/>
        <w:rPr>
          <w:rFonts w:ascii="仿宋" w:hAnsi="仿宋" w:eastAsia="仿宋" w:cs="仿宋"/>
          <w:b/>
          <w:bCs/>
        </w:rPr>
      </w:pPr>
      <w:r>
        <w:rPr>
          <w:rFonts w:hint="eastAsia" w:ascii="仿宋" w:hAnsi="仿宋" w:eastAsia="仿宋" w:cs="仿宋"/>
          <w:b/>
          <w:bCs/>
        </w:rPr>
        <w:t>注：供应商凭经采购单位审批的退付意见书到相关财务部办理履约保证金退付事宜。</w:t>
      </w:r>
    </w:p>
    <w:p>
      <w:pPr>
        <w:spacing w:before="120" w:line="320" w:lineRule="atLeast"/>
        <w:jc w:val="left"/>
        <w:outlineLvl w:val="1"/>
        <w:rPr>
          <w:rFonts w:ascii="仿宋" w:hAnsi="仿宋" w:eastAsia="仿宋" w:cs="仿宋"/>
          <w:b/>
          <w:bCs/>
          <w:kern w:val="0"/>
          <w:sz w:val="24"/>
        </w:rPr>
      </w:pPr>
      <w:r>
        <w:rPr>
          <w:rFonts w:hint="eastAsia" w:ascii="仿宋" w:hAnsi="仿宋" w:eastAsia="仿宋" w:cs="仿宋"/>
          <w:b/>
          <w:sz w:val="40"/>
          <w:szCs w:val="40"/>
        </w:rPr>
        <w:br w:type="page"/>
      </w:r>
      <w:bookmarkStart w:id="240" w:name="_Toc25352"/>
      <w:r>
        <w:rPr>
          <w:rFonts w:hint="eastAsia" w:ascii="仿宋" w:hAnsi="仿宋" w:eastAsia="仿宋" w:cs="仿宋"/>
          <w:b/>
          <w:bCs/>
          <w:kern w:val="0"/>
          <w:sz w:val="24"/>
        </w:rPr>
        <w:t>合同附件2</w:t>
      </w:r>
      <w:bookmarkEnd w:id="240"/>
    </w:p>
    <w:p>
      <w:pPr>
        <w:snapToGrid w:val="0"/>
        <w:spacing w:line="360" w:lineRule="exact"/>
        <w:jc w:val="center"/>
        <w:rPr>
          <w:rFonts w:ascii="仿宋" w:hAnsi="仿宋" w:eastAsia="仿宋" w:cs="仿宋"/>
          <w:b/>
          <w:bCs/>
          <w:sz w:val="24"/>
        </w:rPr>
      </w:pPr>
      <w:bookmarkStart w:id="241" w:name="_Hlk80978015"/>
    </w:p>
    <w:p>
      <w:pPr>
        <w:snapToGrid w:val="0"/>
        <w:spacing w:line="360" w:lineRule="exact"/>
        <w:jc w:val="center"/>
        <w:rPr>
          <w:rFonts w:ascii="仿宋" w:hAnsi="仿宋" w:eastAsia="仿宋" w:cs="仿宋"/>
          <w:b/>
          <w:bCs/>
          <w:sz w:val="24"/>
        </w:rPr>
      </w:pPr>
      <w:bookmarkStart w:id="242" w:name="_Hlk77607667"/>
      <w:r>
        <w:rPr>
          <w:rFonts w:hint="eastAsia" w:ascii="仿宋" w:hAnsi="仿宋" w:eastAsia="仿宋" w:cs="仿宋"/>
          <w:b/>
          <w:bCs/>
          <w:sz w:val="24"/>
        </w:rPr>
        <w:t>履约验收方案</w:t>
      </w:r>
    </w:p>
    <w:p>
      <w:pPr>
        <w:widowControl/>
        <w:jc w:val="left"/>
        <w:rPr>
          <w:rFonts w:ascii="仿宋" w:hAnsi="仿宋" w:eastAsia="仿宋" w:cs="仿宋"/>
          <w:sz w:val="24"/>
        </w:rPr>
      </w:pPr>
    </w:p>
    <w:p>
      <w:pPr>
        <w:pStyle w:val="138"/>
        <w:ind w:firstLineChars="0"/>
        <w:rPr>
          <w:rFonts w:ascii="仿宋" w:hAnsi="仿宋" w:eastAsia="仿宋" w:cs="仿宋"/>
          <w:kern w:val="2"/>
          <w:sz w:val="24"/>
          <w:szCs w:val="24"/>
        </w:rPr>
      </w:pPr>
    </w:p>
    <w:p>
      <w:pPr>
        <w:spacing w:before="120" w:line="320" w:lineRule="exact"/>
        <w:jc w:val="left"/>
        <w:outlineLvl w:val="2"/>
        <w:rPr>
          <w:rFonts w:ascii="仿宋" w:hAnsi="仿宋" w:eastAsia="仿宋" w:cs="仿宋"/>
          <w:b/>
          <w:bCs/>
          <w:sz w:val="24"/>
        </w:rPr>
      </w:pPr>
      <w:bookmarkStart w:id="243" w:name="_Toc2527"/>
      <w:r>
        <w:rPr>
          <w:rFonts w:hint="eastAsia" w:ascii="仿宋" w:hAnsi="仿宋" w:eastAsia="仿宋" w:cs="仿宋"/>
          <w:b/>
          <w:bCs/>
          <w:sz w:val="24"/>
        </w:rPr>
        <w:t>1.履约验收工作参加人员</w:t>
      </w:r>
      <w:bookmarkEnd w:id="243"/>
    </w:p>
    <w:p>
      <w:pPr>
        <w:spacing w:before="120" w:line="320" w:lineRule="exact"/>
        <w:jc w:val="left"/>
        <w:rPr>
          <w:rFonts w:ascii="仿宋" w:hAnsi="仿宋" w:eastAsia="仿宋" w:cs="仿宋"/>
          <w:sz w:val="24"/>
        </w:rPr>
      </w:pPr>
      <w:r>
        <w:rPr>
          <w:rFonts w:hint="eastAsia" w:ascii="仿宋" w:hAnsi="仿宋" w:eastAsia="仿宋" w:cs="仿宋"/>
          <w:b/>
          <w:bCs/>
          <w:sz w:val="24"/>
        </w:rPr>
        <w:t>1.1履约验收主体单位</w:t>
      </w:r>
    </w:p>
    <w:p>
      <w:pPr>
        <w:spacing w:before="120" w:line="320" w:lineRule="exact"/>
        <w:ind w:firstLine="480" w:firstLineChars="200"/>
        <w:jc w:val="left"/>
        <w:rPr>
          <w:rFonts w:ascii="仿宋" w:hAnsi="仿宋" w:eastAsia="仿宋" w:cs="仿宋"/>
          <w:sz w:val="24"/>
          <w:u w:val="single"/>
        </w:rPr>
      </w:pPr>
      <w:r>
        <w:rPr>
          <w:rStyle w:val="52"/>
          <w:rFonts w:hint="eastAsia" w:ascii="仿宋" w:hAnsi="仿宋" w:eastAsia="仿宋" w:cs="仿宋"/>
          <w:sz w:val="24"/>
          <w:szCs w:val="24"/>
        </w:rPr>
        <w:t>采购人</w:t>
      </w:r>
    </w:p>
    <w:p>
      <w:pPr>
        <w:spacing w:before="120" w:line="320" w:lineRule="exact"/>
        <w:jc w:val="left"/>
        <w:rPr>
          <w:rFonts w:ascii="仿宋" w:hAnsi="仿宋" w:eastAsia="仿宋" w:cs="仿宋"/>
          <w:sz w:val="24"/>
        </w:rPr>
      </w:pPr>
      <w:r>
        <w:rPr>
          <w:rFonts w:hint="eastAsia" w:ascii="仿宋" w:hAnsi="仿宋" w:eastAsia="仿宋" w:cs="仿宋"/>
          <w:b/>
          <w:bCs/>
          <w:sz w:val="24"/>
        </w:rPr>
        <w:t>1.2履约验收参加人员</w:t>
      </w:r>
    </w:p>
    <w:p>
      <w:pPr>
        <w:spacing w:before="120" w:line="320" w:lineRule="exact"/>
        <w:ind w:firstLine="480" w:firstLineChars="200"/>
        <w:jc w:val="left"/>
        <w:rPr>
          <w:rFonts w:ascii="仿宋" w:hAnsi="仿宋" w:eastAsia="仿宋" w:cs="仿宋"/>
          <w:sz w:val="24"/>
          <w:u w:val="single"/>
        </w:rPr>
      </w:pPr>
      <w:r>
        <w:rPr>
          <w:rFonts w:hint="eastAsia" w:ascii="仿宋" w:hAnsi="仿宋" w:eastAsia="仿宋" w:cs="仿宋"/>
          <w:sz w:val="24"/>
          <w:szCs w:val="32"/>
        </w:rPr>
        <w:t>采购人代表、委托机构代表、成交供应商代表及采购人邀请的其他人员</w:t>
      </w:r>
    </w:p>
    <w:p>
      <w:pPr>
        <w:spacing w:before="120" w:line="320" w:lineRule="exact"/>
        <w:jc w:val="left"/>
        <w:outlineLvl w:val="2"/>
        <w:rPr>
          <w:rFonts w:ascii="仿宋" w:hAnsi="仿宋" w:eastAsia="仿宋" w:cs="仿宋"/>
          <w:b/>
          <w:bCs/>
          <w:sz w:val="24"/>
        </w:rPr>
      </w:pPr>
      <w:bookmarkStart w:id="244" w:name="_Toc17082"/>
      <w:r>
        <w:rPr>
          <w:rFonts w:hint="eastAsia" w:ascii="仿宋" w:hAnsi="仿宋" w:eastAsia="仿宋" w:cs="仿宋"/>
          <w:b/>
          <w:bCs/>
          <w:sz w:val="24"/>
        </w:rPr>
        <w:t>2.履约验收时间</w:t>
      </w:r>
      <w:bookmarkEnd w:id="244"/>
    </w:p>
    <w:p>
      <w:pPr>
        <w:spacing w:before="120" w:line="320" w:lineRule="exact"/>
        <w:jc w:val="left"/>
        <w:rPr>
          <w:rFonts w:ascii="仿宋" w:hAnsi="仿宋" w:eastAsia="仿宋" w:cs="仿宋"/>
          <w:sz w:val="24"/>
        </w:rPr>
      </w:pPr>
      <w:r>
        <w:rPr>
          <w:rFonts w:hint="eastAsia" w:ascii="仿宋" w:hAnsi="仿宋" w:eastAsia="仿宋" w:cs="仿宋"/>
          <w:sz w:val="24"/>
        </w:rPr>
        <w:t>20XX年XX月XX日</w:t>
      </w:r>
    </w:p>
    <w:p>
      <w:pPr>
        <w:spacing w:before="120" w:line="320" w:lineRule="exact"/>
        <w:jc w:val="left"/>
        <w:outlineLvl w:val="2"/>
        <w:rPr>
          <w:rFonts w:ascii="仿宋" w:hAnsi="仿宋" w:eastAsia="仿宋" w:cs="仿宋"/>
          <w:b/>
          <w:bCs/>
          <w:sz w:val="24"/>
        </w:rPr>
      </w:pPr>
      <w:bookmarkStart w:id="245" w:name="_Toc20851"/>
      <w:r>
        <w:rPr>
          <w:rFonts w:hint="eastAsia" w:ascii="仿宋" w:hAnsi="仿宋" w:eastAsia="仿宋" w:cs="仿宋"/>
          <w:b/>
          <w:bCs/>
          <w:sz w:val="24"/>
        </w:rPr>
        <w:t>3.履约验收地点</w:t>
      </w:r>
      <w:bookmarkEnd w:id="245"/>
    </w:p>
    <w:p>
      <w:pPr>
        <w:spacing w:before="120" w:line="320" w:lineRule="exact"/>
        <w:jc w:val="left"/>
        <w:rPr>
          <w:rFonts w:ascii="仿宋" w:hAnsi="仿宋" w:eastAsia="仿宋" w:cs="仿宋"/>
          <w:sz w:val="24"/>
        </w:rPr>
      </w:pPr>
      <w:r>
        <w:rPr>
          <w:rFonts w:hint="eastAsia" w:ascii="仿宋" w:hAnsi="仿宋" w:eastAsia="仿宋" w:cs="仿宋"/>
          <w:sz w:val="24"/>
        </w:rPr>
        <w:t>XX市XX区XX路XX号</w:t>
      </w:r>
    </w:p>
    <w:p>
      <w:pPr>
        <w:spacing w:before="120" w:line="320" w:lineRule="exact"/>
        <w:jc w:val="left"/>
        <w:outlineLvl w:val="2"/>
        <w:rPr>
          <w:rFonts w:ascii="仿宋" w:hAnsi="仿宋" w:eastAsia="仿宋" w:cs="仿宋"/>
          <w:b/>
          <w:bCs/>
          <w:sz w:val="24"/>
        </w:rPr>
      </w:pPr>
      <w:bookmarkStart w:id="246" w:name="_Toc29976"/>
      <w:r>
        <w:rPr>
          <w:rFonts w:hint="eastAsia" w:ascii="仿宋" w:hAnsi="仿宋" w:eastAsia="仿宋" w:cs="仿宋"/>
          <w:b/>
          <w:bCs/>
          <w:sz w:val="24"/>
        </w:rPr>
        <w:t>4.履约验收方式</w:t>
      </w:r>
      <w:bookmarkEnd w:id="246"/>
    </w:p>
    <w:p>
      <w:pPr>
        <w:spacing w:before="120" w:line="320" w:lineRule="exact"/>
        <w:jc w:val="left"/>
        <w:rPr>
          <w:rFonts w:ascii="仿宋" w:hAnsi="仿宋" w:eastAsia="仿宋" w:cs="仿宋"/>
          <w:b/>
          <w:bCs/>
          <w:sz w:val="24"/>
        </w:rPr>
      </w:pPr>
      <w:r>
        <w:rPr>
          <w:rFonts w:hint="eastAsia" w:ascii="仿宋" w:hAnsi="仿宋" w:eastAsia="仿宋" w:cs="仿宋"/>
          <w:sz w:val="24"/>
        </w:rPr>
        <w:t>采购人自行验收</w:t>
      </w:r>
    </w:p>
    <w:p>
      <w:pPr>
        <w:spacing w:before="120" w:line="320" w:lineRule="exact"/>
        <w:jc w:val="left"/>
        <w:outlineLvl w:val="2"/>
        <w:rPr>
          <w:rFonts w:ascii="仿宋" w:hAnsi="仿宋" w:eastAsia="仿宋" w:cs="仿宋"/>
          <w:b/>
          <w:bCs/>
          <w:sz w:val="24"/>
        </w:rPr>
      </w:pPr>
      <w:bookmarkStart w:id="247" w:name="_Toc26540"/>
      <w:r>
        <w:rPr>
          <w:rFonts w:hint="eastAsia" w:ascii="仿宋" w:hAnsi="仿宋" w:eastAsia="仿宋" w:cs="仿宋"/>
          <w:b/>
          <w:bCs/>
          <w:sz w:val="24"/>
        </w:rPr>
        <w:t>5.履约验收程序</w:t>
      </w:r>
      <w:bookmarkEnd w:id="247"/>
    </w:p>
    <w:p>
      <w:pPr>
        <w:spacing w:before="120" w:line="320" w:lineRule="exact"/>
        <w:jc w:val="left"/>
        <w:rPr>
          <w:rFonts w:ascii="仿宋" w:hAnsi="仿宋" w:eastAsia="仿宋" w:cs="仿宋"/>
          <w:b/>
          <w:bCs/>
          <w:sz w:val="24"/>
        </w:rPr>
      </w:pPr>
      <w:r>
        <w:rPr>
          <w:rFonts w:hint="eastAsia" w:ascii="仿宋" w:hAnsi="仿宋" w:eastAsia="仿宋" w:cs="仿宋"/>
          <w:b/>
          <w:bCs/>
          <w:sz w:val="24"/>
        </w:rPr>
        <w:t>5.1成立验收小组</w:t>
      </w:r>
    </w:p>
    <w:p>
      <w:pPr>
        <w:spacing w:before="120" w:line="320" w:lineRule="exact"/>
        <w:jc w:val="left"/>
        <w:rPr>
          <w:rFonts w:ascii="仿宋" w:hAnsi="仿宋" w:eastAsia="仿宋" w:cs="仿宋"/>
          <w:b/>
          <w:bCs/>
          <w:sz w:val="24"/>
        </w:rPr>
      </w:pPr>
      <w:r>
        <w:rPr>
          <w:rFonts w:hint="eastAsia" w:ascii="仿宋" w:hAnsi="仿宋" w:eastAsia="仿宋" w:cs="仿宋"/>
          <w:b/>
          <w:bCs/>
          <w:sz w:val="24"/>
        </w:rPr>
        <w:t>5.2量化验收标准</w:t>
      </w:r>
    </w:p>
    <w:p>
      <w:pPr>
        <w:spacing w:before="120" w:line="320" w:lineRule="exact"/>
        <w:jc w:val="left"/>
        <w:rPr>
          <w:rFonts w:ascii="仿宋" w:hAnsi="仿宋" w:eastAsia="仿宋" w:cs="仿宋"/>
          <w:b/>
          <w:bCs/>
          <w:sz w:val="24"/>
        </w:rPr>
      </w:pPr>
      <w:r>
        <w:rPr>
          <w:rFonts w:hint="eastAsia" w:ascii="仿宋" w:hAnsi="仿宋" w:eastAsia="仿宋" w:cs="仿宋"/>
          <w:b/>
          <w:bCs/>
          <w:sz w:val="24"/>
        </w:rPr>
        <w:t>5.3组织验收</w:t>
      </w:r>
    </w:p>
    <w:p>
      <w:pPr>
        <w:spacing w:before="120" w:line="320" w:lineRule="exact"/>
        <w:jc w:val="left"/>
        <w:rPr>
          <w:rFonts w:ascii="仿宋" w:hAnsi="仿宋" w:eastAsia="仿宋" w:cs="仿宋"/>
          <w:b/>
          <w:bCs/>
          <w:sz w:val="24"/>
        </w:rPr>
      </w:pPr>
      <w:r>
        <w:rPr>
          <w:rFonts w:hint="eastAsia" w:ascii="仿宋" w:hAnsi="仿宋" w:eastAsia="仿宋" w:cs="仿宋"/>
          <w:b/>
          <w:bCs/>
          <w:sz w:val="24"/>
        </w:rPr>
        <w:t>5.4出具验收报告</w:t>
      </w:r>
    </w:p>
    <w:p>
      <w:pPr>
        <w:spacing w:before="120" w:line="320" w:lineRule="exact"/>
        <w:jc w:val="left"/>
        <w:rPr>
          <w:rFonts w:ascii="仿宋" w:hAnsi="仿宋" w:eastAsia="仿宋" w:cs="仿宋"/>
          <w:b/>
          <w:bCs/>
          <w:sz w:val="24"/>
        </w:rPr>
      </w:pPr>
      <w:r>
        <w:rPr>
          <w:rFonts w:hint="eastAsia" w:ascii="仿宋" w:hAnsi="仿宋" w:eastAsia="仿宋" w:cs="仿宋"/>
          <w:b/>
          <w:bCs/>
          <w:sz w:val="24"/>
        </w:rPr>
        <w:t>5.5验收结果公告</w:t>
      </w:r>
    </w:p>
    <w:p>
      <w:pPr>
        <w:spacing w:before="120" w:line="320" w:lineRule="exact"/>
        <w:jc w:val="left"/>
        <w:rPr>
          <w:rFonts w:ascii="仿宋" w:hAnsi="仿宋" w:eastAsia="仿宋" w:cs="仿宋"/>
          <w:b/>
          <w:bCs/>
          <w:sz w:val="24"/>
        </w:rPr>
      </w:pPr>
      <w:r>
        <w:rPr>
          <w:rFonts w:hint="eastAsia" w:ascii="仿宋" w:hAnsi="仿宋" w:eastAsia="仿宋" w:cs="仿宋"/>
          <w:b/>
          <w:bCs/>
          <w:sz w:val="24"/>
        </w:rPr>
        <w:t>5.6验收资料归档</w:t>
      </w:r>
    </w:p>
    <w:p>
      <w:pPr>
        <w:spacing w:before="120" w:line="320" w:lineRule="exact"/>
        <w:ind w:firstLine="480" w:firstLineChars="200"/>
        <w:jc w:val="left"/>
        <w:rPr>
          <w:rFonts w:ascii="仿宋" w:hAnsi="仿宋" w:eastAsia="仿宋" w:cs="仿宋"/>
          <w:sz w:val="24"/>
        </w:rPr>
      </w:pPr>
      <w:r>
        <w:rPr>
          <w:rFonts w:hint="eastAsia" w:ascii="仿宋" w:hAnsi="仿宋" w:eastAsia="仿宋" w:cs="仿宋"/>
          <w:sz w:val="24"/>
        </w:rPr>
        <w:t>采购合同项目完成验收后，采购人整理好验收原始记录、验收书等资料后妥善保管，不得变造、隐匿或者销毁，验收资料保存期为采购结束之日起至少保存15年。</w:t>
      </w:r>
    </w:p>
    <w:p>
      <w:pPr>
        <w:spacing w:before="120" w:line="320" w:lineRule="exact"/>
        <w:jc w:val="left"/>
        <w:outlineLvl w:val="2"/>
        <w:rPr>
          <w:rFonts w:ascii="仿宋" w:hAnsi="仿宋" w:eastAsia="仿宋" w:cs="仿宋"/>
          <w:b/>
          <w:bCs/>
          <w:iCs/>
          <w:sz w:val="24"/>
        </w:rPr>
      </w:pPr>
      <w:bookmarkStart w:id="248" w:name="_Toc20627"/>
      <w:r>
        <w:rPr>
          <w:rFonts w:hint="eastAsia" w:ascii="仿宋" w:hAnsi="仿宋" w:eastAsia="仿宋" w:cs="仿宋"/>
          <w:b/>
          <w:bCs/>
          <w:sz w:val="24"/>
        </w:rPr>
        <w:t>6.履约验收内容</w:t>
      </w:r>
      <w:bookmarkEnd w:id="248"/>
    </w:p>
    <w:p>
      <w:pPr>
        <w:spacing w:before="120" w:line="320" w:lineRule="exact"/>
        <w:jc w:val="left"/>
        <w:rPr>
          <w:rFonts w:ascii="仿宋" w:hAnsi="仿宋" w:eastAsia="仿宋" w:cs="仿宋"/>
          <w:iCs/>
          <w:sz w:val="24"/>
        </w:rPr>
      </w:pPr>
      <w:r>
        <w:rPr>
          <w:rFonts w:hint="eastAsia" w:ascii="仿宋" w:hAnsi="仿宋" w:eastAsia="仿宋" w:cs="仿宋"/>
          <w:b/>
          <w:bCs/>
          <w:sz w:val="24"/>
        </w:rPr>
        <w:t>6.1商务验收内容</w:t>
      </w:r>
    </w:p>
    <w:p>
      <w:pPr>
        <w:spacing w:before="120" w:line="320" w:lineRule="exact"/>
        <w:ind w:firstLine="480" w:firstLineChars="200"/>
        <w:jc w:val="left"/>
        <w:rPr>
          <w:rFonts w:ascii="仿宋" w:hAnsi="仿宋" w:eastAsia="仿宋" w:cs="仿宋"/>
          <w:sz w:val="24"/>
          <w:u w:val="single"/>
        </w:rPr>
      </w:pPr>
      <w:r>
        <w:rPr>
          <w:rFonts w:hint="eastAsia" w:ascii="仿宋" w:hAnsi="仿宋" w:eastAsia="仿宋" w:cs="仿宋"/>
          <w:sz w:val="24"/>
        </w:rPr>
        <w:t>对采购标的交付的情况、财务和服务要求，包括交付（实施）的时间（期限）和地点（范围），付款条件（进度和方式），包装和运输，售后服务，保险等进行验收。</w:t>
      </w:r>
    </w:p>
    <w:p>
      <w:pPr>
        <w:spacing w:before="120" w:line="320" w:lineRule="exact"/>
        <w:jc w:val="left"/>
        <w:rPr>
          <w:rFonts w:ascii="仿宋" w:hAnsi="仿宋" w:eastAsia="仿宋" w:cs="仿宋"/>
          <w:iCs/>
          <w:sz w:val="24"/>
        </w:rPr>
      </w:pPr>
      <w:r>
        <w:rPr>
          <w:rFonts w:hint="eastAsia" w:ascii="仿宋" w:hAnsi="仿宋" w:eastAsia="仿宋" w:cs="仿宋"/>
          <w:b/>
          <w:bCs/>
          <w:sz w:val="24"/>
        </w:rPr>
        <w:t>6.2技术验收内容</w:t>
      </w:r>
    </w:p>
    <w:p>
      <w:pPr>
        <w:spacing w:before="120" w:line="320" w:lineRule="exact"/>
        <w:ind w:firstLine="480" w:firstLineChars="200"/>
        <w:jc w:val="left"/>
        <w:rPr>
          <w:rFonts w:ascii="仿宋" w:hAnsi="仿宋" w:eastAsia="仿宋" w:cs="仿宋"/>
          <w:sz w:val="24"/>
          <w:u w:val="single"/>
        </w:rPr>
      </w:pPr>
      <w:r>
        <w:rPr>
          <w:rFonts w:hint="eastAsia" w:ascii="仿宋" w:hAnsi="仿宋" w:eastAsia="仿宋" w:cs="仿宋"/>
          <w:sz w:val="24"/>
        </w:rPr>
        <w:t>对采购标的的功能和质量要求，包括性能、材料、结构、外观、安全，或者服务内容和标准等进行验收。</w:t>
      </w:r>
    </w:p>
    <w:p>
      <w:pPr>
        <w:spacing w:before="120" w:line="320" w:lineRule="exact"/>
        <w:jc w:val="left"/>
        <w:outlineLvl w:val="2"/>
        <w:rPr>
          <w:rFonts w:ascii="仿宋" w:hAnsi="仿宋" w:eastAsia="仿宋" w:cs="仿宋"/>
          <w:b/>
          <w:bCs/>
          <w:sz w:val="24"/>
        </w:rPr>
      </w:pPr>
      <w:bookmarkStart w:id="249" w:name="_Toc2150"/>
      <w:r>
        <w:rPr>
          <w:rFonts w:hint="eastAsia" w:ascii="仿宋" w:hAnsi="仿宋" w:eastAsia="仿宋" w:cs="仿宋"/>
          <w:b/>
          <w:bCs/>
          <w:sz w:val="24"/>
        </w:rPr>
        <w:t>7.履约验收标准</w:t>
      </w:r>
      <w:bookmarkEnd w:id="249"/>
    </w:p>
    <w:p>
      <w:pPr>
        <w:pStyle w:val="138"/>
        <w:spacing w:before="120" w:line="320" w:lineRule="exact"/>
        <w:ind w:firstLine="480"/>
        <w:rPr>
          <w:rFonts w:ascii="仿宋" w:hAnsi="仿宋" w:eastAsia="仿宋" w:cs="仿宋"/>
          <w:sz w:val="24"/>
          <w:szCs w:val="24"/>
        </w:rPr>
      </w:pPr>
      <w:r>
        <w:rPr>
          <w:rFonts w:hint="eastAsia" w:ascii="仿宋" w:hAnsi="仿宋" w:eastAsia="仿宋" w:cs="仿宋"/>
          <w:sz w:val="24"/>
          <w:szCs w:val="24"/>
        </w:rPr>
        <w:t>货物（服务）类验收标准：</w:t>
      </w:r>
    </w:p>
    <w:p>
      <w:pPr>
        <w:spacing w:before="120" w:line="320" w:lineRule="exact"/>
        <w:rPr>
          <w:rFonts w:ascii="仿宋" w:hAnsi="仿宋" w:eastAsia="仿宋" w:cs="仿宋"/>
          <w:sz w:val="24"/>
        </w:rPr>
      </w:pPr>
      <w:r>
        <w:rPr>
          <w:rFonts w:hint="eastAsia" w:ascii="仿宋" w:hAnsi="仿宋" w:eastAsia="仿宋" w:cs="仿宋"/>
          <w:sz w:val="24"/>
        </w:rPr>
        <w:t>（1）中标（成交）供应商应提供完备的技术或服务资料、装箱单和合格证等，并派遣专业人员进行现场安装调试。验收合格条件如下：</w:t>
      </w:r>
    </w:p>
    <w:p>
      <w:pPr>
        <w:spacing w:before="120" w:line="320" w:lineRule="exact"/>
        <w:rPr>
          <w:rFonts w:ascii="仿宋" w:hAnsi="仿宋" w:eastAsia="仿宋" w:cs="仿宋"/>
          <w:sz w:val="24"/>
        </w:rPr>
      </w:pPr>
      <w:r>
        <w:rPr>
          <w:rFonts w:hint="eastAsia" w:ascii="仿宋" w:hAnsi="仿宋" w:eastAsia="仿宋" w:cs="仿宋"/>
          <w:sz w:val="24"/>
        </w:rPr>
        <w:t>货物或服务技术参数与响应文件中响应表或证明材料一致，性能或指标达到规定的标准。否则，以实际货物或服务技术参数与响应文件响应表参数或证明材料比较，按如下情况处理：</w:t>
      </w:r>
    </w:p>
    <w:p>
      <w:pPr>
        <w:spacing w:before="120" w:line="320" w:lineRule="exact"/>
        <w:rPr>
          <w:rFonts w:ascii="仿宋" w:hAnsi="仿宋" w:eastAsia="仿宋" w:cs="仿宋"/>
          <w:sz w:val="24"/>
        </w:rPr>
      </w:pPr>
      <w:r>
        <w:rPr>
          <w:rFonts w:hint="eastAsia" w:ascii="仿宋" w:hAnsi="仿宋" w:eastAsia="仿宋" w:cs="仿宋"/>
          <w:sz w:val="24"/>
        </w:rPr>
        <w:t>①供应商响应文件响应表或证明材料中满足或优于的技术参数，在验收时实际不满足技术参数要求的，视为供货商违约，采购人有权终止合同拒收货物，并追究供应商责任，同时报财政部门备案。</w:t>
      </w:r>
    </w:p>
    <w:p>
      <w:pPr>
        <w:spacing w:before="120" w:line="320" w:lineRule="exact"/>
        <w:rPr>
          <w:rFonts w:ascii="仿宋" w:hAnsi="仿宋" w:eastAsia="仿宋" w:cs="仿宋"/>
          <w:sz w:val="24"/>
        </w:rPr>
      </w:pPr>
      <w:r>
        <w:rPr>
          <w:rFonts w:hint="eastAsia" w:ascii="仿宋" w:hAnsi="仿宋" w:eastAsia="仿宋" w:cs="仿宋"/>
          <w:sz w:val="24"/>
        </w:rPr>
        <w:t>②供应商响应文件响应表或证明材料中优于的技术参数，在验收时实际仅满足并未优于技术参数要求的，视为供货商违约，采购人有权终止合同拒收货物，并追究供应商责任，同时报财政部门备案。</w:t>
      </w:r>
    </w:p>
    <w:p>
      <w:pPr>
        <w:spacing w:before="120" w:line="320" w:lineRule="exact"/>
        <w:rPr>
          <w:rFonts w:ascii="仿宋" w:hAnsi="仿宋" w:eastAsia="仿宋" w:cs="仿宋"/>
          <w:sz w:val="24"/>
        </w:rPr>
      </w:pPr>
      <w:r>
        <w:rPr>
          <w:rFonts w:hint="eastAsia" w:ascii="仿宋" w:hAnsi="仿宋" w:eastAsia="仿宋" w:cs="仿宋"/>
          <w:sz w:val="24"/>
        </w:rPr>
        <w:t xml:space="preserve">③供应商响应文件响应表或证明材料中不满足的技术参数，在验收时实际满足技术参数的要求，以满足技术参数的要求验收。 </w:t>
      </w:r>
    </w:p>
    <w:p>
      <w:pPr>
        <w:spacing w:before="120" w:line="320" w:lineRule="exact"/>
        <w:rPr>
          <w:rFonts w:ascii="仿宋" w:hAnsi="仿宋" w:eastAsia="仿宋" w:cs="仿宋"/>
          <w:sz w:val="24"/>
        </w:rPr>
      </w:pPr>
      <w:r>
        <w:rPr>
          <w:rFonts w:hint="eastAsia" w:ascii="仿宋" w:hAnsi="仿宋" w:eastAsia="仿宋" w:cs="仿宋"/>
          <w:sz w:val="24"/>
        </w:rPr>
        <w:t>④供应商响应文件响应表或证明材料中满足的技术参数，在验收时实际优于技术参数的要求，以满足技术参数的要求验收。</w:t>
      </w:r>
    </w:p>
    <w:p>
      <w:pPr>
        <w:spacing w:before="120" w:line="320" w:lineRule="exact"/>
        <w:rPr>
          <w:rFonts w:ascii="仿宋" w:hAnsi="仿宋" w:eastAsia="仿宋" w:cs="仿宋"/>
          <w:sz w:val="24"/>
        </w:rPr>
      </w:pPr>
      <w:r>
        <w:rPr>
          <w:rFonts w:hint="eastAsia" w:ascii="仿宋" w:hAnsi="仿宋" w:eastAsia="仿宋" w:cs="仿宋"/>
          <w:sz w:val="24"/>
        </w:rPr>
        <w:t>⑤供应商响应文件响应表或证明材料中优于的技术参数，在验收时实际也优于技术参数的要求，但没有达到响应表或证明材料中优于的程度，由采购人与供应商协商按是否满足要求验收。</w:t>
      </w:r>
    </w:p>
    <w:p>
      <w:pPr>
        <w:spacing w:before="120" w:line="320" w:lineRule="exact"/>
        <w:rPr>
          <w:rFonts w:ascii="仿宋" w:hAnsi="仿宋" w:eastAsia="仿宋" w:cs="仿宋"/>
          <w:sz w:val="24"/>
        </w:rPr>
      </w:pPr>
      <w:r>
        <w:rPr>
          <w:rFonts w:hint="eastAsia" w:ascii="仿宋" w:hAnsi="仿宋" w:eastAsia="仿宋" w:cs="仿宋"/>
          <w:sz w:val="24"/>
        </w:rPr>
        <w:t>⑥实际货物与响应货物型号不一致的，验收时不论实际是优于还是满足技术参数的要求，采购人均有权终止合同拒收货物。如影响货物或服务的使用、质量、档次及采购人需求的，还可视为供货商违约，追究供应商责任，同时报财政部门备案。</w:t>
      </w:r>
    </w:p>
    <w:p>
      <w:pPr>
        <w:spacing w:before="120" w:line="320" w:lineRule="exact"/>
        <w:ind w:firstLine="480" w:firstLineChars="200"/>
        <w:jc w:val="left"/>
        <w:rPr>
          <w:rFonts w:ascii="仿宋" w:hAnsi="仿宋" w:eastAsia="仿宋" w:cs="仿宋"/>
          <w:sz w:val="24"/>
        </w:rPr>
      </w:pPr>
      <w:r>
        <w:rPr>
          <w:rFonts w:hint="eastAsia" w:ascii="仿宋" w:hAnsi="仿宋" w:eastAsia="仿宋" w:cs="仿宋"/>
          <w:sz w:val="24"/>
        </w:rPr>
        <w:t>（2）技术资料、装箱单、合格证等资料齐全。</w:t>
      </w:r>
    </w:p>
    <w:p>
      <w:pPr>
        <w:spacing w:before="120" w:line="320" w:lineRule="exact"/>
        <w:ind w:firstLine="480" w:firstLineChars="200"/>
        <w:jc w:val="left"/>
        <w:rPr>
          <w:rFonts w:ascii="仿宋" w:hAnsi="仿宋" w:eastAsia="仿宋" w:cs="仿宋"/>
          <w:sz w:val="24"/>
        </w:rPr>
      </w:pPr>
      <w:r>
        <w:rPr>
          <w:rFonts w:hint="eastAsia" w:ascii="仿宋" w:hAnsi="仿宋" w:eastAsia="仿宋" w:cs="仿宋"/>
          <w:sz w:val="24"/>
        </w:rPr>
        <w:t>（3）在测试或试运行期间所出现的问题得到解决，并运行或工作正常。</w:t>
      </w:r>
    </w:p>
    <w:p>
      <w:pPr>
        <w:spacing w:before="120" w:line="320" w:lineRule="exact"/>
        <w:ind w:firstLine="480" w:firstLineChars="200"/>
        <w:jc w:val="left"/>
        <w:rPr>
          <w:rFonts w:ascii="仿宋" w:hAnsi="仿宋" w:eastAsia="仿宋" w:cs="仿宋"/>
          <w:sz w:val="24"/>
        </w:rPr>
      </w:pPr>
      <w:r>
        <w:rPr>
          <w:rFonts w:hint="eastAsia" w:ascii="仿宋" w:hAnsi="仿宋" w:eastAsia="仿宋" w:cs="仿宋"/>
          <w:sz w:val="24"/>
        </w:rPr>
        <w:t>（4）在规定时间内完成交货及验收，并经采购人确认。</w:t>
      </w:r>
    </w:p>
    <w:p>
      <w:pPr>
        <w:spacing w:before="120" w:line="320" w:lineRule="exact"/>
        <w:ind w:firstLine="480" w:firstLineChars="200"/>
        <w:jc w:val="left"/>
        <w:rPr>
          <w:rFonts w:ascii="仿宋" w:hAnsi="仿宋" w:eastAsia="仿宋" w:cs="仿宋"/>
          <w:sz w:val="24"/>
        </w:rPr>
      </w:pPr>
      <w:r>
        <w:rPr>
          <w:rFonts w:hint="eastAsia" w:ascii="仿宋" w:hAnsi="仿宋" w:eastAsia="仿宋" w:cs="仿宋"/>
          <w:sz w:val="24"/>
        </w:rPr>
        <w:t>（5）货物或服务在安装调试并试运行符合要求后，才作为最终验收。</w:t>
      </w:r>
    </w:p>
    <w:p>
      <w:pPr>
        <w:spacing w:before="120" w:line="320" w:lineRule="exact"/>
        <w:ind w:firstLine="480" w:firstLineChars="200"/>
        <w:jc w:val="left"/>
        <w:rPr>
          <w:rFonts w:ascii="仿宋" w:hAnsi="仿宋" w:eastAsia="仿宋" w:cs="仿宋"/>
          <w:sz w:val="24"/>
        </w:rPr>
      </w:pPr>
      <w:r>
        <w:rPr>
          <w:rFonts w:hint="eastAsia" w:ascii="仿宋" w:hAnsi="仿宋" w:eastAsia="仿宋" w:cs="仿宋"/>
          <w:sz w:val="24"/>
        </w:rPr>
        <w:t>（6）成交供应商提供的货物或服务未达到招标文件规定要求，且对采购人造成损失的，由成交供应商承担一切责任，并赔偿所造成的损失。</w:t>
      </w:r>
    </w:p>
    <w:p>
      <w:pPr>
        <w:spacing w:before="120" w:line="320" w:lineRule="exact"/>
        <w:ind w:firstLine="480" w:firstLineChars="200"/>
        <w:jc w:val="left"/>
        <w:rPr>
          <w:rFonts w:ascii="仿宋" w:hAnsi="仿宋" w:eastAsia="仿宋" w:cs="仿宋"/>
          <w:sz w:val="24"/>
        </w:rPr>
      </w:pPr>
      <w:r>
        <w:rPr>
          <w:rFonts w:hint="eastAsia" w:ascii="仿宋" w:hAnsi="仿宋" w:eastAsia="仿宋" w:cs="仿宋"/>
          <w:sz w:val="24"/>
        </w:rPr>
        <w:t>（7）采购人需要制造商对成交供应商交付的产品或服务（包括质量、参数等）进行确认的，制造商应予以配合并出具书面意见，相关配合事项由成交供应商与制造商协调。</w:t>
      </w:r>
    </w:p>
    <w:p>
      <w:pPr>
        <w:spacing w:before="120" w:line="320" w:lineRule="exact"/>
        <w:ind w:firstLine="480" w:firstLineChars="200"/>
        <w:jc w:val="left"/>
        <w:rPr>
          <w:rFonts w:ascii="仿宋" w:hAnsi="仿宋" w:eastAsia="仿宋" w:cs="仿宋"/>
          <w:sz w:val="24"/>
        </w:rPr>
      </w:pPr>
      <w:r>
        <w:rPr>
          <w:rFonts w:hint="eastAsia" w:ascii="仿宋" w:hAnsi="仿宋" w:eastAsia="仿宋" w:cs="仿宋"/>
          <w:sz w:val="24"/>
        </w:rPr>
        <w:t>（8）产品包装材料归采购人所有。</w:t>
      </w:r>
    </w:p>
    <w:p>
      <w:pPr>
        <w:spacing w:before="120" w:line="320" w:lineRule="exact"/>
        <w:ind w:firstLine="480" w:firstLineChars="200"/>
        <w:jc w:val="left"/>
        <w:rPr>
          <w:rFonts w:ascii="仿宋" w:hAnsi="仿宋" w:eastAsia="仿宋" w:cs="仿宋"/>
          <w:sz w:val="24"/>
        </w:rPr>
      </w:pPr>
      <w:r>
        <w:rPr>
          <w:rFonts w:hint="eastAsia" w:ascii="仿宋" w:hAnsi="仿宋" w:eastAsia="仿宋" w:cs="仿宋"/>
          <w:sz w:val="24"/>
        </w:rPr>
        <w:t>（9）政府采购合同约定的其他要求及投标文件响应的其他标准。</w:t>
      </w:r>
    </w:p>
    <w:p>
      <w:pPr>
        <w:spacing w:before="120" w:line="320" w:lineRule="exact"/>
        <w:ind w:firstLine="480" w:firstLineChars="200"/>
        <w:jc w:val="left"/>
        <w:rPr>
          <w:rFonts w:ascii="仿宋" w:hAnsi="仿宋" w:eastAsia="仿宋" w:cs="仿宋"/>
          <w:sz w:val="24"/>
        </w:rPr>
      </w:pPr>
      <w:r>
        <w:rPr>
          <w:rFonts w:hint="eastAsia" w:ascii="仿宋" w:hAnsi="仿宋" w:eastAsia="仿宋" w:cs="仿宋"/>
          <w:sz w:val="24"/>
        </w:rPr>
        <w:t>工程类验收标准：</w:t>
      </w:r>
    </w:p>
    <w:p>
      <w:pPr>
        <w:spacing w:before="120" w:line="320" w:lineRule="exact"/>
        <w:ind w:firstLine="480" w:firstLineChars="200"/>
        <w:jc w:val="left"/>
        <w:rPr>
          <w:rFonts w:ascii="仿宋" w:hAnsi="仿宋" w:eastAsia="仿宋" w:cs="仿宋"/>
          <w:b/>
          <w:bCs/>
          <w:sz w:val="24"/>
        </w:rPr>
      </w:pPr>
      <w:r>
        <w:rPr>
          <w:rFonts w:hint="eastAsia" w:ascii="仿宋" w:hAnsi="仿宋" w:eastAsia="仿宋" w:cs="仿宋"/>
          <w:sz w:val="24"/>
        </w:rPr>
        <w:t>符合行业管理部门规定的标准及规范，达到工程项目设计的要求并通过项目最终竣工验收。</w:t>
      </w:r>
    </w:p>
    <w:p>
      <w:pPr>
        <w:spacing w:before="120" w:line="320" w:lineRule="exact"/>
        <w:jc w:val="left"/>
        <w:outlineLvl w:val="2"/>
        <w:rPr>
          <w:rFonts w:ascii="仿宋" w:hAnsi="仿宋" w:eastAsia="仿宋" w:cs="仿宋"/>
          <w:b/>
          <w:bCs/>
          <w:sz w:val="24"/>
        </w:rPr>
      </w:pPr>
      <w:bookmarkStart w:id="250" w:name="_Toc11267"/>
      <w:r>
        <w:rPr>
          <w:rFonts w:hint="eastAsia" w:ascii="仿宋" w:hAnsi="仿宋" w:eastAsia="仿宋" w:cs="仿宋"/>
          <w:b/>
          <w:bCs/>
          <w:sz w:val="24"/>
        </w:rPr>
        <w:t>8.履约验收其他事项</w:t>
      </w:r>
      <w:bookmarkEnd w:id="250"/>
    </w:p>
    <w:p>
      <w:pPr>
        <w:spacing w:before="120" w:line="320" w:lineRule="exact"/>
        <w:rPr>
          <w:rFonts w:ascii="仿宋" w:hAnsi="仿宋" w:eastAsia="仿宋" w:cs="仿宋"/>
          <w:sz w:val="24"/>
          <w:u w:val="single"/>
        </w:rPr>
      </w:pPr>
      <w:r>
        <w:rPr>
          <w:rFonts w:hint="eastAsia" w:ascii="仿宋" w:hAnsi="仿宋" w:eastAsia="仿宋" w:cs="仿宋"/>
          <w:sz w:val="24"/>
          <w:u w:val="single"/>
        </w:rPr>
        <w:br w:type="page"/>
      </w:r>
    </w:p>
    <w:bookmarkEnd w:id="241"/>
    <w:bookmarkEnd w:id="242"/>
    <w:p>
      <w:pPr>
        <w:snapToGrid w:val="0"/>
        <w:spacing w:line="360" w:lineRule="exact"/>
        <w:jc w:val="center"/>
        <w:outlineLvl w:val="0"/>
        <w:rPr>
          <w:rFonts w:ascii="仿宋" w:hAnsi="仿宋" w:eastAsia="仿宋" w:cs="仿宋"/>
          <w:b/>
          <w:bCs/>
          <w:sz w:val="24"/>
        </w:rPr>
      </w:pPr>
      <w:bookmarkStart w:id="251" w:name="_Toc14302"/>
      <w:r>
        <w:rPr>
          <w:rFonts w:hint="eastAsia" w:ascii="仿宋" w:hAnsi="仿宋" w:eastAsia="仿宋" w:cs="仿宋"/>
          <w:b/>
          <w:bCs/>
          <w:sz w:val="24"/>
        </w:rPr>
        <w:t>广西壮族自治区政府采购项目合同验收书</w:t>
      </w:r>
      <w:bookmarkEnd w:id="251"/>
    </w:p>
    <w:p>
      <w:pPr>
        <w:widowControl/>
        <w:snapToGrid w:val="0"/>
        <w:spacing w:before="100" w:beforeAutospacing="1" w:after="100" w:afterAutospacing="1" w:line="320" w:lineRule="exact"/>
        <w:ind w:left="-359" w:leftChars="-171" w:firstLine="480" w:firstLineChars="200"/>
        <w:jc w:val="left"/>
        <w:rPr>
          <w:rFonts w:ascii="仿宋" w:hAnsi="仿宋" w:eastAsia="仿宋" w:cs="仿宋"/>
          <w:kern w:val="0"/>
          <w:sz w:val="24"/>
        </w:rPr>
      </w:pPr>
      <w:r>
        <w:rPr>
          <w:rFonts w:hint="eastAsia" w:ascii="仿宋" w:hAnsi="仿宋" w:eastAsia="仿宋" w:cs="仿宋"/>
          <w:kern w:val="0"/>
          <w:sz w:val="24"/>
        </w:rPr>
        <w:t>根据政府采购项目（</w:t>
      </w:r>
      <w:r>
        <w:rPr>
          <w:rFonts w:hint="eastAsia" w:ascii="仿宋" w:hAnsi="仿宋" w:eastAsia="仿宋" w:cs="仿宋"/>
          <w:kern w:val="0"/>
          <w:sz w:val="24"/>
          <w:u w:val="single"/>
        </w:rPr>
        <w:t>采购合同编号：</w:t>
      </w:r>
      <w:r>
        <w:rPr>
          <w:rFonts w:hint="eastAsia" w:ascii="仿宋" w:hAnsi="仿宋" w:eastAsia="仿宋" w:cs="仿宋"/>
          <w:sz w:val="24"/>
          <w:u w:val="single"/>
        </w:rPr>
        <w:t>GXZC20XX-XX-XXXXX-JDZB</w:t>
      </w:r>
      <w:r>
        <w:rPr>
          <w:rFonts w:hint="eastAsia" w:ascii="仿宋" w:hAnsi="仿宋" w:eastAsia="仿宋" w:cs="仿宋"/>
          <w:kern w:val="0"/>
          <w:sz w:val="24"/>
        </w:rPr>
        <w:t>）的约定，我单位对（</w:t>
      </w:r>
      <w:r>
        <w:rPr>
          <w:rFonts w:hint="eastAsia" w:ascii="仿宋" w:hAnsi="仿宋" w:eastAsia="仿宋" w:cs="仿宋"/>
          <w:sz w:val="24"/>
          <w:u w:val="single"/>
        </w:rPr>
        <w:t>XXXX采购项目</w:t>
      </w:r>
      <w:r>
        <w:rPr>
          <w:rFonts w:hint="eastAsia" w:ascii="仿宋" w:hAnsi="仿宋" w:eastAsia="仿宋" w:cs="仿宋"/>
          <w:kern w:val="0"/>
          <w:sz w:val="24"/>
        </w:rPr>
        <w:t>）政府采购项目中标（或成交）供应商</w:t>
      </w:r>
      <w:r>
        <w:rPr>
          <w:rFonts w:hint="eastAsia" w:ascii="仿宋" w:hAnsi="仿宋" w:eastAsia="仿宋" w:cs="仿宋"/>
          <w:kern w:val="0"/>
          <w:sz w:val="24"/>
          <w:u w:val="single"/>
        </w:rPr>
        <w:t>XX公司（填写供应商名称）</w:t>
      </w:r>
      <w:r>
        <w:rPr>
          <w:rFonts w:hint="eastAsia" w:ascii="仿宋" w:hAnsi="仿宋" w:eastAsia="仿宋" w:cs="仿宋"/>
          <w:kern w:val="0"/>
          <w:sz w:val="24"/>
        </w:rPr>
        <w:t>提供的货物（或工程、服务）进行了验收，验收情况如下：</w:t>
      </w:r>
    </w:p>
    <w:tbl>
      <w:tblPr>
        <w:tblStyle w:val="54"/>
        <w:tblW w:w="951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53"/>
        <w:gridCol w:w="857"/>
        <w:gridCol w:w="966"/>
        <w:gridCol w:w="2237"/>
        <w:gridCol w:w="1590"/>
        <w:gridCol w:w="840"/>
        <w:gridCol w:w="239"/>
        <w:gridCol w:w="21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0" w:hRule="atLeast"/>
          <w:jc w:val="center"/>
        </w:trPr>
        <w:tc>
          <w:tcPr>
            <w:tcW w:w="2476" w:type="dxa"/>
            <w:gridSpan w:val="3"/>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4" w:firstLineChars="2"/>
              <w:jc w:val="center"/>
              <w:rPr>
                <w:rFonts w:ascii="仿宋" w:hAnsi="仿宋" w:eastAsia="仿宋" w:cs="仿宋"/>
                <w:kern w:val="0"/>
                <w:sz w:val="24"/>
              </w:rPr>
            </w:pPr>
            <w:r>
              <w:rPr>
                <w:rFonts w:hint="eastAsia" w:ascii="仿宋" w:hAnsi="仿宋" w:eastAsia="仿宋" w:cs="仿宋"/>
                <w:kern w:val="0"/>
                <w:sz w:val="24"/>
              </w:rPr>
              <w:t>验收方式：</w:t>
            </w:r>
          </w:p>
        </w:tc>
        <w:tc>
          <w:tcPr>
            <w:tcW w:w="7043" w:type="dxa"/>
            <w:gridSpan w:val="5"/>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480" w:firstLineChars="200"/>
              <w:jc w:val="center"/>
              <w:rPr>
                <w:rFonts w:ascii="仿宋" w:hAnsi="仿宋" w:eastAsia="仿宋" w:cs="仿宋"/>
                <w:kern w:val="0"/>
                <w:sz w:val="24"/>
              </w:rPr>
            </w:pPr>
            <w:r>
              <w:rPr>
                <w:rFonts w:hint="eastAsia" w:ascii="仿宋" w:hAnsi="仿宋" w:eastAsia="仿宋" w:cs="仿宋"/>
                <w:sz w:val="24"/>
              </w:rPr>
              <w:t>□</w:t>
            </w:r>
            <w:r>
              <w:rPr>
                <w:rFonts w:hint="eastAsia" w:ascii="仿宋" w:hAnsi="仿宋" w:eastAsia="仿宋" w:cs="仿宋"/>
                <w:kern w:val="0"/>
                <w:sz w:val="24"/>
              </w:rPr>
              <w:t>自行验收        </w:t>
            </w:r>
            <w:r>
              <w:rPr>
                <w:rFonts w:hint="eastAsia" w:ascii="仿宋" w:hAnsi="仿宋" w:eastAsia="仿宋" w:cs="仿宋"/>
                <w:sz w:val="24"/>
              </w:rPr>
              <w:sym w:font="Wingdings 2" w:char="00A3"/>
            </w:r>
            <w:r>
              <w:rPr>
                <w:rFonts w:hint="eastAsia" w:ascii="仿宋" w:hAnsi="仿宋" w:eastAsia="仿宋" w:cs="仿宋"/>
                <w:kern w:val="0"/>
                <w:sz w:val="24"/>
              </w:rPr>
              <w:t>委托验收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0" w:hRule="atLeast"/>
          <w:jc w:val="center"/>
        </w:trPr>
        <w:tc>
          <w:tcPr>
            <w:tcW w:w="653"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firstLine="2" w:firstLineChars="1"/>
              <w:jc w:val="center"/>
              <w:rPr>
                <w:rFonts w:ascii="仿宋" w:hAnsi="仿宋" w:eastAsia="仿宋" w:cs="仿宋"/>
                <w:kern w:val="0"/>
                <w:sz w:val="24"/>
              </w:rPr>
            </w:pPr>
            <w:r>
              <w:rPr>
                <w:rFonts w:hint="eastAsia" w:ascii="仿宋" w:hAnsi="仿宋" w:eastAsia="仿宋" w:cs="仿宋"/>
                <w:kern w:val="0"/>
                <w:sz w:val="24"/>
              </w:rPr>
              <w:t>序号</w:t>
            </w:r>
          </w:p>
        </w:tc>
        <w:tc>
          <w:tcPr>
            <w:tcW w:w="1823"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2" w:firstLineChars="1"/>
              <w:jc w:val="center"/>
              <w:rPr>
                <w:rFonts w:ascii="仿宋" w:hAnsi="仿宋" w:eastAsia="仿宋" w:cs="仿宋"/>
                <w:kern w:val="0"/>
                <w:sz w:val="24"/>
              </w:rPr>
            </w:pPr>
            <w:r>
              <w:rPr>
                <w:rFonts w:hint="eastAsia" w:ascii="仿宋" w:hAnsi="仿宋" w:eastAsia="仿宋" w:cs="仿宋"/>
                <w:kern w:val="0"/>
                <w:sz w:val="24"/>
              </w:rPr>
              <w:t>名  称</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2" w:firstLineChars="1"/>
              <w:jc w:val="center"/>
              <w:rPr>
                <w:rFonts w:ascii="仿宋" w:hAnsi="仿宋" w:eastAsia="仿宋" w:cs="仿宋"/>
                <w:kern w:val="0"/>
                <w:sz w:val="24"/>
              </w:rPr>
            </w:pPr>
            <w:r>
              <w:rPr>
                <w:rFonts w:hint="eastAsia" w:ascii="仿宋" w:hAnsi="仿宋" w:eastAsia="仿宋" w:cs="仿宋"/>
                <w:kern w:val="0"/>
                <w:sz w:val="24"/>
              </w:rPr>
              <w:t>货物型号规格、标准及配置等（或服务内容、标准）</w:t>
            </w:r>
          </w:p>
        </w:tc>
        <w:tc>
          <w:tcPr>
            <w:tcW w:w="840"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jc w:val="center"/>
              <w:rPr>
                <w:rFonts w:ascii="仿宋" w:hAnsi="仿宋" w:eastAsia="仿宋" w:cs="仿宋"/>
                <w:kern w:val="0"/>
                <w:sz w:val="24"/>
              </w:rPr>
            </w:pPr>
            <w:r>
              <w:rPr>
                <w:rFonts w:hint="eastAsia" w:ascii="仿宋" w:hAnsi="仿宋" w:eastAsia="仿宋" w:cs="仿宋"/>
                <w:kern w:val="0"/>
                <w:sz w:val="24"/>
              </w:rPr>
              <w:t>数量</w:t>
            </w:r>
          </w:p>
        </w:tc>
        <w:tc>
          <w:tcPr>
            <w:tcW w:w="2376"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2" w:firstLineChars="1"/>
              <w:jc w:val="center"/>
              <w:rPr>
                <w:rFonts w:ascii="仿宋" w:hAnsi="仿宋" w:eastAsia="仿宋" w:cs="仿宋"/>
                <w:kern w:val="0"/>
                <w:sz w:val="24"/>
              </w:rPr>
            </w:pPr>
            <w:r>
              <w:rPr>
                <w:rFonts w:hint="eastAsia" w:ascii="仿宋" w:hAnsi="仿宋" w:eastAsia="仿宋" w:cs="仿宋"/>
                <w:kern w:val="0"/>
                <w:sz w:val="24"/>
              </w:rPr>
              <w:t>金  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0" w:hRule="atLeast"/>
          <w:jc w:val="center"/>
        </w:trPr>
        <w:tc>
          <w:tcPr>
            <w:tcW w:w="653"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4" w:firstLineChars="2"/>
              <w:jc w:val="center"/>
              <w:rPr>
                <w:rFonts w:ascii="仿宋" w:hAnsi="仿宋" w:eastAsia="仿宋" w:cs="仿宋"/>
                <w:kern w:val="0"/>
                <w:sz w:val="24"/>
              </w:rPr>
            </w:pPr>
            <w:r>
              <w:rPr>
                <w:rFonts w:hint="eastAsia" w:ascii="仿宋" w:hAnsi="仿宋" w:eastAsia="仿宋" w:cs="仿宋"/>
                <w:kern w:val="0"/>
                <w:sz w:val="24"/>
              </w:rPr>
              <w:t>1</w:t>
            </w:r>
          </w:p>
        </w:tc>
        <w:tc>
          <w:tcPr>
            <w:tcW w:w="1823"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left="-3" w:firstLine="480" w:firstLineChars="200"/>
              <w:jc w:val="left"/>
              <w:rPr>
                <w:rFonts w:ascii="仿宋" w:hAnsi="仿宋" w:eastAsia="仿宋" w:cs="仿宋"/>
                <w:kern w:val="0"/>
                <w:sz w:val="24"/>
              </w:rPr>
            </w:pPr>
            <w:r>
              <w:rPr>
                <w:rFonts w:hint="eastAsia" w:ascii="仿宋" w:hAnsi="仿宋" w:eastAsia="仿宋" w:cs="仿宋"/>
                <w:kern w:val="0"/>
                <w:sz w:val="24"/>
              </w:rPr>
              <w:t>XXXX</w:t>
            </w:r>
          </w:p>
        </w:tc>
        <w:tc>
          <w:tcPr>
            <w:tcW w:w="3827" w:type="dxa"/>
            <w:gridSpan w:val="2"/>
            <w:tcBorders>
              <w:top w:val="single" w:color="auto" w:sz="8" w:space="0"/>
              <w:left w:val="single" w:color="auto" w:sz="8" w:space="0"/>
              <w:bottom w:val="single" w:color="auto" w:sz="8" w:space="0"/>
              <w:right w:val="single" w:color="auto" w:sz="8" w:space="0"/>
            </w:tcBorders>
            <w:vAlign w:val="center"/>
          </w:tcPr>
          <w:p>
            <w:pPr>
              <w:pStyle w:val="139"/>
              <w:ind w:firstLine="0" w:firstLineChars="0"/>
              <w:rPr>
                <w:rFonts w:ascii="仿宋" w:hAnsi="仿宋" w:eastAsia="仿宋" w:cs="仿宋"/>
                <w:szCs w:val="24"/>
              </w:rPr>
            </w:pPr>
          </w:p>
        </w:tc>
        <w:tc>
          <w:tcPr>
            <w:tcW w:w="840"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jc w:val="center"/>
              <w:rPr>
                <w:rFonts w:ascii="仿宋" w:hAnsi="仿宋" w:eastAsia="仿宋" w:cs="仿宋"/>
                <w:kern w:val="0"/>
                <w:sz w:val="24"/>
              </w:rPr>
            </w:pPr>
            <w:r>
              <w:rPr>
                <w:rFonts w:hint="eastAsia" w:ascii="仿宋" w:hAnsi="仿宋" w:eastAsia="仿宋" w:cs="仿宋"/>
                <w:kern w:val="0"/>
                <w:sz w:val="24"/>
              </w:rPr>
              <w:t>1套</w:t>
            </w:r>
          </w:p>
        </w:tc>
        <w:tc>
          <w:tcPr>
            <w:tcW w:w="2376" w:type="dxa"/>
            <w:gridSpan w:val="2"/>
            <w:tcBorders>
              <w:top w:val="single" w:color="auto" w:sz="8" w:space="0"/>
              <w:left w:val="single" w:color="auto" w:sz="8" w:space="0"/>
              <w:bottom w:val="single" w:color="auto" w:sz="8" w:space="0"/>
              <w:right w:val="single" w:color="auto" w:sz="8" w:space="0"/>
            </w:tcBorders>
            <w:vAlign w:val="center"/>
          </w:tcPr>
          <w:p>
            <w:pPr>
              <w:pStyle w:val="139"/>
              <w:ind w:firstLine="0" w:firstLineChars="0"/>
              <w:jc w:val="center"/>
              <w:rPr>
                <w:rFonts w:ascii="仿宋" w:hAnsi="仿宋" w:eastAsia="仿宋" w:cs="仿宋"/>
                <w:szCs w:val="24"/>
              </w:rPr>
            </w:pPr>
            <w:r>
              <w:rPr>
                <w:rFonts w:hint="eastAsia" w:ascii="仿宋" w:hAnsi="仿宋" w:eastAsia="仿宋" w:cs="仿宋"/>
                <w:szCs w:val="24"/>
              </w:rPr>
              <w:t>¥0.00元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0" w:hRule="atLeast"/>
          <w:jc w:val="center"/>
        </w:trPr>
        <w:tc>
          <w:tcPr>
            <w:tcW w:w="6303" w:type="dxa"/>
            <w:gridSpan w:val="5"/>
            <w:tcBorders>
              <w:top w:val="single" w:color="auto" w:sz="8" w:space="0"/>
              <w:left w:val="single" w:color="auto" w:sz="8" w:space="0"/>
              <w:bottom w:val="single" w:color="auto" w:sz="8" w:space="0"/>
              <w:right w:val="single" w:color="auto" w:sz="8" w:space="0"/>
            </w:tcBorders>
            <w:vAlign w:val="center"/>
          </w:tcPr>
          <w:p>
            <w:pPr>
              <w:pStyle w:val="139"/>
              <w:ind w:firstLine="0" w:firstLineChars="0"/>
              <w:jc w:val="center"/>
              <w:rPr>
                <w:rFonts w:ascii="仿宋" w:hAnsi="仿宋" w:eastAsia="仿宋" w:cs="仿宋"/>
                <w:szCs w:val="24"/>
              </w:rPr>
            </w:pPr>
            <w:r>
              <w:rPr>
                <w:rFonts w:hint="eastAsia" w:ascii="仿宋" w:hAnsi="仿宋" w:eastAsia="仿宋" w:cs="仿宋"/>
                <w:szCs w:val="24"/>
              </w:rPr>
              <w:t>合计</w:t>
            </w:r>
          </w:p>
        </w:tc>
        <w:tc>
          <w:tcPr>
            <w:tcW w:w="840" w:type="dxa"/>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jc w:val="center"/>
              <w:rPr>
                <w:rFonts w:ascii="仿宋" w:hAnsi="仿宋" w:eastAsia="仿宋" w:cs="仿宋"/>
                <w:kern w:val="0"/>
                <w:sz w:val="24"/>
              </w:rPr>
            </w:pPr>
          </w:p>
        </w:tc>
        <w:tc>
          <w:tcPr>
            <w:tcW w:w="2376" w:type="dxa"/>
            <w:gridSpan w:val="2"/>
            <w:tcBorders>
              <w:top w:val="single" w:color="auto" w:sz="8" w:space="0"/>
              <w:left w:val="single" w:color="auto" w:sz="8" w:space="0"/>
              <w:bottom w:val="single" w:color="auto" w:sz="8" w:space="0"/>
              <w:right w:val="single" w:color="auto" w:sz="8" w:space="0"/>
            </w:tcBorders>
            <w:vAlign w:val="center"/>
          </w:tcPr>
          <w:p>
            <w:pPr>
              <w:pStyle w:val="139"/>
              <w:ind w:firstLine="0" w:firstLineChars="0"/>
              <w:jc w:val="center"/>
              <w:rPr>
                <w:rFonts w:ascii="仿宋" w:hAnsi="仿宋" w:eastAsia="仿宋" w:cs="仿宋"/>
                <w:szCs w:val="24"/>
              </w:rPr>
            </w:pPr>
            <w:r>
              <w:rPr>
                <w:rFonts w:hint="eastAsia" w:ascii="仿宋" w:hAnsi="仿宋" w:eastAsia="仿宋" w:cs="仿宋"/>
                <w:szCs w:val="24"/>
              </w:rPr>
              <w:t>¥0.00元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0" w:hRule="atLeast"/>
          <w:jc w:val="center"/>
        </w:trPr>
        <w:tc>
          <w:tcPr>
            <w:tcW w:w="9519" w:type="dxa"/>
            <w:gridSpan w:val="8"/>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firstLine="2" w:firstLineChars="1"/>
              <w:jc w:val="left"/>
              <w:rPr>
                <w:rFonts w:ascii="仿宋" w:hAnsi="仿宋" w:eastAsia="仿宋" w:cs="仿宋"/>
                <w:kern w:val="0"/>
                <w:sz w:val="24"/>
              </w:rPr>
            </w:pPr>
            <w:r>
              <w:rPr>
                <w:rFonts w:hint="eastAsia" w:ascii="仿宋" w:hAnsi="仿宋" w:eastAsia="仿宋" w:cs="仿宋"/>
                <w:kern w:val="0"/>
                <w:sz w:val="24"/>
              </w:rPr>
              <w:t>合计大写金额：人民币元整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0" w:hRule="atLeast"/>
          <w:jc w:val="center"/>
        </w:trPr>
        <w:tc>
          <w:tcPr>
            <w:tcW w:w="1510" w:type="dxa"/>
            <w:gridSpan w:val="2"/>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exact"/>
              <w:ind w:firstLine="2" w:firstLineChars="1"/>
              <w:jc w:val="left"/>
              <w:rPr>
                <w:rFonts w:ascii="仿宋" w:hAnsi="仿宋" w:eastAsia="仿宋" w:cs="仿宋"/>
                <w:kern w:val="0"/>
                <w:sz w:val="24"/>
              </w:rPr>
            </w:pPr>
            <w:r>
              <w:rPr>
                <w:rFonts w:hint="eastAsia" w:ascii="仿宋" w:hAnsi="仿宋" w:eastAsia="仿宋" w:cs="仿宋"/>
                <w:kern w:val="0"/>
                <w:sz w:val="24"/>
              </w:rPr>
              <w:t>实际供货日期</w:t>
            </w:r>
          </w:p>
        </w:tc>
        <w:tc>
          <w:tcPr>
            <w:tcW w:w="3203" w:type="dxa"/>
            <w:gridSpan w:val="2"/>
            <w:tcBorders>
              <w:top w:val="single" w:color="auto" w:sz="8" w:space="0"/>
              <w:left w:val="single" w:color="auto" w:sz="8" w:space="0"/>
              <w:bottom w:val="single" w:color="auto" w:sz="8" w:space="0"/>
              <w:right w:val="single" w:color="auto" w:sz="8" w:space="0"/>
            </w:tcBorders>
            <w:vAlign w:val="center"/>
          </w:tcPr>
          <w:p>
            <w:pPr>
              <w:snapToGrid w:val="0"/>
              <w:spacing w:before="100" w:beforeAutospacing="1" w:after="100" w:afterAutospacing="1" w:line="320" w:lineRule="exact"/>
              <w:ind w:firstLine="480" w:firstLineChars="200"/>
              <w:jc w:val="left"/>
              <w:rPr>
                <w:rFonts w:ascii="仿宋" w:hAnsi="仿宋" w:eastAsia="仿宋" w:cs="仿宋"/>
                <w:kern w:val="0"/>
                <w:sz w:val="24"/>
              </w:rPr>
            </w:pPr>
            <w:r>
              <w:rPr>
                <w:rFonts w:hint="eastAsia" w:ascii="仿宋" w:hAnsi="仿宋" w:eastAsia="仿宋" w:cs="仿宋"/>
                <w:kern w:val="0"/>
                <w:sz w:val="24"/>
              </w:rPr>
              <w:t>20  年  月  日</w:t>
            </w:r>
          </w:p>
        </w:tc>
        <w:tc>
          <w:tcPr>
            <w:tcW w:w="2669" w:type="dxa"/>
            <w:gridSpan w:val="3"/>
            <w:tcBorders>
              <w:top w:val="single" w:color="auto" w:sz="8" w:space="0"/>
              <w:left w:val="single" w:color="auto" w:sz="8" w:space="0"/>
              <w:bottom w:val="single" w:color="auto" w:sz="8" w:space="0"/>
              <w:right w:val="single" w:color="auto" w:sz="8" w:space="0"/>
            </w:tcBorders>
            <w:vAlign w:val="center"/>
          </w:tcPr>
          <w:p>
            <w:pPr>
              <w:snapToGrid w:val="0"/>
              <w:spacing w:before="100" w:beforeAutospacing="1" w:after="100" w:afterAutospacing="1" w:line="320" w:lineRule="exact"/>
              <w:ind w:firstLine="45" w:firstLineChars="19"/>
              <w:jc w:val="center"/>
              <w:rPr>
                <w:rFonts w:ascii="仿宋" w:hAnsi="仿宋" w:eastAsia="仿宋" w:cs="仿宋"/>
                <w:kern w:val="0"/>
                <w:sz w:val="24"/>
              </w:rPr>
            </w:pPr>
            <w:r>
              <w:rPr>
                <w:rFonts w:hint="eastAsia" w:ascii="仿宋" w:hAnsi="仿宋" w:eastAsia="仿宋" w:cs="仿宋"/>
                <w:kern w:val="0"/>
                <w:sz w:val="24"/>
              </w:rPr>
              <w:t>合同交货验收日期</w:t>
            </w:r>
          </w:p>
        </w:tc>
        <w:tc>
          <w:tcPr>
            <w:tcW w:w="2137" w:type="dxa"/>
            <w:tcBorders>
              <w:top w:val="single" w:color="auto" w:sz="8" w:space="0"/>
              <w:left w:val="single" w:color="auto" w:sz="8" w:space="0"/>
              <w:bottom w:val="single" w:color="auto" w:sz="8" w:space="0"/>
              <w:right w:val="single" w:color="auto" w:sz="8" w:space="0"/>
            </w:tcBorders>
            <w:vAlign w:val="center"/>
          </w:tcPr>
          <w:p>
            <w:pPr>
              <w:snapToGrid w:val="0"/>
              <w:spacing w:before="100" w:beforeAutospacing="1" w:after="100" w:afterAutospacing="1" w:line="320" w:lineRule="exact"/>
              <w:jc w:val="left"/>
              <w:rPr>
                <w:rFonts w:ascii="仿宋" w:hAnsi="仿宋" w:eastAsia="仿宋" w:cs="仿宋"/>
                <w:kern w:val="0"/>
                <w:sz w:val="24"/>
              </w:rPr>
            </w:pPr>
            <w:r>
              <w:rPr>
                <w:rFonts w:hint="eastAsia" w:ascii="仿宋" w:hAnsi="仿宋" w:eastAsia="仿宋" w:cs="仿宋"/>
                <w:kern w:val="0"/>
                <w:sz w:val="24"/>
              </w:rPr>
              <w:t>20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0" w:hRule="atLeast"/>
          <w:jc w:val="center"/>
        </w:trPr>
        <w:tc>
          <w:tcPr>
            <w:tcW w:w="151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exact"/>
              <w:jc w:val="left"/>
              <w:rPr>
                <w:rFonts w:ascii="仿宋" w:hAnsi="仿宋" w:eastAsia="仿宋" w:cs="仿宋"/>
                <w:kern w:val="0"/>
                <w:sz w:val="24"/>
              </w:rPr>
            </w:pPr>
            <w:r>
              <w:rPr>
                <w:rFonts w:hint="eastAsia" w:ascii="仿宋" w:hAnsi="仿宋" w:eastAsia="仿宋" w:cs="仿宋"/>
                <w:kern w:val="0"/>
                <w:sz w:val="24"/>
              </w:rPr>
              <w:t>验收具体内容</w:t>
            </w:r>
          </w:p>
        </w:tc>
        <w:tc>
          <w:tcPr>
            <w:tcW w:w="8009"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39"/>
              <w:ind w:firstLine="0" w:firstLineChars="0"/>
              <w:rPr>
                <w:rFonts w:ascii="仿宋" w:hAnsi="仿宋" w:eastAsia="仿宋" w:cs="仿宋"/>
                <w:szCs w:val="24"/>
              </w:rPr>
            </w:pPr>
            <w:r>
              <w:rPr>
                <w:rFonts w:hint="eastAsia" w:ascii="仿宋" w:hAnsi="仿宋" w:eastAsia="仿宋" w:cs="仿宋"/>
                <w:szCs w:val="24"/>
              </w:rPr>
              <w:t>1.中标人所供货的1套设备的技术性能能满足采购合同约定的技术标准。</w:t>
            </w:r>
          </w:p>
          <w:p>
            <w:pPr>
              <w:pStyle w:val="139"/>
              <w:ind w:firstLine="0" w:firstLineChars="0"/>
              <w:rPr>
                <w:rFonts w:ascii="仿宋" w:hAnsi="仿宋" w:eastAsia="仿宋" w:cs="仿宋"/>
                <w:szCs w:val="24"/>
              </w:rPr>
            </w:pPr>
            <w:r>
              <w:rPr>
                <w:rFonts w:hint="eastAsia" w:ascii="仿宋" w:hAnsi="仿宋" w:eastAsia="仿宋" w:cs="仿宋"/>
                <w:szCs w:val="24"/>
              </w:rPr>
              <w:t>2.中标人对设备的安装调试符合合同约定或服务规范的要求。</w:t>
            </w:r>
          </w:p>
          <w:p>
            <w:pPr>
              <w:pStyle w:val="139"/>
              <w:ind w:firstLine="0" w:firstLineChars="0"/>
              <w:rPr>
                <w:rFonts w:ascii="仿宋" w:hAnsi="仿宋" w:eastAsia="仿宋" w:cs="仿宋"/>
                <w:szCs w:val="24"/>
              </w:rPr>
            </w:pPr>
            <w:r>
              <w:rPr>
                <w:rFonts w:hint="eastAsia" w:ascii="仿宋" w:hAnsi="仿宋" w:eastAsia="仿宋" w:cs="仿宋"/>
                <w:szCs w:val="24"/>
              </w:rPr>
              <w:t>3.中标人提供的质量保证证明材料齐全。</w:t>
            </w:r>
          </w:p>
          <w:p>
            <w:pPr>
              <w:pStyle w:val="139"/>
              <w:ind w:firstLine="0" w:firstLineChars="0"/>
              <w:rPr>
                <w:rFonts w:ascii="仿宋" w:hAnsi="仿宋" w:eastAsia="仿宋" w:cs="仿宋"/>
                <w:szCs w:val="24"/>
              </w:rPr>
            </w:pPr>
            <w:r>
              <w:rPr>
                <w:rFonts w:hint="eastAsia" w:ascii="仿宋" w:hAnsi="仿宋" w:eastAsia="仿宋" w:cs="仿宋"/>
                <w:szCs w:val="24"/>
              </w:rPr>
              <w:t>验收过程材料详见验收书附件《验收书附表——商务（服务）验收》以及《验收书附表——技术验收、安全验收》。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0" w:hRule="atLeast"/>
          <w:jc w:val="center"/>
        </w:trPr>
        <w:tc>
          <w:tcPr>
            <w:tcW w:w="1510"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exact"/>
              <w:jc w:val="left"/>
              <w:rPr>
                <w:rFonts w:ascii="仿宋" w:hAnsi="仿宋" w:eastAsia="仿宋" w:cs="仿宋"/>
                <w:kern w:val="0"/>
                <w:sz w:val="24"/>
              </w:rPr>
            </w:pPr>
            <w:r>
              <w:rPr>
                <w:rFonts w:hint="eastAsia" w:ascii="仿宋" w:hAnsi="仿宋" w:eastAsia="仿宋" w:cs="仿宋"/>
                <w:kern w:val="0"/>
                <w:sz w:val="24"/>
              </w:rPr>
              <w:t>验收小组意见</w:t>
            </w:r>
          </w:p>
        </w:tc>
        <w:tc>
          <w:tcPr>
            <w:tcW w:w="8009" w:type="dxa"/>
            <w:gridSpan w:val="6"/>
            <w:tcBorders>
              <w:top w:val="single" w:color="auto" w:sz="8" w:space="0"/>
              <w:left w:val="single" w:color="auto" w:sz="8" w:space="0"/>
              <w:bottom w:val="single" w:color="auto" w:sz="4" w:space="0"/>
              <w:right w:val="single" w:color="auto" w:sz="8" w:space="0"/>
            </w:tcBorders>
            <w:vAlign w:val="center"/>
          </w:tcPr>
          <w:p>
            <w:pPr>
              <w:widowControl/>
              <w:spacing w:before="100" w:beforeAutospacing="1" w:after="100" w:afterAutospacing="1" w:line="320" w:lineRule="exact"/>
              <w:jc w:val="left"/>
              <w:rPr>
                <w:rFonts w:ascii="仿宋" w:hAnsi="仿宋" w:eastAsia="仿宋" w:cs="仿宋"/>
                <w:kern w:val="0"/>
                <w:sz w:val="24"/>
              </w:rPr>
            </w:pPr>
            <w:r>
              <w:rPr>
                <w:rFonts w:hint="eastAsia" w:ascii="仿宋" w:hAnsi="仿宋" w:eastAsia="仿宋" w:cs="仿宋"/>
                <w:kern w:val="0"/>
                <w:sz w:val="24"/>
              </w:rPr>
              <w:t>验收结论性意见：同意（不同意）通过项目验收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0" w:hRule="atLeast"/>
          <w:jc w:val="center"/>
        </w:trPr>
        <w:tc>
          <w:tcPr>
            <w:tcW w:w="1510"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spacing w:line="320" w:lineRule="exact"/>
              <w:jc w:val="left"/>
              <w:rPr>
                <w:rFonts w:ascii="仿宋" w:hAnsi="仿宋" w:eastAsia="仿宋" w:cs="仿宋"/>
                <w:kern w:val="0"/>
                <w:sz w:val="24"/>
              </w:rPr>
            </w:pPr>
          </w:p>
        </w:tc>
        <w:tc>
          <w:tcPr>
            <w:tcW w:w="8009" w:type="dxa"/>
            <w:gridSpan w:val="6"/>
            <w:tcBorders>
              <w:top w:val="single" w:color="auto" w:sz="4" w:space="0"/>
              <w:left w:val="single" w:color="auto" w:sz="8" w:space="0"/>
              <w:bottom w:val="single" w:color="auto" w:sz="8" w:space="0"/>
              <w:right w:val="single" w:color="auto" w:sz="8" w:space="0"/>
            </w:tcBorders>
            <w:vAlign w:val="center"/>
          </w:tcPr>
          <w:p>
            <w:pPr>
              <w:pStyle w:val="139"/>
              <w:ind w:firstLine="0" w:firstLineChars="0"/>
              <w:rPr>
                <w:rFonts w:ascii="仿宋" w:hAnsi="仿宋" w:eastAsia="仿宋" w:cs="仿宋"/>
                <w:szCs w:val="24"/>
              </w:rPr>
            </w:pPr>
            <w:r>
              <w:rPr>
                <w:rFonts w:hint="eastAsia" w:ascii="仿宋" w:hAnsi="仿宋" w:eastAsia="仿宋" w:cs="仿宋"/>
                <w:szCs w:val="24"/>
              </w:rPr>
              <w:t>有异议的意见和说明理由：</w:t>
            </w:r>
          </w:p>
          <w:p>
            <w:pPr>
              <w:pStyle w:val="139"/>
              <w:ind w:firstLine="6720" w:firstLineChars="2800"/>
              <w:rPr>
                <w:rFonts w:ascii="仿宋" w:hAnsi="仿宋" w:eastAsia="仿宋" w:cs="仿宋"/>
                <w:szCs w:val="24"/>
              </w:rPr>
            </w:pPr>
            <w:r>
              <w:rPr>
                <w:rFonts w:hint="eastAsia" w:ascii="仿宋" w:hAnsi="仿宋" w:eastAsia="仿宋" w:cs="仿宋"/>
                <w:szCs w:val="24"/>
              </w:rPr>
              <w:t>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0" w:hRule="atLeast"/>
          <w:jc w:val="center"/>
        </w:trPr>
        <w:tc>
          <w:tcPr>
            <w:tcW w:w="9519"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exact"/>
              <w:jc w:val="left"/>
              <w:rPr>
                <w:rFonts w:ascii="仿宋" w:hAnsi="仿宋" w:eastAsia="仿宋" w:cs="仿宋"/>
                <w:kern w:val="0"/>
                <w:sz w:val="24"/>
              </w:rPr>
            </w:pPr>
            <w:r>
              <w:rPr>
                <w:rFonts w:hint="eastAsia" w:ascii="仿宋" w:hAnsi="仿宋" w:eastAsia="仿宋" w:cs="仿宋"/>
                <w:kern w:val="0"/>
                <w:sz w:val="24"/>
              </w:rPr>
              <w:t>验收小组成员签字：</w:t>
            </w:r>
          </w:p>
          <w:p>
            <w:pPr>
              <w:widowControl/>
              <w:spacing w:before="100" w:beforeAutospacing="1" w:after="100" w:afterAutospacing="1" w:line="320" w:lineRule="exact"/>
              <w:jc w:val="left"/>
              <w:rPr>
                <w:rFonts w:ascii="仿宋" w:hAnsi="仿宋" w:eastAsia="仿宋" w:cs="仿宋"/>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0" w:hRule="atLeast"/>
          <w:jc w:val="center"/>
        </w:trPr>
        <w:tc>
          <w:tcPr>
            <w:tcW w:w="9519"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exact"/>
              <w:jc w:val="left"/>
              <w:rPr>
                <w:rFonts w:ascii="仿宋" w:hAnsi="仿宋" w:eastAsia="仿宋" w:cs="仿宋"/>
                <w:kern w:val="0"/>
                <w:sz w:val="24"/>
              </w:rPr>
            </w:pPr>
            <w:r>
              <w:rPr>
                <w:rFonts w:hint="eastAsia" w:ascii="仿宋" w:hAnsi="仿宋" w:eastAsia="仿宋" w:cs="仿宋"/>
                <w:kern w:val="0"/>
                <w:sz w:val="24"/>
              </w:rPr>
              <w:t>监督人员或其他相关人员签字：</w:t>
            </w:r>
          </w:p>
          <w:p>
            <w:pPr>
              <w:widowControl/>
              <w:spacing w:before="100" w:beforeAutospacing="1" w:after="100" w:afterAutospacing="1" w:line="320" w:lineRule="exact"/>
              <w:ind w:firstLine="74" w:firstLineChars="31"/>
              <w:jc w:val="left"/>
              <w:rPr>
                <w:rFonts w:ascii="仿宋" w:hAnsi="仿宋" w:eastAsia="仿宋" w:cs="仿宋"/>
                <w:kern w:val="0"/>
                <w:sz w:val="24"/>
              </w:rPr>
            </w:pPr>
            <w:r>
              <w:rPr>
                <w:rFonts w:hint="eastAsia" w:ascii="仿宋" w:hAnsi="仿宋" w:eastAsia="仿宋" w:cs="仿宋"/>
                <w:kern w:val="0"/>
                <w:sz w:val="24"/>
              </w:rPr>
              <w:t>或受邀机构的意见（盖章）：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0" w:hRule="atLeast"/>
          <w:jc w:val="center"/>
        </w:trPr>
        <w:tc>
          <w:tcPr>
            <w:tcW w:w="4713" w:type="dxa"/>
            <w:gridSpan w:val="4"/>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pPr>
              <w:widowControl/>
              <w:spacing w:before="100" w:beforeAutospacing="1" w:after="100" w:afterAutospacing="1" w:line="320" w:lineRule="exact"/>
              <w:ind w:firstLine="74" w:firstLineChars="31"/>
              <w:jc w:val="left"/>
              <w:rPr>
                <w:rFonts w:ascii="仿宋" w:hAnsi="仿宋" w:eastAsia="仿宋" w:cs="仿宋"/>
                <w:kern w:val="0"/>
                <w:sz w:val="24"/>
              </w:rPr>
            </w:pPr>
            <w:r>
              <w:rPr>
                <w:rFonts w:hint="eastAsia" w:ascii="仿宋" w:hAnsi="仿宋" w:eastAsia="仿宋" w:cs="仿宋"/>
                <w:kern w:val="0"/>
                <w:sz w:val="24"/>
              </w:rPr>
              <w:t>中标或者成交供应商负责人签字或盖章：</w:t>
            </w:r>
          </w:p>
          <w:p>
            <w:pPr>
              <w:widowControl/>
              <w:spacing w:before="100" w:beforeAutospacing="1" w:after="100" w:afterAutospacing="1" w:line="320" w:lineRule="exact"/>
              <w:jc w:val="left"/>
              <w:rPr>
                <w:rFonts w:ascii="仿宋" w:hAnsi="仿宋" w:eastAsia="仿宋" w:cs="仿宋"/>
                <w:kern w:val="0"/>
                <w:sz w:val="24"/>
              </w:rPr>
            </w:pPr>
            <w:r>
              <w:rPr>
                <w:rFonts w:hint="eastAsia" w:ascii="仿宋" w:hAnsi="仿宋" w:eastAsia="仿宋" w:cs="仿宋"/>
                <w:kern w:val="0"/>
                <w:sz w:val="24"/>
              </w:rPr>
              <w:t>联系电话：       年 月 日</w:t>
            </w:r>
          </w:p>
          <w:p>
            <w:pPr>
              <w:widowControl/>
              <w:spacing w:before="100" w:beforeAutospacing="1" w:after="100" w:afterAutospacing="1" w:line="320" w:lineRule="exact"/>
              <w:jc w:val="left"/>
              <w:rPr>
                <w:rFonts w:ascii="仿宋" w:hAnsi="仿宋" w:eastAsia="仿宋" w:cs="仿宋"/>
                <w:kern w:val="0"/>
                <w:sz w:val="24"/>
              </w:rPr>
            </w:pPr>
          </w:p>
          <w:p>
            <w:pPr>
              <w:widowControl/>
              <w:spacing w:before="100" w:beforeAutospacing="1" w:after="100" w:afterAutospacing="1" w:line="320" w:lineRule="exact"/>
              <w:ind w:firstLine="74" w:firstLineChars="31"/>
              <w:jc w:val="left"/>
              <w:rPr>
                <w:rFonts w:ascii="仿宋" w:hAnsi="仿宋" w:eastAsia="仿宋" w:cs="仿宋"/>
                <w:kern w:val="0"/>
                <w:sz w:val="24"/>
              </w:rPr>
            </w:pPr>
            <w:r>
              <w:rPr>
                <w:rFonts w:hint="eastAsia" w:ascii="仿宋" w:hAnsi="仿宋" w:eastAsia="仿宋" w:cs="仿宋"/>
                <w:kern w:val="0"/>
                <w:sz w:val="24"/>
              </w:rPr>
              <w:t>采购人签字或盖章：</w:t>
            </w:r>
          </w:p>
          <w:p>
            <w:pPr>
              <w:widowControl/>
              <w:spacing w:before="100" w:beforeAutospacing="1" w:after="100" w:afterAutospacing="1" w:line="320" w:lineRule="exact"/>
              <w:jc w:val="left"/>
              <w:rPr>
                <w:rFonts w:ascii="仿宋" w:hAnsi="仿宋" w:eastAsia="仿宋" w:cs="仿宋"/>
                <w:kern w:val="0"/>
                <w:sz w:val="24"/>
              </w:rPr>
            </w:pPr>
            <w:r>
              <w:rPr>
                <w:rFonts w:hint="eastAsia" w:ascii="仿宋" w:hAnsi="仿宋" w:eastAsia="仿宋" w:cs="仿宋"/>
                <w:kern w:val="0"/>
                <w:sz w:val="24"/>
              </w:rPr>
              <w:t>联系电话：        年 月 日</w:t>
            </w:r>
          </w:p>
        </w:tc>
        <w:tc>
          <w:tcPr>
            <w:tcW w:w="4806" w:type="dxa"/>
            <w:gridSpan w:val="4"/>
            <w:tcBorders>
              <w:top w:val="single" w:color="auto" w:sz="8" w:space="0"/>
              <w:left w:val="nil"/>
              <w:bottom w:val="single" w:color="auto" w:sz="8" w:space="0"/>
              <w:right w:val="single" w:color="auto" w:sz="8" w:space="0"/>
            </w:tcBorders>
            <w:vAlign w:val="center"/>
          </w:tcPr>
          <w:p>
            <w:pPr>
              <w:widowControl/>
              <w:spacing w:before="100" w:beforeAutospacing="1" w:after="100" w:afterAutospacing="1" w:line="320" w:lineRule="exact"/>
              <w:jc w:val="left"/>
              <w:rPr>
                <w:rFonts w:ascii="仿宋" w:hAnsi="仿宋" w:eastAsia="仿宋" w:cs="仿宋"/>
                <w:kern w:val="0"/>
                <w:sz w:val="24"/>
              </w:rPr>
            </w:pPr>
            <w:r>
              <w:rPr>
                <w:rFonts w:hint="eastAsia" w:ascii="仿宋" w:hAnsi="仿宋" w:eastAsia="仿宋" w:cs="仿宋"/>
                <w:kern w:val="0"/>
                <w:sz w:val="24"/>
              </w:rPr>
              <w:t> 受托机构的意见（盖章）：</w:t>
            </w:r>
          </w:p>
          <w:p>
            <w:pPr>
              <w:widowControl/>
              <w:spacing w:before="100" w:beforeAutospacing="1" w:after="100" w:afterAutospacing="1" w:line="320" w:lineRule="exact"/>
              <w:jc w:val="left"/>
              <w:rPr>
                <w:rFonts w:ascii="仿宋" w:hAnsi="仿宋" w:eastAsia="仿宋" w:cs="仿宋"/>
                <w:kern w:val="0"/>
                <w:sz w:val="24"/>
              </w:rPr>
            </w:pPr>
            <w:r>
              <w:rPr>
                <w:rFonts w:hint="eastAsia" w:ascii="仿宋" w:hAnsi="仿宋" w:eastAsia="仿宋" w:cs="仿宋"/>
                <w:kern w:val="0"/>
                <w:sz w:val="24"/>
              </w:rPr>
              <w:t>联系电话：年月日</w:t>
            </w:r>
          </w:p>
          <w:p>
            <w:pPr>
              <w:widowControl/>
              <w:spacing w:before="100" w:beforeAutospacing="1" w:after="100" w:afterAutospacing="1" w:line="320" w:lineRule="exact"/>
              <w:jc w:val="left"/>
              <w:rPr>
                <w:rFonts w:ascii="仿宋" w:hAnsi="仿宋" w:eastAsia="仿宋" w:cs="仿宋"/>
                <w:kern w:val="0"/>
                <w:sz w:val="24"/>
              </w:rPr>
            </w:pPr>
          </w:p>
          <w:p>
            <w:pPr>
              <w:widowControl/>
              <w:spacing w:before="100" w:beforeAutospacing="1" w:after="100" w:afterAutospacing="1" w:line="320" w:lineRule="exact"/>
              <w:jc w:val="left"/>
              <w:rPr>
                <w:rFonts w:ascii="仿宋" w:hAnsi="仿宋" w:eastAsia="仿宋" w:cs="仿宋"/>
                <w:kern w:val="0"/>
                <w:sz w:val="24"/>
              </w:rPr>
            </w:pPr>
          </w:p>
          <w:p>
            <w:pPr>
              <w:widowControl/>
              <w:spacing w:before="100" w:beforeAutospacing="1" w:after="100" w:afterAutospacing="1" w:line="320" w:lineRule="exact"/>
              <w:jc w:val="left"/>
              <w:rPr>
                <w:rFonts w:ascii="仿宋" w:hAnsi="仿宋" w:eastAsia="仿宋" w:cs="仿宋"/>
                <w:kern w:val="0"/>
                <w:sz w:val="24"/>
              </w:rPr>
            </w:pPr>
          </w:p>
        </w:tc>
      </w:tr>
    </w:tbl>
    <w:p>
      <w:pPr>
        <w:widowControl/>
        <w:jc w:val="left"/>
        <w:rPr>
          <w:rFonts w:ascii="仿宋" w:hAnsi="仿宋" w:eastAsia="仿宋" w:cs="仿宋"/>
          <w:sz w:val="24"/>
          <w:u w:val="single"/>
        </w:rPr>
      </w:pPr>
      <w:r>
        <w:rPr>
          <w:rFonts w:hint="eastAsia" w:ascii="仿宋" w:hAnsi="仿宋" w:eastAsia="仿宋" w:cs="仿宋"/>
          <w:spacing w:val="-10"/>
          <w:kern w:val="0"/>
          <w:sz w:val="24"/>
        </w:rPr>
        <w:t>备注：本报告单一式4份（采购单位1份、供应商1份、采购监督部门备案1份、采购代理机构1份）</w:t>
      </w:r>
    </w:p>
    <w:p>
      <w:pPr>
        <w:spacing w:before="120" w:line="320" w:lineRule="atLeast"/>
        <w:jc w:val="left"/>
        <w:rPr>
          <w:rFonts w:ascii="仿宋" w:hAnsi="仿宋" w:eastAsia="仿宋" w:cs="仿宋"/>
          <w:sz w:val="24"/>
          <w:szCs w:val="32"/>
        </w:rPr>
      </w:pPr>
      <w:r>
        <w:rPr>
          <w:rFonts w:hint="eastAsia" w:ascii="仿宋" w:hAnsi="仿宋" w:eastAsia="仿宋" w:cs="仿宋"/>
          <w:sz w:val="40"/>
          <w:szCs w:val="40"/>
        </w:rPr>
        <w:br w:type="page"/>
      </w:r>
    </w:p>
    <w:p>
      <w:pPr>
        <w:pStyle w:val="4"/>
        <w:keepNext w:val="0"/>
        <w:keepLines w:val="0"/>
        <w:pageBreakBefore/>
        <w:spacing w:before="0" w:after="0" w:line="360" w:lineRule="auto"/>
        <w:jc w:val="center"/>
        <w:textAlignment w:val="center"/>
        <w:rPr>
          <w:rFonts w:ascii="仿宋" w:hAnsi="仿宋" w:eastAsia="仿宋"/>
        </w:rPr>
      </w:pPr>
      <w:r>
        <w:rPr>
          <w:rFonts w:hint="eastAsia" w:ascii="仿宋" w:hAnsi="仿宋" w:eastAsia="仿宋"/>
        </w:rPr>
        <w:t>第六章　投标文件格式</w:t>
      </w:r>
      <w:bookmarkEnd w:id="210"/>
    </w:p>
    <w:p>
      <w:pPr>
        <w:rPr>
          <w:rFonts w:ascii="仿宋" w:hAnsi="仿宋" w:eastAsia="仿宋"/>
          <w:b/>
          <w:sz w:val="28"/>
          <w:szCs w:val="28"/>
        </w:rPr>
      </w:pPr>
      <w:bookmarkStart w:id="252" w:name="_Toc19686836"/>
      <w:bookmarkStart w:id="253" w:name="_Toc254970698"/>
      <w:bookmarkStart w:id="254" w:name="_Toc254970557"/>
      <w:r>
        <w:rPr>
          <w:rFonts w:hint="eastAsia" w:ascii="仿宋" w:hAnsi="仿宋" w:eastAsia="仿宋"/>
          <w:b/>
          <w:sz w:val="28"/>
          <w:szCs w:val="28"/>
        </w:rPr>
        <w:t>一、报价文件格式</w:t>
      </w:r>
      <w:bookmarkEnd w:id="252"/>
    </w:p>
    <w:p>
      <w:pPr>
        <w:snapToGrid w:val="0"/>
        <w:spacing w:before="120" w:beforeLines="50" w:after="50" w:line="360" w:lineRule="auto"/>
        <w:ind w:left="142"/>
        <w:jc w:val="left"/>
        <w:rPr>
          <w:rFonts w:ascii="仿宋" w:hAnsi="仿宋" w:eastAsia="仿宋"/>
          <w:sz w:val="24"/>
          <w:szCs w:val="20"/>
        </w:rPr>
      </w:pPr>
      <w:r>
        <w:rPr>
          <w:rFonts w:hint="eastAsia" w:ascii="仿宋" w:hAnsi="仿宋" w:eastAsia="仿宋"/>
          <w:b/>
          <w:sz w:val="24"/>
        </w:rPr>
        <w:t xml:space="preserve">1. 报价文件封面格式： </w:t>
      </w:r>
    </w:p>
    <w:p>
      <w:pPr>
        <w:snapToGrid w:val="0"/>
        <w:spacing w:before="120" w:beforeLines="50" w:after="50" w:line="400" w:lineRule="exact"/>
        <w:rPr>
          <w:rFonts w:ascii="仿宋" w:hAnsi="仿宋" w:eastAsia="仿宋"/>
          <w:bCs/>
          <w:sz w:val="32"/>
          <w:szCs w:val="20"/>
        </w:rPr>
      </w:pPr>
    </w:p>
    <w:p>
      <w:pPr>
        <w:snapToGrid w:val="0"/>
        <w:spacing w:before="120" w:beforeLines="50" w:after="50" w:line="400" w:lineRule="exact"/>
        <w:jc w:val="center"/>
        <w:rPr>
          <w:rFonts w:ascii="仿宋" w:hAnsi="仿宋" w:eastAsia="仿宋"/>
          <w:bCs/>
          <w:sz w:val="24"/>
          <w:szCs w:val="20"/>
        </w:rPr>
      </w:pPr>
    </w:p>
    <w:p>
      <w:pPr>
        <w:snapToGrid w:val="0"/>
        <w:spacing w:before="120" w:beforeLines="50" w:after="50"/>
        <w:jc w:val="center"/>
        <w:rPr>
          <w:rFonts w:ascii="仿宋" w:hAnsi="仿宋" w:eastAsia="仿宋" w:cs="方正小标宋简体"/>
          <w:sz w:val="84"/>
          <w:szCs w:val="84"/>
        </w:rPr>
      </w:pPr>
      <w:r>
        <w:rPr>
          <w:rFonts w:hint="eastAsia" w:ascii="仿宋" w:hAnsi="仿宋" w:eastAsia="仿宋" w:cs="方正小标宋简体"/>
          <w:sz w:val="84"/>
          <w:szCs w:val="84"/>
        </w:rPr>
        <w:t>投  标  文  件</w:t>
      </w:r>
    </w:p>
    <w:p>
      <w:pPr>
        <w:snapToGrid w:val="0"/>
        <w:spacing w:before="120" w:beforeLines="50" w:after="50" w:line="400" w:lineRule="exact"/>
        <w:jc w:val="center"/>
        <w:rPr>
          <w:rFonts w:ascii="仿宋" w:hAnsi="仿宋" w:eastAsia="仿宋"/>
          <w:bCs/>
          <w:sz w:val="32"/>
          <w:szCs w:val="32"/>
        </w:rPr>
      </w:pPr>
    </w:p>
    <w:p>
      <w:pPr>
        <w:snapToGrid w:val="0"/>
        <w:spacing w:before="120" w:beforeLines="50" w:after="50" w:line="400" w:lineRule="exact"/>
        <w:jc w:val="center"/>
        <w:rPr>
          <w:rFonts w:ascii="仿宋" w:hAnsi="仿宋" w:eastAsia="仿宋" w:cs="方正小标宋简体"/>
          <w:sz w:val="32"/>
          <w:szCs w:val="32"/>
        </w:rPr>
      </w:pPr>
      <w:r>
        <w:rPr>
          <w:rFonts w:hint="eastAsia" w:ascii="仿宋" w:hAnsi="仿宋" w:eastAsia="仿宋" w:cs="方正小标宋简体"/>
          <w:sz w:val="32"/>
          <w:szCs w:val="32"/>
        </w:rPr>
        <w:t>报  价  文  件</w:t>
      </w:r>
    </w:p>
    <w:p>
      <w:pPr>
        <w:snapToGrid w:val="0"/>
        <w:spacing w:before="120" w:beforeLines="50" w:after="50" w:line="400" w:lineRule="exact"/>
        <w:rPr>
          <w:rFonts w:ascii="仿宋" w:hAnsi="仿宋" w:eastAsia="仿宋"/>
          <w:bCs/>
          <w:sz w:val="24"/>
          <w:szCs w:val="20"/>
        </w:rPr>
      </w:pPr>
    </w:p>
    <w:p>
      <w:pPr>
        <w:snapToGrid w:val="0"/>
        <w:spacing w:before="120" w:beforeLines="50" w:after="50" w:line="400" w:lineRule="exact"/>
        <w:rPr>
          <w:rFonts w:ascii="仿宋" w:hAnsi="仿宋" w:eastAsia="仿宋"/>
          <w:bCs/>
          <w:sz w:val="24"/>
          <w:szCs w:val="20"/>
        </w:rPr>
      </w:pPr>
    </w:p>
    <w:p>
      <w:pPr>
        <w:snapToGrid w:val="0"/>
        <w:spacing w:before="120" w:beforeLines="50" w:after="50" w:line="400" w:lineRule="exact"/>
        <w:rPr>
          <w:rFonts w:ascii="仿宋" w:hAnsi="仿宋" w:eastAsia="仿宋"/>
          <w:bCs/>
          <w:sz w:val="24"/>
          <w:szCs w:val="20"/>
        </w:rPr>
      </w:pPr>
    </w:p>
    <w:p>
      <w:pPr>
        <w:snapToGrid w:val="0"/>
        <w:spacing w:before="120" w:beforeLines="50" w:after="50" w:line="400" w:lineRule="exact"/>
        <w:rPr>
          <w:rFonts w:ascii="仿宋" w:hAnsi="仿宋" w:eastAsia="仿宋"/>
          <w:bCs/>
          <w:sz w:val="24"/>
          <w:szCs w:val="20"/>
        </w:rPr>
      </w:pPr>
    </w:p>
    <w:p>
      <w:pPr>
        <w:snapToGrid w:val="0"/>
        <w:spacing w:before="120" w:beforeLines="50" w:after="50" w:line="400" w:lineRule="exact"/>
        <w:ind w:firstLine="360" w:firstLineChars="150"/>
        <w:rPr>
          <w:rFonts w:ascii="仿宋" w:hAnsi="仿宋" w:eastAsia="仿宋"/>
          <w:bCs/>
          <w:sz w:val="24"/>
        </w:rPr>
      </w:pPr>
      <w:r>
        <w:rPr>
          <w:rFonts w:hint="eastAsia" w:ascii="仿宋" w:hAnsi="仿宋" w:eastAsia="仿宋"/>
          <w:bCs/>
          <w:sz w:val="24"/>
        </w:rPr>
        <w:t xml:space="preserve">项目名称： </w:t>
      </w:r>
    </w:p>
    <w:p>
      <w:pPr>
        <w:snapToGrid w:val="0"/>
        <w:spacing w:before="120" w:beforeLines="50" w:after="50" w:line="400" w:lineRule="exact"/>
        <w:ind w:firstLine="360" w:firstLineChars="150"/>
        <w:rPr>
          <w:rFonts w:ascii="仿宋" w:hAnsi="仿宋" w:eastAsia="仿宋"/>
          <w:bCs/>
          <w:sz w:val="24"/>
        </w:rPr>
      </w:pPr>
    </w:p>
    <w:p>
      <w:pPr>
        <w:snapToGrid w:val="0"/>
        <w:spacing w:before="120" w:beforeLines="50" w:after="50" w:line="400" w:lineRule="exact"/>
        <w:ind w:firstLine="360" w:firstLineChars="150"/>
        <w:rPr>
          <w:rFonts w:ascii="仿宋" w:hAnsi="仿宋" w:eastAsia="仿宋"/>
          <w:bCs/>
          <w:sz w:val="24"/>
        </w:rPr>
      </w:pPr>
      <w:r>
        <w:rPr>
          <w:rFonts w:hint="eastAsia" w:ascii="仿宋" w:hAnsi="仿宋" w:eastAsia="仿宋"/>
          <w:bCs/>
          <w:sz w:val="24"/>
        </w:rPr>
        <w:t xml:space="preserve">项目编号： </w:t>
      </w:r>
    </w:p>
    <w:p>
      <w:pPr>
        <w:snapToGrid w:val="0"/>
        <w:spacing w:before="120" w:beforeLines="50" w:after="50" w:line="400" w:lineRule="exact"/>
        <w:ind w:firstLine="360" w:firstLineChars="150"/>
        <w:rPr>
          <w:rFonts w:ascii="仿宋" w:hAnsi="仿宋" w:eastAsia="仿宋"/>
          <w:bCs/>
          <w:sz w:val="24"/>
        </w:rPr>
      </w:pPr>
    </w:p>
    <w:p>
      <w:pPr>
        <w:snapToGrid w:val="0"/>
        <w:spacing w:before="120" w:beforeLines="50" w:after="50" w:line="400" w:lineRule="exact"/>
        <w:ind w:firstLine="360" w:firstLineChars="150"/>
        <w:rPr>
          <w:rFonts w:ascii="仿宋" w:hAnsi="仿宋" w:eastAsia="仿宋"/>
          <w:bCs/>
          <w:sz w:val="24"/>
        </w:rPr>
      </w:pPr>
      <w:r>
        <w:rPr>
          <w:rFonts w:hint="eastAsia" w:ascii="仿宋" w:hAnsi="仿宋" w:eastAsia="仿宋"/>
          <w:bCs/>
          <w:sz w:val="24"/>
        </w:rPr>
        <w:t>所投</w:t>
      </w:r>
      <w:r>
        <w:rPr>
          <w:rFonts w:hint="eastAsia" w:ascii="仿宋" w:hAnsi="仿宋" w:eastAsia="仿宋" w:cs="宋体"/>
          <w:sz w:val="24"/>
        </w:rPr>
        <w:t>标项</w:t>
      </w:r>
      <w:r>
        <w:rPr>
          <w:rFonts w:hint="eastAsia" w:ascii="仿宋" w:hAnsi="仿宋" w:eastAsia="仿宋"/>
          <w:bCs/>
          <w:sz w:val="24"/>
        </w:rPr>
        <w:t>：/</w:t>
      </w:r>
    </w:p>
    <w:p>
      <w:pPr>
        <w:snapToGrid w:val="0"/>
        <w:spacing w:before="120" w:beforeLines="50" w:after="50" w:line="400" w:lineRule="exact"/>
        <w:ind w:firstLine="360" w:firstLineChars="150"/>
        <w:rPr>
          <w:rFonts w:ascii="仿宋" w:hAnsi="仿宋" w:eastAsia="仿宋"/>
          <w:bCs/>
          <w:sz w:val="24"/>
        </w:rPr>
      </w:pPr>
    </w:p>
    <w:p>
      <w:pPr>
        <w:snapToGrid w:val="0"/>
        <w:spacing w:before="120" w:beforeLines="50" w:after="50" w:line="400" w:lineRule="exact"/>
        <w:ind w:firstLine="360" w:firstLineChars="150"/>
        <w:rPr>
          <w:rFonts w:ascii="仿宋" w:hAnsi="仿宋" w:eastAsia="仿宋"/>
          <w:bCs/>
          <w:sz w:val="24"/>
        </w:rPr>
      </w:pPr>
      <w:r>
        <w:rPr>
          <w:rFonts w:hint="eastAsia" w:ascii="仿宋" w:hAnsi="仿宋" w:eastAsia="仿宋"/>
          <w:bCs/>
          <w:sz w:val="24"/>
        </w:rPr>
        <w:t>投标人名称：</w:t>
      </w:r>
    </w:p>
    <w:p>
      <w:pPr>
        <w:snapToGrid w:val="0"/>
        <w:spacing w:before="120" w:beforeLines="50" w:after="50" w:line="400" w:lineRule="exact"/>
        <w:ind w:firstLine="360" w:firstLineChars="150"/>
        <w:rPr>
          <w:rFonts w:ascii="仿宋" w:hAnsi="仿宋" w:eastAsia="仿宋"/>
          <w:bCs/>
          <w:sz w:val="24"/>
        </w:rPr>
      </w:pPr>
    </w:p>
    <w:p>
      <w:pPr>
        <w:snapToGrid w:val="0"/>
        <w:spacing w:before="120" w:beforeLines="50" w:after="50" w:line="400" w:lineRule="exact"/>
        <w:ind w:firstLine="360" w:firstLineChars="150"/>
        <w:rPr>
          <w:rFonts w:ascii="仿宋" w:hAnsi="仿宋" w:eastAsia="仿宋"/>
          <w:bCs/>
          <w:sz w:val="24"/>
        </w:rPr>
      </w:pPr>
      <w:r>
        <w:rPr>
          <w:rFonts w:hint="eastAsia" w:ascii="仿宋" w:hAnsi="仿宋" w:eastAsia="仿宋"/>
          <w:bCs/>
          <w:sz w:val="24"/>
        </w:rPr>
        <w:t>投标人地址：</w:t>
      </w:r>
    </w:p>
    <w:p>
      <w:pPr>
        <w:pStyle w:val="9"/>
        <w:snapToGrid w:val="0"/>
        <w:spacing w:before="50" w:after="50" w:line="400" w:lineRule="exact"/>
        <w:ind w:firstLine="960" w:firstLineChars="400"/>
        <w:rPr>
          <w:rFonts w:ascii="仿宋" w:hAnsi="仿宋" w:eastAsia="仿宋"/>
          <w:bCs/>
          <w:sz w:val="24"/>
          <w:szCs w:val="24"/>
        </w:rPr>
      </w:pPr>
    </w:p>
    <w:p>
      <w:pPr>
        <w:snapToGrid w:val="0"/>
        <w:spacing w:before="120" w:beforeLines="50" w:after="50" w:line="400" w:lineRule="exact"/>
        <w:rPr>
          <w:rFonts w:ascii="仿宋" w:hAnsi="仿宋" w:eastAsia="仿宋"/>
          <w:sz w:val="30"/>
          <w:szCs w:val="20"/>
        </w:rPr>
      </w:pPr>
      <w:r>
        <w:rPr>
          <w:rFonts w:hint="eastAsia" w:ascii="仿宋" w:hAnsi="仿宋" w:eastAsia="仿宋"/>
          <w:sz w:val="24"/>
        </w:rPr>
        <w:t xml:space="preserve">                                   年  月  日</w:t>
      </w:r>
    </w:p>
    <w:p>
      <w:pPr>
        <w:snapToGrid w:val="0"/>
        <w:spacing w:before="120" w:beforeLines="50" w:after="50" w:line="360" w:lineRule="auto"/>
        <w:jc w:val="left"/>
        <w:rPr>
          <w:rFonts w:ascii="仿宋" w:hAnsi="仿宋" w:eastAsia="仿宋"/>
          <w:sz w:val="24"/>
          <w:szCs w:val="20"/>
        </w:rPr>
      </w:pPr>
      <w:r>
        <w:rPr>
          <w:rFonts w:ascii="仿宋" w:hAnsi="仿宋" w:eastAsia="仿宋"/>
          <w:b/>
          <w:sz w:val="24"/>
        </w:rPr>
        <w:br w:type="page"/>
      </w:r>
      <w:r>
        <w:rPr>
          <w:rFonts w:hint="eastAsia" w:ascii="仿宋" w:hAnsi="仿宋" w:eastAsia="仿宋"/>
          <w:b/>
          <w:sz w:val="24"/>
        </w:rPr>
        <w:t>2.</w:t>
      </w:r>
      <w:r>
        <w:rPr>
          <w:rFonts w:hint="eastAsia" w:ascii="仿宋" w:hAnsi="仿宋" w:eastAsia="仿宋"/>
          <w:b/>
          <w:bCs/>
          <w:sz w:val="24"/>
        </w:rPr>
        <w:t>报价文件目录</w:t>
      </w:r>
    </w:p>
    <w:p>
      <w:pPr>
        <w:snapToGrid w:val="0"/>
        <w:spacing w:before="50" w:after="120" w:afterLines="50" w:line="360" w:lineRule="auto"/>
        <w:jc w:val="left"/>
        <w:rPr>
          <w:rFonts w:ascii="仿宋" w:hAnsi="仿宋" w:eastAsia="仿宋"/>
          <w:b/>
          <w:sz w:val="24"/>
        </w:rPr>
      </w:pPr>
      <w:r>
        <w:rPr>
          <w:rFonts w:hint="eastAsia" w:ascii="仿宋" w:hAnsi="仿宋" w:eastAsia="仿宋"/>
          <w:sz w:val="24"/>
        </w:rPr>
        <w:t>根据招标文件规定及投标人提供的材料自行编写目录。</w:t>
      </w:r>
    </w:p>
    <w:p>
      <w:pPr>
        <w:snapToGrid w:val="0"/>
        <w:spacing w:before="120" w:beforeLines="50" w:after="50"/>
        <w:rPr>
          <w:rFonts w:ascii="仿宋" w:hAnsi="仿宋" w:eastAsia="仿宋"/>
          <w:b/>
          <w:sz w:val="24"/>
        </w:rPr>
      </w:pPr>
    </w:p>
    <w:p>
      <w:pPr>
        <w:snapToGrid w:val="0"/>
        <w:spacing w:before="120" w:beforeLines="50" w:after="50"/>
        <w:rPr>
          <w:rFonts w:ascii="仿宋" w:hAnsi="仿宋" w:eastAsia="仿宋"/>
          <w:b/>
          <w:sz w:val="24"/>
        </w:rPr>
      </w:pPr>
    </w:p>
    <w:p>
      <w:pPr>
        <w:snapToGrid w:val="0"/>
        <w:spacing w:before="120" w:beforeLines="50" w:after="50"/>
        <w:rPr>
          <w:rFonts w:ascii="仿宋" w:hAnsi="仿宋" w:eastAsia="仿宋"/>
          <w:b/>
          <w:sz w:val="24"/>
        </w:rPr>
      </w:pPr>
    </w:p>
    <w:p>
      <w:pPr>
        <w:snapToGrid w:val="0"/>
        <w:spacing w:before="120" w:beforeLines="50" w:after="50"/>
        <w:ind w:left="142"/>
        <w:jc w:val="left"/>
        <w:rPr>
          <w:rFonts w:ascii="仿宋" w:hAnsi="仿宋" w:eastAsia="仿宋"/>
          <w:b/>
          <w:sz w:val="24"/>
        </w:rPr>
      </w:pPr>
      <w:r>
        <w:rPr>
          <w:rFonts w:ascii="仿宋" w:hAnsi="仿宋" w:eastAsia="仿宋"/>
          <w:b/>
          <w:sz w:val="24"/>
        </w:rPr>
        <w:br w:type="page"/>
      </w:r>
      <w:r>
        <w:rPr>
          <w:rFonts w:hint="eastAsia" w:ascii="仿宋" w:hAnsi="仿宋" w:eastAsia="仿宋"/>
          <w:b/>
          <w:sz w:val="24"/>
        </w:rPr>
        <w:t>3. 投标函格式：</w:t>
      </w:r>
    </w:p>
    <w:p>
      <w:pPr>
        <w:snapToGrid w:val="0"/>
        <w:spacing w:before="120" w:beforeLines="50" w:after="50" w:line="360" w:lineRule="auto"/>
        <w:jc w:val="center"/>
        <w:rPr>
          <w:rFonts w:ascii="仿宋" w:hAnsi="仿宋" w:eastAsia="仿宋" w:cs="方正小标宋简体"/>
          <w:bCs/>
          <w:sz w:val="40"/>
          <w:szCs w:val="40"/>
        </w:rPr>
      </w:pPr>
      <w:r>
        <w:rPr>
          <w:rFonts w:hint="eastAsia" w:ascii="仿宋" w:hAnsi="仿宋" w:eastAsia="仿宋" w:cs="方正小标宋简体"/>
          <w:bCs/>
          <w:sz w:val="40"/>
          <w:szCs w:val="40"/>
        </w:rPr>
        <w:t>投 标 函</w:t>
      </w:r>
    </w:p>
    <w:p>
      <w:pPr>
        <w:spacing w:line="400" w:lineRule="exact"/>
        <w:contextualSpacing/>
        <w:rPr>
          <w:rFonts w:ascii="仿宋" w:hAnsi="仿宋" w:eastAsia="仿宋"/>
          <w:sz w:val="24"/>
        </w:rPr>
      </w:pPr>
      <w:r>
        <w:rPr>
          <w:rFonts w:hint="eastAsia" w:ascii="仿宋" w:hAnsi="仿宋" w:eastAsia="仿宋"/>
          <w:sz w:val="24"/>
        </w:rPr>
        <w:t>致：</w:t>
      </w:r>
      <w:r>
        <w:rPr>
          <w:rFonts w:hint="eastAsia" w:ascii="仿宋" w:hAnsi="仿宋" w:eastAsia="仿宋"/>
          <w:sz w:val="24"/>
          <w:u w:val="single"/>
        </w:rPr>
        <w:t xml:space="preserve">采购人名称 </w:t>
      </w:r>
    </w:p>
    <w:p>
      <w:pPr>
        <w:spacing w:line="400" w:lineRule="exact"/>
        <w:ind w:firstLine="480"/>
        <w:contextualSpacing/>
        <w:rPr>
          <w:rFonts w:ascii="仿宋" w:hAnsi="仿宋" w:eastAsia="仿宋"/>
          <w:sz w:val="24"/>
        </w:rPr>
      </w:pPr>
      <w:r>
        <w:rPr>
          <w:rFonts w:hint="eastAsia" w:ascii="仿宋" w:hAnsi="仿宋" w:eastAsia="仿宋"/>
          <w:sz w:val="24"/>
        </w:rPr>
        <w:t>根据贵方</w:t>
      </w:r>
      <w:r>
        <w:rPr>
          <w:rFonts w:hint="eastAsia" w:ascii="仿宋" w:hAnsi="仿宋" w:eastAsia="仿宋"/>
          <w:sz w:val="24"/>
          <w:u w:val="single"/>
        </w:rPr>
        <w:t xml:space="preserve"> （项目名称） </w:t>
      </w:r>
      <w:r>
        <w:rPr>
          <w:rFonts w:hint="eastAsia" w:ascii="仿宋" w:hAnsi="仿宋" w:eastAsia="仿宋"/>
          <w:sz w:val="24"/>
        </w:rPr>
        <w:t>（项目编号：）的招标项目，签字代表______（姓名）经正式授权并代表投标人（投标人名称）提交投标文件。</w:t>
      </w:r>
    </w:p>
    <w:p>
      <w:pPr>
        <w:spacing w:line="400" w:lineRule="exact"/>
        <w:ind w:firstLine="480" w:firstLineChars="200"/>
        <w:contextualSpacing/>
        <w:rPr>
          <w:rFonts w:ascii="仿宋" w:hAnsi="仿宋" w:eastAsia="仿宋"/>
          <w:sz w:val="24"/>
        </w:rPr>
      </w:pPr>
      <w:r>
        <w:rPr>
          <w:rFonts w:hint="eastAsia" w:ascii="仿宋" w:hAnsi="仿宋" w:eastAsia="仿宋"/>
          <w:sz w:val="24"/>
        </w:rPr>
        <w:t>据此函，我方宣布同意如下：</w:t>
      </w:r>
    </w:p>
    <w:p>
      <w:pPr>
        <w:spacing w:line="400" w:lineRule="exact"/>
        <w:ind w:firstLine="480" w:firstLineChars="200"/>
        <w:contextualSpacing/>
        <w:rPr>
          <w:rFonts w:ascii="仿宋" w:hAnsi="仿宋" w:eastAsia="仿宋"/>
          <w:sz w:val="24"/>
        </w:rPr>
      </w:pPr>
      <w:r>
        <w:rPr>
          <w:rFonts w:hint="eastAsia" w:ascii="仿宋" w:hAnsi="仿宋" w:eastAsia="仿宋"/>
          <w:sz w:val="24"/>
        </w:rPr>
        <w:t>1.我方已详细审查全部“招标文件”，包括修改文件（如有的话）以及全部参考资料和有关附件，已经了解我方对于招标文件、采购过程、采购结果有依法进行询问、质疑、投诉的权利及相关渠道和要求。</w:t>
      </w:r>
    </w:p>
    <w:p>
      <w:pPr>
        <w:spacing w:line="400" w:lineRule="exact"/>
        <w:ind w:firstLine="480" w:firstLineChars="200"/>
        <w:contextualSpacing/>
        <w:rPr>
          <w:rFonts w:ascii="仿宋" w:hAnsi="仿宋" w:eastAsia="仿宋"/>
          <w:sz w:val="24"/>
        </w:rPr>
      </w:pPr>
      <w:r>
        <w:rPr>
          <w:rFonts w:hint="eastAsia" w:ascii="仿宋" w:hAnsi="仿宋" w:eastAsia="仿宋"/>
          <w:sz w:val="24"/>
        </w:rPr>
        <w:t>2.我方在投标之前已经完全理解并接受招标文件的各项规定和要求，对招标文件的合理性、合法性不再有异议。</w:t>
      </w:r>
    </w:p>
    <w:p>
      <w:pPr>
        <w:spacing w:line="400" w:lineRule="exact"/>
        <w:ind w:firstLine="480" w:firstLineChars="200"/>
        <w:contextualSpacing/>
        <w:rPr>
          <w:rFonts w:ascii="仿宋" w:hAnsi="仿宋" w:eastAsia="仿宋"/>
          <w:sz w:val="24"/>
        </w:rPr>
      </w:pPr>
      <w:r>
        <w:rPr>
          <w:rFonts w:hint="eastAsia" w:ascii="仿宋" w:hAnsi="仿宋" w:eastAsia="仿宋"/>
          <w:sz w:val="24"/>
        </w:rPr>
        <w:t>3.本投标有效期自投标截止之日起</w:t>
      </w:r>
      <w:r>
        <w:rPr>
          <w:rFonts w:hint="eastAsia" w:ascii="仿宋" w:hAnsi="仿宋" w:eastAsia="仿宋"/>
          <w:sz w:val="24"/>
          <w:u w:val="single"/>
        </w:rPr>
        <w:t xml:space="preserve">             </w:t>
      </w:r>
      <w:r>
        <w:rPr>
          <w:rFonts w:hint="eastAsia" w:ascii="仿宋" w:hAnsi="仿宋" w:eastAsia="仿宋"/>
          <w:sz w:val="24"/>
        </w:rPr>
        <w:t>日。</w:t>
      </w:r>
    </w:p>
    <w:p>
      <w:pPr>
        <w:spacing w:line="400" w:lineRule="exact"/>
        <w:ind w:firstLine="480" w:firstLineChars="200"/>
        <w:contextualSpacing/>
        <w:rPr>
          <w:rFonts w:ascii="仿宋" w:hAnsi="仿宋" w:eastAsia="仿宋"/>
          <w:sz w:val="24"/>
        </w:rPr>
      </w:pPr>
      <w:r>
        <w:rPr>
          <w:rFonts w:hint="eastAsia" w:ascii="仿宋" w:hAnsi="仿宋" w:eastAsia="仿宋"/>
          <w:sz w:val="24"/>
        </w:rPr>
        <w:t>4.如中标，本投标文件至本项目合同履行完毕止均保持有效，我方将按“招标文件”及政府采购法律、法规的规定履行合同责任和义务。</w:t>
      </w:r>
    </w:p>
    <w:p>
      <w:pPr>
        <w:spacing w:line="400" w:lineRule="exact"/>
        <w:ind w:firstLine="480" w:firstLineChars="200"/>
        <w:contextualSpacing/>
        <w:rPr>
          <w:rFonts w:ascii="仿宋" w:hAnsi="仿宋" w:eastAsia="仿宋"/>
          <w:sz w:val="24"/>
        </w:rPr>
      </w:pPr>
      <w:r>
        <w:rPr>
          <w:rFonts w:hint="eastAsia" w:ascii="仿宋" w:hAnsi="仿宋" w:eastAsia="仿宋"/>
          <w:sz w:val="24"/>
        </w:rPr>
        <w:t>5.我方同意按照贵方要求提供与投标有关的一切数据或者资料。</w:t>
      </w:r>
    </w:p>
    <w:p>
      <w:pPr>
        <w:spacing w:line="400" w:lineRule="exact"/>
        <w:ind w:firstLine="480" w:firstLineChars="200"/>
        <w:contextualSpacing/>
        <w:rPr>
          <w:rFonts w:ascii="仿宋" w:hAnsi="仿宋" w:eastAsia="仿宋"/>
          <w:sz w:val="24"/>
        </w:rPr>
      </w:pPr>
      <w:r>
        <w:rPr>
          <w:rFonts w:hint="eastAsia" w:ascii="仿宋" w:hAnsi="仿宋" w:eastAsia="仿宋"/>
          <w:sz w:val="24"/>
        </w:rPr>
        <w:t>6.我方向贵方提交的所有投标文件、资料都是准确的和真实的。</w:t>
      </w:r>
    </w:p>
    <w:p>
      <w:pPr>
        <w:spacing w:line="400" w:lineRule="exact"/>
        <w:ind w:firstLine="480" w:firstLineChars="200"/>
        <w:contextualSpacing/>
        <w:rPr>
          <w:rFonts w:ascii="仿宋" w:hAnsi="仿宋" w:eastAsia="仿宋"/>
          <w:sz w:val="24"/>
        </w:rPr>
      </w:pPr>
      <w:r>
        <w:rPr>
          <w:rFonts w:hint="eastAsia" w:ascii="仿宋" w:hAnsi="仿宋" w:eastAsia="仿宋"/>
          <w:sz w:val="24"/>
        </w:rPr>
        <w:t>7.以上事项如有虚假或者隐瞒，我方愿意承担一切后果，并不再寻求任何旨在减轻或者免除法律责任的辩解。</w:t>
      </w:r>
    </w:p>
    <w:p>
      <w:pPr>
        <w:spacing w:line="400" w:lineRule="exact"/>
        <w:ind w:firstLine="480" w:firstLineChars="200"/>
        <w:contextualSpacing/>
        <w:rPr>
          <w:rFonts w:ascii="仿宋" w:hAnsi="仿宋" w:eastAsia="仿宋"/>
          <w:sz w:val="24"/>
        </w:rPr>
      </w:pPr>
      <w:r>
        <w:rPr>
          <w:rFonts w:hint="eastAsia" w:ascii="仿宋" w:hAnsi="仿宋" w:eastAsia="仿宋"/>
          <w:sz w:val="24"/>
        </w:rPr>
        <w:t>8.根据</w:t>
      </w:r>
      <w:r>
        <w:rPr>
          <w:rFonts w:ascii="仿宋" w:hAnsi="仿宋" w:eastAsia="仿宋"/>
          <w:sz w:val="24"/>
        </w:rPr>
        <w:t>《中华人民共和国政府采购法实施条例》第五十条要求对政府采购合同进行公告</w:t>
      </w:r>
      <w:r>
        <w:rPr>
          <w:rFonts w:hint="eastAsia" w:ascii="仿宋" w:hAnsi="仿宋" w:eastAsia="仿宋"/>
          <w:sz w:val="24"/>
        </w:rPr>
        <w:t>，</w:t>
      </w:r>
      <w:r>
        <w:rPr>
          <w:rFonts w:ascii="仿宋" w:hAnsi="仿宋" w:eastAsia="仿宋"/>
          <w:sz w:val="24"/>
        </w:rPr>
        <w:t>但政府采购合同中涉及国家秘密、商业秘密的内容除外。</w:t>
      </w:r>
      <w:r>
        <w:rPr>
          <w:rFonts w:hint="eastAsia" w:ascii="仿宋" w:hAnsi="仿宋" w:eastAsia="仿宋"/>
          <w:sz w:val="24"/>
        </w:rPr>
        <w:t>我方就对本次投标文件进行注明如下：（两项内容中必须选择一项）</w:t>
      </w:r>
    </w:p>
    <w:p>
      <w:pPr>
        <w:spacing w:line="400" w:lineRule="exact"/>
        <w:ind w:firstLine="480" w:firstLineChars="200"/>
        <w:contextualSpacing/>
        <w:rPr>
          <w:rFonts w:ascii="仿宋" w:hAnsi="仿宋" w:eastAsia="仿宋"/>
          <w:sz w:val="24"/>
        </w:rPr>
      </w:pPr>
      <w:r>
        <w:rPr>
          <w:rFonts w:hint="eastAsia" w:ascii="仿宋" w:hAnsi="仿宋" w:eastAsia="仿宋"/>
          <w:sz w:val="24"/>
        </w:rPr>
        <w:t>□我方本次投标文件</w:t>
      </w:r>
      <w:r>
        <w:rPr>
          <w:rFonts w:ascii="仿宋" w:hAnsi="仿宋" w:eastAsia="仿宋" w:cs="宋体"/>
          <w:kern w:val="0"/>
          <w:sz w:val="24"/>
        </w:rPr>
        <w:t>内容中</w:t>
      </w:r>
      <w:r>
        <w:rPr>
          <w:rFonts w:hint="eastAsia" w:ascii="仿宋" w:hAnsi="仿宋" w:eastAsia="仿宋"/>
          <w:sz w:val="24"/>
        </w:rPr>
        <w:t>未</w:t>
      </w:r>
      <w:r>
        <w:rPr>
          <w:rFonts w:ascii="仿宋" w:hAnsi="仿宋" w:eastAsia="仿宋" w:cs="宋体"/>
          <w:kern w:val="0"/>
          <w:sz w:val="24"/>
        </w:rPr>
        <w:t>涉及商业秘密</w:t>
      </w:r>
      <w:r>
        <w:rPr>
          <w:rFonts w:hint="eastAsia" w:ascii="仿宋" w:hAnsi="仿宋" w:eastAsia="仿宋" w:cs="宋体"/>
          <w:kern w:val="0"/>
          <w:sz w:val="24"/>
        </w:rPr>
        <w:t>；</w:t>
      </w:r>
    </w:p>
    <w:p>
      <w:pPr>
        <w:spacing w:line="400" w:lineRule="exact"/>
        <w:ind w:firstLine="480" w:firstLineChars="200"/>
        <w:contextualSpacing/>
        <w:rPr>
          <w:rFonts w:ascii="仿宋" w:hAnsi="仿宋" w:eastAsia="仿宋"/>
          <w:sz w:val="24"/>
        </w:rPr>
      </w:pPr>
      <w:r>
        <w:rPr>
          <w:rFonts w:hint="eastAsia" w:ascii="仿宋" w:hAnsi="仿宋" w:eastAsia="仿宋"/>
          <w:sz w:val="24"/>
        </w:rPr>
        <w:t>□我方本次投标文件</w:t>
      </w:r>
      <w:r>
        <w:rPr>
          <w:rFonts w:ascii="仿宋" w:hAnsi="仿宋" w:eastAsia="仿宋" w:cs="宋体"/>
          <w:kern w:val="0"/>
          <w:sz w:val="24"/>
        </w:rPr>
        <w:t>涉及商业秘密</w:t>
      </w:r>
      <w:r>
        <w:rPr>
          <w:rFonts w:hint="eastAsia" w:ascii="仿宋" w:hAnsi="仿宋" w:eastAsia="仿宋" w:cs="宋体"/>
          <w:kern w:val="0"/>
          <w:sz w:val="24"/>
        </w:rPr>
        <w:t>的</w:t>
      </w:r>
      <w:r>
        <w:rPr>
          <w:rFonts w:ascii="仿宋" w:hAnsi="仿宋" w:eastAsia="仿宋" w:cs="宋体"/>
          <w:kern w:val="0"/>
          <w:sz w:val="24"/>
        </w:rPr>
        <w:t>内容</w:t>
      </w:r>
      <w:r>
        <w:rPr>
          <w:rFonts w:hint="eastAsia" w:ascii="仿宋" w:hAnsi="仿宋" w:eastAsia="仿宋" w:cs="宋体"/>
          <w:kern w:val="0"/>
          <w:sz w:val="24"/>
        </w:rPr>
        <w:t>有：</w:t>
      </w:r>
      <w:r>
        <w:rPr>
          <w:rFonts w:hint="eastAsia" w:ascii="仿宋" w:hAnsi="仿宋" w:eastAsia="仿宋" w:cs="宋体"/>
          <w:kern w:val="0"/>
          <w:sz w:val="24"/>
          <w:u w:val="single"/>
        </w:rPr>
        <w:t xml:space="preserve">          </w:t>
      </w:r>
      <w:r>
        <w:rPr>
          <w:rFonts w:hint="eastAsia" w:ascii="仿宋" w:hAnsi="仿宋" w:eastAsia="仿宋" w:cs="宋体"/>
          <w:kern w:val="0"/>
          <w:sz w:val="24"/>
        </w:rPr>
        <w:t>；</w:t>
      </w:r>
    </w:p>
    <w:p>
      <w:pPr>
        <w:spacing w:line="400" w:lineRule="exact"/>
        <w:ind w:firstLine="480" w:firstLineChars="200"/>
        <w:contextualSpacing/>
        <w:rPr>
          <w:rFonts w:ascii="仿宋" w:hAnsi="仿宋" w:eastAsia="仿宋"/>
          <w:sz w:val="24"/>
        </w:rPr>
      </w:pPr>
      <w:r>
        <w:rPr>
          <w:rFonts w:hint="eastAsia" w:ascii="仿宋" w:hAnsi="仿宋" w:eastAsia="仿宋"/>
          <w:sz w:val="24"/>
        </w:rPr>
        <w:t>9.与本投标有关的一切正式往来信函请寄：</w:t>
      </w:r>
    </w:p>
    <w:p>
      <w:pPr>
        <w:spacing w:line="400" w:lineRule="exact"/>
        <w:ind w:firstLine="480" w:firstLineChars="200"/>
        <w:contextualSpacing/>
        <w:rPr>
          <w:rFonts w:ascii="仿宋" w:hAnsi="仿宋" w:eastAsia="仿宋"/>
          <w:sz w:val="24"/>
          <w:u w:val="single"/>
        </w:rPr>
      </w:pPr>
      <w:r>
        <w:rPr>
          <w:rFonts w:hint="eastAsia" w:ascii="仿宋" w:hAnsi="仿宋" w:eastAsia="仿宋"/>
          <w:sz w:val="24"/>
        </w:rPr>
        <w:t>地址：邮编：</w:t>
      </w:r>
    </w:p>
    <w:p>
      <w:pPr>
        <w:spacing w:line="400" w:lineRule="exact"/>
        <w:ind w:firstLine="480" w:firstLineChars="200"/>
        <w:contextualSpacing/>
        <w:rPr>
          <w:rFonts w:ascii="仿宋" w:hAnsi="仿宋" w:eastAsia="仿宋"/>
          <w:sz w:val="24"/>
        </w:rPr>
      </w:pPr>
      <w:r>
        <w:rPr>
          <w:rFonts w:hint="eastAsia" w:ascii="仿宋" w:hAnsi="仿宋" w:eastAsia="仿宋"/>
          <w:sz w:val="24"/>
        </w:rPr>
        <w:t>电话：传真：</w:t>
      </w:r>
    </w:p>
    <w:p>
      <w:pPr>
        <w:spacing w:line="400" w:lineRule="exact"/>
        <w:ind w:firstLine="480" w:firstLineChars="200"/>
        <w:contextualSpacing/>
        <w:rPr>
          <w:rFonts w:ascii="仿宋" w:hAnsi="仿宋" w:eastAsia="仿宋"/>
          <w:sz w:val="24"/>
        </w:rPr>
      </w:pPr>
      <w:r>
        <w:rPr>
          <w:rFonts w:hint="eastAsia" w:ascii="仿宋" w:hAnsi="仿宋" w:eastAsia="仿宋"/>
          <w:sz w:val="24"/>
        </w:rPr>
        <w:t>投标人名称：</w:t>
      </w:r>
    </w:p>
    <w:p>
      <w:pPr>
        <w:spacing w:line="400" w:lineRule="exact"/>
        <w:ind w:firstLine="480" w:firstLineChars="200"/>
        <w:contextualSpacing/>
        <w:jc w:val="left"/>
        <w:rPr>
          <w:rFonts w:ascii="仿宋" w:hAnsi="仿宋" w:eastAsia="仿宋"/>
          <w:sz w:val="24"/>
        </w:rPr>
      </w:pPr>
      <w:r>
        <w:rPr>
          <w:rFonts w:hint="eastAsia" w:ascii="仿宋" w:hAnsi="仿宋" w:eastAsia="仿宋"/>
          <w:sz w:val="24"/>
        </w:rPr>
        <w:t>开户银行：</w:t>
      </w:r>
    </w:p>
    <w:p>
      <w:pPr>
        <w:spacing w:line="400" w:lineRule="exact"/>
        <w:ind w:firstLine="480" w:firstLineChars="200"/>
        <w:contextualSpacing/>
        <w:jc w:val="left"/>
        <w:rPr>
          <w:rFonts w:ascii="仿宋" w:hAnsi="仿宋" w:eastAsia="仿宋"/>
          <w:sz w:val="24"/>
        </w:rPr>
      </w:pPr>
      <w:r>
        <w:rPr>
          <w:rFonts w:hint="eastAsia" w:ascii="仿宋" w:hAnsi="仿宋" w:eastAsia="仿宋"/>
          <w:sz w:val="24"/>
        </w:rPr>
        <w:t>银行账号：</w:t>
      </w:r>
    </w:p>
    <w:p>
      <w:pPr>
        <w:spacing w:line="400" w:lineRule="exact"/>
        <w:ind w:firstLine="480" w:firstLineChars="200"/>
        <w:contextualSpacing/>
        <w:jc w:val="left"/>
        <w:rPr>
          <w:rFonts w:ascii="仿宋" w:hAnsi="仿宋" w:eastAsia="仿宋"/>
          <w:sz w:val="24"/>
        </w:rPr>
      </w:pPr>
      <w:r>
        <w:rPr>
          <w:rFonts w:hint="eastAsia" w:ascii="仿宋" w:hAnsi="仿宋" w:eastAsia="仿宋"/>
          <w:sz w:val="24"/>
        </w:rPr>
        <w:t xml:space="preserve">法定代表人或者委托代理人签字:___________ </w:t>
      </w:r>
    </w:p>
    <w:p>
      <w:pPr>
        <w:pStyle w:val="28"/>
        <w:spacing w:line="400" w:lineRule="exact"/>
        <w:ind w:firstLine="480" w:firstLineChars="200"/>
        <w:contextualSpacing/>
        <w:rPr>
          <w:rFonts w:ascii="仿宋" w:hAnsi="仿宋" w:eastAsia="仿宋"/>
          <w:sz w:val="24"/>
          <w:szCs w:val="24"/>
          <w:u w:val="single"/>
        </w:rPr>
      </w:pPr>
      <w:r>
        <w:rPr>
          <w:rFonts w:hint="eastAsia" w:ascii="仿宋" w:hAnsi="仿宋" w:eastAsia="仿宋"/>
          <w:sz w:val="24"/>
        </w:rPr>
        <w:t>投标人（盖公章）：</w:t>
      </w:r>
    </w:p>
    <w:p>
      <w:pPr>
        <w:pStyle w:val="28"/>
        <w:spacing w:line="400" w:lineRule="exact"/>
        <w:ind w:firstLine="960" w:firstLineChars="400"/>
        <w:contextualSpacing/>
        <w:rPr>
          <w:rFonts w:ascii="仿宋" w:hAnsi="仿宋" w:eastAsia="仿宋"/>
          <w:sz w:val="24"/>
          <w:szCs w:val="24"/>
          <w:u w:val="single"/>
        </w:rPr>
      </w:pPr>
      <w:r>
        <w:rPr>
          <w:rFonts w:hint="eastAsia" w:ascii="仿宋" w:hAnsi="仿宋" w:eastAsia="仿宋"/>
          <w:sz w:val="24"/>
          <w:szCs w:val="24"/>
        </w:rPr>
        <w:t>年   月   日</w:t>
      </w:r>
    </w:p>
    <w:p>
      <w:pPr>
        <w:snapToGrid w:val="0"/>
        <w:spacing w:before="120" w:beforeLines="50" w:after="50" w:line="380" w:lineRule="exact"/>
        <w:jc w:val="left"/>
        <w:rPr>
          <w:rFonts w:ascii="仿宋" w:hAnsi="仿宋" w:eastAsia="仿宋"/>
          <w:b/>
          <w:sz w:val="24"/>
          <w:szCs w:val="20"/>
        </w:rPr>
      </w:pPr>
      <w:r>
        <w:rPr>
          <w:rFonts w:ascii="仿宋" w:hAnsi="仿宋" w:eastAsia="仿宋"/>
          <w:u w:val="single"/>
        </w:rPr>
        <w:br w:type="page"/>
      </w:r>
      <w:r>
        <w:rPr>
          <w:rFonts w:hint="eastAsia" w:ascii="仿宋" w:hAnsi="仿宋" w:eastAsia="仿宋"/>
          <w:b/>
          <w:sz w:val="24"/>
        </w:rPr>
        <w:t>4. 开标一览表（服务类格式）</w:t>
      </w:r>
    </w:p>
    <w:p>
      <w:pPr>
        <w:snapToGrid w:val="0"/>
        <w:spacing w:before="50" w:after="50" w:line="380" w:lineRule="exact"/>
        <w:jc w:val="center"/>
        <w:rPr>
          <w:rFonts w:ascii="仿宋" w:hAnsi="仿宋" w:eastAsia="仿宋"/>
          <w:b/>
          <w:sz w:val="30"/>
        </w:rPr>
      </w:pPr>
      <w:r>
        <w:rPr>
          <w:rFonts w:hint="eastAsia" w:ascii="仿宋" w:hAnsi="仿宋" w:eastAsia="仿宋"/>
          <w:b/>
          <w:sz w:val="30"/>
        </w:rPr>
        <w:t>开标一览表</w:t>
      </w:r>
    </w:p>
    <w:p>
      <w:pPr>
        <w:snapToGrid w:val="0"/>
        <w:spacing w:before="50" w:after="50" w:line="380" w:lineRule="exact"/>
        <w:rPr>
          <w:rFonts w:ascii="仿宋" w:hAnsi="仿宋" w:eastAsia="仿宋"/>
          <w:sz w:val="24"/>
          <w:u w:val="single"/>
        </w:rPr>
      </w:pPr>
      <w:r>
        <w:rPr>
          <w:rFonts w:hint="eastAsia" w:ascii="仿宋" w:hAnsi="仿宋" w:eastAsia="仿宋"/>
          <w:sz w:val="24"/>
        </w:rPr>
        <w:t>项目名称：</w:t>
      </w:r>
      <w:r>
        <w:rPr>
          <w:rFonts w:hint="eastAsia" w:ascii="仿宋" w:hAnsi="仿宋" w:eastAsia="仿宋"/>
          <w:sz w:val="24"/>
          <w:lang w:val="en-US" w:eastAsia="zh-CN"/>
        </w:rPr>
        <w:t xml:space="preserve">                      </w:t>
      </w:r>
      <w:r>
        <w:rPr>
          <w:rFonts w:hint="eastAsia" w:ascii="仿宋" w:hAnsi="仿宋" w:eastAsia="仿宋"/>
          <w:sz w:val="24"/>
        </w:rPr>
        <w:t>项目编号：</w:t>
      </w:r>
      <w:r>
        <w:rPr>
          <w:rFonts w:hint="eastAsia" w:ascii="仿宋" w:hAnsi="仿宋" w:eastAsia="仿宋"/>
          <w:sz w:val="24"/>
          <w:lang w:val="en-US" w:eastAsia="zh-CN"/>
        </w:rPr>
        <w:t xml:space="preserve">                     </w:t>
      </w:r>
      <w:r>
        <w:rPr>
          <w:rFonts w:hint="eastAsia" w:ascii="仿宋" w:hAnsi="仿宋" w:eastAsia="仿宋" w:cs="宋体"/>
          <w:sz w:val="24"/>
        </w:rPr>
        <w:t>标项</w:t>
      </w:r>
      <w:r>
        <w:rPr>
          <w:rFonts w:hint="eastAsia" w:ascii="仿宋" w:hAnsi="仿宋" w:eastAsia="仿宋"/>
          <w:sz w:val="24"/>
        </w:rPr>
        <w:t>：</w:t>
      </w:r>
      <w:r>
        <w:rPr>
          <w:rFonts w:ascii="仿宋" w:hAnsi="仿宋" w:eastAsia="仿宋"/>
          <w:sz w:val="24"/>
          <w:u w:val="single"/>
        </w:rPr>
        <w:t xml:space="preserve"> / </w:t>
      </w:r>
    </w:p>
    <w:p>
      <w:pPr>
        <w:snapToGrid w:val="0"/>
        <w:spacing w:before="50" w:after="50" w:line="380" w:lineRule="exact"/>
        <w:rPr>
          <w:rFonts w:ascii="仿宋" w:hAnsi="仿宋" w:eastAsia="仿宋"/>
          <w:sz w:val="24"/>
        </w:rPr>
      </w:pPr>
      <w:r>
        <w:rPr>
          <w:rFonts w:hint="eastAsia" w:ascii="仿宋" w:hAnsi="仿宋" w:eastAsia="仿宋"/>
          <w:sz w:val="24"/>
        </w:rPr>
        <w:t>投标人名称：单位：元</w:t>
      </w:r>
    </w:p>
    <w:tbl>
      <w:tblPr>
        <w:tblStyle w:val="54"/>
        <w:tblW w:w="1034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6"/>
        <w:gridCol w:w="2212"/>
        <w:gridCol w:w="825"/>
        <w:gridCol w:w="1263"/>
        <w:gridCol w:w="1470"/>
        <w:gridCol w:w="1925"/>
        <w:gridCol w:w="18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380" w:lineRule="exact"/>
              <w:jc w:val="center"/>
              <w:rPr>
                <w:rFonts w:ascii="仿宋" w:hAnsi="仿宋" w:eastAsia="仿宋" w:cs="宋体"/>
                <w:sz w:val="24"/>
              </w:rPr>
            </w:pPr>
            <w:r>
              <w:rPr>
                <w:rFonts w:hint="eastAsia" w:ascii="仿宋" w:hAnsi="仿宋" w:eastAsia="仿宋" w:cs="宋体"/>
                <w:sz w:val="24"/>
              </w:rPr>
              <w:t>序号</w:t>
            </w:r>
          </w:p>
        </w:tc>
        <w:tc>
          <w:tcPr>
            <w:tcW w:w="22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380" w:lineRule="exact"/>
              <w:jc w:val="center"/>
              <w:rPr>
                <w:rFonts w:ascii="仿宋" w:hAnsi="仿宋" w:eastAsia="仿宋" w:cs="宋体"/>
                <w:sz w:val="24"/>
              </w:rPr>
            </w:pPr>
            <w:r>
              <w:rPr>
                <w:rFonts w:hint="eastAsia" w:ascii="仿宋" w:hAnsi="仿宋" w:eastAsia="仿宋" w:cs="宋体"/>
                <w:sz w:val="24"/>
              </w:rPr>
              <w:t>项目名称</w:t>
            </w:r>
          </w:p>
        </w:tc>
        <w:tc>
          <w:tcPr>
            <w:tcW w:w="825"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仿宋" w:hAnsi="仿宋" w:eastAsia="仿宋" w:cs="宋体"/>
                <w:sz w:val="24"/>
              </w:rPr>
            </w:pPr>
            <w:r>
              <w:rPr>
                <w:rFonts w:hint="eastAsia" w:ascii="仿宋" w:hAnsi="仿宋" w:eastAsia="仿宋" w:cs="宋体"/>
                <w:sz w:val="24"/>
                <w:highlight w:val="cyan"/>
              </w:rPr>
              <w:t>数量</w:t>
            </w:r>
          </w:p>
        </w:tc>
        <w:tc>
          <w:tcPr>
            <w:tcW w:w="126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380" w:lineRule="exact"/>
              <w:jc w:val="center"/>
              <w:rPr>
                <w:rFonts w:ascii="仿宋" w:hAnsi="仿宋" w:eastAsia="仿宋" w:cs="宋体"/>
                <w:sz w:val="24"/>
              </w:rPr>
            </w:pPr>
            <w:r>
              <w:rPr>
                <w:rFonts w:hint="eastAsia" w:ascii="仿宋" w:hAnsi="仿宋" w:eastAsia="仿宋" w:cs="宋体"/>
                <w:sz w:val="24"/>
              </w:rPr>
              <w:t>单位（人）</w:t>
            </w: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380" w:lineRule="exact"/>
              <w:jc w:val="center"/>
              <w:rPr>
                <w:rFonts w:ascii="仿宋" w:hAnsi="仿宋" w:eastAsia="仿宋" w:cs="宋体"/>
                <w:sz w:val="24"/>
              </w:rPr>
            </w:pPr>
            <w:r>
              <w:rPr>
                <w:rFonts w:hint="eastAsia" w:ascii="仿宋" w:hAnsi="仿宋" w:eastAsia="仿宋" w:cs="宋体"/>
                <w:sz w:val="24"/>
              </w:rPr>
              <w:t>每个学生</w:t>
            </w:r>
          </w:p>
          <w:p>
            <w:pPr>
              <w:tabs>
                <w:tab w:val="left" w:pos="1418"/>
              </w:tabs>
              <w:snapToGrid w:val="0"/>
              <w:spacing w:line="380" w:lineRule="exact"/>
              <w:jc w:val="center"/>
              <w:rPr>
                <w:rFonts w:ascii="仿宋" w:hAnsi="仿宋" w:eastAsia="仿宋" w:cs="宋体"/>
                <w:sz w:val="24"/>
              </w:rPr>
            </w:pPr>
            <w:r>
              <w:rPr>
                <w:rFonts w:hint="eastAsia" w:ascii="仿宋" w:hAnsi="仿宋" w:eastAsia="仿宋" w:cs="宋体"/>
                <w:sz w:val="24"/>
              </w:rPr>
              <w:t>单价（元）</w:t>
            </w:r>
          </w:p>
        </w:tc>
        <w:tc>
          <w:tcPr>
            <w:tcW w:w="192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380" w:lineRule="exact"/>
              <w:jc w:val="center"/>
              <w:rPr>
                <w:rFonts w:ascii="仿宋" w:hAnsi="仿宋" w:eastAsia="仿宋" w:cs="宋体"/>
                <w:sz w:val="24"/>
              </w:rPr>
            </w:pPr>
            <w:r>
              <w:rPr>
                <w:rFonts w:hint="eastAsia" w:ascii="仿宋" w:hAnsi="仿宋" w:eastAsia="仿宋" w:cs="宋体"/>
                <w:sz w:val="24"/>
              </w:rPr>
              <w:t>合价</w:t>
            </w:r>
          </w:p>
          <w:p>
            <w:pPr>
              <w:tabs>
                <w:tab w:val="left" w:pos="1418"/>
              </w:tabs>
              <w:snapToGrid w:val="0"/>
              <w:spacing w:line="380" w:lineRule="exact"/>
              <w:jc w:val="center"/>
              <w:rPr>
                <w:rFonts w:ascii="仿宋" w:hAnsi="仿宋" w:eastAsia="仿宋" w:cs="宋体"/>
                <w:sz w:val="24"/>
              </w:rPr>
            </w:pPr>
            <w:r>
              <w:rPr>
                <w:rFonts w:hint="eastAsia" w:ascii="仿宋" w:hAnsi="仿宋" w:eastAsia="仿宋" w:cs="宋体"/>
                <w:sz w:val="24"/>
              </w:rPr>
              <w:t>（单价</w:t>
            </w:r>
            <w:r>
              <w:rPr>
                <w:rFonts w:ascii="仿宋" w:hAnsi="仿宋" w:eastAsia="仿宋" w:cs="宋体"/>
                <w:sz w:val="24"/>
              </w:rPr>
              <w:t>×数量</w:t>
            </w:r>
            <w:r>
              <w:rPr>
                <w:rFonts w:hint="eastAsia" w:ascii="仿宋" w:hAnsi="仿宋" w:eastAsia="仿宋" w:cs="宋体"/>
                <w:sz w:val="24"/>
              </w:rPr>
              <w:t>）</w:t>
            </w:r>
          </w:p>
        </w:tc>
        <w:tc>
          <w:tcPr>
            <w:tcW w:w="188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380" w:lineRule="exact"/>
              <w:jc w:val="center"/>
              <w:rPr>
                <w:rFonts w:ascii="仿宋" w:hAnsi="仿宋" w:eastAsia="仿宋" w:cs="宋体"/>
                <w:sz w:val="24"/>
              </w:rPr>
            </w:pPr>
            <w:r>
              <w:rPr>
                <w:rFonts w:hint="eastAsia" w:ascii="仿宋" w:hAnsi="仿宋" w:eastAsia="仿宋" w:cs="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0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380" w:lineRule="exact"/>
              <w:jc w:val="center"/>
              <w:rPr>
                <w:rFonts w:ascii="仿宋" w:hAnsi="仿宋" w:eastAsia="仿宋" w:cs="宋体"/>
                <w:sz w:val="24"/>
              </w:rPr>
            </w:pPr>
            <w:r>
              <w:rPr>
                <w:rFonts w:hint="eastAsia" w:ascii="仿宋" w:hAnsi="仿宋" w:eastAsia="仿宋" w:cs="宋体"/>
                <w:sz w:val="24"/>
              </w:rPr>
              <w:t>1</w:t>
            </w:r>
          </w:p>
        </w:tc>
        <w:tc>
          <w:tcPr>
            <w:tcW w:w="22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380" w:lineRule="exact"/>
              <w:jc w:val="center"/>
              <w:rPr>
                <w:rFonts w:ascii="仿宋" w:hAnsi="仿宋" w:eastAsia="仿宋" w:cs="宋体"/>
                <w:sz w:val="24"/>
              </w:rPr>
            </w:pPr>
            <w:r>
              <w:rPr>
                <w:rFonts w:hint="eastAsia" w:ascii="仿宋" w:hAnsi="仿宋" w:eastAsia="仿宋" w:cs="宋体"/>
                <w:sz w:val="24"/>
              </w:rPr>
              <w:t xml:space="preserve"> </w:t>
            </w:r>
          </w:p>
        </w:tc>
        <w:tc>
          <w:tcPr>
            <w:tcW w:w="82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380" w:lineRule="exact"/>
              <w:jc w:val="center"/>
              <w:rPr>
                <w:rFonts w:ascii="仿宋" w:hAnsi="仿宋" w:eastAsia="仿宋" w:cs="宋体"/>
                <w:sz w:val="24"/>
                <w:lang w:val="en-US"/>
              </w:rPr>
            </w:pPr>
            <w:r>
              <w:rPr>
                <w:rFonts w:hint="eastAsia" w:ascii="仿宋" w:hAnsi="仿宋" w:eastAsia="仿宋" w:cs="宋体"/>
                <w:sz w:val="24"/>
                <w:lang w:val="en-US" w:eastAsia="zh-CN"/>
              </w:rPr>
              <w:t>18000</w:t>
            </w:r>
          </w:p>
        </w:tc>
        <w:tc>
          <w:tcPr>
            <w:tcW w:w="1263"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380" w:lineRule="exact"/>
              <w:jc w:val="center"/>
              <w:rPr>
                <w:rFonts w:hint="eastAsia" w:ascii="仿宋" w:hAnsi="仿宋" w:eastAsia="仿宋" w:cs="宋体"/>
                <w:sz w:val="24"/>
                <w:lang w:eastAsia="zh-CN"/>
              </w:rPr>
            </w:pPr>
            <w:r>
              <w:rPr>
                <w:rFonts w:hint="eastAsia" w:ascii="仿宋" w:hAnsi="仿宋" w:eastAsia="仿宋" w:cs="宋体"/>
                <w:sz w:val="24"/>
                <w:lang w:eastAsia="zh-CN"/>
              </w:rPr>
              <w:t>人</w:t>
            </w: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380" w:lineRule="exact"/>
              <w:jc w:val="center"/>
              <w:rPr>
                <w:rFonts w:ascii="仿宋" w:hAnsi="仿宋" w:eastAsia="仿宋" w:cs="宋体"/>
                <w:sz w:val="24"/>
              </w:rPr>
            </w:pPr>
          </w:p>
        </w:tc>
        <w:tc>
          <w:tcPr>
            <w:tcW w:w="1925"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380" w:lineRule="exact"/>
              <w:jc w:val="center"/>
              <w:rPr>
                <w:rFonts w:ascii="仿宋" w:hAnsi="仿宋" w:eastAsia="仿宋" w:cs="宋体"/>
                <w:sz w:val="24"/>
              </w:rPr>
            </w:pPr>
          </w:p>
        </w:tc>
        <w:tc>
          <w:tcPr>
            <w:tcW w:w="188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380" w:lineRule="exact"/>
              <w:jc w:val="center"/>
              <w:rPr>
                <w:rFonts w:ascii="仿宋" w:hAnsi="仿宋" w:eastAsia="仿宋" w:cs="宋体"/>
                <w:sz w:val="24"/>
              </w:rPr>
            </w:pPr>
            <w:r>
              <w:rPr>
                <w:rFonts w:hint="eastAsia" w:ascii="仿宋" w:hAnsi="仿宋" w:eastAsia="仿宋" w:cs="宋体"/>
                <w:sz w:val="24"/>
                <w:highlight w:val="cyan"/>
              </w:rPr>
              <w:t>（写明服务商：每个学生使用高等学历继续教育综合学习平台与课程资源的服务费）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59" w:hRule="atLeast"/>
          <w:jc w:val="center"/>
        </w:trPr>
        <w:tc>
          <w:tcPr>
            <w:tcW w:w="10348" w:type="dxa"/>
            <w:gridSpan w:val="7"/>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380" w:lineRule="exact"/>
              <w:jc w:val="left"/>
              <w:rPr>
                <w:rFonts w:ascii="仿宋" w:hAnsi="仿宋" w:eastAsia="仿宋" w:cs="宋体"/>
                <w:sz w:val="24"/>
                <w:u w:val="single"/>
              </w:rPr>
            </w:pPr>
            <w:r>
              <w:rPr>
                <w:rFonts w:hint="eastAsia" w:ascii="仿宋" w:hAnsi="仿宋" w:eastAsia="仿宋" w:cs="宋体"/>
                <w:sz w:val="24"/>
              </w:rPr>
              <w:t>投标</w:t>
            </w:r>
            <w:r>
              <w:rPr>
                <w:rFonts w:ascii="仿宋" w:hAnsi="仿宋" w:eastAsia="仿宋" w:cs="宋体"/>
                <w:sz w:val="24"/>
              </w:rPr>
              <w:t>总报价</w:t>
            </w:r>
            <w:r>
              <w:rPr>
                <w:rFonts w:hint="eastAsia" w:ascii="仿宋" w:hAnsi="仿宋" w:eastAsia="仿宋" w:cs="宋体"/>
                <w:sz w:val="24"/>
              </w:rPr>
              <w:t>（大写）</w:t>
            </w:r>
            <w:r>
              <w:rPr>
                <w:rFonts w:ascii="仿宋" w:hAnsi="仿宋" w:eastAsia="仿宋" w:cs="宋体"/>
                <w:sz w:val="24"/>
              </w:rPr>
              <w:t>：</w:t>
            </w:r>
          </w:p>
          <w:p>
            <w:pPr>
              <w:tabs>
                <w:tab w:val="left" w:pos="1418"/>
              </w:tabs>
              <w:snapToGrid w:val="0"/>
              <w:spacing w:line="380" w:lineRule="exact"/>
              <w:jc w:val="left"/>
              <w:rPr>
                <w:rFonts w:ascii="仿宋" w:hAnsi="仿宋" w:eastAsia="仿宋" w:cs="宋体"/>
                <w:sz w:val="24"/>
              </w:rPr>
            </w:pPr>
            <w:r>
              <w:rPr>
                <w:rFonts w:hint="eastAsia" w:ascii="仿宋" w:hAnsi="仿宋" w:eastAsia="仿宋" w:cs="宋体"/>
                <w:sz w:val="24"/>
              </w:rPr>
              <w:t>投标</w:t>
            </w:r>
            <w:r>
              <w:rPr>
                <w:rFonts w:ascii="仿宋" w:hAnsi="仿宋" w:eastAsia="仿宋" w:cs="宋体"/>
                <w:sz w:val="24"/>
              </w:rPr>
              <w:t>总报价（</w:t>
            </w:r>
            <w:r>
              <w:rPr>
                <w:rFonts w:hint="eastAsia" w:ascii="仿宋" w:hAnsi="仿宋" w:eastAsia="仿宋" w:cs="宋体"/>
                <w:sz w:val="24"/>
              </w:rPr>
              <w:t>小写</w:t>
            </w:r>
            <w:r>
              <w:rPr>
                <w:rFonts w:ascii="仿宋" w:hAnsi="仿宋" w:eastAsia="仿宋" w:cs="宋体"/>
                <w:sz w:val="24"/>
              </w:rPr>
              <w:t>）</w:t>
            </w:r>
            <w:r>
              <w:rPr>
                <w:rFonts w:hint="eastAsia" w:ascii="仿宋" w:hAnsi="仿宋" w:eastAsia="仿宋" w:cs="宋体"/>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4" w:hRule="atLeast"/>
          <w:jc w:val="center"/>
        </w:trPr>
        <w:tc>
          <w:tcPr>
            <w:tcW w:w="10348" w:type="dxa"/>
            <w:gridSpan w:val="7"/>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380" w:lineRule="exact"/>
              <w:jc w:val="left"/>
              <w:rPr>
                <w:rFonts w:ascii="仿宋" w:hAnsi="仿宋" w:eastAsia="仿宋" w:cs="宋体"/>
                <w:sz w:val="24"/>
              </w:rPr>
            </w:pPr>
            <w:r>
              <w:rPr>
                <w:rFonts w:hint="eastAsia" w:ascii="仿宋" w:hAnsi="仿宋" w:eastAsia="仿宋" w:cs="宋体"/>
                <w:sz w:val="24"/>
              </w:rPr>
              <w:t>服务</w:t>
            </w:r>
            <w:r>
              <w:rPr>
                <w:rFonts w:ascii="仿宋" w:hAnsi="仿宋" w:eastAsia="仿宋" w:cs="宋体"/>
                <w:sz w:val="24"/>
              </w:rPr>
              <w:t>期限：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55" w:hRule="atLeast"/>
          <w:jc w:val="center"/>
        </w:trPr>
        <w:tc>
          <w:tcPr>
            <w:tcW w:w="10348" w:type="dxa"/>
            <w:gridSpan w:val="7"/>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line="380" w:lineRule="exact"/>
              <w:jc w:val="left"/>
              <w:rPr>
                <w:rFonts w:ascii="仿宋" w:hAnsi="仿宋" w:eastAsia="仿宋" w:cs="宋体"/>
                <w:sz w:val="24"/>
              </w:rPr>
            </w:pPr>
            <w:r>
              <w:rPr>
                <w:rFonts w:hint="eastAsia" w:ascii="仿宋" w:hAnsi="仿宋" w:eastAsia="仿宋" w:cs="宋体"/>
                <w:sz w:val="24"/>
              </w:rPr>
              <w:t>备注</w:t>
            </w:r>
            <w:r>
              <w:rPr>
                <w:rFonts w:ascii="仿宋" w:hAnsi="仿宋" w:eastAsia="仿宋" w:cs="宋体"/>
                <w:sz w:val="24"/>
              </w:rPr>
              <w:t>：</w:t>
            </w:r>
          </w:p>
          <w:p>
            <w:pPr>
              <w:tabs>
                <w:tab w:val="left" w:pos="1418"/>
              </w:tabs>
              <w:snapToGrid w:val="0"/>
              <w:spacing w:line="380" w:lineRule="exact"/>
              <w:jc w:val="left"/>
              <w:rPr>
                <w:rFonts w:ascii="仿宋" w:hAnsi="仿宋" w:eastAsia="仿宋" w:cs="宋体"/>
                <w:sz w:val="24"/>
              </w:rPr>
            </w:pPr>
            <w:r>
              <w:rPr>
                <w:rFonts w:hint="eastAsia" w:ascii="仿宋" w:hAnsi="仿宋" w:eastAsia="仿宋" w:cs="宋体"/>
                <w:sz w:val="24"/>
              </w:rPr>
              <w:t>1、</w:t>
            </w:r>
            <w:r>
              <w:rPr>
                <w:rFonts w:hint="eastAsia" w:ascii="仿宋" w:hAnsi="仿宋" w:eastAsia="仿宋" w:cs="仿宋"/>
                <w:sz w:val="24"/>
              </w:rPr>
              <w:t>投标报价是履行合同的最终价格，即满足全部采购需求所应提供的服务的价格；本次报价为按要求完成服务的全部价格，报价须为人民币报价，包含产品价、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中标供应商没有列入的项目费用，并认为此项目的费用已包括在投标报价中。</w:t>
            </w:r>
            <w:r>
              <w:rPr>
                <w:rFonts w:hint="eastAsia" w:ascii="仿宋" w:hAnsi="仿宋" w:eastAsia="仿宋" w:cs="宋体"/>
                <w:sz w:val="24"/>
              </w:rPr>
              <w:t>。</w:t>
            </w:r>
          </w:p>
          <w:p>
            <w:pPr>
              <w:tabs>
                <w:tab w:val="left" w:pos="1418"/>
              </w:tabs>
              <w:snapToGrid w:val="0"/>
              <w:spacing w:line="380" w:lineRule="exact"/>
              <w:jc w:val="left"/>
              <w:rPr>
                <w:rFonts w:ascii="仿宋" w:hAnsi="仿宋" w:eastAsia="仿宋" w:cs="宋体"/>
                <w:sz w:val="24"/>
              </w:rPr>
            </w:pPr>
            <w:r>
              <w:rPr>
                <w:rFonts w:hint="eastAsia" w:ascii="仿宋" w:hAnsi="仿宋" w:eastAsia="仿宋" w:cs="宋体"/>
                <w:sz w:val="24"/>
              </w:rPr>
              <w:t>2、投标人必须就第二章“</w:t>
            </w:r>
            <w:r>
              <w:rPr>
                <w:rFonts w:ascii="仿宋" w:hAnsi="仿宋" w:eastAsia="仿宋" w:cs="宋体"/>
                <w:sz w:val="24"/>
              </w:rPr>
              <w:t>采购需求</w:t>
            </w:r>
            <w:r>
              <w:rPr>
                <w:rFonts w:hint="eastAsia" w:ascii="仿宋" w:hAnsi="仿宋" w:eastAsia="仿宋" w:cs="宋体"/>
                <w:sz w:val="24"/>
              </w:rPr>
              <w:t>”中的所有内容进行完整唯一报价；漏项报价的或有选择的或有条件的报价，其投标将视为无效。</w:t>
            </w:r>
          </w:p>
        </w:tc>
      </w:tr>
    </w:tbl>
    <w:p>
      <w:pPr>
        <w:snapToGrid w:val="0"/>
        <w:spacing w:before="50" w:after="50" w:line="380" w:lineRule="exact"/>
        <w:jc w:val="left"/>
        <w:rPr>
          <w:rFonts w:ascii="仿宋" w:hAnsi="仿宋" w:eastAsia="仿宋"/>
          <w:sz w:val="24"/>
        </w:rPr>
      </w:pPr>
      <w:r>
        <w:rPr>
          <w:rFonts w:hint="eastAsia" w:ascii="仿宋" w:hAnsi="仿宋" w:eastAsia="仿宋"/>
          <w:sz w:val="24"/>
        </w:rPr>
        <w:t xml:space="preserve">注: </w:t>
      </w:r>
    </w:p>
    <w:p>
      <w:pPr>
        <w:snapToGrid w:val="0"/>
        <w:spacing w:before="50" w:after="50" w:line="380" w:lineRule="exact"/>
        <w:ind w:firstLine="480" w:firstLineChars="200"/>
        <w:jc w:val="left"/>
        <w:rPr>
          <w:rFonts w:ascii="仿宋" w:hAnsi="仿宋" w:eastAsia="仿宋"/>
          <w:sz w:val="24"/>
        </w:rPr>
      </w:pPr>
      <w:r>
        <w:rPr>
          <w:rFonts w:hint="eastAsia" w:ascii="仿宋" w:hAnsi="仿宋" w:eastAsia="仿宋"/>
          <w:sz w:val="24"/>
        </w:rPr>
        <w:t>1.投标人的开标一览表必须加盖投标人公章并由</w:t>
      </w:r>
      <w:r>
        <w:rPr>
          <w:rFonts w:ascii="仿宋" w:hAnsi="仿宋" w:eastAsia="仿宋"/>
          <w:sz w:val="24"/>
        </w:rPr>
        <w:t>法定代表人或者委托代理人</w:t>
      </w:r>
      <w:r>
        <w:rPr>
          <w:rFonts w:hint="eastAsia" w:ascii="仿宋" w:hAnsi="仿宋" w:eastAsia="仿宋"/>
          <w:sz w:val="24"/>
        </w:rPr>
        <w:t>签字，</w:t>
      </w:r>
      <w:r>
        <w:rPr>
          <w:rFonts w:hint="eastAsia" w:ascii="仿宋" w:hAnsi="仿宋" w:eastAsia="仿宋"/>
          <w:b/>
          <w:sz w:val="24"/>
        </w:rPr>
        <w:t>否则其投标作无效标处理</w:t>
      </w:r>
      <w:r>
        <w:rPr>
          <w:rFonts w:hint="eastAsia" w:ascii="仿宋" w:hAnsi="仿宋" w:eastAsia="仿宋"/>
          <w:sz w:val="24"/>
        </w:rPr>
        <w:t>。</w:t>
      </w:r>
    </w:p>
    <w:p>
      <w:pPr>
        <w:snapToGrid w:val="0"/>
        <w:spacing w:before="50" w:after="50" w:line="380" w:lineRule="exact"/>
        <w:ind w:firstLine="480" w:firstLineChars="200"/>
        <w:jc w:val="left"/>
        <w:rPr>
          <w:rFonts w:ascii="仿宋" w:hAnsi="仿宋" w:eastAsia="仿宋"/>
          <w:b/>
          <w:sz w:val="24"/>
        </w:rPr>
      </w:pPr>
      <w:r>
        <w:rPr>
          <w:rFonts w:hint="eastAsia" w:ascii="仿宋" w:hAnsi="仿宋" w:eastAsia="仿宋"/>
          <w:bCs/>
          <w:sz w:val="24"/>
        </w:rPr>
        <w:t>2.</w:t>
      </w:r>
      <w:r>
        <w:rPr>
          <w:rFonts w:hint="eastAsia" w:ascii="仿宋" w:hAnsi="仿宋" w:eastAsia="仿宋"/>
          <w:sz w:val="24"/>
        </w:rPr>
        <w:t>报价一经涂改，应在涂改处加盖投标人公章或者由法定代表人或者委托代理人签字或者盖章</w:t>
      </w:r>
      <w:r>
        <w:rPr>
          <w:rFonts w:hint="eastAsia" w:ascii="仿宋" w:hAnsi="仿宋" w:eastAsia="仿宋"/>
          <w:b/>
          <w:sz w:val="24"/>
        </w:rPr>
        <w:t>，否则其投标作无效标处理。</w:t>
      </w:r>
    </w:p>
    <w:p>
      <w:pPr>
        <w:snapToGrid w:val="0"/>
        <w:spacing w:before="50" w:after="50" w:line="380" w:lineRule="exact"/>
        <w:ind w:left="-2" w:leftChars="-1" w:right="-817" w:rightChars="-389"/>
        <w:rPr>
          <w:rFonts w:ascii="仿宋" w:hAnsi="仿宋" w:eastAsia="仿宋"/>
          <w:sz w:val="24"/>
        </w:rPr>
      </w:pPr>
      <w:r>
        <w:rPr>
          <w:rFonts w:hint="eastAsia" w:ascii="仿宋" w:hAnsi="仿宋" w:eastAsia="仿宋"/>
          <w:sz w:val="24"/>
        </w:rPr>
        <w:t>法定代表人或者委托代理人（签字）：</w:t>
      </w:r>
    </w:p>
    <w:p>
      <w:pPr>
        <w:snapToGrid w:val="0"/>
        <w:spacing w:before="50" w:after="50" w:line="380" w:lineRule="exact"/>
        <w:ind w:left="-3" w:leftChars="-15" w:right="-817" w:rightChars="-389" w:hanging="28" w:hangingChars="12"/>
        <w:rPr>
          <w:rFonts w:ascii="仿宋" w:hAnsi="仿宋" w:eastAsia="仿宋"/>
          <w:sz w:val="24"/>
        </w:rPr>
      </w:pPr>
      <w:r>
        <w:rPr>
          <w:rFonts w:hint="eastAsia" w:ascii="仿宋" w:hAnsi="仿宋" w:eastAsia="仿宋"/>
          <w:sz w:val="24"/>
        </w:rPr>
        <w:t>投标人（盖公章）：</w:t>
      </w:r>
    </w:p>
    <w:p>
      <w:pPr>
        <w:snapToGrid w:val="0"/>
        <w:spacing w:before="50" w:after="50" w:line="380" w:lineRule="exact"/>
        <w:ind w:left="-3" w:leftChars="-15" w:right="-817" w:rightChars="-389" w:hanging="28" w:hangingChars="12"/>
        <w:rPr>
          <w:rFonts w:ascii="仿宋" w:hAnsi="仿宋" w:eastAsia="仿宋"/>
          <w:szCs w:val="21"/>
        </w:rPr>
      </w:pPr>
      <w:r>
        <w:rPr>
          <w:rFonts w:hint="eastAsia" w:ascii="仿宋" w:hAnsi="仿宋" w:eastAsia="仿宋"/>
          <w:sz w:val="24"/>
        </w:rPr>
        <w:t>日期：    年   月   日</w:t>
      </w:r>
    </w:p>
    <w:p>
      <w:pPr>
        <w:rPr>
          <w:rFonts w:ascii="仿宋" w:hAnsi="仿宋" w:eastAsia="仿宋"/>
          <w:b/>
          <w:bCs/>
          <w:sz w:val="24"/>
        </w:rPr>
      </w:pPr>
    </w:p>
    <w:p>
      <w:pPr>
        <w:rPr>
          <w:rFonts w:ascii="仿宋" w:hAnsi="仿宋" w:eastAsia="仿宋"/>
          <w:b/>
          <w:bCs/>
          <w:sz w:val="24"/>
        </w:rPr>
      </w:pPr>
      <w:r>
        <w:rPr>
          <w:rFonts w:hint="eastAsia" w:ascii="仿宋" w:hAnsi="仿宋" w:eastAsia="仿宋"/>
          <w:b/>
          <w:bCs/>
          <w:sz w:val="24"/>
        </w:rPr>
        <w:t>5、投标人针对报价需要说明的其他文件和说明（格式自拟）</w:t>
      </w:r>
      <w:bookmarkStart w:id="255" w:name="_Toc19686837"/>
    </w:p>
    <w:p>
      <w:pPr>
        <w:rPr>
          <w:rFonts w:ascii="仿宋" w:hAnsi="仿宋" w:eastAsia="仿宋"/>
          <w:b/>
          <w:bCs/>
          <w:sz w:val="24"/>
        </w:rPr>
      </w:pPr>
      <w:r>
        <w:rPr>
          <w:rFonts w:hint="eastAsia" w:ascii="仿宋" w:hAnsi="仿宋" w:eastAsia="仿宋"/>
          <w:b/>
          <w:bCs/>
          <w:sz w:val="24"/>
        </w:rPr>
        <w:br w:type="page"/>
      </w:r>
    </w:p>
    <w:p>
      <w:pPr>
        <w:rPr>
          <w:rFonts w:ascii="仿宋" w:hAnsi="仿宋" w:eastAsia="仿宋"/>
          <w:b/>
          <w:sz w:val="28"/>
          <w:szCs w:val="28"/>
        </w:rPr>
      </w:pPr>
      <w:r>
        <w:rPr>
          <w:rFonts w:hint="eastAsia" w:ascii="仿宋" w:hAnsi="仿宋" w:eastAsia="仿宋"/>
          <w:b/>
          <w:sz w:val="28"/>
          <w:szCs w:val="28"/>
        </w:rPr>
        <w:t>二、资格证明文件格式</w:t>
      </w:r>
      <w:bookmarkEnd w:id="253"/>
      <w:bookmarkEnd w:id="254"/>
      <w:bookmarkEnd w:id="255"/>
    </w:p>
    <w:p>
      <w:pPr>
        <w:numPr>
          <w:ilvl w:val="2"/>
          <w:numId w:val="66"/>
        </w:numPr>
        <w:snapToGrid w:val="0"/>
        <w:spacing w:before="120" w:beforeLines="50" w:after="50" w:line="360" w:lineRule="auto"/>
        <w:ind w:left="0" w:firstLine="0"/>
        <w:jc w:val="left"/>
        <w:rPr>
          <w:rFonts w:ascii="仿宋" w:hAnsi="仿宋" w:eastAsia="仿宋"/>
          <w:b/>
          <w:sz w:val="24"/>
        </w:rPr>
      </w:pPr>
      <w:r>
        <w:rPr>
          <w:rFonts w:hint="eastAsia" w:ascii="仿宋" w:hAnsi="仿宋" w:eastAsia="仿宋"/>
          <w:b/>
          <w:sz w:val="24"/>
        </w:rPr>
        <w:t xml:space="preserve">资格证明文件封面格式： </w:t>
      </w:r>
    </w:p>
    <w:p>
      <w:pPr>
        <w:snapToGrid w:val="0"/>
        <w:spacing w:before="120" w:beforeLines="50" w:after="50"/>
        <w:rPr>
          <w:rFonts w:ascii="仿宋" w:hAnsi="仿宋" w:eastAsia="仿宋"/>
          <w:bCs/>
          <w:sz w:val="32"/>
          <w:szCs w:val="20"/>
        </w:rPr>
      </w:pPr>
    </w:p>
    <w:p>
      <w:pPr>
        <w:snapToGrid w:val="0"/>
        <w:spacing w:before="120" w:beforeLines="50" w:after="50"/>
        <w:rPr>
          <w:rFonts w:ascii="仿宋" w:hAnsi="仿宋" w:eastAsia="仿宋"/>
          <w:sz w:val="24"/>
          <w:szCs w:val="20"/>
        </w:rPr>
      </w:pPr>
    </w:p>
    <w:p>
      <w:pPr>
        <w:snapToGrid w:val="0"/>
        <w:spacing w:before="120" w:beforeLines="50" w:after="50"/>
        <w:rPr>
          <w:rFonts w:ascii="仿宋" w:hAnsi="仿宋" w:eastAsia="仿宋"/>
          <w:sz w:val="24"/>
          <w:szCs w:val="20"/>
        </w:rPr>
      </w:pPr>
    </w:p>
    <w:p>
      <w:pPr>
        <w:snapToGrid w:val="0"/>
        <w:spacing w:before="120" w:beforeLines="50" w:after="50"/>
        <w:jc w:val="center"/>
        <w:rPr>
          <w:rFonts w:ascii="仿宋" w:hAnsi="仿宋" w:eastAsia="仿宋" w:cs="方正小标宋简体"/>
          <w:sz w:val="84"/>
          <w:szCs w:val="84"/>
        </w:rPr>
      </w:pPr>
      <w:r>
        <w:rPr>
          <w:rFonts w:hint="eastAsia" w:ascii="仿宋" w:hAnsi="仿宋" w:eastAsia="仿宋" w:cs="方正小标宋简体"/>
          <w:sz w:val="84"/>
          <w:szCs w:val="84"/>
        </w:rPr>
        <w:t>投  标  文  件</w:t>
      </w:r>
    </w:p>
    <w:p>
      <w:pPr>
        <w:snapToGrid w:val="0"/>
        <w:spacing w:before="120" w:beforeLines="50" w:after="50"/>
        <w:rPr>
          <w:rFonts w:ascii="仿宋" w:hAnsi="仿宋" w:eastAsia="仿宋"/>
          <w:sz w:val="24"/>
          <w:szCs w:val="20"/>
        </w:rPr>
      </w:pPr>
    </w:p>
    <w:p>
      <w:pPr>
        <w:snapToGrid w:val="0"/>
        <w:spacing w:before="120" w:beforeLines="50" w:after="50"/>
        <w:rPr>
          <w:rFonts w:ascii="仿宋" w:hAnsi="仿宋" w:eastAsia="仿宋"/>
          <w:sz w:val="24"/>
          <w:szCs w:val="20"/>
        </w:rPr>
      </w:pPr>
    </w:p>
    <w:p>
      <w:pPr>
        <w:snapToGrid w:val="0"/>
        <w:spacing w:before="120" w:beforeLines="50" w:after="50"/>
        <w:jc w:val="center"/>
        <w:rPr>
          <w:rFonts w:ascii="仿宋" w:hAnsi="仿宋" w:eastAsia="仿宋"/>
          <w:b/>
          <w:sz w:val="24"/>
          <w:szCs w:val="20"/>
        </w:rPr>
      </w:pPr>
      <w:r>
        <w:rPr>
          <w:rFonts w:hint="eastAsia" w:ascii="仿宋" w:hAnsi="仿宋" w:eastAsia="仿宋"/>
          <w:b/>
          <w:sz w:val="32"/>
          <w:szCs w:val="32"/>
        </w:rPr>
        <w:t>资 格 证 明 文 件</w:t>
      </w:r>
    </w:p>
    <w:p>
      <w:pPr>
        <w:snapToGrid w:val="0"/>
        <w:spacing w:before="120" w:beforeLines="50" w:after="50"/>
        <w:rPr>
          <w:rFonts w:ascii="仿宋" w:hAnsi="仿宋" w:eastAsia="仿宋"/>
          <w:bCs/>
          <w:sz w:val="24"/>
          <w:szCs w:val="20"/>
        </w:rPr>
      </w:pPr>
    </w:p>
    <w:p>
      <w:pPr>
        <w:snapToGrid w:val="0"/>
        <w:spacing w:before="120" w:beforeLines="50" w:after="50"/>
        <w:rPr>
          <w:rFonts w:ascii="仿宋" w:hAnsi="仿宋" w:eastAsia="仿宋"/>
          <w:bCs/>
          <w:sz w:val="24"/>
          <w:szCs w:val="20"/>
        </w:rPr>
      </w:pPr>
    </w:p>
    <w:p>
      <w:pPr>
        <w:snapToGrid w:val="0"/>
        <w:spacing w:before="120" w:beforeLines="50" w:after="50"/>
        <w:rPr>
          <w:rFonts w:ascii="仿宋" w:hAnsi="仿宋" w:eastAsia="仿宋"/>
          <w:bCs/>
          <w:sz w:val="24"/>
          <w:szCs w:val="20"/>
        </w:rPr>
      </w:pPr>
    </w:p>
    <w:p>
      <w:pPr>
        <w:snapToGrid w:val="0"/>
        <w:spacing w:before="120" w:beforeLines="50" w:after="50"/>
        <w:rPr>
          <w:rFonts w:ascii="仿宋" w:hAnsi="仿宋" w:eastAsia="仿宋"/>
          <w:bCs/>
          <w:sz w:val="24"/>
          <w:szCs w:val="20"/>
        </w:rPr>
      </w:pPr>
    </w:p>
    <w:p>
      <w:pPr>
        <w:snapToGrid w:val="0"/>
        <w:spacing w:before="120" w:beforeLines="50" w:after="50"/>
        <w:rPr>
          <w:rFonts w:ascii="仿宋" w:hAnsi="仿宋" w:eastAsia="仿宋"/>
          <w:bCs/>
          <w:sz w:val="24"/>
          <w:szCs w:val="20"/>
        </w:rPr>
      </w:pPr>
    </w:p>
    <w:p>
      <w:pPr>
        <w:snapToGrid w:val="0"/>
        <w:spacing w:before="120" w:beforeLines="50" w:after="50"/>
        <w:ind w:firstLine="540" w:firstLineChars="225"/>
        <w:rPr>
          <w:rFonts w:ascii="仿宋" w:hAnsi="仿宋" w:eastAsia="仿宋"/>
          <w:bCs/>
          <w:sz w:val="24"/>
        </w:rPr>
      </w:pPr>
      <w:r>
        <w:rPr>
          <w:rFonts w:hint="eastAsia" w:ascii="仿宋" w:hAnsi="仿宋" w:eastAsia="仿宋"/>
          <w:bCs/>
          <w:sz w:val="24"/>
        </w:rPr>
        <w:t>项目名称：</w:t>
      </w:r>
    </w:p>
    <w:p>
      <w:pPr>
        <w:snapToGrid w:val="0"/>
        <w:spacing w:before="120" w:beforeLines="50" w:after="50"/>
        <w:ind w:firstLine="540" w:firstLineChars="225"/>
        <w:rPr>
          <w:rFonts w:ascii="仿宋" w:hAnsi="仿宋" w:eastAsia="仿宋"/>
          <w:bCs/>
          <w:sz w:val="24"/>
          <w:szCs w:val="20"/>
        </w:rPr>
      </w:pPr>
    </w:p>
    <w:p>
      <w:pPr>
        <w:snapToGrid w:val="0"/>
        <w:spacing w:before="120" w:beforeLines="50" w:after="50"/>
        <w:ind w:firstLine="540" w:firstLineChars="225"/>
        <w:rPr>
          <w:rFonts w:ascii="仿宋" w:hAnsi="仿宋" w:eastAsia="仿宋"/>
          <w:bCs/>
          <w:sz w:val="24"/>
        </w:rPr>
      </w:pPr>
      <w:r>
        <w:rPr>
          <w:rFonts w:hint="eastAsia" w:ascii="仿宋" w:hAnsi="仿宋" w:eastAsia="仿宋"/>
          <w:bCs/>
          <w:sz w:val="24"/>
        </w:rPr>
        <w:t>项目编号：</w:t>
      </w:r>
    </w:p>
    <w:p>
      <w:pPr>
        <w:snapToGrid w:val="0"/>
        <w:spacing w:before="120" w:beforeLines="50" w:after="50"/>
        <w:ind w:firstLine="540" w:firstLineChars="225"/>
        <w:rPr>
          <w:rFonts w:ascii="仿宋" w:hAnsi="仿宋" w:eastAsia="仿宋"/>
          <w:bCs/>
          <w:sz w:val="24"/>
          <w:szCs w:val="20"/>
        </w:rPr>
      </w:pPr>
    </w:p>
    <w:p>
      <w:pPr>
        <w:snapToGrid w:val="0"/>
        <w:spacing w:before="120" w:beforeLines="50" w:after="50"/>
        <w:ind w:firstLine="540" w:firstLineChars="225"/>
        <w:rPr>
          <w:rFonts w:ascii="仿宋" w:hAnsi="仿宋" w:eastAsia="仿宋"/>
          <w:bCs/>
          <w:sz w:val="24"/>
        </w:rPr>
      </w:pPr>
      <w:r>
        <w:rPr>
          <w:rFonts w:hint="eastAsia" w:ascii="仿宋" w:hAnsi="仿宋" w:eastAsia="仿宋"/>
          <w:bCs/>
          <w:sz w:val="24"/>
        </w:rPr>
        <w:t>所投</w:t>
      </w:r>
      <w:r>
        <w:rPr>
          <w:rFonts w:hint="eastAsia" w:ascii="仿宋" w:hAnsi="仿宋" w:eastAsia="仿宋" w:cs="宋体"/>
          <w:sz w:val="24"/>
        </w:rPr>
        <w:t>标项</w:t>
      </w:r>
      <w:r>
        <w:rPr>
          <w:rFonts w:hint="eastAsia" w:ascii="仿宋" w:hAnsi="仿宋" w:eastAsia="仿宋"/>
          <w:bCs/>
          <w:sz w:val="24"/>
        </w:rPr>
        <w:t>：</w:t>
      </w:r>
      <w:r>
        <w:rPr>
          <w:rFonts w:ascii="仿宋" w:hAnsi="仿宋" w:eastAsia="仿宋"/>
          <w:bCs/>
          <w:sz w:val="24"/>
        </w:rPr>
        <w:t xml:space="preserve"> /</w:t>
      </w:r>
    </w:p>
    <w:p>
      <w:pPr>
        <w:snapToGrid w:val="0"/>
        <w:spacing w:before="120" w:beforeLines="50" w:after="50"/>
        <w:ind w:firstLine="540" w:firstLineChars="225"/>
        <w:rPr>
          <w:rFonts w:ascii="仿宋" w:hAnsi="仿宋" w:eastAsia="仿宋"/>
          <w:bCs/>
          <w:sz w:val="24"/>
        </w:rPr>
      </w:pPr>
    </w:p>
    <w:p>
      <w:pPr>
        <w:pStyle w:val="9"/>
        <w:snapToGrid w:val="0"/>
        <w:spacing w:before="50" w:after="50"/>
        <w:ind w:firstLine="540" w:firstLineChars="225"/>
        <w:rPr>
          <w:rFonts w:ascii="仿宋" w:hAnsi="仿宋" w:eastAsia="仿宋"/>
          <w:bCs/>
          <w:sz w:val="24"/>
          <w:szCs w:val="24"/>
        </w:rPr>
      </w:pPr>
      <w:r>
        <w:rPr>
          <w:rFonts w:hint="eastAsia" w:ascii="仿宋" w:hAnsi="仿宋" w:eastAsia="仿宋"/>
          <w:bCs/>
          <w:sz w:val="24"/>
          <w:szCs w:val="24"/>
        </w:rPr>
        <w:t>投标人名称：</w:t>
      </w:r>
    </w:p>
    <w:p>
      <w:pPr>
        <w:pStyle w:val="9"/>
        <w:snapToGrid w:val="0"/>
        <w:spacing w:before="50" w:after="50"/>
        <w:ind w:firstLine="540" w:firstLineChars="225"/>
        <w:rPr>
          <w:rFonts w:ascii="仿宋" w:hAnsi="仿宋" w:eastAsia="仿宋"/>
          <w:bCs/>
          <w:sz w:val="24"/>
          <w:szCs w:val="24"/>
        </w:rPr>
      </w:pPr>
    </w:p>
    <w:p>
      <w:pPr>
        <w:pStyle w:val="9"/>
        <w:snapToGrid w:val="0"/>
        <w:spacing w:before="50" w:after="50"/>
        <w:ind w:firstLine="960" w:firstLineChars="400"/>
        <w:rPr>
          <w:rFonts w:ascii="仿宋" w:hAnsi="仿宋" w:eastAsia="仿宋"/>
          <w:bCs/>
          <w:sz w:val="24"/>
          <w:szCs w:val="24"/>
        </w:rPr>
      </w:pPr>
    </w:p>
    <w:p>
      <w:pPr>
        <w:snapToGrid w:val="0"/>
        <w:spacing w:before="120" w:beforeLines="50" w:after="50"/>
        <w:ind w:firstLine="645"/>
        <w:jc w:val="center"/>
        <w:rPr>
          <w:rFonts w:ascii="仿宋" w:hAnsi="仿宋" w:eastAsia="仿宋"/>
          <w:sz w:val="24"/>
        </w:rPr>
      </w:pPr>
      <w:r>
        <w:rPr>
          <w:rFonts w:hint="eastAsia" w:ascii="仿宋" w:hAnsi="仿宋" w:eastAsia="仿宋"/>
          <w:sz w:val="24"/>
        </w:rPr>
        <w:t>年  月  日</w:t>
      </w:r>
    </w:p>
    <w:p>
      <w:pPr>
        <w:snapToGrid w:val="0"/>
        <w:spacing w:before="120" w:beforeLines="50" w:after="50"/>
        <w:rPr>
          <w:rFonts w:ascii="仿宋" w:hAnsi="仿宋" w:eastAsia="仿宋"/>
          <w:sz w:val="24"/>
          <w:szCs w:val="20"/>
        </w:rPr>
      </w:pPr>
    </w:p>
    <w:p>
      <w:pPr>
        <w:snapToGrid w:val="0"/>
        <w:spacing w:before="120" w:beforeLines="50" w:after="50"/>
        <w:rPr>
          <w:rFonts w:ascii="仿宋" w:hAnsi="仿宋" w:eastAsia="仿宋"/>
          <w:sz w:val="24"/>
          <w:szCs w:val="20"/>
        </w:rPr>
      </w:pPr>
    </w:p>
    <w:p>
      <w:pPr>
        <w:tabs>
          <w:tab w:val="left" w:pos="1815"/>
        </w:tabs>
        <w:snapToGrid w:val="0"/>
        <w:spacing w:before="120" w:beforeLines="50" w:after="50" w:line="360" w:lineRule="auto"/>
        <w:jc w:val="left"/>
        <w:rPr>
          <w:rFonts w:ascii="仿宋" w:hAnsi="仿宋" w:eastAsia="仿宋"/>
          <w:b/>
          <w:sz w:val="24"/>
          <w:szCs w:val="20"/>
        </w:rPr>
      </w:pPr>
      <w:r>
        <w:rPr>
          <w:rFonts w:ascii="仿宋" w:hAnsi="仿宋" w:eastAsia="仿宋"/>
          <w:b/>
          <w:bCs/>
          <w:sz w:val="24"/>
        </w:rPr>
        <w:br w:type="page"/>
      </w:r>
      <w:r>
        <w:rPr>
          <w:rFonts w:ascii="仿宋" w:hAnsi="仿宋" w:eastAsia="仿宋"/>
          <w:b/>
          <w:bCs/>
          <w:sz w:val="24"/>
        </w:rPr>
        <w:t>2.</w:t>
      </w:r>
      <w:r>
        <w:rPr>
          <w:rFonts w:hint="eastAsia" w:ascii="仿宋" w:hAnsi="仿宋" w:eastAsia="仿宋"/>
          <w:b/>
          <w:bCs/>
          <w:sz w:val="24"/>
        </w:rPr>
        <w:t>资格证明文件目录</w:t>
      </w:r>
    </w:p>
    <w:p>
      <w:pPr>
        <w:snapToGrid w:val="0"/>
        <w:spacing w:line="360" w:lineRule="auto"/>
        <w:jc w:val="left"/>
        <w:rPr>
          <w:rFonts w:ascii="仿宋" w:hAnsi="仿宋" w:eastAsia="仿宋"/>
          <w:sz w:val="24"/>
        </w:rPr>
      </w:pPr>
      <w:r>
        <w:rPr>
          <w:rFonts w:hint="eastAsia" w:ascii="仿宋" w:hAnsi="仿宋" w:eastAsia="仿宋"/>
          <w:sz w:val="24"/>
        </w:rPr>
        <w:t>根据招标文件规定及投标人提供的材料自行编写目录。</w:t>
      </w:r>
    </w:p>
    <w:p>
      <w:pPr>
        <w:snapToGrid w:val="0"/>
        <w:spacing w:before="50" w:after="120" w:afterLines="50"/>
        <w:jc w:val="left"/>
        <w:rPr>
          <w:rFonts w:ascii="仿宋" w:hAnsi="仿宋" w:eastAsia="仿宋"/>
          <w:sz w:val="24"/>
        </w:rPr>
      </w:pPr>
    </w:p>
    <w:p>
      <w:pPr>
        <w:snapToGrid w:val="0"/>
        <w:spacing w:before="50" w:after="120" w:afterLines="50"/>
        <w:jc w:val="left"/>
        <w:rPr>
          <w:rFonts w:ascii="仿宋" w:hAnsi="仿宋" w:eastAsia="仿宋"/>
          <w:sz w:val="24"/>
        </w:rPr>
      </w:pPr>
    </w:p>
    <w:p>
      <w:pPr>
        <w:numPr>
          <w:ilvl w:val="2"/>
          <w:numId w:val="66"/>
        </w:numPr>
        <w:snapToGrid w:val="0"/>
        <w:spacing w:before="120" w:beforeLines="50" w:after="50"/>
        <w:ind w:left="0" w:firstLine="0"/>
        <w:jc w:val="left"/>
        <w:rPr>
          <w:rFonts w:ascii="仿宋" w:hAnsi="仿宋" w:eastAsia="仿宋"/>
          <w:b/>
          <w:sz w:val="24"/>
        </w:rPr>
      </w:pPr>
      <w:r>
        <w:rPr>
          <w:rFonts w:ascii="仿宋" w:hAnsi="仿宋" w:eastAsia="仿宋"/>
          <w:b/>
          <w:sz w:val="24"/>
        </w:rPr>
        <w:br w:type="page"/>
      </w:r>
      <w:r>
        <w:rPr>
          <w:rFonts w:hint="eastAsia" w:ascii="仿宋" w:hAnsi="仿宋" w:eastAsia="仿宋"/>
          <w:b/>
          <w:sz w:val="24"/>
        </w:rPr>
        <w:t>投标人直接控股、管理关系信息表</w:t>
      </w:r>
    </w:p>
    <w:p>
      <w:pPr>
        <w:snapToGrid w:val="0"/>
        <w:spacing w:before="50" w:after="120" w:afterLines="50"/>
        <w:jc w:val="center"/>
        <w:rPr>
          <w:rFonts w:ascii="仿宋" w:hAnsi="仿宋" w:eastAsia="仿宋"/>
          <w:b/>
          <w:sz w:val="28"/>
          <w:szCs w:val="28"/>
        </w:rPr>
      </w:pPr>
    </w:p>
    <w:p>
      <w:pPr>
        <w:snapToGrid w:val="0"/>
        <w:spacing w:before="50" w:after="120" w:afterLines="50" w:line="360" w:lineRule="auto"/>
        <w:jc w:val="center"/>
        <w:rPr>
          <w:rFonts w:ascii="仿宋" w:hAnsi="仿宋" w:eastAsia="仿宋"/>
          <w:b/>
          <w:sz w:val="32"/>
          <w:szCs w:val="32"/>
        </w:rPr>
      </w:pPr>
      <w:r>
        <w:rPr>
          <w:rFonts w:hint="eastAsia" w:ascii="仿宋" w:hAnsi="仿宋" w:eastAsia="仿宋"/>
          <w:b/>
          <w:sz w:val="32"/>
          <w:szCs w:val="32"/>
        </w:rPr>
        <w:t>投标人直接控股股东信息表</w:t>
      </w:r>
    </w:p>
    <w:tbl>
      <w:tblPr>
        <w:tblStyle w:val="54"/>
        <w:tblW w:w="9476" w:type="dxa"/>
        <w:jc w:val="center"/>
        <w:tblInd w:w="0" w:type="dxa"/>
        <w:tblLayout w:type="fixed"/>
        <w:tblCellMar>
          <w:top w:w="0" w:type="dxa"/>
          <w:left w:w="0" w:type="dxa"/>
          <w:bottom w:w="0" w:type="dxa"/>
          <w:right w:w="0" w:type="dxa"/>
        </w:tblCellMar>
      </w:tblPr>
      <w:tblGrid>
        <w:gridCol w:w="828"/>
        <w:gridCol w:w="2269"/>
        <w:gridCol w:w="1239"/>
        <w:gridCol w:w="3722"/>
        <w:gridCol w:w="1418"/>
      </w:tblGrid>
      <w:tr>
        <w:tblPrEx>
          <w:tblLayout w:type="fixed"/>
          <w:tblCellMar>
            <w:top w:w="0" w:type="dxa"/>
            <w:left w:w="0" w:type="dxa"/>
            <w:bottom w:w="0" w:type="dxa"/>
            <w:right w:w="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ascii="仿宋" w:hAnsi="仿宋" w:eastAsia="仿宋" w:cs="宋体"/>
                <w:b/>
                <w:bCs/>
                <w:kern w:val="0"/>
                <w:sz w:val="24"/>
              </w:rPr>
            </w:pPr>
            <w:r>
              <w:rPr>
                <w:rFonts w:hint="eastAsia" w:ascii="仿宋" w:hAnsi="仿宋" w:eastAsia="仿宋" w:cs="宋体"/>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ascii="仿宋" w:hAnsi="仿宋" w:eastAsia="仿宋" w:cs="宋体"/>
                <w:b/>
                <w:bCs/>
                <w:kern w:val="0"/>
                <w:sz w:val="24"/>
              </w:rPr>
            </w:pPr>
            <w:r>
              <w:rPr>
                <w:rFonts w:hint="eastAsia" w:ascii="仿宋" w:hAnsi="仿宋" w:eastAsia="仿宋" w:cs="宋体"/>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ascii="仿宋" w:hAnsi="仿宋" w:eastAsia="仿宋" w:cs="宋体"/>
                <w:b/>
                <w:bCs/>
                <w:kern w:val="0"/>
                <w:sz w:val="24"/>
              </w:rPr>
            </w:pPr>
            <w:r>
              <w:rPr>
                <w:rFonts w:hint="eastAsia" w:ascii="仿宋" w:hAnsi="仿宋" w:eastAsia="仿宋" w:cs="宋体"/>
                <w:b/>
                <w:bCs/>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ascii="仿宋" w:hAnsi="仿宋" w:eastAsia="仿宋" w:cs="宋体"/>
                <w:b/>
                <w:bCs/>
                <w:kern w:val="0"/>
                <w:sz w:val="24"/>
              </w:rPr>
            </w:pPr>
            <w:r>
              <w:rPr>
                <w:rFonts w:hint="eastAsia" w:ascii="仿宋" w:hAnsi="仿宋" w:eastAsia="仿宋" w:cs="宋体"/>
                <w:b/>
                <w:bCs/>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ascii="仿宋" w:hAnsi="仿宋" w:eastAsia="仿宋" w:cs="宋体"/>
                <w:b/>
                <w:bCs/>
                <w:kern w:val="0"/>
                <w:sz w:val="24"/>
              </w:rPr>
            </w:pPr>
            <w:r>
              <w:rPr>
                <w:rFonts w:hint="eastAsia" w:ascii="仿宋" w:hAnsi="仿宋" w:eastAsia="仿宋" w:cs="宋体"/>
                <w:b/>
                <w:bCs/>
                <w:kern w:val="0"/>
                <w:sz w:val="24"/>
              </w:rPr>
              <w:t>备注</w:t>
            </w:r>
          </w:p>
        </w:tc>
      </w:tr>
      <w:tr>
        <w:tblPrEx>
          <w:tblLayout w:type="fixed"/>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r>
              <w:rPr>
                <w:rFonts w:hint="eastAsia" w:ascii="仿宋" w:hAnsi="仿宋" w:eastAsia="仿宋" w:cs="宋体"/>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p>
        </w:tc>
      </w:tr>
      <w:tr>
        <w:tblPrEx>
          <w:tblLayout w:type="fixed"/>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r>
              <w:rPr>
                <w:rFonts w:hint="eastAsia" w:ascii="仿宋" w:hAnsi="仿宋" w:eastAsia="仿宋" w:cs="宋体"/>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p>
        </w:tc>
      </w:tr>
      <w:tr>
        <w:tblPrEx>
          <w:tblLayout w:type="fixed"/>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r>
              <w:rPr>
                <w:rFonts w:hint="eastAsia" w:ascii="仿宋" w:hAnsi="仿宋" w:eastAsia="仿宋" w:cs="宋体"/>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p>
        </w:tc>
      </w:tr>
      <w:tr>
        <w:tblPrEx>
          <w:tblLayout w:type="fixed"/>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r>
              <w:rPr>
                <w:rFonts w:hint="eastAsia" w:ascii="仿宋" w:hAnsi="仿宋" w:eastAsia="仿宋" w:cs="宋体"/>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p>
        </w:tc>
      </w:tr>
    </w:tbl>
    <w:p>
      <w:pPr>
        <w:snapToGrid w:val="0"/>
        <w:spacing w:before="120" w:beforeLines="50" w:line="360" w:lineRule="auto"/>
        <w:jc w:val="left"/>
        <w:rPr>
          <w:rFonts w:ascii="仿宋" w:hAnsi="仿宋" w:eastAsia="仿宋"/>
          <w:sz w:val="24"/>
        </w:rPr>
      </w:pPr>
      <w:r>
        <w:rPr>
          <w:rFonts w:hint="eastAsia" w:ascii="仿宋" w:hAnsi="仿宋" w:eastAsia="仿宋"/>
          <w:sz w:val="24"/>
        </w:rPr>
        <w:t>注：</w:t>
      </w:r>
    </w:p>
    <w:p>
      <w:pPr>
        <w:snapToGrid w:val="0"/>
        <w:spacing w:line="360" w:lineRule="auto"/>
        <w:jc w:val="left"/>
        <w:rPr>
          <w:rFonts w:ascii="仿宋" w:hAnsi="仿宋" w:eastAsia="仿宋"/>
          <w:sz w:val="24"/>
        </w:rPr>
      </w:pPr>
      <w:r>
        <w:rPr>
          <w:rFonts w:hint="eastAsia" w:ascii="仿宋" w:hAnsi="仿宋" w:eastAsia="仿宋"/>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ascii="仿宋" w:hAnsi="仿宋" w:eastAsia="仿宋"/>
          <w:sz w:val="24"/>
        </w:rPr>
      </w:pPr>
      <w:r>
        <w:rPr>
          <w:rFonts w:hint="eastAsia" w:ascii="仿宋" w:hAnsi="仿宋" w:eastAsia="仿宋"/>
          <w:sz w:val="24"/>
        </w:rPr>
        <w:t>2.本表所指的控股关系仅限于直接控股关系，不包括间接的控股关系。公司实际控制人与公司之间的关系不属于本表所指的直接控股关系。</w:t>
      </w:r>
    </w:p>
    <w:p>
      <w:pPr>
        <w:snapToGrid w:val="0"/>
        <w:spacing w:line="360" w:lineRule="auto"/>
        <w:jc w:val="left"/>
        <w:rPr>
          <w:rFonts w:ascii="仿宋" w:hAnsi="仿宋" w:eastAsia="仿宋"/>
          <w:sz w:val="24"/>
        </w:rPr>
      </w:pPr>
      <w:r>
        <w:rPr>
          <w:rFonts w:hint="eastAsia" w:ascii="仿宋" w:hAnsi="仿宋" w:eastAsia="仿宋"/>
          <w:sz w:val="24"/>
        </w:rPr>
        <w:t>3.供应商不存在直接控股股东的，则填“无”。</w:t>
      </w:r>
    </w:p>
    <w:p>
      <w:pPr>
        <w:snapToGrid w:val="0"/>
        <w:spacing w:line="360" w:lineRule="auto"/>
        <w:jc w:val="left"/>
        <w:rPr>
          <w:rFonts w:ascii="仿宋" w:hAnsi="仿宋" w:eastAsia="仿宋"/>
          <w:sz w:val="24"/>
        </w:rPr>
      </w:pPr>
    </w:p>
    <w:p>
      <w:pPr>
        <w:snapToGrid w:val="0"/>
        <w:spacing w:line="360" w:lineRule="auto"/>
        <w:jc w:val="left"/>
        <w:rPr>
          <w:rFonts w:ascii="仿宋" w:hAnsi="仿宋" w:eastAsia="仿宋"/>
          <w:sz w:val="24"/>
        </w:rPr>
      </w:pPr>
    </w:p>
    <w:p>
      <w:pPr>
        <w:snapToGrid w:val="0"/>
        <w:spacing w:line="360" w:lineRule="auto"/>
        <w:jc w:val="left"/>
        <w:rPr>
          <w:rFonts w:ascii="仿宋" w:hAnsi="仿宋" w:eastAsia="仿宋"/>
          <w:sz w:val="24"/>
        </w:rPr>
      </w:pPr>
    </w:p>
    <w:p>
      <w:pPr>
        <w:snapToGrid w:val="0"/>
        <w:spacing w:line="360" w:lineRule="auto"/>
        <w:jc w:val="left"/>
        <w:rPr>
          <w:rFonts w:ascii="仿宋" w:hAnsi="仿宋" w:eastAsia="仿宋"/>
          <w:sz w:val="24"/>
        </w:rPr>
      </w:pPr>
    </w:p>
    <w:p>
      <w:pPr>
        <w:snapToGrid w:val="0"/>
        <w:spacing w:before="120" w:beforeLines="50" w:line="360" w:lineRule="auto"/>
        <w:ind w:right="480" w:firstLine="3967" w:firstLineChars="1653"/>
        <w:rPr>
          <w:rFonts w:ascii="仿宋" w:hAnsi="仿宋" w:eastAsia="仿宋"/>
          <w:sz w:val="24"/>
          <w:u w:val="single"/>
        </w:rPr>
      </w:pPr>
      <w:r>
        <w:rPr>
          <w:rFonts w:hint="eastAsia" w:ascii="仿宋" w:hAnsi="仿宋" w:eastAsia="仿宋"/>
          <w:sz w:val="24"/>
        </w:rPr>
        <w:t>法定代表人或者委托代理人（签字）：</w:t>
      </w:r>
    </w:p>
    <w:p>
      <w:pPr>
        <w:snapToGrid w:val="0"/>
        <w:spacing w:before="120" w:beforeLines="50" w:after="50" w:line="360" w:lineRule="auto"/>
        <w:ind w:right="480" w:firstLine="5520" w:firstLineChars="2300"/>
        <w:rPr>
          <w:rFonts w:ascii="仿宋" w:hAnsi="仿宋" w:eastAsia="仿宋"/>
          <w:sz w:val="24"/>
          <w:u w:val="single"/>
        </w:rPr>
      </w:pPr>
      <w:r>
        <w:rPr>
          <w:rFonts w:hint="eastAsia" w:ascii="仿宋" w:hAnsi="仿宋" w:eastAsia="仿宋"/>
          <w:sz w:val="24"/>
        </w:rPr>
        <w:t>投标人（盖公章）：</w:t>
      </w:r>
    </w:p>
    <w:p>
      <w:pPr>
        <w:snapToGrid w:val="0"/>
        <w:spacing w:before="120" w:beforeLines="50" w:after="50" w:line="360" w:lineRule="auto"/>
        <w:ind w:right="480" w:firstLine="5520" w:firstLineChars="2300"/>
        <w:rPr>
          <w:rFonts w:ascii="仿宋" w:hAnsi="仿宋" w:eastAsia="仿宋"/>
          <w:szCs w:val="21"/>
        </w:rPr>
      </w:pPr>
      <w:r>
        <w:rPr>
          <w:rFonts w:hint="eastAsia" w:ascii="仿宋" w:hAnsi="仿宋" w:eastAsia="仿宋"/>
          <w:sz w:val="24"/>
        </w:rPr>
        <w:t>年    月    日</w:t>
      </w:r>
    </w:p>
    <w:p>
      <w:pPr>
        <w:snapToGrid w:val="0"/>
        <w:spacing w:line="360" w:lineRule="auto"/>
        <w:jc w:val="center"/>
        <w:rPr>
          <w:rFonts w:ascii="仿宋" w:hAnsi="仿宋" w:eastAsia="仿宋"/>
          <w:sz w:val="32"/>
          <w:szCs w:val="32"/>
        </w:rPr>
      </w:pPr>
      <w:r>
        <w:rPr>
          <w:rFonts w:hint="eastAsia" w:ascii="仿宋" w:hAnsi="仿宋" w:eastAsia="仿宋"/>
          <w:b/>
          <w:sz w:val="32"/>
          <w:szCs w:val="32"/>
        </w:rPr>
        <w:t>投标人直接管理关系信息表</w:t>
      </w:r>
    </w:p>
    <w:tbl>
      <w:tblPr>
        <w:tblStyle w:val="54"/>
        <w:tblW w:w="9652" w:type="dxa"/>
        <w:jc w:val="center"/>
        <w:tblInd w:w="0" w:type="dxa"/>
        <w:tblLayout w:type="fixed"/>
        <w:tblCellMar>
          <w:top w:w="0" w:type="dxa"/>
          <w:left w:w="0" w:type="dxa"/>
          <w:bottom w:w="0" w:type="dxa"/>
          <w:right w:w="0" w:type="dxa"/>
        </w:tblCellMar>
      </w:tblPr>
      <w:tblGrid>
        <w:gridCol w:w="1005"/>
        <w:gridCol w:w="2659"/>
        <w:gridCol w:w="3924"/>
        <w:gridCol w:w="2064"/>
      </w:tblGrid>
      <w:tr>
        <w:tblPrEx>
          <w:tblLayout w:type="fixed"/>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b/>
                <w:bCs/>
                <w:kern w:val="0"/>
                <w:sz w:val="24"/>
              </w:rPr>
            </w:pPr>
            <w:r>
              <w:rPr>
                <w:rFonts w:hint="eastAsia" w:ascii="仿宋" w:hAnsi="仿宋" w:eastAsia="仿宋" w:cs="宋体"/>
                <w:b/>
                <w:bCs/>
                <w:kern w:val="0"/>
                <w:sz w:val="24"/>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b/>
                <w:bCs/>
                <w:kern w:val="0"/>
                <w:sz w:val="24"/>
              </w:rPr>
            </w:pPr>
            <w:r>
              <w:rPr>
                <w:rFonts w:hint="eastAsia" w:ascii="仿宋" w:hAnsi="仿宋" w:eastAsia="仿宋" w:cs="宋体"/>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b/>
                <w:bCs/>
                <w:kern w:val="0"/>
                <w:sz w:val="24"/>
              </w:rPr>
            </w:pPr>
            <w:r>
              <w:rPr>
                <w:rFonts w:hint="eastAsia" w:ascii="仿宋" w:hAnsi="仿宋" w:eastAsia="仿宋" w:cs="宋体"/>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b/>
                <w:bCs/>
                <w:kern w:val="0"/>
                <w:sz w:val="24"/>
              </w:rPr>
            </w:pPr>
            <w:r>
              <w:rPr>
                <w:rFonts w:hint="eastAsia" w:ascii="仿宋" w:hAnsi="仿宋" w:eastAsia="仿宋" w:cs="宋体"/>
                <w:b/>
                <w:bCs/>
                <w:kern w:val="0"/>
                <w:sz w:val="24"/>
              </w:rPr>
              <w:t>备注</w:t>
            </w:r>
          </w:p>
        </w:tc>
      </w:tr>
      <w:tr>
        <w:tblPrEx>
          <w:tblLayout w:type="fixed"/>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r>
              <w:rPr>
                <w:rFonts w:hint="eastAsia" w:ascii="仿宋" w:hAnsi="仿宋" w:eastAsia="仿宋" w:cs="宋体"/>
                <w:kern w:val="0"/>
                <w:sz w:val="24"/>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p>
        </w:tc>
      </w:tr>
      <w:tr>
        <w:tblPrEx>
          <w:tblLayout w:type="fixed"/>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r>
              <w:rPr>
                <w:rFonts w:hint="eastAsia" w:ascii="仿宋" w:hAnsi="仿宋" w:eastAsia="仿宋" w:cs="宋体"/>
                <w:kern w:val="0"/>
                <w:sz w:val="24"/>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p>
        </w:tc>
      </w:tr>
      <w:tr>
        <w:tblPrEx>
          <w:tblLayout w:type="fixed"/>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r>
              <w:rPr>
                <w:rFonts w:hint="eastAsia" w:ascii="仿宋" w:hAnsi="仿宋" w:eastAsia="仿宋" w:cs="宋体"/>
                <w:kern w:val="0"/>
                <w:sz w:val="24"/>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p>
        </w:tc>
      </w:tr>
      <w:tr>
        <w:tblPrEx>
          <w:tblLayout w:type="fixed"/>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r>
              <w:rPr>
                <w:rFonts w:hint="eastAsia" w:ascii="仿宋" w:hAnsi="仿宋" w:eastAsia="仿宋" w:cs="宋体"/>
                <w:kern w:val="0"/>
                <w:sz w:val="24"/>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spacing w:line="360" w:lineRule="auto"/>
              <w:jc w:val="center"/>
              <w:rPr>
                <w:rFonts w:ascii="仿宋" w:hAnsi="仿宋" w:eastAsia="仿宋" w:cs="宋体"/>
                <w:kern w:val="0"/>
                <w:sz w:val="24"/>
              </w:rPr>
            </w:pPr>
          </w:p>
        </w:tc>
      </w:tr>
    </w:tbl>
    <w:p>
      <w:pPr>
        <w:snapToGrid w:val="0"/>
        <w:spacing w:line="360" w:lineRule="auto"/>
        <w:jc w:val="left"/>
        <w:rPr>
          <w:rFonts w:ascii="仿宋" w:hAnsi="仿宋" w:eastAsia="仿宋"/>
          <w:sz w:val="24"/>
        </w:rPr>
      </w:pPr>
      <w:r>
        <w:rPr>
          <w:rFonts w:hint="eastAsia" w:ascii="仿宋" w:hAnsi="仿宋" w:eastAsia="仿宋"/>
          <w:sz w:val="24"/>
        </w:rPr>
        <w:t>注：</w:t>
      </w:r>
    </w:p>
    <w:p>
      <w:pPr>
        <w:snapToGrid w:val="0"/>
        <w:spacing w:line="360" w:lineRule="auto"/>
        <w:ind w:firstLine="480" w:firstLineChars="200"/>
        <w:jc w:val="left"/>
        <w:rPr>
          <w:rFonts w:ascii="仿宋" w:hAnsi="仿宋" w:eastAsia="仿宋"/>
          <w:sz w:val="24"/>
        </w:rPr>
      </w:pPr>
      <w:r>
        <w:rPr>
          <w:rFonts w:hint="eastAsia" w:ascii="仿宋" w:hAnsi="仿宋" w:eastAsia="仿宋"/>
          <w:sz w:val="24"/>
        </w:rPr>
        <w:t>1.管理关系：是指不具有出资持股关系的其他单位之间存在的管理与被管理关系，如一些上下级关系的事业单位和团体组织。</w:t>
      </w:r>
    </w:p>
    <w:p>
      <w:pPr>
        <w:snapToGrid w:val="0"/>
        <w:spacing w:line="360" w:lineRule="auto"/>
        <w:ind w:firstLine="480" w:firstLineChars="200"/>
        <w:jc w:val="left"/>
        <w:rPr>
          <w:rFonts w:ascii="仿宋" w:hAnsi="仿宋" w:eastAsia="仿宋"/>
          <w:sz w:val="24"/>
        </w:rPr>
      </w:pPr>
      <w:r>
        <w:rPr>
          <w:rFonts w:hint="eastAsia" w:ascii="仿宋" w:hAnsi="仿宋" w:eastAsia="仿宋"/>
          <w:sz w:val="24"/>
        </w:rPr>
        <w:t>2.</w:t>
      </w:r>
      <w:r>
        <w:rPr>
          <w:rFonts w:hint="eastAsia" w:ascii="仿宋" w:hAnsi="仿宋" w:eastAsia="仿宋"/>
          <w:spacing w:val="-6"/>
          <w:sz w:val="24"/>
        </w:rPr>
        <w:t>本表所指的管理关系仅限于直接管理关系，不包括间接的管理关系。</w:t>
      </w:r>
    </w:p>
    <w:p>
      <w:pPr>
        <w:snapToGrid w:val="0"/>
        <w:spacing w:line="360" w:lineRule="auto"/>
        <w:ind w:firstLine="480" w:firstLineChars="200"/>
        <w:jc w:val="left"/>
        <w:rPr>
          <w:rFonts w:ascii="仿宋" w:hAnsi="仿宋" w:eastAsia="仿宋"/>
          <w:sz w:val="24"/>
        </w:rPr>
      </w:pPr>
      <w:r>
        <w:rPr>
          <w:rFonts w:hint="eastAsia" w:ascii="仿宋" w:hAnsi="仿宋" w:eastAsia="仿宋"/>
          <w:sz w:val="24"/>
        </w:rPr>
        <w:t>3.供应商不存在直接管理关系的，则填“无”。</w:t>
      </w:r>
    </w:p>
    <w:p>
      <w:pPr>
        <w:snapToGrid w:val="0"/>
        <w:spacing w:line="360" w:lineRule="auto"/>
        <w:jc w:val="left"/>
        <w:rPr>
          <w:rFonts w:ascii="仿宋" w:hAnsi="仿宋" w:eastAsia="仿宋"/>
          <w:sz w:val="24"/>
        </w:rPr>
      </w:pPr>
    </w:p>
    <w:p>
      <w:pPr>
        <w:snapToGrid w:val="0"/>
        <w:spacing w:line="360" w:lineRule="auto"/>
        <w:jc w:val="left"/>
        <w:rPr>
          <w:rFonts w:ascii="仿宋" w:hAnsi="仿宋" w:eastAsia="仿宋"/>
          <w:sz w:val="24"/>
        </w:rPr>
      </w:pPr>
    </w:p>
    <w:p>
      <w:pPr>
        <w:snapToGrid w:val="0"/>
        <w:spacing w:line="360" w:lineRule="auto"/>
        <w:jc w:val="left"/>
        <w:rPr>
          <w:rFonts w:ascii="仿宋" w:hAnsi="仿宋" w:eastAsia="仿宋"/>
          <w:sz w:val="24"/>
        </w:rPr>
      </w:pPr>
    </w:p>
    <w:p>
      <w:pPr>
        <w:snapToGrid w:val="0"/>
        <w:spacing w:line="360" w:lineRule="auto"/>
        <w:jc w:val="left"/>
        <w:rPr>
          <w:rFonts w:ascii="仿宋" w:hAnsi="仿宋" w:eastAsia="仿宋"/>
          <w:sz w:val="24"/>
        </w:rPr>
      </w:pPr>
    </w:p>
    <w:p>
      <w:pPr>
        <w:snapToGrid w:val="0"/>
        <w:spacing w:line="360" w:lineRule="auto"/>
        <w:jc w:val="left"/>
        <w:rPr>
          <w:rFonts w:ascii="仿宋" w:hAnsi="仿宋" w:eastAsia="仿宋"/>
          <w:sz w:val="24"/>
        </w:rPr>
      </w:pPr>
    </w:p>
    <w:p>
      <w:pPr>
        <w:snapToGrid w:val="0"/>
        <w:spacing w:line="360" w:lineRule="auto"/>
        <w:jc w:val="left"/>
        <w:rPr>
          <w:rFonts w:ascii="仿宋" w:hAnsi="仿宋" w:eastAsia="仿宋"/>
          <w:sz w:val="24"/>
        </w:rPr>
      </w:pPr>
    </w:p>
    <w:p>
      <w:pPr>
        <w:snapToGrid w:val="0"/>
        <w:spacing w:line="360" w:lineRule="auto"/>
        <w:jc w:val="left"/>
        <w:rPr>
          <w:rFonts w:ascii="仿宋" w:hAnsi="仿宋" w:eastAsia="仿宋"/>
          <w:sz w:val="24"/>
        </w:rPr>
      </w:pPr>
    </w:p>
    <w:p>
      <w:pPr>
        <w:snapToGrid w:val="0"/>
        <w:spacing w:before="120" w:beforeLines="50" w:line="360" w:lineRule="auto"/>
        <w:ind w:right="480" w:firstLine="3967" w:firstLineChars="1653"/>
        <w:rPr>
          <w:rFonts w:ascii="仿宋" w:hAnsi="仿宋" w:eastAsia="仿宋"/>
          <w:sz w:val="24"/>
          <w:u w:val="single"/>
        </w:rPr>
      </w:pPr>
      <w:r>
        <w:rPr>
          <w:rFonts w:hint="eastAsia" w:ascii="仿宋" w:hAnsi="仿宋" w:eastAsia="仿宋"/>
          <w:sz w:val="24"/>
        </w:rPr>
        <w:t>法定代表人或者委托代理人（签字）：</w:t>
      </w:r>
    </w:p>
    <w:p>
      <w:pPr>
        <w:snapToGrid w:val="0"/>
        <w:spacing w:before="120" w:beforeLines="50" w:after="50" w:line="360" w:lineRule="auto"/>
        <w:ind w:right="480" w:firstLine="5520" w:firstLineChars="2300"/>
        <w:rPr>
          <w:rFonts w:ascii="仿宋" w:hAnsi="仿宋" w:eastAsia="仿宋"/>
          <w:sz w:val="24"/>
        </w:rPr>
      </w:pPr>
      <w:r>
        <w:rPr>
          <w:rFonts w:hint="eastAsia" w:ascii="仿宋" w:hAnsi="仿宋" w:eastAsia="仿宋"/>
          <w:sz w:val="24"/>
        </w:rPr>
        <w:t>投标人（盖公章）：</w:t>
      </w:r>
    </w:p>
    <w:p>
      <w:pPr>
        <w:snapToGrid w:val="0"/>
        <w:spacing w:before="120" w:beforeLines="50" w:after="50" w:line="360" w:lineRule="auto"/>
        <w:ind w:right="480" w:firstLine="240" w:firstLineChars="100"/>
        <w:jc w:val="right"/>
        <w:rPr>
          <w:rFonts w:ascii="仿宋" w:hAnsi="仿宋" w:eastAsia="仿宋"/>
          <w:sz w:val="24"/>
        </w:rPr>
      </w:pPr>
      <w:r>
        <w:rPr>
          <w:rFonts w:hint="eastAsia" w:ascii="仿宋" w:hAnsi="仿宋" w:eastAsia="仿宋"/>
          <w:sz w:val="24"/>
        </w:rPr>
        <w:t xml:space="preserve"> 年    月    日</w:t>
      </w:r>
    </w:p>
    <w:p>
      <w:pPr>
        <w:snapToGrid w:val="0"/>
        <w:spacing w:before="50" w:after="120" w:afterLines="50"/>
        <w:jc w:val="left"/>
        <w:rPr>
          <w:rFonts w:ascii="仿宋" w:hAnsi="仿宋" w:eastAsia="仿宋"/>
          <w:szCs w:val="21"/>
        </w:rPr>
      </w:pPr>
    </w:p>
    <w:p>
      <w:pPr>
        <w:numPr>
          <w:ilvl w:val="2"/>
          <w:numId w:val="66"/>
        </w:numPr>
        <w:snapToGrid w:val="0"/>
        <w:spacing w:before="120" w:beforeLines="50" w:after="50"/>
        <w:ind w:left="0" w:firstLine="0"/>
        <w:jc w:val="left"/>
        <w:rPr>
          <w:rFonts w:ascii="仿宋" w:hAnsi="仿宋" w:eastAsia="仿宋"/>
          <w:b/>
          <w:sz w:val="24"/>
          <w:szCs w:val="20"/>
        </w:rPr>
      </w:pPr>
      <w:r>
        <w:rPr>
          <w:rFonts w:ascii="仿宋" w:hAnsi="仿宋" w:eastAsia="仿宋"/>
          <w:b/>
          <w:sz w:val="24"/>
        </w:rPr>
        <w:br w:type="page"/>
      </w:r>
      <w:r>
        <w:rPr>
          <w:rFonts w:hint="eastAsia" w:ascii="仿宋" w:hAnsi="仿宋" w:eastAsia="仿宋"/>
          <w:b/>
          <w:sz w:val="24"/>
        </w:rPr>
        <w:t>投标声明格式</w:t>
      </w:r>
    </w:p>
    <w:p>
      <w:pPr>
        <w:snapToGrid w:val="0"/>
        <w:spacing w:before="50" w:after="120" w:afterLines="50"/>
        <w:jc w:val="center"/>
        <w:rPr>
          <w:rFonts w:ascii="仿宋" w:hAnsi="仿宋" w:eastAsia="仿宋" w:cs="方正小标宋简体"/>
          <w:bCs/>
          <w:sz w:val="44"/>
          <w:szCs w:val="44"/>
        </w:rPr>
      </w:pPr>
      <w:r>
        <w:rPr>
          <w:rFonts w:hint="eastAsia" w:ascii="仿宋" w:hAnsi="仿宋" w:eastAsia="仿宋" w:cs="方正小标宋简体"/>
          <w:bCs/>
          <w:sz w:val="44"/>
          <w:szCs w:val="44"/>
        </w:rPr>
        <w:t>投标声明</w:t>
      </w:r>
    </w:p>
    <w:p>
      <w:pPr>
        <w:spacing w:line="400" w:lineRule="exact"/>
        <w:contextualSpacing/>
        <w:jc w:val="left"/>
        <w:rPr>
          <w:rFonts w:ascii="仿宋" w:hAnsi="仿宋" w:eastAsia="仿宋"/>
          <w:sz w:val="24"/>
        </w:rPr>
      </w:pPr>
      <w:r>
        <w:rPr>
          <w:rFonts w:hint="eastAsia" w:ascii="仿宋" w:hAnsi="仿宋" w:eastAsia="仿宋"/>
          <w:sz w:val="24"/>
        </w:rPr>
        <w:t>（采购人名称）：</w:t>
      </w:r>
    </w:p>
    <w:p>
      <w:pPr>
        <w:spacing w:line="400" w:lineRule="exact"/>
        <w:ind w:firstLine="523" w:firstLineChars="218"/>
        <w:contextualSpacing/>
        <w:jc w:val="left"/>
        <w:rPr>
          <w:rFonts w:ascii="仿宋" w:hAnsi="仿宋" w:eastAsia="仿宋"/>
          <w:sz w:val="24"/>
        </w:rPr>
      </w:pPr>
      <w:r>
        <w:rPr>
          <w:rFonts w:hint="eastAsia" w:ascii="仿宋" w:hAnsi="仿宋" w:eastAsia="仿宋"/>
          <w:sz w:val="24"/>
        </w:rPr>
        <w:t>我方参加贵单位组织项目（项目编号：）的政府采购活动。我方在此郑重声明：</w:t>
      </w:r>
    </w:p>
    <w:p>
      <w:pPr>
        <w:spacing w:line="400" w:lineRule="exact"/>
        <w:ind w:firstLine="480" w:firstLineChars="200"/>
        <w:contextualSpacing/>
        <w:jc w:val="left"/>
        <w:rPr>
          <w:rFonts w:ascii="仿宋" w:hAnsi="仿宋" w:eastAsia="仿宋"/>
          <w:sz w:val="24"/>
        </w:rPr>
      </w:pPr>
      <w:r>
        <w:rPr>
          <w:rFonts w:hint="eastAsia" w:ascii="仿宋" w:hAnsi="仿宋" w:eastAsia="仿宋"/>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400" w:lineRule="exact"/>
        <w:ind w:firstLine="480" w:firstLineChars="200"/>
        <w:contextualSpacing/>
        <w:jc w:val="left"/>
        <w:rPr>
          <w:rFonts w:ascii="仿宋" w:hAnsi="仿宋" w:eastAsia="仿宋"/>
          <w:sz w:val="24"/>
        </w:rPr>
      </w:pPr>
      <w:r>
        <w:rPr>
          <w:rFonts w:hint="eastAsia" w:ascii="仿宋" w:hAnsi="仿宋" w:eastAsia="仿宋"/>
          <w:sz w:val="24"/>
        </w:rPr>
        <w:t>2.我方不是为本次采购项目提供整体设计、规范编制或者项目管理、监理、检测等服务的供应商。</w:t>
      </w:r>
    </w:p>
    <w:p>
      <w:pPr>
        <w:spacing w:line="400" w:lineRule="exact"/>
        <w:ind w:firstLine="480" w:firstLineChars="200"/>
        <w:contextualSpacing/>
        <w:jc w:val="left"/>
        <w:rPr>
          <w:rFonts w:ascii="仿宋" w:hAnsi="仿宋" w:eastAsia="仿宋"/>
          <w:sz w:val="24"/>
        </w:rPr>
      </w:pPr>
      <w:r>
        <w:rPr>
          <w:rFonts w:hint="eastAsia" w:ascii="仿宋" w:hAnsi="仿宋" w:eastAsia="仿宋"/>
          <w:sz w:val="24"/>
        </w:rPr>
        <w:t>3. 我方承诺符合《中华人民共和国政府采购法》第二十二条规定：</w:t>
      </w:r>
    </w:p>
    <w:p>
      <w:pPr>
        <w:spacing w:line="400" w:lineRule="exact"/>
        <w:ind w:firstLine="480" w:firstLineChars="200"/>
        <w:contextualSpacing/>
        <w:jc w:val="left"/>
        <w:rPr>
          <w:rFonts w:ascii="仿宋" w:hAnsi="仿宋" w:eastAsia="仿宋"/>
          <w:sz w:val="24"/>
        </w:rPr>
      </w:pPr>
      <w:r>
        <w:rPr>
          <w:rFonts w:hint="eastAsia" w:ascii="仿宋" w:hAnsi="仿宋" w:eastAsia="仿宋"/>
          <w:sz w:val="24"/>
        </w:rPr>
        <w:t>（一）具有独立承担民事责任的能力；</w:t>
      </w:r>
    </w:p>
    <w:p>
      <w:pPr>
        <w:spacing w:line="400" w:lineRule="exact"/>
        <w:ind w:firstLine="480" w:firstLineChars="200"/>
        <w:contextualSpacing/>
        <w:jc w:val="left"/>
        <w:rPr>
          <w:rFonts w:ascii="仿宋" w:hAnsi="仿宋" w:eastAsia="仿宋"/>
          <w:sz w:val="24"/>
        </w:rPr>
      </w:pPr>
      <w:r>
        <w:rPr>
          <w:rFonts w:hint="eastAsia" w:ascii="仿宋" w:hAnsi="仿宋" w:eastAsia="仿宋"/>
          <w:sz w:val="24"/>
        </w:rPr>
        <w:t>（二）具有良好的商业信誉和健全的财务会计制度；</w:t>
      </w:r>
    </w:p>
    <w:p>
      <w:pPr>
        <w:spacing w:line="400" w:lineRule="exact"/>
        <w:ind w:firstLine="480" w:firstLineChars="200"/>
        <w:contextualSpacing/>
        <w:jc w:val="left"/>
        <w:rPr>
          <w:rFonts w:ascii="仿宋" w:hAnsi="仿宋" w:eastAsia="仿宋"/>
          <w:sz w:val="24"/>
        </w:rPr>
      </w:pPr>
      <w:r>
        <w:rPr>
          <w:rFonts w:hint="eastAsia" w:ascii="仿宋" w:hAnsi="仿宋" w:eastAsia="仿宋"/>
          <w:sz w:val="24"/>
        </w:rPr>
        <w:t>（三）具有履行合同所必需的设备和专业技术能力；</w:t>
      </w:r>
    </w:p>
    <w:p>
      <w:pPr>
        <w:spacing w:line="400" w:lineRule="exact"/>
        <w:ind w:firstLine="480" w:firstLineChars="200"/>
        <w:contextualSpacing/>
        <w:jc w:val="left"/>
        <w:rPr>
          <w:rFonts w:ascii="仿宋" w:hAnsi="仿宋" w:eastAsia="仿宋"/>
          <w:sz w:val="24"/>
        </w:rPr>
      </w:pPr>
      <w:r>
        <w:rPr>
          <w:rFonts w:hint="eastAsia" w:ascii="仿宋" w:hAnsi="仿宋" w:eastAsia="仿宋"/>
          <w:sz w:val="24"/>
        </w:rPr>
        <w:t>（四）有依法缴纳税收和社会保障资金的良好记录；</w:t>
      </w:r>
    </w:p>
    <w:p>
      <w:pPr>
        <w:spacing w:line="400" w:lineRule="exact"/>
        <w:ind w:firstLine="480" w:firstLineChars="200"/>
        <w:contextualSpacing/>
        <w:jc w:val="left"/>
        <w:rPr>
          <w:rFonts w:ascii="仿宋" w:hAnsi="仿宋" w:eastAsia="仿宋"/>
          <w:sz w:val="24"/>
        </w:rPr>
      </w:pPr>
      <w:r>
        <w:rPr>
          <w:rFonts w:hint="eastAsia" w:ascii="仿宋" w:hAnsi="仿宋" w:eastAsia="仿宋"/>
          <w:sz w:val="24"/>
        </w:rPr>
        <w:t>（五）参加政府采购活动前三年内，在经营活动中没有重大违法记录；</w:t>
      </w:r>
    </w:p>
    <w:p>
      <w:pPr>
        <w:spacing w:line="400" w:lineRule="exact"/>
        <w:ind w:firstLine="480" w:firstLineChars="200"/>
        <w:contextualSpacing/>
        <w:jc w:val="left"/>
        <w:rPr>
          <w:rFonts w:ascii="仿宋" w:hAnsi="仿宋" w:eastAsia="仿宋"/>
          <w:sz w:val="24"/>
        </w:rPr>
      </w:pPr>
      <w:r>
        <w:rPr>
          <w:rFonts w:hint="eastAsia" w:ascii="仿宋" w:hAnsi="仿宋" w:eastAsia="仿宋"/>
          <w:sz w:val="24"/>
        </w:rPr>
        <w:t>（六）法律、行政法规规定的其他条件。</w:t>
      </w:r>
    </w:p>
    <w:p>
      <w:pPr>
        <w:spacing w:line="400" w:lineRule="exact"/>
        <w:ind w:firstLine="480" w:firstLineChars="200"/>
        <w:contextualSpacing/>
        <w:jc w:val="left"/>
        <w:rPr>
          <w:rFonts w:ascii="仿宋" w:hAnsi="仿宋" w:eastAsia="仿宋"/>
          <w:sz w:val="24"/>
        </w:rPr>
      </w:pPr>
      <w:r>
        <w:rPr>
          <w:rFonts w:hint="eastAsia" w:ascii="仿宋" w:hAnsi="仿宋" w:eastAsia="仿宋"/>
          <w:sz w:val="24"/>
        </w:rPr>
        <w:t>4.以上事项如有虚假或者隐瞒，我方愿意承担一切后果，并不再寻求任何旨在减轻或者免除法律责任的辩解。</w:t>
      </w:r>
    </w:p>
    <w:p>
      <w:pPr>
        <w:spacing w:line="400" w:lineRule="exact"/>
        <w:contextualSpacing/>
        <w:jc w:val="left"/>
        <w:rPr>
          <w:rFonts w:ascii="仿宋" w:hAnsi="仿宋" w:eastAsia="仿宋"/>
          <w:sz w:val="24"/>
        </w:rPr>
      </w:pPr>
      <w:r>
        <w:rPr>
          <w:rFonts w:hint="eastAsia" w:ascii="仿宋" w:hAnsi="仿宋" w:eastAsia="仿宋"/>
          <w:sz w:val="24"/>
        </w:rPr>
        <w:t xml:space="preserve">    特此承诺。</w:t>
      </w:r>
    </w:p>
    <w:p>
      <w:pPr>
        <w:spacing w:line="400" w:lineRule="exact"/>
        <w:contextualSpacing/>
        <w:jc w:val="left"/>
        <w:rPr>
          <w:rFonts w:ascii="仿宋" w:hAnsi="仿宋" w:eastAsia="仿宋"/>
          <w:b/>
          <w:sz w:val="24"/>
        </w:rPr>
      </w:pPr>
      <w:r>
        <w:rPr>
          <w:rFonts w:hint="eastAsia" w:ascii="仿宋" w:hAnsi="仿宋" w:eastAsia="仿宋"/>
          <w:b/>
          <w:sz w:val="24"/>
        </w:rPr>
        <w:t xml:space="preserve">    注：如为联合体投标，盖章处须加盖联合体各方公章并由联合体各方法定代表人分别签字，否则投标无效。</w:t>
      </w:r>
    </w:p>
    <w:p>
      <w:pPr>
        <w:spacing w:line="400" w:lineRule="exact"/>
        <w:contextualSpacing/>
        <w:jc w:val="left"/>
        <w:rPr>
          <w:rFonts w:ascii="仿宋" w:hAnsi="仿宋" w:eastAsia="仿宋"/>
          <w:sz w:val="24"/>
        </w:rPr>
      </w:pPr>
      <w:r>
        <w:rPr>
          <w:rFonts w:hint="eastAsia" w:ascii="仿宋" w:hAnsi="仿宋" w:eastAsia="仿宋"/>
          <w:sz w:val="24"/>
        </w:rPr>
        <w:t xml:space="preserve">                                          </w:t>
      </w:r>
    </w:p>
    <w:p>
      <w:pPr>
        <w:spacing w:line="400" w:lineRule="exact"/>
        <w:contextualSpacing/>
        <w:jc w:val="right"/>
        <w:rPr>
          <w:rFonts w:ascii="仿宋" w:hAnsi="仿宋" w:eastAsia="仿宋"/>
          <w:sz w:val="24"/>
        </w:rPr>
      </w:pPr>
      <w:r>
        <w:rPr>
          <w:rFonts w:hint="eastAsia" w:ascii="仿宋" w:hAnsi="仿宋" w:eastAsia="仿宋"/>
          <w:sz w:val="24"/>
        </w:rPr>
        <w:t>法定代表人（签字或者盖章）：</w:t>
      </w:r>
    </w:p>
    <w:p>
      <w:pPr>
        <w:spacing w:line="400" w:lineRule="exact"/>
        <w:contextualSpacing/>
        <w:jc w:val="right"/>
        <w:rPr>
          <w:rFonts w:ascii="仿宋" w:hAnsi="仿宋" w:eastAsia="仿宋"/>
          <w:sz w:val="24"/>
        </w:rPr>
      </w:pPr>
      <w:r>
        <w:rPr>
          <w:rFonts w:hint="eastAsia" w:ascii="仿宋" w:hAnsi="仿宋" w:eastAsia="仿宋"/>
          <w:sz w:val="24"/>
        </w:rPr>
        <w:t xml:space="preserve">                                          </w:t>
      </w:r>
    </w:p>
    <w:p>
      <w:pPr>
        <w:spacing w:line="400" w:lineRule="exact"/>
        <w:contextualSpacing/>
        <w:jc w:val="right"/>
        <w:rPr>
          <w:rFonts w:ascii="仿宋" w:hAnsi="仿宋" w:eastAsia="仿宋"/>
          <w:sz w:val="24"/>
          <w:u w:val="single"/>
        </w:rPr>
      </w:pPr>
      <w:r>
        <w:rPr>
          <w:rFonts w:hint="eastAsia" w:ascii="仿宋" w:hAnsi="仿宋" w:eastAsia="仿宋"/>
          <w:sz w:val="24"/>
        </w:rPr>
        <w:t>投标人（盖公章）：</w:t>
      </w:r>
    </w:p>
    <w:p>
      <w:pPr>
        <w:spacing w:line="400" w:lineRule="exact"/>
        <w:contextualSpacing/>
        <w:jc w:val="right"/>
        <w:rPr>
          <w:rFonts w:ascii="仿宋" w:hAnsi="仿宋" w:eastAsia="仿宋"/>
        </w:rPr>
      </w:pPr>
      <w:r>
        <w:rPr>
          <w:rFonts w:hint="eastAsia" w:ascii="仿宋" w:hAnsi="仿宋" w:eastAsia="仿宋"/>
          <w:sz w:val="24"/>
        </w:rPr>
        <w:t xml:space="preserve">                                                  年    月    日</w:t>
      </w:r>
    </w:p>
    <w:p>
      <w:pPr>
        <w:numPr>
          <w:ilvl w:val="0"/>
          <w:numId w:val="67"/>
        </w:numPr>
        <w:tabs>
          <w:tab w:val="left" w:pos="1890"/>
        </w:tabs>
        <w:spacing w:line="360" w:lineRule="auto"/>
        <w:ind w:left="420"/>
        <w:contextualSpacing/>
        <w:jc w:val="left"/>
        <w:rPr>
          <w:rFonts w:ascii="仿宋" w:hAnsi="仿宋" w:eastAsia="仿宋"/>
          <w:b/>
          <w:sz w:val="28"/>
          <w:szCs w:val="28"/>
        </w:rPr>
      </w:pPr>
      <w:bookmarkStart w:id="256" w:name="_Toc19686838"/>
      <w:r>
        <w:rPr>
          <w:rFonts w:ascii="仿宋" w:hAnsi="仿宋" w:eastAsia="仿宋"/>
          <w:b/>
          <w:sz w:val="28"/>
          <w:szCs w:val="28"/>
        </w:rPr>
        <w:br w:type="page"/>
      </w:r>
      <w:r>
        <w:rPr>
          <w:rFonts w:hint="eastAsia" w:ascii="仿宋" w:hAnsi="仿宋" w:eastAsia="仿宋"/>
          <w:b/>
          <w:sz w:val="28"/>
          <w:szCs w:val="28"/>
        </w:rPr>
        <w:t>投标人参加本项目无回避事项的承诺函格式</w:t>
      </w:r>
    </w:p>
    <w:p>
      <w:pPr>
        <w:pStyle w:val="57"/>
        <w:tabs>
          <w:tab w:val="left" w:pos="1890"/>
        </w:tabs>
        <w:ind w:firstLine="0"/>
        <w:jc w:val="center"/>
        <w:rPr>
          <w:rFonts w:ascii="仿宋" w:hAnsi="仿宋" w:eastAsia="仿宋"/>
          <w:b/>
          <w:sz w:val="28"/>
          <w:szCs w:val="28"/>
        </w:rPr>
      </w:pPr>
    </w:p>
    <w:p>
      <w:pPr>
        <w:pStyle w:val="57"/>
        <w:tabs>
          <w:tab w:val="left" w:pos="1890"/>
        </w:tabs>
        <w:ind w:firstLine="0"/>
        <w:jc w:val="center"/>
      </w:pPr>
      <w:r>
        <w:rPr>
          <w:rFonts w:hint="eastAsia" w:ascii="仿宋" w:hAnsi="仿宋" w:eastAsia="仿宋"/>
          <w:b/>
          <w:sz w:val="28"/>
          <w:szCs w:val="28"/>
        </w:rPr>
        <w:t>投标人参加本项目无回避事项的承诺函</w:t>
      </w:r>
    </w:p>
    <w:p>
      <w:pPr>
        <w:tabs>
          <w:tab w:val="left" w:pos="1890"/>
        </w:tabs>
        <w:spacing w:line="400" w:lineRule="exact"/>
        <w:contextualSpacing/>
        <w:jc w:val="left"/>
        <w:rPr>
          <w:rFonts w:ascii="仿宋" w:hAnsi="仿宋" w:eastAsia="仿宋"/>
          <w:sz w:val="24"/>
        </w:rPr>
      </w:pPr>
      <w:r>
        <w:rPr>
          <w:rFonts w:hint="eastAsia" w:ascii="仿宋" w:hAnsi="仿宋" w:eastAsia="仿宋"/>
          <w:sz w:val="24"/>
        </w:rPr>
        <w:t>（采购人名称）：</w:t>
      </w:r>
    </w:p>
    <w:p>
      <w:pPr>
        <w:spacing w:line="400" w:lineRule="exact"/>
        <w:ind w:firstLine="523" w:firstLineChars="218"/>
        <w:contextualSpacing/>
        <w:jc w:val="left"/>
        <w:rPr>
          <w:rFonts w:ascii="仿宋" w:hAnsi="仿宋" w:eastAsia="仿宋"/>
          <w:sz w:val="24"/>
        </w:rPr>
      </w:pPr>
      <w:r>
        <w:rPr>
          <w:rFonts w:hint="eastAsia" w:ascii="仿宋" w:hAnsi="仿宋" w:eastAsia="仿宋"/>
          <w:sz w:val="24"/>
        </w:rPr>
        <w:t>我方参加贵单位组织项目</w:t>
      </w:r>
      <w:r>
        <w:rPr>
          <w:rFonts w:hint="eastAsia" w:ascii="仿宋" w:hAnsi="仿宋" w:eastAsia="仿宋"/>
          <w:sz w:val="24"/>
          <w:u w:val="single"/>
        </w:rPr>
        <w:t xml:space="preserve">           </w:t>
      </w:r>
      <w:r>
        <w:rPr>
          <w:rFonts w:hint="eastAsia" w:ascii="仿宋" w:hAnsi="仿宋" w:eastAsia="仿宋"/>
          <w:sz w:val="24"/>
        </w:rPr>
        <w:t>（项目编号：</w:t>
      </w:r>
      <w:r>
        <w:rPr>
          <w:rFonts w:hint="eastAsia" w:ascii="仿宋" w:hAnsi="仿宋" w:eastAsia="仿宋"/>
          <w:sz w:val="24"/>
          <w:u w:val="single"/>
        </w:rPr>
        <w:t xml:space="preserve">          </w:t>
      </w:r>
      <w:r>
        <w:rPr>
          <w:rFonts w:hint="eastAsia" w:ascii="仿宋" w:hAnsi="仿宋" w:eastAsia="仿宋"/>
          <w:sz w:val="24"/>
        </w:rPr>
        <w:t>）的政府采购活动。我方在此郑重承诺：</w:t>
      </w:r>
    </w:p>
    <w:p>
      <w:pPr>
        <w:spacing w:line="400" w:lineRule="exact"/>
        <w:ind w:firstLine="480" w:firstLineChars="200"/>
        <w:contextualSpacing/>
        <w:jc w:val="left"/>
        <w:rPr>
          <w:rFonts w:ascii="仿宋" w:hAnsi="仿宋" w:eastAsia="仿宋"/>
          <w:sz w:val="24"/>
        </w:rPr>
      </w:pPr>
      <w:r>
        <w:rPr>
          <w:rFonts w:hint="eastAsia" w:ascii="仿宋" w:hAnsi="仿宋" w:eastAsia="仿宋"/>
          <w:sz w:val="24"/>
        </w:rPr>
        <w:t>1.我方承诺参加本项目的政府采购活动中与</w:t>
      </w:r>
      <w:r>
        <w:rPr>
          <w:rFonts w:ascii="仿宋" w:hAnsi="仿宋" w:eastAsia="仿宋"/>
          <w:sz w:val="24"/>
        </w:rPr>
        <w:t>采购人员及相关人员</w:t>
      </w:r>
      <w:r>
        <w:rPr>
          <w:rFonts w:hint="eastAsia" w:ascii="仿宋" w:hAnsi="仿宋" w:eastAsia="仿宋"/>
          <w:sz w:val="24"/>
        </w:rPr>
        <w:t>不存在《中华人民共和国政府采购法实施条例》第九条情形；如有，自行</w:t>
      </w:r>
      <w:r>
        <w:rPr>
          <w:rFonts w:ascii="仿宋" w:hAnsi="仿宋" w:eastAsia="仿宋"/>
          <w:sz w:val="24"/>
        </w:rPr>
        <w:t>提出回避申请</w:t>
      </w:r>
      <w:r>
        <w:rPr>
          <w:rFonts w:hint="eastAsia" w:ascii="仿宋" w:hAnsi="仿宋" w:eastAsia="仿宋"/>
          <w:sz w:val="24"/>
        </w:rPr>
        <w:t>：</w:t>
      </w:r>
    </w:p>
    <w:p>
      <w:pPr>
        <w:pStyle w:val="8"/>
        <w:keepNext w:val="0"/>
        <w:keepLines w:val="0"/>
        <w:spacing w:before="0" w:after="0" w:line="360" w:lineRule="auto"/>
        <w:ind w:firstLine="420" w:firstLineChars="175"/>
        <w:rPr>
          <w:rFonts w:ascii="仿宋" w:hAnsi="仿宋" w:eastAsia="仿宋"/>
          <w:b w:val="0"/>
          <w:sz w:val="24"/>
        </w:rPr>
      </w:pPr>
      <w:r>
        <w:rPr>
          <w:rFonts w:ascii="仿宋" w:hAnsi="仿宋" w:eastAsia="仿宋"/>
          <w:b w:val="0"/>
          <w:sz w:val="24"/>
        </w:rPr>
        <w:t>在政府采购活动中，采购人员及相关人员与</w:t>
      </w:r>
      <w:r>
        <w:rPr>
          <w:rFonts w:hint="eastAsia" w:ascii="仿宋" w:hAnsi="仿宋" w:eastAsia="仿宋"/>
          <w:b w:val="0"/>
          <w:sz w:val="24"/>
        </w:rPr>
        <w:t>供应商</w:t>
      </w:r>
      <w:r>
        <w:rPr>
          <w:rFonts w:ascii="仿宋" w:hAnsi="仿宋" w:eastAsia="仿宋"/>
          <w:b w:val="0"/>
          <w:sz w:val="24"/>
        </w:rPr>
        <w:t>有下列利害关系之一的，应当回避：</w:t>
      </w:r>
    </w:p>
    <w:p>
      <w:pPr>
        <w:pStyle w:val="28"/>
        <w:snapToGrid w:val="0"/>
        <w:spacing w:line="360" w:lineRule="auto"/>
        <w:ind w:left="2" w:leftChars="1" w:firstLine="480" w:firstLineChars="200"/>
        <w:rPr>
          <w:rFonts w:ascii="仿宋" w:hAnsi="仿宋" w:eastAsia="仿宋"/>
          <w:kern w:val="2"/>
          <w:sz w:val="24"/>
          <w:szCs w:val="24"/>
        </w:rPr>
      </w:pPr>
      <w:r>
        <w:rPr>
          <w:rFonts w:ascii="仿宋" w:hAnsi="仿宋" w:eastAsia="仿宋"/>
          <w:kern w:val="2"/>
          <w:sz w:val="24"/>
          <w:szCs w:val="24"/>
        </w:rPr>
        <w:t>（</w:t>
      </w:r>
      <w:r>
        <w:rPr>
          <w:rFonts w:hint="eastAsia" w:ascii="仿宋" w:hAnsi="仿宋" w:eastAsia="仿宋"/>
          <w:kern w:val="2"/>
          <w:sz w:val="24"/>
          <w:szCs w:val="24"/>
        </w:rPr>
        <w:t>1</w:t>
      </w:r>
      <w:r>
        <w:rPr>
          <w:rFonts w:ascii="仿宋" w:hAnsi="仿宋" w:eastAsia="仿宋"/>
          <w:kern w:val="2"/>
          <w:sz w:val="24"/>
          <w:szCs w:val="24"/>
        </w:rPr>
        <w:t>）参加采购活动前3年内与</w:t>
      </w:r>
      <w:r>
        <w:rPr>
          <w:rFonts w:hint="eastAsia" w:ascii="仿宋" w:hAnsi="仿宋" w:eastAsia="仿宋"/>
          <w:kern w:val="2"/>
          <w:sz w:val="24"/>
          <w:szCs w:val="24"/>
        </w:rPr>
        <w:t>供应商</w:t>
      </w:r>
      <w:r>
        <w:rPr>
          <w:rFonts w:ascii="仿宋" w:hAnsi="仿宋" w:eastAsia="仿宋"/>
          <w:kern w:val="2"/>
          <w:sz w:val="24"/>
          <w:szCs w:val="24"/>
        </w:rPr>
        <w:t>存在劳动关系；</w:t>
      </w:r>
    </w:p>
    <w:p>
      <w:pPr>
        <w:pStyle w:val="28"/>
        <w:snapToGrid w:val="0"/>
        <w:spacing w:line="360" w:lineRule="auto"/>
        <w:ind w:left="2" w:leftChars="1" w:firstLine="480" w:firstLineChars="200"/>
        <w:rPr>
          <w:rFonts w:ascii="仿宋" w:hAnsi="仿宋" w:eastAsia="仿宋"/>
          <w:kern w:val="2"/>
          <w:sz w:val="24"/>
          <w:szCs w:val="24"/>
        </w:rPr>
      </w:pPr>
      <w:r>
        <w:rPr>
          <w:rFonts w:ascii="仿宋" w:hAnsi="仿宋" w:eastAsia="仿宋"/>
          <w:kern w:val="2"/>
          <w:sz w:val="24"/>
          <w:szCs w:val="24"/>
        </w:rPr>
        <w:t>（</w:t>
      </w:r>
      <w:r>
        <w:rPr>
          <w:rFonts w:hint="eastAsia" w:ascii="仿宋" w:hAnsi="仿宋" w:eastAsia="仿宋"/>
          <w:kern w:val="2"/>
          <w:sz w:val="24"/>
          <w:szCs w:val="24"/>
        </w:rPr>
        <w:t>2</w:t>
      </w:r>
      <w:r>
        <w:rPr>
          <w:rFonts w:ascii="仿宋" w:hAnsi="仿宋" w:eastAsia="仿宋"/>
          <w:kern w:val="2"/>
          <w:sz w:val="24"/>
          <w:szCs w:val="24"/>
        </w:rPr>
        <w:t>）参加采购活动前3年内担任</w:t>
      </w:r>
      <w:r>
        <w:rPr>
          <w:rFonts w:hint="eastAsia" w:ascii="仿宋" w:hAnsi="仿宋" w:eastAsia="仿宋"/>
          <w:kern w:val="2"/>
          <w:sz w:val="24"/>
          <w:szCs w:val="24"/>
        </w:rPr>
        <w:t>供应商</w:t>
      </w:r>
      <w:r>
        <w:rPr>
          <w:rFonts w:ascii="仿宋" w:hAnsi="仿宋" w:eastAsia="仿宋"/>
          <w:kern w:val="2"/>
          <w:sz w:val="24"/>
          <w:szCs w:val="24"/>
        </w:rPr>
        <w:t>的董事、监事；</w:t>
      </w:r>
    </w:p>
    <w:p>
      <w:pPr>
        <w:pStyle w:val="28"/>
        <w:snapToGrid w:val="0"/>
        <w:spacing w:line="360" w:lineRule="auto"/>
        <w:ind w:left="2" w:leftChars="1" w:firstLine="480" w:firstLineChars="200"/>
        <w:rPr>
          <w:rFonts w:ascii="仿宋" w:hAnsi="仿宋" w:eastAsia="仿宋"/>
          <w:kern w:val="2"/>
          <w:sz w:val="24"/>
          <w:szCs w:val="24"/>
        </w:rPr>
      </w:pPr>
      <w:r>
        <w:rPr>
          <w:rFonts w:ascii="仿宋" w:hAnsi="仿宋" w:eastAsia="仿宋"/>
          <w:kern w:val="2"/>
          <w:sz w:val="24"/>
          <w:szCs w:val="24"/>
        </w:rPr>
        <w:t>（</w:t>
      </w:r>
      <w:r>
        <w:rPr>
          <w:rFonts w:hint="eastAsia" w:ascii="仿宋" w:hAnsi="仿宋" w:eastAsia="仿宋"/>
          <w:kern w:val="2"/>
          <w:sz w:val="24"/>
          <w:szCs w:val="24"/>
        </w:rPr>
        <w:t>3</w:t>
      </w:r>
      <w:r>
        <w:rPr>
          <w:rFonts w:ascii="仿宋" w:hAnsi="仿宋" w:eastAsia="仿宋"/>
          <w:kern w:val="2"/>
          <w:sz w:val="24"/>
          <w:szCs w:val="24"/>
        </w:rPr>
        <w:t>）参加采购活动前3年内是</w:t>
      </w:r>
      <w:r>
        <w:rPr>
          <w:rFonts w:hint="eastAsia" w:ascii="仿宋" w:hAnsi="仿宋" w:eastAsia="仿宋"/>
          <w:kern w:val="2"/>
          <w:sz w:val="24"/>
          <w:szCs w:val="24"/>
        </w:rPr>
        <w:t>供应商</w:t>
      </w:r>
      <w:r>
        <w:rPr>
          <w:rFonts w:ascii="仿宋" w:hAnsi="仿宋" w:eastAsia="仿宋"/>
          <w:kern w:val="2"/>
          <w:sz w:val="24"/>
          <w:szCs w:val="24"/>
        </w:rPr>
        <w:t>的控股股东或者实际控制人；</w:t>
      </w:r>
    </w:p>
    <w:p>
      <w:pPr>
        <w:pStyle w:val="28"/>
        <w:snapToGrid w:val="0"/>
        <w:spacing w:line="360" w:lineRule="auto"/>
        <w:ind w:left="2" w:leftChars="1" w:firstLine="480" w:firstLineChars="200"/>
        <w:rPr>
          <w:rFonts w:ascii="仿宋" w:hAnsi="仿宋" w:eastAsia="仿宋"/>
          <w:kern w:val="2"/>
          <w:sz w:val="24"/>
          <w:szCs w:val="24"/>
        </w:rPr>
      </w:pPr>
      <w:r>
        <w:rPr>
          <w:rFonts w:ascii="仿宋" w:hAnsi="仿宋" w:eastAsia="仿宋"/>
          <w:kern w:val="2"/>
          <w:sz w:val="24"/>
          <w:szCs w:val="24"/>
        </w:rPr>
        <w:t>（</w:t>
      </w:r>
      <w:r>
        <w:rPr>
          <w:rFonts w:hint="eastAsia" w:ascii="仿宋" w:hAnsi="仿宋" w:eastAsia="仿宋"/>
          <w:kern w:val="2"/>
          <w:sz w:val="24"/>
          <w:szCs w:val="24"/>
        </w:rPr>
        <w:t>4</w:t>
      </w:r>
      <w:r>
        <w:rPr>
          <w:rFonts w:ascii="仿宋" w:hAnsi="仿宋" w:eastAsia="仿宋"/>
          <w:kern w:val="2"/>
          <w:sz w:val="24"/>
          <w:szCs w:val="24"/>
        </w:rPr>
        <w:t>）与</w:t>
      </w:r>
      <w:r>
        <w:rPr>
          <w:rFonts w:hint="eastAsia" w:ascii="仿宋" w:hAnsi="仿宋" w:eastAsia="仿宋"/>
          <w:kern w:val="2"/>
          <w:sz w:val="24"/>
          <w:szCs w:val="24"/>
        </w:rPr>
        <w:t>供应商</w:t>
      </w:r>
      <w:r>
        <w:rPr>
          <w:rFonts w:ascii="仿宋" w:hAnsi="仿宋" w:eastAsia="仿宋"/>
          <w:kern w:val="2"/>
          <w:sz w:val="24"/>
          <w:szCs w:val="24"/>
        </w:rPr>
        <w:t>的法定代表人或者负责人有夫妻、直系血亲、三代以内旁系血亲或者近姻亲关系；</w:t>
      </w:r>
    </w:p>
    <w:p>
      <w:pPr>
        <w:pStyle w:val="28"/>
        <w:snapToGrid w:val="0"/>
        <w:spacing w:line="360" w:lineRule="auto"/>
        <w:ind w:left="2" w:leftChars="1" w:firstLine="480" w:firstLineChars="200"/>
        <w:rPr>
          <w:rFonts w:ascii="仿宋" w:hAnsi="仿宋" w:eastAsia="仿宋"/>
          <w:kern w:val="2"/>
          <w:sz w:val="24"/>
          <w:szCs w:val="24"/>
        </w:rPr>
      </w:pPr>
      <w:r>
        <w:rPr>
          <w:rFonts w:ascii="仿宋" w:hAnsi="仿宋" w:eastAsia="仿宋"/>
          <w:kern w:val="2"/>
          <w:sz w:val="24"/>
          <w:szCs w:val="24"/>
        </w:rPr>
        <w:t>（</w:t>
      </w:r>
      <w:r>
        <w:rPr>
          <w:rFonts w:hint="eastAsia" w:ascii="仿宋" w:hAnsi="仿宋" w:eastAsia="仿宋"/>
          <w:kern w:val="2"/>
          <w:sz w:val="24"/>
          <w:szCs w:val="24"/>
        </w:rPr>
        <w:t>5</w:t>
      </w:r>
      <w:r>
        <w:rPr>
          <w:rFonts w:ascii="仿宋" w:hAnsi="仿宋" w:eastAsia="仿宋"/>
          <w:kern w:val="2"/>
          <w:sz w:val="24"/>
          <w:szCs w:val="24"/>
        </w:rPr>
        <w:t>）与</w:t>
      </w:r>
      <w:r>
        <w:rPr>
          <w:rFonts w:hint="eastAsia" w:ascii="仿宋" w:hAnsi="仿宋" w:eastAsia="仿宋"/>
          <w:kern w:val="2"/>
          <w:sz w:val="24"/>
          <w:szCs w:val="24"/>
        </w:rPr>
        <w:t>供应商</w:t>
      </w:r>
      <w:r>
        <w:rPr>
          <w:rFonts w:ascii="仿宋" w:hAnsi="仿宋" w:eastAsia="仿宋"/>
          <w:kern w:val="2"/>
          <w:sz w:val="24"/>
          <w:szCs w:val="24"/>
        </w:rPr>
        <w:t>有其他可能影响政府采购活动公平、公正进行的关系。</w:t>
      </w:r>
    </w:p>
    <w:p>
      <w:pPr>
        <w:pStyle w:val="28"/>
        <w:snapToGrid w:val="0"/>
        <w:spacing w:line="360" w:lineRule="auto"/>
        <w:ind w:left="2" w:leftChars="1" w:firstLine="480" w:firstLineChars="200"/>
        <w:rPr>
          <w:rFonts w:ascii="仿宋" w:hAnsi="仿宋" w:eastAsia="仿宋"/>
          <w:kern w:val="2"/>
          <w:sz w:val="24"/>
          <w:szCs w:val="24"/>
        </w:rPr>
      </w:pPr>
      <w:r>
        <w:rPr>
          <w:rFonts w:hint="eastAsia" w:ascii="仿宋" w:hAnsi="仿宋" w:eastAsia="仿宋"/>
          <w:kern w:val="2"/>
          <w:sz w:val="24"/>
          <w:szCs w:val="24"/>
        </w:rPr>
        <w:t>供应商</w:t>
      </w:r>
      <w:r>
        <w:rPr>
          <w:rFonts w:ascii="仿宋" w:hAnsi="仿宋" w:eastAsia="仿宋"/>
          <w:kern w:val="2"/>
          <w:sz w:val="24"/>
          <w:szCs w:val="24"/>
        </w:rPr>
        <w:t>认为采购人员及相关人员与其他</w:t>
      </w:r>
      <w:r>
        <w:rPr>
          <w:rFonts w:hint="eastAsia" w:ascii="仿宋" w:hAnsi="仿宋" w:eastAsia="仿宋"/>
          <w:kern w:val="2"/>
          <w:sz w:val="24"/>
          <w:szCs w:val="24"/>
        </w:rPr>
        <w:t>供应商</w:t>
      </w:r>
      <w:r>
        <w:rPr>
          <w:rFonts w:ascii="仿宋" w:hAnsi="仿宋" w:eastAsia="仿宋"/>
          <w:kern w:val="2"/>
          <w:sz w:val="24"/>
          <w:szCs w:val="24"/>
        </w:rPr>
        <w:t>有利害关系的，可以向采购人或者采购代理机构书面提出回避申请，并说明理由。采购人或者采购代理机构应当及时询问被申请回避人员，有利害关系的被申请回避人员应当回避。</w:t>
      </w:r>
    </w:p>
    <w:p>
      <w:pPr>
        <w:spacing w:line="400" w:lineRule="exact"/>
        <w:contextualSpacing/>
        <w:jc w:val="left"/>
        <w:rPr>
          <w:rFonts w:ascii="仿宋" w:hAnsi="仿宋" w:eastAsia="仿宋"/>
          <w:sz w:val="24"/>
        </w:rPr>
      </w:pPr>
      <w:r>
        <w:rPr>
          <w:rFonts w:hint="eastAsia" w:ascii="仿宋" w:hAnsi="仿宋" w:eastAsia="仿宋"/>
          <w:sz w:val="24"/>
        </w:rPr>
        <w:t xml:space="preserve">    特此承诺。</w:t>
      </w:r>
    </w:p>
    <w:p>
      <w:pPr>
        <w:spacing w:line="440" w:lineRule="exact"/>
        <w:ind w:firstLine="482" w:firstLineChars="200"/>
        <w:contextualSpacing/>
        <w:jc w:val="left"/>
        <w:rPr>
          <w:rFonts w:ascii="仿宋" w:hAnsi="仿宋" w:eastAsia="仿宋"/>
          <w:b/>
          <w:sz w:val="24"/>
        </w:rPr>
      </w:pPr>
      <w:r>
        <w:rPr>
          <w:rFonts w:hint="eastAsia" w:ascii="仿宋" w:hAnsi="仿宋" w:eastAsia="仿宋"/>
          <w:b/>
          <w:sz w:val="24"/>
        </w:rPr>
        <w:t>以上情形一经核查属实，我方愿意承担一切后果，并不再寻求任何旨在减轻或者免除法律责任的辩解。</w:t>
      </w:r>
    </w:p>
    <w:p>
      <w:pPr>
        <w:spacing w:line="400" w:lineRule="exact"/>
        <w:contextualSpacing/>
        <w:jc w:val="left"/>
        <w:rPr>
          <w:rFonts w:ascii="仿宋" w:hAnsi="仿宋" w:eastAsia="仿宋"/>
          <w:sz w:val="24"/>
        </w:rPr>
      </w:pPr>
      <w:r>
        <w:rPr>
          <w:rFonts w:hint="eastAsia" w:ascii="仿宋" w:hAnsi="仿宋" w:eastAsia="仿宋"/>
          <w:sz w:val="24"/>
        </w:rPr>
        <w:t xml:space="preserve">                                          </w:t>
      </w:r>
    </w:p>
    <w:p>
      <w:pPr>
        <w:spacing w:line="400" w:lineRule="exact"/>
        <w:contextualSpacing/>
        <w:jc w:val="left"/>
        <w:rPr>
          <w:rFonts w:ascii="仿宋" w:hAnsi="仿宋" w:eastAsia="仿宋"/>
          <w:sz w:val="24"/>
        </w:rPr>
      </w:pPr>
    </w:p>
    <w:p>
      <w:pPr>
        <w:spacing w:line="400" w:lineRule="exact"/>
        <w:contextualSpacing/>
        <w:jc w:val="right"/>
        <w:rPr>
          <w:rFonts w:ascii="仿宋" w:hAnsi="仿宋" w:eastAsia="仿宋"/>
          <w:sz w:val="24"/>
        </w:rPr>
      </w:pPr>
      <w:r>
        <w:rPr>
          <w:rFonts w:hint="eastAsia" w:ascii="仿宋" w:hAnsi="仿宋" w:eastAsia="仿宋"/>
          <w:sz w:val="24"/>
        </w:rPr>
        <w:t>法定代表人（签字或者盖章）：</w:t>
      </w:r>
    </w:p>
    <w:p>
      <w:pPr>
        <w:spacing w:line="400" w:lineRule="exact"/>
        <w:contextualSpacing/>
        <w:jc w:val="right"/>
        <w:rPr>
          <w:rFonts w:ascii="仿宋" w:hAnsi="仿宋" w:eastAsia="仿宋"/>
          <w:sz w:val="24"/>
        </w:rPr>
      </w:pPr>
      <w:r>
        <w:rPr>
          <w:rFonts w:hint="eastAsia" w:ascii="仿宋" w:hAnsi="仿宋" w:eastAsia="仿宋"/>
          <w:sz w:val="24"/>
        </w:rPr>
        <w:t xml:space="preserve">                                          </w:t>
      </w:r>
    </w:p>
    <w:p>
      <w:pPr>
        <w:spacing w:line="400" w:lineRule="exact"/>
        <w:contextualSpacing/>
        <w:jc w:val="right"/>
        <w:rPr>
          <w:rFonts w:ascii="仿宋" w:hAnsi="仿宋" w:eastAsia="仿宋"/>
          <w:sz w:val="24"/>
        </w:rPr>
      </w:pPr>
    </w:p>
    <w:p>
      <w:pPr>
        <w:spacing w:line="400" w:lineRule="exact"/>
        <w:contextualSpacing/>
        <w:jc w:val="right"/>
        <w:rPr>
          <w:rFonts w:ascii="仿宋" w:hAnsi="仿宋" w:eastAsia="仿宋"/>
          <w:sz w:val="24"/>
          <w:u w:val="single"/>
        </w:rPr>
      </w:pPr>
      <w:r>
        <w:rPr>
          <w:rFonts w:hint="eastAsia" w:ascii="仿宋" w:hAnsi="仿宋" w:eastAsia="仿宋"/>
          <w:sz w:val="24"/>
        </w:rPr>
        <w:t>投标人（盖公章）：</w:t>
      </w:r>
    </w:p>
    <w:p>
      <w:pPr>
        <w:spacing w:line="400" w:lineRule="exact"/>
        <w:contextualSpacing/>
        <w:jc w:val="right"/>
        <w:rPr>
          <w:rFonts w:ascii="仿宋" w:hAnsi="仿宋" w:eastAsia="仿宋"/>
          <w:sz w:val="24"/>
        </w:rPr>
      </w:pPr>
      <w:r>
        <w:rPr>
          <w:rFonts w:hint="eastAsia" w:ascii="仿宋" w:hAnsi="仿宋" w:eastAsia="仿宋"/>
          <w:sz w:val="24"/>
        </w:rPr>
        <w:t xml:space="preserve">                                                </w:t>
      </w:r>
    </w:p>
    <w:p>
      <w:pPr>
        <w:spacing w:line="400" w:lineRule="exact"/>
        <w:contextualSpacing/>
        <w:jc w:val="right"/>
        <w:rPr>
          <w:rFonts w:ascii="仿宋" w:hAnsi="仿宋" w:eastAsia="仿宋"/>
        </w:rPr>
      </w:pPr>
      <w:r>
        <w:rPr>
          <w:rFonts w:hint="eastAsia" w:ascii="仿宋" w:hAnsi="仿宋" w:eastAsia="仿宋"/>
          <w:sz w:val="24"/>
        </w:rPr>
        <w:t xml:space="preserve">  年    月    日</w:t>
      </w:r>
    </w:p>
    <w:p/>
    <w:p>
      <w:pPr>
        <w:rPr>
          <w:rFonts w:ascii="仿宋" w:hAnsi="仿宋" w:eastAsia="仿宋"/>
          <w:b/>
          <w:sz w:val="28"/>
          <w:szCs w:val="28"/>
        </w:rPr>
      </w:pPr>
      <w:r>
        <w:rPr>
          <w:rFonts w:ascii="仿宋" w:hAnsi="仿宋" w:eastAsia="仿宋"/>
          <w:b/>
          <w:sz w:val="28"/>
          <w:szCs w:val="28"/>
        </w:rPr>
        <w:br w:type="page"/>
      </w:r>
    </w:p>
    <w:p>
      <w:pPr>
        <w:rPr>
          <w:rFonts w:ascii="仿宋" w:hAnsi="仿宋" w:eastAsia="仿宋"/>
          <w:b/>
          <w:sz w:val="28"/>
          <w:szCs w:val="28"/>
        </w:rPr>
      </w:pPr>
      <w:r>
        <w:rPr>
          <w:rFonts w:hint="eastAsia" w:ascii="仿宋" w:hAnsi="仿宋" w:eastAsia="仿宋"/>
          <w:b/>
          <w:sz w:val="28"/>
          <w:szCs w:val="28"/>
        </w:rPr>
        <w:t>三、商务文件格式</w:t>
      </w:r>
      <w:bookmarkEnd w:id="256"/>
    </w:p>
    <w:p>
      <w:pPr>
        <w:snapToGrid w:val="0"/>
        <w:spacing w:before="120" w:beforeLines="50" w:after="50" w:line="360" w:lineRule="auto"/>
        <w:jc w:val="left"/>
        <w:rPr>
          <w:rFonts w:ascii="仿宋" w:hAnsi="仿宋" w:eastAsia="仿宋"/>
          <w:b/>
          <w:sz w:val="24"/>
        </w:rPr>
      </w:pPr>
      <w:r>
        <w:rPr>
          <w:rFonts w:hint="eastAsia" w:ascii="仿宋" w:hAnsi="仿宋" w:eastAsia="仿宋"/>
          <w:b/>
          <w:sz w:val="24"/>
        </w:rPr>
        <w:t xml:space="preserve">1.商务文件封面格式： </w:t>
      </w:r>
    </w:p>
    <w:p>
      <w:pPr>
        <w:snapToGrid w:val="0"/>
        <w:spacing w:before="120" w:beforeLines="50" w:after="50"/>
        <w:rPr>
          <w:rFonts w:ascii="仿宋" w:hAnsi="仿宋" w:eastAsia="仿宋"/>
          <w:bCs/>
          <w:sz w:val="32"/>
          <w:szCs w:val="20"/>
        </w:rPr>
      </w:pPr>
    </w:p>
    <w:p>
      <w:pPr>
        <w:snapToGrid w:val="0"/>
        <w:spacing w:before="120" w:beforeLines="50" w:after="50"/>
        <w:rPr>
          <w:rFonts w:ascii="仿宋" w:hAnsi="仿宋" w:eastAsia="仿宋"/>
          <w:sz w:val="24"/>
          <w:szCs w:val="20"/>
        </w:rPr>
      </w:pPr>
    </w:p>
    <w:p>
      <w:pPr>
        <w:snapToGrid w:val="0"/>
        <w:spacing w:before="120" w:beforeLines="50" w:after="50"/>
        <w:rPr>
          <w:rFonts w:ascii="仿宋" w:hAnsi="仿宋" w:eastAsia="仿宋"/>
          <w:sz w:val="24"/>
          <w:szCs w:val="20"/>
        </w:rPr>
      </w:pPr>
    </w:p>
    <w:p>
      <w:pPr>
        <w:snapToGrid w:val="0"/>
        <w:spacing w:before="120" w:beforeLines="50" w:after="50"/>
        <w:rPr>
          <w:rFonts w:ascii="仿宋" w:hAnsi="仿宋" w:eastAsia="仿宋"/>
          <w:sz w:val="24"/>
          <w:szCs w:val="20"/>
        </w:rPr>
      </w:pPr>
    </w:p>
    <w:p>
      <w:pPr>
        <w:snapToGrid w:val="0"/>
        <w:spacing w:before="120" w:beforeLines="50" w:after="50"/>
        <w:jc w:val="center"/>
        <w:rPr>
          <w:rFonts w:ascii="仿宋" w:hAnsi="仿宋" w:eastAsia="仿宋" w:cs="方正小标宋简体"/>
          <w:sz w:val="84"/>
          <w:szCs w:val="84"/>
        </w:rPr>
      </w:pPr>
      <w:r>
        <w:rPr>
          <w:rFonts w:hint="eastAsia" w:ascii="仿宋" w:hAnsi="仿宋" w:eastAsia="仿宋" w:cs="方正小标宋简体"/>
          <w:sz w:val="84"/>
          <w:szCs w:val="84"/>
        </w:rPr>
        <w:t>投  标  文  件</w:t>
      </w:r>
    </w:p>
    <w:p>
      <w:pPr>
        <w:snapToGrid w:val="0"/>
        <w:spacing w:before="120" w:beforeLines="50" w:after="50"/>
        <w:rPr>
          <w:rFonts w:ascii="仿宋" w:hAnsi="仿宋" w:eastAsia="仿宋"/>
          <w:sz w:val="24"/>
          <w:szCs w:val="20"/>
        </w:rPr>
      </w:pPr>
    </w:p>
    <w:p>
      <w:pPr>
        <w:snapToGrid w:val="0"/>
        <w:spacing w:before="120" w:beforeLines="50" w:after="50"/>
        <w:rPr>
          <w:rFonts w:ascii="仿宋" w:hAnsi="仿宋" w:eastAsia="仿宋"/>
          <w:sz w:val="24"/>
          <w:szCs w:val="20"/>
        </w:rPr>
      </w:pPr>
    </w:p>
    <w:p>
      <w:pPr>
        <w:snapToGrid w:val="0"/>
        <w:spacing w:before="120" w:beforeLines="50" w:after="50"/>
        <w:jc w:val="center"/>
        <w:rPr>
          <w:rFonts w:ascii="仿宋" w:hAnsi="仿宋" w:eastAsia="仿宋" w:cs="方正小标宋简体"/>
          <w:bCs/>
          <w:sz w:val="32"/>
          <w:szCs w:val="32"/>
        </w:rPr>
      </w:pPr>
      <w:r>
        <w:rPr>
          <w:rFonts w:hint="eastAsia" w:ascii="仿宋" w:hAnsi="仿宋" w:eastAsia="仿宋" w:cs="方正小标宋简体"/>
          <w:bCs/>
          <w:sz w:val="32"/>
          <w:szCs w:val="32"/>
        </w:rPr>
        <w:t>商  务  文  件</w:t>
      </w:r>
    </w:p>
    <w:p>
      <w:pPr>
        <w:snapToGrid w:val="0"/>
        <w:spacing w:before="120" w:beforeLines="50" w:after="50"/>
        <w:rPr>
          <w:rFonts w:ascii="仿宋" w:hAnsi="仿宋" w:eastAsia="仿宋"/>
          <w:bCs/>
          <w:sz w:val="24"/>
          <w:szCs w:val="20"/>
        </w:rPr>
      </w:pPr>
    </w:p>
    <w:p>
      <w:pPr>
        <w:snapToGrid w:val="0"/>
        <w:spacing w:before="120" w:beforeLines="50" w:after="50"/>
        <w:ind w:firstLine="540" w:firstLineChars="225"/>
        <w:rPr>
          <w:rFonts w:ascii="仿宋" w:hAnsi="仿宋" w:eastAsia="仿宋"/>
          <w:bCs/>
          <w:sz w:val="24"/>
        </w:rPr>
      </w:pPr>
    </w:p>
    <w:p>
      <w:pPr>
        <w:snapToGrid w:val="0"/>
        <w:spacing w:before="120" w:beforeLines="50" w:after="50"/>
        <w:ind w:firstLine="540" w:firstLineChars="225"/>
        <w:rPr>
          <w:rFonts w:ascii="仿宋" w:hAnsi="仿宋" w:eastAsia="仿宋"/>
          <w:bCs/>
          <w:sz w:val="24"/>
        </w:rPr>
      </w:pPr>
    </w:p>
    <w:p>
      <w:pPr>
        <w:snapToGrid w:val="0"/>
        <w:spacing w:before="120" w:beforeLines="50" w:after="50"/>
        <w:ind w:firstLine="540" w:firstLineChars="225"/>
        <w:rPr>
          <w:rFonts w:ascii="仿宋" w:hAnsi="仿宋" w:eastAsia="仿宋"/>
          <w:bCs/>
          <w:sz w:val="24"/>
        </w:rPr>
      </w:pPr>
    </w:p>
    <w:p>
      <w:pPr>
        <w:snapToGrid w:val="0"/>
        <w:spacing w:before="120" w:beforeLines="50" w:after="50"/>
        <w:ind w:firstLine="540" w:firstLineChars="225"/>
        <w:rPr>
          <w:rFonts w:ascii="仿宋" w:hAnsi="仿宋" w:eastAsia="仿宋"/>
          <w:bCs/>
          <w:sz w:val="24"/>
        </w:rPr>
      </w:pPr>
      <w:r>
        <w:rPr>
          <w:rFonts w:hint="eastAsia" w:ascii="仿宋" w:hAnsi="仿宋" w:eastAsia="仿宋"/>
          <w:bCs/>
          <w:sz w:val="24"/>
        </w:rPr>
        <w:t>项目名称：</w:t>
      </w:r>
    </w:p>
    <w:p>
      <w:pPr>
        <w:snapToGrid w:val="0"/>
        <w:spacing w:before="120" w:beforeLines="50" w:after="50"/>
        <w:ind w:firstLine="540" w:firstLineChars="225"/>
        <w:rPr>
          <w:rFonts w:ascii="仿宋" w:hAnsi="仿宋" w:eastAsia="仿宋"/>
          <w:bCs/>
          <w:sz w:val="24"/>
          <w:szCs w:val="20"/>
        </w:rPr>
      </w:pPr>
    </w:p>
    <w:p>
      <w:pPr>
        <w:snapToGrid w:val="0"/>
        <w:spacing w:before="120" w:beforeLines="50" w:after="50"/>
        <w:ind w:firstLine="540" w:firstLineChars="225"/>
        <w:rPr>
          <w:rFonts w:ascii="仿宋" w:hAnsi="仿宋" w:eastAsia="仿宋"/>
          <w:bCs/>
          <w:sz w:val="24"/>
        </w:rPr>
      </w:pPr>
      <w:r>
        <w:rPr>
          <w:rFonts w:hint="eastAsia" w:ascii="仿宋" w:hAnsi="仿宋" w:eastAsia="仿宋"/>
          <w:bCs/>
          <w:sz w:val="24"/>
        </w:rPr>
        <w:t>项目编号：</w:t>
      </w:r>
    </w:p>
    <w:p>
      <w:pPr>
        <w:snapToGrid w:val="0"/>
        <w:spacing w:before="120" w:beforeLines="50" w:after="50"/>
        <w:ind w:firstLine="540" w:firstLineChars="225"/>
        <w:rPr>
          <w:rFonts w:ascii="仿宋" w:hAnsi="仿宋" w:eastAsia="仿宋"/>
          <w:bCs/>
          <w:sz w:val="24"/>
          <w:szCs w:val="20"/>
        </w:rPr>
      </w:pPr>
    </w:p>
    <w:p>
      <w:pPr>
        <w:snapToGrid w:val="0"/>
        <w:spacing w:before="120" w:beforeLines="50" w:after="50"/>
        <w:ind w:firstLine="540" w:firstLineChars="225"/>
        <w:rPr>
          <w:rFonts w:ascii="仿宋" w:hAnsi="仿宋" w:eastAsia="仿宋"/>
          <w:bCs/>
          <w:sz w:val="24"/>
        </w:rPr>
      </w:pPr>
      <w:r>
        <w:rPr>
          <w:rFonts w:hint="eastAsia" w:ascii="仿宋" w:hAnsi="仿宋" w:eastAsia="仿宋"/>
          <w:bCs/>
          <w:sz w:val="24"/>
        </w:rPr>
        <w:t>所投标项：/</w:t>
      </w:r>
    </w:p>
    <w:p>
      <w:pPr>
        <w:snapToGrid w:val="0"/>
        <w:spacing w:before="120" w:beforeLines="50" w:after="50"/>
        <w:ind w:firstLine="540" w:firstLineChars="225"/>
        <w:rPr>
          <w:rFonts w:ascii="仿宋" w:hAnsi="仿宋" w:eastAsia="仿宋"/>
          <w:bCs/>
          <w:sz w:val="24"/>
          <w:szCs w:val="20"/>
        </w:rPr>
      </w:pPr>
    </w:p>
    <w:p>
      <w:pPr>
        <w:pStyle w:val="9"/>
        <w:snapToGrid w:val="0"/>
        <w:spacing w:before="50" w:after="50"/>
        <w:ind w:firstLine="540" w:firstLineChars="225"/>
        <w:rPr>
          <w:rFonts w:ascii="仿宋" w:hAnsi="仿宋" w:eastAsia="仿宋"/>
          <w:bCs/>
          <w:sz w:val="24"/>
          <w:szCs w:val="24"/>
        </w:rPr>
      </w:pPr>
      <w:r>
        <w:rPr>
          <w:rFonts w:hint="eastAsia" w:ascii="仿宋" w:hAnsi="仿宋" w:eastAsia="仿宋"/>
          <w:bCs/>
          <w:sz w:val="24"/>
          <w:szCs w:val="24"/>
        </w:rPr>
        <w:t>投标人名称：</w:t>
      </w:r>
    </w:p>
    <w:p>
      <w:pPr>
        <w:pStyle w:val="9"/>
        <w:snapToGrid w:val="0"/>
        <w:spacing w:before="50" w:after="50"/>
        <w:ind w:firstLine="540" w:firstLineChars="225"/>
        <w:rPr>
          <w:rFonts w:ascii="仿宋" w:hAnsi="仿宋" w:eastAsia="仿宋"/>
          <w:bCs/>
          <w:sz w:val="24"/>
          <w:szCs w:val="24"/>
        </w:rPr>
      </w:pPr>
    </w:p>
    <w:p>
      <w:pPr>
        <w:pStyle w:val="9"/>
        <w:snapToGrid w:val="0"/>
        <w:spacing w:before="50" w:after="50"/>
        <w:ind w:firstLine="960" w:firstLineChars="400"/>
        <w:rPr>
          <w:rFonts w:ascii="仿宋" w:hAnsi="仿宋" w:eastAsia="仿宋"/>
          <w:bCs/>
          <w:sz w:val="24"/>
          <w:szCs w:val="24"/>
        </w:rPr>
      </w:pPr>
    </w:p>
    <w:p>
      <w:pPr>
        <w:snapToGrid w:val="0"/>
        <w:spacing w:before="120" w:beforeLines="50" w:after="50"/>
        <w:ind w:firstLine="645"/>
        <w:rPr>
          <w:rFonts w:ascii="仿宋" w:hAnsi="仿宋" w:eastAsia="仿宋"/>
          <w:sz w:val="24"/>
        </w:rPr>
      </w:pPr>
      <w:r>
        <w:rPr>
          <w:rFonts w:hint="eastAsia" w:ascii="仿宋" w:hAnsi="仿宋" w:eastAsia="仿宋"/>
          <w:sz w:val="24"/>
        </w:rPr>
        <w:t xml:space="preserve">                        年  月  日</w:t>
      </w:r>
    </w:p>
    <w:p>
      <w:pPr>
        <w:snapToGrid w:val="0"/>
        <w:spacing w:before="120" w:beforeLines="50" w:after="50"/>
        <w:rPr>
          <w:rFonts w:ascii="仿宋" w:hAnsi="仿宋" w:eastAsia="仿宋"/>
          <w:sz w:val="24"/>
          <w:szCs w:val="20"/>
        </w:rPr>
      </w:pPr>
    </w:p>
    <w:p>
      <w:pPr>
        <w:snapToGrid w:val="0"/>
        <w:spacing w:line="360" w:lineRule="auto"/>
        <w:jc w:val="left"/>
        <w:rPr>
          <w:rFonts w:ascii="仿宋" w:hAnsi="仿宋" w:eastAsia="仿宋"/>
          <w:b/>
          <w:bCs/>
          <w:sz w:val="28"/>
          <w:szCs w:val="28"/>
        </w:rPr>
      </w:pPr>
      <w:r>
        <w:rPr>
          <w:rFonts w:ascii="仿宋" w:hAnsi="仿宋" w:eastAsia="仿宋"/>
          <w:sz w:val="24"/>
          <w:szCs w:val="20"/>
        </w:rPr>
        <w:br w:type="page"/>
      </w:r>
      <w:r>
        <w:rPr>
          <w:rFonts w:hint="eastAsia" w:ascii="仿宋" w:hAnsi="仿宋" w:eastAsia="仿宋"/>
          <w:b/>
          <w:bCs/>
          <w:sz w:val="24"/>
        </w:rPr>
        <w:t>2.商务文件目录</w:t>
      </w:r>
    </w:p>
    <w:p>
      <w:pPr>
        <w:snapToGrid w:val="0"/>
        <w:spacing w:before="50" w:after="120" w:afterLines="50" w:line="360" w:lineRule="auto"/>
        <w:ind w:firstLine="480" w:firstLineChars="200"/>
        <w:jc w:val="left"/>
        <w:rPr>
          <w:rFonts w:ascii="仿宋" w:hAnsi="仿宋" w:eastAsia="仿宋"/>
          <w:b/>
          <w:bCs/>
          <w:sz w:val="32"/>
          <w:szCs w:val="32"/>
        </w:rPr>
      </w:pPr>
      <w:r>
        <w:rPr>
          <w:rFonts w:hint="eastAsia" w:ascii="仿宋" w:hAnsi="仿宋" w:eastAsia="仿宋"/>
          <w:sz w:val="24"/>
        </w:rPr>
        <w:t>根据招标文件规定及投标人提供的材料自行编写目录。</w:t>
      </w:r>
    </w:p>
    <w:p>
      <w:pPr>
        <w:snapToGrid w:val="0"/>
        <w:spacing w:before="50" w:after="120" w:afterLines="50"/>
        <w:jc w:val="left"/>
        <w:rPr>
          <w:rFonts w:ascii="仿宋" w:hAnsi="仿宋" w:eastAsia="仿宋"/>
        </w:rPr>
      </w:pPr>
    </w:p>
    <w:p>
      <w:pPr>
        <w:snapToGrid w:val="0"/>
        <w:spacing w:before="120" w:beforeLines="50" w:after="50"/>
        <w:jc w:val="left"/>
        <w:rPr>
          <w:rFonts w:ascii="仿宋" w:hAnsi="仿宋" w:eastAsia="仿宋"/>
          <w:b/>
          <w:sz w:val="24"/>
        </w:rPr>
      </w:pPr>
      <w:r>
        <w:rPr>
          <w:rFonts w:ascii="仿宋" w:hAnsi="仿宋" w:eastAsia="仿宋"/>
          <w:b/>
          <w:sz w:val="24"/>
        </w:rPr>
        <w:br w:type="page"/>
      </w:r>
      <w:r>
        <w:rPr>
          <w:rFonts w:hint="eastAsia" w:ascii="仿宋" w:hAnsi="仿宋" w:eastAsia="仿宋"/>
          <w:b/>
          <w:sz w:val="24"/>
        </w:rPr>
        <w:t>3.投标人参加本项目无围标串标行为的承诺</w:t>
      </w:r>
    </w:p>
    <w:p>
      <w:pPr>
        <w:snapToGrid w:val="0"/>
        <w:spacing w:before="120" w:beforeLines="50" w:after="50"/>
        <w:jc w:val="left"/>
        <w:rPr>
          <w:rFonts w:ascii="仿宋" w:hAnsi="仿宋" w:eastAsia="仿宋"/>
          <w:b/>
          <w:sz w:val="24"/>
        </w:rPr>
      </w:pPr>
    </w:p>
    <w:p>
      <w:pPr>
        <w:spacing w:line="360" w:lineRule="auto"/>
        <w:ind w:left="420"/>
        <w:contextualSpacing/>
        <w:jc w:val="center"/>
        <w:rPr>
          <w:rFonts w:ascii="仿宋" w:hAnsi="仿宋" w:eastAsia="仿宋"/>
          <w:b/>
          <w:sz w:val="24"/>
        </w:rPr>
      </w:pPr>
      <w:r>
        <w:rPr>
          <w:rFonts w:hint="eastAsia" w:ascii="仿宋" w:hAnsi="仿宋" w:eastAsia="仿宋" w:cs="方正小标宋简体"/>
          <w:bCs/>
          <w:spacing w:val="-11"/>
          <w:sz w:val="44"/>
          <w:szCs w:val="44"/>
        </w:rPr>
        <w:t>投标人参加本项目无围标串标行为的承诺函</w:t>
      </w:r>
    </w:p>
    <w:p>
      <w:pPr>
        <w:spacing w:line="440" w:lineRule="exact"/>
        <w:contextualSpacing/>
        <w:jc w:val="left"/>
        <w:rPr>
          <w:rFonts w:ascii="仿宋" w:hAnsi="仿宋" w:eastAsia="仿宋"/>
          <w:b/>
          <w:sz w:val="24"/>
        </w:rPr>
      </w:pPr>
      <w:r>
        <w:rPr>
          <w:rFonts w:hint="eastAsia" w:ascii="仿宋" w:hAnsi="仿宋" w:eastAsia="仿宋"/>
          <w:b/>
          <w:sz w:val="24"/>
        </w:rPr>
        <w:t>一、我方承诺无下列相互串通投标的情形：</w:t>
      </w:r>
    </w:p>
    <w:p>
      <w:pPr>
        <w:spacing w:line="440" w:lineRule="exact"/>
        <w:ind w:firstLine="470" w:firstLineChars="196"/>
        <w:contextualSpacing/>
        <w:jc w:val="left"/>
        <w:rPr>
          <w:rFonts w:ascii="仿宋" w:hAnsi="仿宋" w:eastAsia="仿宋"/>
          <w:sz w:val="24"/>
        </w:rPr>
      </w:pPr>
      <w:r>
        <w:rPr>
          <w:rFonts w:hint="eastAsia" w:ascii="仿宋" w:hAnsi="仿宋" w:eastAsia="仿宋"/>
          <w:sz w:val="24"/>
        </w:rPr>
        <w:t>1.不同投标人的投标文件由同一单位或者个人编制；</w:t>
      </w:r>
    </w:p>
    <w:p>
      <w:pPr>
        <w:spacing w:line="440" w:lineRule="exact"/>
        <w:ind w:firstLine="470" w:firstLineChars="196"/>
        <w:contextualSpacing/>
        <w:jc w:val="left"/>
        <w:rPr>
          <w:rFonts w:ascii="仿宋" w:hAnsi="仿宋" w:eastAsia="仿宋"/>
          <w:sz w:val="24"/>
        </w:rPr>
      </w:pPr>
      <w:r>
        <w:rPr>
          <w:rFonts w:hint="eastAsia" w:ascii="仿宋" w:hAnsi="仿宋" w:eastAsia="仿宋"/>
          <w:sz w:val="24"/>
        </w:rPr>
        <w:t>2.不同投标人委托同一单位或者个人办理投标事宜；</w:t>
      </w:r>
    </w:p>
    <w:p>
      <w:pPr>
        <w:spacing w:line="440" w:lineRule="exact"/>
        <w:ind w:firstLine="470" w:firstLineChars="196"/>
        <w:contextualSpacing/>
        <w:jc w:val="left"/>
        <w:rPr>
          <w:rFonts w:ascii="仿宋" w:hAnsi="仿宋" w:eastAsia="仿宋"/>
          <w:sz w:val="24"/>
        </w:rPr>
      </w:pPr>
      <w:r>
        <w:rPr>
          <w:rFonts w:hint="eastAsia" w:ascii="仿宋" w:hAnsi="仿宋" w:eastAsia="仿宋"/>
          <w:sz w:val="24"/>
        </w:rPr>
        <w:t>3.不同的投标人的投标文件载明的项目管理员为同一个人；</w:t>
      </w:r>
    </w:p>
    <w:p>
      <w:pPr>
        <w:spacing w:line="440" w:lineRule="exact"/>
        <w:ind w:firstLine="470" w:firstLineChars="196"/>
        <w:contextualSpacing/>
        <w:jc w:val="left"/>
        <w:rPr>
          <w:rFonts w:ascii="仿宋" w:hAnsi="仿宋" w:eastAsia="仿宋"/>
          <w:sz w:val="24"/>
        </w:rPr>
      </w:pPr>
      <w:r>
        <w:rPr>
          <w:rFonts w:hint="eastAsia" w:ascii="仿宋" w:hAnsi="仿宋" w:eastAsia="仿宋"/>
          <w:sz w:val="24"/>
        </w:rPr>
        <w:t>4.不同投标人的投标文件异常一致或者投标报价呈规律性差异；</w:t>
      </w:r>
    </w:p>
    <w:p>
      <w:pPr>
        <w:spacing w:line="440" w:lineRule="exact"/>
        <w:ind w:firstLine="470" w:firstLineChars="196"/>
        <w:contextualSpacing/>
        <w:jc w:val="left"/>
        <w:rPr>
          <w:rFonts w:ascii="仿宋" w:hAnsi="仿宋" w:eastAsia="仿宋"/>
          <w:sz w:val="24"/>
        </w:rPr>
      </w:pPr>
      <w:r>
        <w:rPr>
          <w:rFonts w:hint="eastAsia" w:ascii="仿宋" w:hAnsi="仿宋" w:eastAsia="仿宋"/>
          <w:sz w:val="24"/>
        </w:rPr>
        <w:t>5.不同投标人的投标文件相互混装；</w:t>
      </w:r>
    </w:p>
    <w:p>
      <w:pPr>
        <w:spacing w:line="440" w:lineRule="exact"/>
        <w:ind w:firstLine="470" w:firstLineChars="196"/>
        <w:contextualSpacing/>
        <w:jc w:val="left"/>
        <w:rPr>
          <w:rFonts w:ascii="仿宋" w:hAnsi="仿宋" w:eastAsia="仿宋"/>
          <w:sz w:val="24"/>
        </w:rPr>
      </w:pPr>
      <w:r>
        <w:rPr>
          <w:rFonts w:hint="eastAsia" w:ascii="仿宋" w:hAnsi="仿宋" w:eastAsia="仿宋"/>
          <w:sz w:val="24"/>
        </w:rPr>
        <w:t>6.不同投标人的投标保证金从同一单位或者个人账户转出。</w:t>
      </w:r>
    </w:p>
    <w:p>
      <w:pPr>
        <w:spacing w:line="440" w:lineRule="exact"/>
        <w:contextualSpacing/>
        <w:jc w:val="left"/>
        <w:rPr>
          <w:rFonts w:ascii="仿宋" w:hAnsi="仿宋" w:eastAsia="仿宋"/>
          <w:sz w:val="24"/>
        </w:rPr>
      </w:pPr>
      <w:r>
        <w:rPr>
          <w:rFonts w:hint="eastAsia" w:ascii="仿宋" w:hAnsi="仿宋" w:eastAsia="仿宋"/>
          <w:b/>
          <w:sz w:val="24"/>
        </w:rPr>
        <w:t>二、我方承诺无下列恶意串通的情形：</w:t>
      </w:r>
    </w:p>
    <w:p>
      <w:pPr>
        <w:spacing w:line="440" w:lineRule="exact"/>
        <w:ind w:firstLine="470" w:firstLineChars="196"/>
        <w:contextualSpacing/>
        <w:jc w:val="left"/>
        <w:rPr>
          <w:rFonts w:ascii="仿宋" w:hAnsi="仿宋" w:eastAsia="仿宋"/>
          <w:sz w:val="24"/>
        </w:rPr>
      </w:pPr>
      <w:r>
        <w:rPr>
          <w:rFonts w:hint="eastAsia" w:ascii="仿宋" w:hAnsi="仿宋" w:eastAsia="仿宋"/>
          <w:sz w:val="24"/>
        </w:rPr>
        <w:t>1.投标人直接或者间接从采购人或者采购代理机构处获得其他投标人的相关信息并修改其投标文件或者投标文件；</w:t>
      </w:r>
    </w:p>
    <w:p>
      <w:pPr>
        <w:spacing w:line="440" w:lineRule="exact"/>
        <w:ind w:firstLine="470" w:firstLineChars="196"/>
        <w:contextualSpacing/>
        <w:jc w:val="left"/>
        <w:rPr>
          <w:rFonts w:ascii="仿宋" w:hAnsi="仿宋" w:eastAsia="仿宋"/>
          <w:sz w:val="24"/>
        </w:rPr>
      </w:pPr>
      <w:r>
        <w:rPr>
          <w:rFonts w:hint="eastAsia" w:ascii="仿宋" w:hAnsi="仿宋" w:eastAsia="仿宋"/>
          <w:sz w:val="24"/>
        </w:rPr>
        <w:t>2.投标人按照采购人或者采购代理机构的授意撤换、修改投标文件或者投标文件；</w:t>
      </w:r>
    </w:p>
    <w:p>
      <w:pPr>
        <w:spacing w:line="440" w:lineRule="exact"/>
        <w:ind w:firstLine="470" w:firstLineChars="196"/>
        <w:contextualSpacing/>
        <w:jc w:val="left"/>
        <w:rPr>
          <w:rFonts w:ascii="仿宋" w:hAnsi="仿宋" w:eastAsia="仿宋"/>
          <w:sz w:val="24"/>
        </w:rPr>
      </w:pPr>
      <w:r>
        <w:rPr>
          <w:rFonts w:hint="eastAsia" w:ascii="仿宋" w:hAnsi="仿宋" w:eastAsia="仿宋"/>
          <w:sz w:val="24"/>
        </w:rPr>
        <w:t>3.投标人之间协商报价、技术方案等投标文件或者投标文件的实质性内容；</w:t>
      </w:r>
    </w:p>
    <w:p>
      <w:pPr>
        <w:spacing w:line="440" w:lineRule="exact"/>
        <w:ind w:firstLine="470" w:firstLineChars="196"/>
        <w:contextualSpacing/>
        <w:jc w:val="left"/>
        <w:rPr>
          <w:rFonts w:ascii="仿宋" w:hAnsi="仿宋" w:eastAsia="仿宋"/>
          <w:sz w:val="24"/>
        </w:rPr>
      </w:pPr>
      <w:r>
        <w:rPr>
          <w:rFonts w:hint="eastAsia" w:ascii="仿宋" w:hAnsi="仿宋" w:eastAsia="仿宋"/>
          <w:sz w:val="24"/>
        </w:rPr>
        <w:t>4.属于同一集团、协会、商会等组织成员的投标人按照该组织要求协同参加政府采购活动；</w:t>
      </w:r>
    </w:p>
    <w:p>
      <w:pPr>
        <w:spacing w:line="440" w:lineRule="exact"/>
        <w:ind w:firstLine="470" w:firstLineChars="196"/>
        <w:contextualSpacing/>
        <w:jc w:val="left"/>
        <w:rPr>
          <w:rFonts w:ascii="仿宋" w:hAnsi="仿宋" w:eastAsia="仿宋"/>
          <w:sz w:val="24"/>
        </w:rPr>
      </w:pPr>
      <w:r>
        <w:rPr>
          <w:rFonts w:hint="eastAsia" w:ascii="仿宋" w:hAnsi="仿宋" w:eastAsia="仿宋"/>
          <w:sz w:val="24"/>
        </w:rPr>
        <w:t>5.投标人之间事先约定一致抬高或者压低投标报价，或者在招标项目中事先约定轮流以高价位或者低价位中标，或者事先约定由某一特定投标人中标，然后再参加投标；</w:t>
      </w:r>
    </w:p>
    <w:p>
      <w:pPr>
        <w:spacing w:line="440" w:lineRule="exact"/>
        <w:ind w:firstLine="470" w:firstLineChars="196"/>
        <w:contextualSpacing/>
        <w:jc w:val="left"/>
        <w:rPr>
          <w:rFonts w:ascii="仿宋" w:hAnsi="仿宋" w:eastAsia="仿宋"/>
          <w:sz w:val="24"/>
        </w:rPr>
      </w:pPr>
      <w:r>
        <w:rPr>
          <w:rFonts w:hint="eastAsia" w:ascii="仿宋" w:hAnsi="仿宋" w:eastAsia="仿宋"/>
          <w:sz w:val="24"/>
        </w:rPr>
        <w:t>6.投标人之间商定部分投标人放弃参加政府采购活动或者放弃中标；</w:t>
      </w:r>
    </w:p>
    <w:p>
      <w:pPr>
        <w:spacing w:line="440" w:lineRule="exact"/>
        <w:ind w:firstLine="470" w:firstLineChars="196"/>
        <w:contextualSpacing/>
        <w:jc w:val="left"/>
        <w:rPr>
          <w:rFonts w:ascii="仿宋" w:hAnsi="仿宋" w:eastAsia="仿宋"/>
          <w:sz w:val="24"/>
        </w:rPr>
      </w:pPr>
      <w:r>
        <w:rPr>
          <w:rFonts w:hint="eastAsia" w:ascii="仿宋" w:hAnsi="仿宋" w:eastAsia="仿宋"/>
          <w:sz w:val="24"/>
        </w:rPr>
        <w:t>7.投标人与采购人或者采购代理机构之间、投标人相互之间，为谋求特定投标人中标或者排斥其他投标人的其他串通行为。</w:t>
      </w:r>
    </w:p>
    <w:p>
      <w:pPr>
        <w:spacing w:line="440" w:lineRule="exact"/>
        <w:ind w:firstLine="472" w:firstLineChars="196"/>
        <w:contextualSpacing/>
        <w:jc w:val="left"/>
        <w:rPr>
          <w:rFonts w:ascii="仿宋" w:hAnsi="仿宋" w:eastAsia="仿宋"/>
          <w:b/>
          <w:sz w:val="24"/>
        </w:rPr>
      </w:pPr>
      <w:r>
        <w:rPr>
          <w:rFonts w:hint="eastAsia" w:ascii="仿宋" w:hAnsi="仿宋" w:eastAsia="仿宋"/>
          <w:b/>
          <w:sz w:val="24"/>
        </w:rPr>
        <w:t>以上情形一经核查属实，我方愿意承担一切后果，并不再寻求任何旨在减轻或者免除法律责任的辩解。</w:t>
      </w:r>
    </w:p>
    <w:p>
      <w:pPr>
        <w:pStyle w:val="28"/>
        <w:spacing w:line="440" w:lineRule="exact"/>
        <w:ind w:firstLine="6840" w:firstLineChars="2850"/>
        <w:contextualSpacing/>
        <w:rPr>
          <w:rFonts w:ascii="仿宋" w:hAnsi="仿宋" w:eastAsia="仿宋"/>
          <w:sz w:val="24"/>
          <w:szCs w:val="24"/>
        </w:rPr>
      </w:pPr>
    </w:p>
    <w:p>
      <w:pPr>
        <w:pStyle w:val="28"/>
        <w:spacing w:line="440" w:lineRule="exact"/>
        <w:contextualSpacing/>
        <w:jc w:val="center"/>
        <w:rPr>
          <w:rFonts w:ascii="仿宋" w:hAnsi="仿宋" w:eastAsia="仿宋"/>
          <w:sz w:val="24"/>
          <w:szCs w:val="24"/>
        </w:rPr>
      </w:pPr>
      <w:r>
        <w:rPr>
          <w:rFonts w:hint="eastAsia" w:ascii="仿宋" w:hAnsi="仿宋" w:eastAsia="仿宋"/>
          <w:sz w:val="24"/>
          <w:szCs w:val="24"/>
        </w:rPr>
        <w:t>投标人名称（公章）：</w:t>
      </w:r>
    </w:p>
    <w:p>
      <w:pPr>
        <w:pStyle w:val="28"/>
        <w:spacing w:line="440" w:lineRule="exact"/>
        <w:ind w:firstLine="4320" w:firstLineChars="1800"/>
        <w:contextualSpacing/>
        <w:rPr>
          <w:rFonts w:ascii="仿宋" w:hAnsi="仿宋" w:eastAsia="仿宋"/>
          <w:sz w:val="24"/>
        </w:rPr>
      </w:pPr>
      <w:r>
        <w:rPr>
          <w:rFonts w:hint="eastAsia" w:ascii="仿宋" w:hAnsi="仿宋" w:eastAsia="仿宋"/>
          <w:sz w:val="24"/>
        </w:rPr>
        <w:t>年   月   日</w:t>
      </w:r>
    </w:p>
    <w:p>
      <w:pPr>
        <w:snapToGrid w:val="0"/>
        <w:spacing w:before="120" w:beforeLines="50" w:after="50"/>
        <w:jc w:val="left"/>
        <w:rPr>
          <w:rFonts w:ascii="仿宋" w:hAnsi="仿宋" w:eastAsia="仿宋"/>
          <w:b/>
          <w:sz w:val="24"/>
        </w:rPr>
      </w:pPr>
    </w:p>
    <w:p>
      <w:pPr>
        <w:snapToGrid w:val="0"/>
        <w:spacing w:before="120" w:beforeLines="50" w:after="50"/>
        <w:jc w:val="left"/>
        <w:rPr>
          <w:rFonts w:ascii="仿宋" w:hAnsi="仿宋" w:eastAsia="仿宋"/>
          <w:b/>
          <w:sz w:val="24"/>
        </w:rPr>
      </w:pPr>
    </w:p>
    <w:p>
      <w:pPr>
        <w:snapToGrid w:val="0"/>
        <w:spacing w:before="120" w:beforeLines="50" w:after="50"/>
        <w:jc w:val="left"/>
        <w:rPr>
          <w:rFonts w:ascii="仿宋" w:hAnsi="仿宋" w:eastAsia="仿宋"/>
          <w:b/>
          <w:sz w:val="24"/>
        </w:rPr>
      </w:pPr>
    </w:p>
    <w:p>
      <w:pPr>
        <w:snapToGrid w:val="0"/>
        <w:spacing w:before="120" w:beforeLines="50" w:after="50"/>
        <w:jc w:val="left"/>
        <w:rPr>
          <w:rFonts w:ascii="仿宋" w:hAnsi="仿宋" w:eastAsia="仿宋"/>
          <w:b/>
          <w:sz w:val="24"/>
        </w:rPr>
      </w:pPr>
    </w:p>
    <w:p>
      <w:pPr>
        <w:snapToGrid w:val="0"/>
        <w:spacing w:before="120" w:beforeLines="50" w:after="50"/>
        <w:jc w:val="left"/>
        <w:rPr>
          <w:rFonts w:ascii="仿宋" w:hAnsi="仿宋" w:eastAsia="仿宋"/>
          <w:b/>
          <w:sz w:val="24"/>
        </w:rPr>
      </w:pPr>
    </w:p>
    <w:p>
      <w:pPr>
        <w:snapToGrid w:val="0"/>
        <w:spacing w:before="120" w:beforeLines="50" w:after="50"/>
        <w:jc w:val="left"/>
        <w:rPr>
          <w:rFonts w:ascii="仿宋" w:hAnsi="仿宋" w:eastAsia="仿宋"/>
          <w:b/>
          <w:sz w:val="24"/>
        </w:rPr>
      </w:pPr>
    </w:p>
    <w:p>
      <w:pPr>
        <w:snapToGrid w:val="0"/>
        <w:spacing w:before="120" w:beforeLines="50" w:after="50"/>
        <w:jc w:val="left"/>
        <w:rPr>
          <w:rFonts w:ascii="仿宋" w:hAnsi="仿宋" w:eastAsia="仿宋"/>
          <w:b/>
          <w:sz w:val="24"/>
        </w:rPr>
      </w:pPr>
    </w:p>
    <w:p>
      <w:pPr>
        <w:snapToGrid w:val="0"/>
        <w:spacing w:before="120" w:beforeLines="50" w:after="50"/>
        <w:jc w:val="left"/>
        <w:rPr>
          <w:rFonts w:ascii="仿宋" w:hAnsi="仿宋" w:eastAsia="仿宋"/>
          <w:b/>
          <w:sz w:val="24"/>
          <w:szCs w:val="20"/>
        </w:rPr>
      </w:pPr>
      <w:r>
        <w:rPr>
          <w:rFonts w:hint="eastAsia" w:ascii="仿宋" w:hAnsi="仿宋" w:eastAsia="仿宋"/>
          <w:b/>
          <w:sz w:val="24"/>
        </w:rPr>
        <w:t>4.法定代表人身份证明</w:t>
      </w:r>
    </w:p>
    <w:p>
      <w:pPr>
        <w:spacing w:before="240" w:beforeLines="100" w:after="120" w:afterLines="50"/>
        <w:ind w:left="540"/>
        <w:jc w:val="center"/>
        <w:rPr>
          <w:rFonts w:ascii="仿宋" w:hAnsi="仿宋" w:eastAsia="仿宋" w:cs="方正小标宋简体"/>
          <w:bCs/>
          <w:sz w:val="44"/>
          <w:szCs w:val="44"/>
        </w:rPr>
      </w:pPr>
      <w:r>
        <w:rPr>
          <w:rFonts w:hint="eastAsia" w:ascii="仿宋" w:hAnsi="仿宋" w:eastAsia="仿宋" w:cs="方正小标宋简体"/>
          <w:bCs/>
          <w:sz w:val="44"/>
          <w:szCs w:val="44"/>
        </w:rPr>
        <w:t>法定代表人身份证明</w:t>
      </w:r>
    </w:p>
    <w:p>
      <w:pPr>
        <w:spacing w:line="500" w:lineRule="exact"/>
        <w:ind w:left="540"/>
        <w:rPr>
          <w:rFonts w:ascii="仿宋" w:hAnsi="仿宋" w:eastAsia="仿宋"/>
          <w:sz w:val="24"/>
        </w:rPr>
      </w:pPr>
      <w:r>
        <w:rPr>
          <w:rFonts w:hint="eastAsia" w:ascii="仿宋" w:hAnsi="仿宋" w:eastAsia="仿宋"/>
          <w:sz w:val="24"/>
        </w:rPr>
        <w:t>投 标 人：</w:t>
      </w:r>
    </w:p>
    <w:p>
      <w:pPr>
        <w:spacing w:line="500" w:lineRule="exact"/>
        <w:ind w:left="540"/>
        <w:rPr>
          <w:rFonts w:ascii="仿宋" w:hAnsi="仿宋" w:eastAsia="仿宋"/>
          <w:sz w:val="24"/>
        </w:rPr>
      </w:pPr>
      <w:r>
        <w:rPr>
          <w:rFonts w:hint="eastAsia" w:ascii="仿宋" w:hAnsi="仿宋" w:eastAsia="仿宋"/>
          <w:sz w:val="24"/>
        </w:rPr>
        <w:t>地    址：</w:t>
      </w:r>
    </w:p>
    <w:p>
      <w:pPr>
        <w:spacing w:line="500" w:lineRule="exact"/>
        <w:ind w:left="540"/>
        <w:rPr>
          <w:rFonts w:ascii="仿宋" w:hAnsi="仿宋" w:eastAsia="仿宋"/>
          <w:sz w:val="24"/>
        </w:rPr>
      </w:pPr>
      <w:r>
        <w:rPr>
          <w:rFonts w:hint="eastAsia" w:ascii="仿宋" w:hAnsi="仿宋" w:eastAsia="仿宋"/>
          <w:sz w:val="24"/>
        </w:rPr>
        <w:t>姓    名：性      别：</w:t>
      </w:r>
    </w:p>
    <w:p>
      <w:pPr>
        <w:spacing w:line="500" w:lineRule="exact"/>
        <w:ind w:left="540"/>
        <w:rPr>
          <w:rFonts w:ascii="仿宋" w:hAnsi="仿宋" w:eastAsia="仿宋"/>
          <w:sz w:val="24"/>
          <w:u w:val="single"/>
        </w:rPr>
      </w:pPr>
      <w:r>
        <w:rPr>
          <w:rFonts w:hint="eastAsia" w:ascii="仿宋" w:hAnsi="仿宋" w:eastAsia="仿宋"/>
          <w:sz w:val="24"/>
        </w:rPr>
        <w:t>年    龄：                     职      务：</w:t>
      </w:r>
    </w:p>
    <w:p>
      <w:pPr>
        <w:spacing w:line="500" w:lineRule="exact"/>
        <w:ind w:left="540"/>
        <w:rPr>
          <w:rFonts w:ascii="仿宋" w:hAnsi="仿宋" w:eastAsia="仿宋"/>
          <w:sz w:val="24"/>
        </w:rPr>
      </w:pPr>
      <w:r>
        <w:rPr>
          <w:rFonts w:hint="eastAsia" w:ascii="仿宋" w:hAnsi="仿宋" w:eastAsia="仿宋"/>
          <w:sz w:val="24"/>
        </w:rPr>
        <w:t>身份证号码：</w:t>
      </w:r>
    </w:p>
    <w:p>
      <w:pPr>
        <w:spacing w:line="500" w:lineRule="exact"/>
        <w:ind w:left="540"/>
        <w:rPr>
          <w:rFonts w:ascii="仿宋" w:hAnsi="仿宋" w:eastAsia="仿宋"/>
          <w:sz w:val="24"/>
        </w:rPr>
      </w:pPr>
      <w:r>
        <w:rPr>
          <w:rFonts w:hint="eastAsia" w:ascii="仿宋" w:hAnsi="仿宋" w:eastAsia="仿宋"/>
          <w:sz w:val="24"/>
        </w:rPr>
        <w:t>系</w:t>
      </w:r>
      <w:r>
        <w:rPr>
          <w:rFonts w:hint="eastAsia" w:ascii="仿宋" w:hAnsi="仿宋" w:eastAsia="仿宋"/>
          <w:sz w:val="24"/>
          <w:u w:val="single"/>
        </w:rPr>
        <w:t xml:space="preserve">            （投标人名称）              </w:t>
      </w:r>
      <w:r>
        <w:rPr>
          <w:rFonts w:hint="eastAsia" w:ascii="仿宋" w:hAnsi="仿宋" w:eastAsia="仿宋"/>
          <w:sz w:val="24"/>
        </w:rPr>
        <w:t>的法定代表人。</w:t>
      </w:r>
    </w:p>
    <w:p>
      <w:pPr>
        <w:spacing w:line="500" w:lineRule="exact"/>
        <w:ind w:left="540"/>
        <w:rPr>
          <w:rFonts w:ascii="仿宋" w:hAnsi="仿宋" w:eastAsia="仿宋"/>
          <w:sz w:val="24"/>
        </w:rPr>
      </w:pPr>
      <w:r>
        <w:rPr>
          <w:rFonts w:hint="eastAsia" w:ascii="仿宋" w:hAnsi="仿宋" w:eastAsia="仿宋"/>
          <w:sz w:val="24"/>
        </w:rPr>
        <w:t>特此证明。</w:t>
      </w:r>
    </w:p>
    <w:p>
      <w:pPr>
        <w:spacing w:line="500" w:lineRule="exact"/>
        <w:ind w:left="540"/>
        <w:rPr>
          <w:rFonts w:ascii="仿宋" w:hAnsi="仿宋" w:eastAsia="仿宋"/>
          <w:sz w:val="24"/>
        </w:rPr>
      </w:pPr>
    </w:p>
    <w:p>
      <w:pPr>
        <w:spacing w:line="500" w:lineRule="exact"/>
        <w:ind w:left="540"/>
        <w:rPr>
          <w:rFonts w:ascii="仿宋" w:hAnsi="仿宋" w:eastAsia="仿宋"/>
          <w:sz w:val="24"/>
        </w:rPr>
      </w:pPr>
    </w:p>
    <w:p>
      <w:pPr>
        <w:spacing w:line="500" w:lineRule="exact"/>
        <w:ind w:left="540"/>
        <w:rPr>
          <w:rFonts w:ascii="仿宋" w:hAnsi="仿宋" w:eastAsia="仿宋"/>
          <w:sz w:val="24"/>
        </w:rPr>
      </w:pPr>
      <w:r>
        <w:rPr>
          <w:rFonts w:hint="eastAsia" w:ascii="仿宋" w:hAnsi="仿宋" w:eastAsia="仿宋"/>
          <w:sz w:val="24"/>
        </w:rPr>
        <w:t>附件：法定代表人有效身份证正反面复印件</w:t>
      </w:r>
    </w:p>
    <w:p>
      <w:pPr>
        <w:spacing w:line="500" w:lineRule="exact"/>
        <w:ind w:left="540"/>
        <w:rPr>
          <w:rFonts w:ascii="仿宋" w:hAnsi="仿宋" w:eastAsia="仿宋"/>
          <w:sz w:val="24"/>
        </w:rPr>
      </w:pPr>
    </w:p>
    <w:p>
      <w:pPr>
        <w:spacing w:line="500" w:lineRule="exact"/>
        <w:ind w:left="540"/>
        <w:jc w:val="right"/>
        <w:rPr>
          <w:rFonts w:ascii="仿宋" w:hAnsi="仿宋" w:eastAsia="仿宋"/>
          <w:sz w:val="24"/>
        </w:rPr>
      </w:pPr>
      <w:r>
        <w:rPr>
          <w:rFonts w:hint="eastAsia" w:ascii="仿宋" w:hAnsi="仿宋" w:eastAsia="仿宋"/>
          <w:sz w:val="24"/>
        </w:rPr>
        <w:t>投标人名称（公章）</w:t>
      </w:r>
    </w:p>
    <w:p>
      <w:pPr>
        <w:wordWrap w:val="0"/>
        <w:snapToGrid w:val="0"/>
        <w:spacing w:before="120" w:beforeLines="50" w:after="50"/>
        <w:ind w:left="540"/>
        <w:jc w:val="right"/>
        <w:rPr>
          <w:rFonts w:ascii="仿宋" w:hAnsi="仿宋" w:eastAsia="仿宋"/>
          <w:sz w:val="24"/>
        </w:rPr>
      </w:pPr>
      <w:r>
        <w:rPr>
          <w:rFonts w:hint="eastAsia" w:ascii="仿宋" w:hAnsi="仿宋" w:eastAsia="仿宋"/>
          <w:sz w:val="24"/>
        </w:rPr>
        <w:t>年  月   日</w:t>
      </w:r>
    </w:p>
    <w:p>
      <w:pPr>
        <w:snapToGrid w:val="0"/>
        <w:spacing w:before="120" w:beforeLines="50" w:after="50"/>
        <w:jc w:val="center"/>
        <w:rPr>
          <w:rFonts w:ascii="仿宋" w:hAnsi="仿宋" w:eastAsia="仿宋"/>
          <w:b/>
          <w:sz w:val="24"/>
        </w:rPr>
      </w:pPr>
    </w:p>
    <w:p>
      <w:pPr>
        <w:snapToGrid w:val="0"/>
        <w:spacing w:before="120" w:beforeLines="50" w:after="50"/>
        <w:jc w:val="left"/>
        <w:rPr>
          <w:rFonts w:ascii="仿宋" w:hAnsi="仿宋" w:eastAsia="仿宋"/>
          <w:b/>
          <w:sz w:val="24"/>
          <w:szCs w:val="20"/>
        </w:rPr>
      </w:pPr>
      <w:r>
        <w:rPr>
          <w:rFonts w:hint="eastAsia" w:ascii="仿宋" w:hAnsi="仿宋" w:eastAsia="仿宋"/>
          <w:sz w:val="24"/>
        </w:rPr>
        <w:t>注：自然人投标的无需提供</w:t>
      </w:r>
    </w:p>
    <w:p>
      <w:pPr>
        <w:snapToGrid w:val="0"/>
        <w:spacing w:before="120" w:beforeLines="50" w:after="50"/>
        <w:jc w:val="left"/>
        <w:rPr>
          <w:rFonts w:ascii="仿宋" w:hAnsi="仿宋" w:eastAsia="仿宋"/>
          <w:b/>
          <w:sz w:val="24"/>
          <w:szCs w:val="20"/>
        </w:rPr>
      </w:pPr>
      <w:r>
        <w:rPr>
          <w:rFonts w:ascii="仿宋" w:hAnsi="仿宋" w:eastAsia="仿宋"/>
          <w:b/>
          <w:sz w:val="24"/>
        </w:rPr>
        <w:br w:type="page"/>
      </w:r>
      <w:r>
        <w:rPr>
          <w:rFonts w:hint="eastAsia" w:ascii="仿宋" w:hAnsi="仿宋" w:eastAsia="仿宋"/>
          <w:b/>
          <w:sz w:val="24"/>
        </w:rPr>
        <w:t>5.授权委托书格式</w:t>
      </w:r>
    </w:p>
    <w:p>
      <w:pPr>
        <w:snapToGrid w:val="0"/>
        <w:spacing w:before="120" w:beforeLines="50" w:after="50"/>
        <w:jc w:val="center"/>
        <w:rPr>
          <w:rFonts w:ascii="仿宋" w:hAnsi="仿宋" w:eastAsia="仿宋"/>
          <w:b/>
          <w:sz w:val="44"/>
          <w:szCs w:val="44"/>
        </w:rPr>
      </w:pPr>
    </w:p>
    <w:p>
      <w:pPr>
        <w:spacing w:line="360" w:lineRule="auto"/>
        <w:contextualSpacing/>
        <w:jc w:val="center"/>
        <w:rPr>
          <w:rFonts w:ascii="仿宋" w:hAnsi="仿宋" w:eastAsia="仿宋" w:cs="方正小标宋简体"/>
          <w:bCs/>
          <w:sz w:val="44"/>
          <w:szCs w:val="44"/>
        </w:rPr>
      </w:pPr>
      <w:r>
        <w:rPr>
          <w:rFonts w:hint="eastAsia" w:ascii="仿宋" w:hAnsi="仿宋" w:eastAsia="仿宋" w:cs="方正小标宋简体"/>
          <w:bCs/>
          <w:sz w:val="44"/>
          <w:szCs w:val="44"/>
        </w:rPr>
        <w:t>授权委托书</w:t>
      </w:r>
    </w:p>
    <w:p>
      <w:pPr>
        <w:spacing w:line="360" w:lineRule="auto"/>
        <w:contextualSpacing/>
        <w:jc w:val="center"/>
        <w:rPr>
          <w:rFonts w:ascii="仿宋" w:hAnsi="仿宋" w:eastAsia="仿宋" w:cs="方正小标宋简体"/>
          <w:bCs/>
          <w:sz w:val="32"/>
          <w:szCs w:val="32"/>
        </w:rPr>
      </w:pPr>
      <w:r>
        <w:rPr>
          <w:rFonts w:hint="eastAsia" w:ascii="仿宋" w:hAnsi="仿宋" w:eastAsia="仿宋" w:cs="方正小标宋简体"/>
          <w:bCs/>
          <w:sz w:val="32"/>
          <w:szCs w:val="32"/>
        </w:rPr>
        <w:t>（非联合体投标格式）</w:t>
      </w:r>
    </w:p>
    <w:p>
      <w:pPr>
        <w:spacing w:line="360" w:lineRule="auto"/>
        <w:contextualSpacing/>
        <w:jc w:val="center"/>
        <w:rPr>
          <w:rFonts w:ascii="仿宋" w:hAnsi="仿宋" w:eastAsia="仿宋" w:cs="方正小标宋简体"/>
          <w:bCs/>
          <w:sz w:val="24"/>
        </w:rPr>
      </w:pPr>
      <w:r>
        <w:rPr>
          <w:rFonts w:hint="eastAsia" w:ascii="仿宋" w:hAnsi="仿宋" w:eastAsia="仿宋" w:cs="方正小标宋简体"/>
          <w:bCs/>
          <w:sz w:val="32"/>
          <w:szCs w:val="32"/>
        </w:rPr>
        <w:t>（如有委托时）</w:t>
      </w:r>
    </w:p>
    <w:p>
      <w:pPr>
        <w:spacing w:line="440" w:lineRule="exact"/>
        <w:contextualSpacing/>
        <w:jc w:val="center"/>
        <w:rPr>
          <w:rFonts w:ascii="仿宋" w:hAnsi="仿宋" w:eastAsia="仿宋"/>
          <w:b/>
          <w:sz w:val="24"/>
        </w:rPr>
      </w:pPr>
    </w:p>
    <w:p>
      <w:pPr>
        <w:spacing w:line="440" w:lineRule="exact"/>
        <w:contextualSpacing/>
        <w:rPr>
          <w:rFonts w:ascii="仿宋" w:hAnsi="仿宋" w:eastAsia="仿宋"/>
          <w:b/>
          <w:bCs/>
          <w:sz w:val="24"/>
        </w:rPr>
      </w:pPr>
      <w:r>
        <w:rPr>
          <w:rFonts w:hint="eastAsia" w:ascii="仿宋" w:hAnsi="仿宋" w:eastAsia="仿宋"/>
          <w:bCs/>
          <w:sz w:val="24"/>
        </w:rPr>
        <w:t>致：</w:t>
      </w:r>
      <w:r>
        <w:rPr>
          <w:rFonts w:hint="eastAsia" w:ascii="仿宋" w:hAnsi="仿宋" w:eastAsia="仿宋"/>
          <w:sz w:val="24"/>
          <w:u w:val="single"/>
        </w:rPr>
        <w:t>采购人名称</w:t>
      </w:r>
    </w:p>
    <w:p>
      <w:pPr>
        <w:spacing w:line="440" w:lineRule="exact"/>
        <w:ind w:firstLine="566" w:firstLineChars="236"/>
        <w:contextualSpacing/>
        <w:rPr>
          <w:rFonts w:ascii="仿宋" w:hAnsi="仿宋" w:eastAsia="仿宋"/>
          <w:sz w:val="24"/>
        </w:rPr>
      </w:pPr>
      <w:r>
        <w:rPr>
          <w:rFonts w:hint="eastAsia" w:ascii="仿宋" w:hAnsi="仿宋" w:eastAsia="仿宋"/>
          <w:sz w:val="24"/>
        </w:rPr>
        <w:t>我</w:t>
      </w:r>
      <w:r>
        <w:rPr>
          <w:rFonts w:hint="eastAsia" w:ascii="仿宋" w:hAnsi="仿宋" w:eastAsia="仿宋"/>
          <w:sz w:val="24"/>
          <w:u w:val="single"/>
        </w:rPr>
        <w:t>（姓名）</w:t>
      </w:r>
      <w:r>
        <w:rPr>
          <w:rFonts w:hint="eastAsia" w:ascii="仿宋" w:hAnsi="仿宋" w:eastAsia="仿宋"/>
          <w:sz w:val="24"/>
        </w:rPr>
        <w:t>系</w:t>
      </w:r>
      <w:r>
        <w:rPr>
          <w:rFonts w:hint="eastAsia" w:ascii="仿宋" w:hAnsi="仿宋" w:eastAsia="仿宋"/>
          <w:sz w:val="24"/>
          <w:u w:val="single"/>
        </w:rPr>
        <w:t>（投标人名称）</w:t>
      </w:r>
      <w:r>
        <w:rPr>
          <w:rFonts w:hint="eastAsia" w:ascii="仿宋" w:hAnsi="仿宋" w:eastAsia="仿宋"/>
          <w:sz w:val="24"/>
        </w:rPr>
        <w:t>的法定代表人，现授权委托</w:t>
      </w:r>
      <w:r>
        <w:rPr>
          <w:rFonts w:hint="eastAsia" w:ascii="仿宋" w:hAnsi="仿宋" w:eastAsia="仿宋"/>
          <w:sz w:val="24"/>
          <w:u w:val="single"/>
        </w:rPr>
        <w:t xml:space="preserve">              （姓名）</w:t>
      </w:r>
      <w:r>
        <w:rPr>
          <w:rFonts w:hint="eastAsia" w:ascii="仿宋" w:hAnsi="仿宋" w:eastAsia="仿宋"/>
          <w:sz w:val="24"/>
        </w:rPr>
        <w:t>以我方的名义参加项目（项目</w:t>
      </w:r>
      <w:r>
        <w:rPr>
          <w:rFonts w:ascii="仿宋" w:hAnsi="仿宋" w:eastAsia="仿宋"/>
          <w:sz w:val="24"/>
        </w:rPr>
        <w:t>编号：</w:t>
      </w:r>
      <w:r>
        <w:rPr>
          <w:rFonts w:hint="eastAsia" w:ascii="仿宋" w:hAnsi="仿宋" w:eastAsia="仿宋"/>
          <w:sz w:val="24"/>
        </w:rPr>
        <w:t>）的投标活动，并代表我方全权办理针对上述项目的所有采购程序和环节的具体事务和签署相关文件。</w:t>
      </w:r>
    </w:p>
    <w:p>
      <w:pPr>
        <w:spacing w:line="440" w:lineRule="exact"/>
        <w:contextualSpacing/>
        <w:rPr>
          <w:rFonts w:ascii="仿宋" w:hAnsi="仿宋" w:eastAsia="仿宋"/>
          <w:sz w:val="24"/>
        </w:rPr>
      </w:pPr>
      <w:r>
        <w:rPr>
          <w:rFonts w:hint="eastAsia" w:ascii="仿宋" w:hAnsi="仿宋" w:eastAsia="仿宋"/>
          <w:sz w:val="24"/>
        </w:rPr>
        <w:t xml:space="preserve">    我方对委托代理人的签字事项负全部责任。</w:t>
      </w:r>
    </w:p>
    <w:p>
      <w:pPr>
        <w:spacing w:line="440" w:lineRule="exact"/>
        <w:ind w:firstLine="480"/>
        <w:contextualSpacing/>
        <w:rPr>
          <w:rFonts w:ascii="仿宋" w:hAnsi="仿宋" w:eastAsia="仿宋"/>
          <w:sz w:val="24"/>
        </w:rPr>
      </w:pPr>
      <w:r>
        <w:rPr>
          <w:rFonts w:hint="eastAsia" w:ascii="仿宋" w:hAnsi="仿宋" w:eastAsia="仿宋"/>
          <w:sz w:val="24"/>
          <w:u w:val="single"/>
        </w:rPr>
        <w:t>本授权书自签署之日起生效，在撤销授权的书面通知以前，本授权书一直有效。委托代理人在授权书有效期内签署的所有文件不因授权的撤销而失效。</w:t>
      </w:r>
    </w:p>
    <w:p>
      <w:pPr>
        <w:spacing w:line="440" w:lineRule="exact"/>
        <w:ind w:firstLine="480"/>
        <w:contextualSpacing/>
        <w:rPr>
          <w:rFonts w:ascii="仿宋" w:hAnsi="仿宋" w:eastAsia="仿宋"/>
          <w:sz w:val="24"/>
        </w:rPr>
      </w:pPr>
      <w:r>
        <w:rPr>
          <w:rFonts w:hint="eastAsia" w:ascii="仿宋" w:hAnsi="仿宋" w:eastAsia="仿宋"/>
          <w:sz w:val="24"/>
        </w:rPr>
        <w:t>委托代理人无转委托权，特此委托。</w:t>
      </w:r>
    </w:p>
    <w:p>
      <w:pPr>
        <w:spacing w:line="440" w:lineRule="exact"/>
        <w:ind w:firstLine="480"/>
        <w:contextualSpacing/>
        <w:rPr>
          <w:rFonts w:ascii="仿宋" w:hAnsi="仿宋" w:eastAsia="仿宋"/>
          <w:sz w:val="24"/>
        </w:rPr>
      </w:pPr>
      <w:r>
        <w:rPr>
          <w:rFonts w:hint="eastAsia" w:ascii="仿宋" w:hAnsi="仿宋" w:eastAsia="仿宋"/>
          <w:sz w:val="24"/>
        </w:rPr>
        <w:t>附：法定代表人身份证明及委托代理人有效身份证正反面复印件</w:t>
      </w:r>
    </w:p>
    <w:p>
      <w:pPr>
        <w:spacing w:line="440" w:lineRule="exact"/>
        <w:contextualSpacing/>
        <w:rPr>
          <w:rFonts w:ascii="仿宋" w:hAnsi="仿宋" w:eastAsia="仿宋"/>
          <w:sz w:val="24"/>
        </w:rPr>
      </w:pPr>
    </w:p>
    <w:p>
      <w:pPr>
        <w:spacing w:line="440" w:lineRule="exact"/>
        <w:contextualSpacing/>
        <w:rPr>
          <w:rFonts w:ascii="仿宋" w:hAnsi="仿宋" w:eastAsia="仿宋"/>
          <w:sz w:val="24"/>
          <w:u w:val="single"/>
        </w:rPr>
      </w:pPr>
      <w:r>
        <w:rPr>
          <w:rFonts w:hint="eastAsia" w:ascii="仿宋" w:hAnsi="仿宋" w:eastAsia="仿宋"/>
          <w:sz w:val="24"/>
        </w:rPr>
        <w:t>委托代理人（签字）：        法定代表人（签字或者盖章）：</w:t>
      </w:r>
    </w:p>
    <w:p>
      <w:pPr>
        <w:spacing w:line="440" w:lineRule="exact"/>
        <w:contextualSpacing/>
        <w:rPr>
          <w:rFonts w:ascii="仿宋" w:hAnsi="仿宋" w:eastAsia="仿宋"/>
          <w:sz w:val="24"/>
        </w:rPr>
      </w:pPr>
      <w:r>
        <w:rPr>
          <w:rFonts w:hint="eastAsia" w:ascii="仿宋" w:hAnsi="仿宋" w:eastAsia="仿宋"/>
          <w:sz w:val="24"/>
        </w:rPr>
        <w:t>委托代理人身份证号码：</w:t>
      </w:r>
    </w:p>
    <w:p>
      <w:pPr>
        <w:spacing w:line="440" w:lineRule="exact"/>
        <w:contextualSpacing/>
        <w:jc w:val="center"/>
        <w:rPr>
          <w:rFonts w:ascii="仿宋" w:hAnsi="仿宋" w:eastAsia="仿宋"/>
          <w:sz w:val="24"/>
        </w:rPr>
      </w:pPr>
      <w:r>
        <w:rPr>
          <w:rFonts w:hint="eastAsia" w:ascii="仿宋" w:hAnsi="仿宋" w:eastAsia="仿宋"/>
          <w:sz w:val="24"/>
        </w:rPr>
        <w:t xml:space="preserve">                                          投标人（盖公章）：</w:t>
      </w:r>
    </w:p>
    <w:p>
      <w:pPr>
        <w:spacing w:line="440" w:lineRule="exact"/>
        <w:contextualSpacing/>
        <w:jc w:val="center"/>
        <w:rPr>
          <w:rFonts w:ascii="仿宋" w:hAnsi="仿宋" w:eastAsia="仿宋"/>
          <w:sz w:val="24"/>
        </w:rPr>
      </w:pPr>
      <w:r>
        <w:rPr>
          <w:rFonts w:hint="eastAsia" w:ascii="仿宋" w:hAnsi="仿宋" w:eastAsia="仿宋"/>
          <w:sz w:val="24"/>
        </w:rPr>
        <w:t xml:space="preserve">                                              年    月    日</w:t>
      </w:r>
    </w:p>
    <w:p>
      <w:pPr>
        <w:spacing w:line="440" w:lineRule="exact"/>
        <w:contextualSpacing/>
        <w:rPr>
          <w:rFonts w:ascii="仿宋" w:hAnsi="仿宋" w:eastAsia="仿宋" w:cs="仿宋_GB2312"/>
          <w:sz w:val="24"/>
        </w:rPr>
      </w:pPr>
      <w:r>
        <w:rPr>
          <w:rFonts w:hint="eastAsia" w:ascii="仿宋" w:hAnsi="仿宋" w:eastAsia="仿宋" w:cs="仿宋_GB2312"/>
          <w:sz w:val="24"/>
        </w:rPr>
        <w:t>注：1.</w:t>
      </w:r>
      <w:bookmarkStart w:id="257" w:name="_Hlk65851555"/>
      <w:bookmarkStart w:id="258" w:name="_Hlk65851620"/>
      <w:r>
        <w:rPr>
          <w:rFonts w:hint="eastAsia" w:ascii="仿宋" w:hAnsi="仿宋" w:eastAsia="仿宋" w:cs="仿宋_GB2312"/>
          <w:sz w:val="24"/>
        </w:rPr>
        <w:t>法定代表人必须在授权委托书上亲笔签字或者盖章，</w:t>
      </w:r>
      <w:bookmarkEnd w:id="257"/>
      <w:r>
        <w:rPr>
          <w:rFonts w:hint="eastAsia" w:ascii="仿宋" w:hAnsi="仿宋" w:eastAsia="仿宋" w:cs="仿宋_GB2312"/>
          <w:sz w:val="24"/>
        </w:rPr>
        <w:t>委托代理人必须在授权委托书上亲笔签字，</w:t>
      </w:r>
      <w:r>
        <w:rPr>
          <w:rFonts w:hint="eastAsia" w:ascii="仿宋" w:hAnsi="仿宋" w:eastAsia="仿宋" w:cs="仿宋_GB2312"/>
          <w:b/>
          <w:bCs/>
          <w:sz w:val="24"/>
        </w:rPr>
        <w:t>否则按无效投标处理</w:t>
      </w:r>
      <w:r>
        <w:rPr>
          <w:rFonts w:hint="eastAsia" w:ascii="仿宋" w:hAnsi="仿宋" w:eastAsia="仿宋" w:cs="仿宋_GB2312"/>
          <w:sz w:val="24"/>
        </w:rPr>
        <w:t>；</w:t>
      </w:r>
      <w:bookmarkEnd w:id="258"/>
    </w:p>
    <w:p>
      <w:pPr>
        <w:spacing w:line="440" w:lineRule="exact"/>
        <w:ind w:firstLine="480" w:firstLineChars="200"/>
        <w:contextualSpacing/>
        <w:jc w:val="left"/>
        <w:rPr>
          <w:rFonts w:ascii="仿宋" w:hAnsi="仿宋" w:eastAsia="仿宋"/>
          <w:sz w:val="24"/>
        </w:rPr>
      </w:pPr>
      <w:r>
        <w:rPr>
          <w:rFonts w:hint="eastAsia" w:ascii="仿宋" w:hAnsi="仿宋" w:eastAsia="仿宋" w:cs="仿宋_GB2312"/>
          <w:sz w:val="24"/>
        </w:rPr>
        <w:t>2.法人、其他组织投标时“我方”是指“我单位”，自然人投标时“我方”是指“本人”。</w:t>
      </w:r>
    </w:p>
    <w:p>
      <w:pPr>
        <w:snapToGrid w:val="0"/>
        <w:spacing w:before="120" w:beforeLines="50" w:after="50"/>
        <w:ind w:firstLine="566" w:firstLineChars="236"/>
        <w:jc w:val="center"/>
        <w:rPr>
          <w:rFonts w:ascii="仿宋" w:hAnsi="仿宋" w:eastAsia="仿宋" w:cs="方正小标宋简体"/>
          <w:sz w:val="44"/>
          <w:szCs w:val="44"/>
        </w:rPr>
      </w:pPr>
      <w:r>
        <w:rPr>
          <w:rFonts w:ascii="仿宋" w:hAnsi="仿宋" w:eastAsia="仿宋"/>
          <w:sz w:val="24"/>
        </w:rPr>
        <w:br w:type="page"/>
      </w:r>
      <w:r>
        <w:rPr>
          <w:rFonts w:hint="eastAsia" w:ascii="仿宋" w:hAnsi="仿宋" w:eastAsia="仿宋" w:cs="方正小标宋简体"/>
          <w:sz w:val="44"/>
          <w:szCs w:val="44"/>
        </w:rPr>
        <w:t>授权委托书</w:t>
      </w:r>
    </w:p>
    <w:p>
      <w:pPr>
        <w:snapToGrid w:val="0"/>
        <w:spacing w:before="120" w:beforeLines="50" w:after="50"/>
        <w:ind w:firstLine="755" w:firstLineChars="236"/>
        <w:jc w:val="center"/>
        <w:rPr>
          <w:rFonts w:ascii="仿宋" w:hAnsi="仿宋" w:eastAsia="仿宋" w:cs="方正小标宋简体"/>
          <w:sz w:val="32"/>
          <w:szCs w:val="32"/>
        </w:rPr>
      </w:pPr>
      <w:r>
        <w:rPr>
          <w:rFonts w:hint="eastAsia" w:ascii="仿宋" w:hAnsi="仿宋" w:eastAsia="仿宋" w:cs="方正小标宋简体"/>
          <w:sz w:val="32"/>
          <w:szCs w:val="32"/>
        </w:rPr>
        <w:t>（联合体投标格式）</w:t>
      </w:r>
    </w:p>
    <w:p>
      <w:pPr>
        <w:snapToGrid w:val="0"/>
        <w:spacing w:before="120" w:beforeLines="50" w:after="50"/>
        <w:ind w:firstLine="755" w:firstLineChars="236"/>
        <w:jc w:val="center"/>
        <w:rPr>
          <w:rFonts w:ascii="仿宋" w:hAnsi="仿宋" w:eastAsia="仿宋" w:cs="方正小标宋简体"/>
          <w:sz w:val="24"/>
        </w:rPr>
      </w:pPr>
      <w:r>
        <w:rPr>
          <w:rFonts w:hint="eastAsia" w:ascii="仿宋" w:hAnsi="仿宋" w:eastAsia="仿宋" w:cs="方正小标宋简体"/>
          <w:sz w:val="32"/>
          <w:szCs w:val="32"/>
        </w:rPr>
        <w:t>（如有委托时）</w:t>
      </w:r>
    </w:p>
    <w:p>
      <w:pPr>
        <w:spacing w:line="440" w:lineRule="exact"/>
        <w:contextualSpacing/>
        <w:jc w:val="left"/>
        <w:rPr>
          <w:rFonts w:ascii="仿宋" w:hAnsi="仿宋" w:eastAsia="仿宋"/>
          <w:sz w:val="24"/>
        </w:rPr>
      </w:pPr>
      <w:r>
        <w:rPr>
          <w:rFonts w:hint="eastAsia" w:ascii="仿宋" w:hAnsi="仿宋" w:eastAsia="仿宋"/>
          <w:bCs/>
          <w:sz w:val="24"/>
        </w:rPr>
        <w:t>致：</w:t>
      </w:r>
      <w:r>
        <w:rPr>
          <w:rFonts w:hint="eastAsia" w:ascii="仿宋" w:hAnsi="仿宋" w:eastAsia="仿宋"/>
          <w:sz w:val="24"/>
          <w:u w:val="single"/>
        </w:rPr>
        <w:t>采购人名称</w:t>
      </w:r>
      <w:r>
        <w:rPr>
          <w:rFonts w:hint="eastAsia" w:ascii="仿宋" w:hAnsi="仿宋" w:eastAsia="仿宋"/>
          <w:sz w:val="24"/>
        </w:rPr>
        <w:t>：</w:t>
      </w:r>
    </w:p>
    <w:p>
      <w:pPr>
        <w:spacing w:line="440" w:lineRule="exact"/>
        <w:ind w:firstLine="566" w:firstLineChars="236"/>
        <w:contextualSpacing/>
        <w:rPr>
          <w:rFonts w:ascii="仿宋" w:hAnsi="仿宋" w:eastAsia="仿宋"/>
          <w:sz w:val="24"/>
        </w:rPr>
      </w:pPr>
      <w:r>
        <w:rPr>
          <w:rFonts w:hint="eastAsia" w:ascii="仿宋" w:hAnsi="仿宋" w:eastAsia="仿宋"/>
          <w:sz w:val="24"/>
        </w:rPr>
        <w:t xml:space="preserve">根据 </w:t>
      </w:r>
      <w:r>
        <w:rPr>
          <w:rFonts w:hint="eastAsia" w:ascii="仿宋" w:hAnsi="仿宋" w:eastAsia="仿宋"/>
          <w:sz w:val="24"/>
          <w:u w:val="single"/>
        </w:rPr>
        <w:t xml:space="preserve"> （牵头人名称）</w:t>
      </w:r>
      <w:r>
        <w:rPr>
          <w:rFonts w:hint="eastAsia" w:ascii="仿宋" w:hAnsi="仿宋" w:eastAsia="仿宋"/>
          <w:sz w:val="24"/>
        </w:rPr>
        <w:t>与</w:t>
      </w:r>
      <w:r>
        <w:rPr>
          <w:rFonts w:hint="eastAsia" w:ascii="仿宋" w:hAnsi="仿宋" w:eastAsia="仿宋"/>
          <w:sz w:val="24"/>
          <w:u w:val="single"/>
        </w:rPr>
        <w:t>（联合体其他成员名称）</w:t>
      </w:r>
      <w:r>
        <w:rPr>
          <w:rFonts w:hint="eastAsia" w:ascii="仿宋" w:hAnsi="仿宋" w:eastAsia="仿宋"/>
          <w:sz w:val="24"/>
        </w:rPr>
        <w:t>签订的《联合体投标协议书》的内容，</w:t>
      </w:r>
      <w:r>
        <w:rPr>
          <w:rFonts w:hint="eastAsia" w:ascii="仿宋" w:hAnsi="仿宋" w:eastAsia="仿宋"/>
          <w:sz w:val="24"/>
          <w:u w:val="single"/>
        </w:rPr>
        <w:t>（牵头人名称）</w:t>
      </w:r>
      <w:r>
        <w:rPr>
          <w:rFonts w:hint="eastAsia" w:ascii="仿宋" w:hAnsi="仿宋" w:eastAsia="仿宋"/>
          <w:sz w:val="24"/>
        </w:rPr>
        <w:t>的法定代表人</w:t>
      </w:r>
      <w:r>
        <w:rPr>
          <w:rFonts w:hint="eastAsia" w:ascii="仿宋" w:hAnsi="仿宋" w:eastAsia="仿宋"/>
          <w:sz w:val="24"/>
          <w:u w:val="single"/>
        </w:rPr>
        <w:t>（姓名）</w:t>
      </w:r>
      <w:r>
        <w:rPr>
          <w:rFonts w:hint="eastAsia" w:ascii="仿宋" w:hAnsi="仿宋" w:eastAsia="仿宋"/>
          <w:sz w:val="24"/>
        </w:rPr>
        <w:t>现授权委托</w:t>
      </w:r>
      <w:r>
        <w:rPr>
          <w:rFonts w:hint="eastAsia" w:ascii="仿宋" w:hAnsi="仿宋" w:eastAsia="仿宋"/>
          <w:sz w:val="24"/>
          <w:u w:val="single"/>
        </w:rPr>
        <w:t xml:space="preserve">         （姓名）</w:t>
      </w:r>
      <w:r>
        <w:rPr>
          <w:rFonts w:hint="eastAsia" w:ascii="仿宋" w:hAnsi="仿宋" w:eastAsia="仿宋"/>
          <w:sz w:val="24"/>
        </w:rPr>
        <w:t>以我方的名义参加项目（项目</w:t>
      </w:r>
      <w:r>
        <w:rPr>
          <w:rFonts w:ascii="仿宋" w:hAnsi="仿宋" w:eastAsia="仿宋"/>
          <w:sz w:val="24"/>
        </w:rPr>
        <w:t>编号：</w:t>
      </w:r>
      <w:r>
        <w:rPr>
          <w:rFonts w:hint="eastAsia" w:ascii="仿宋" w:hAnsi="仿宋" w:eastAsia="仿宋"/>
          <w:sz w:val="24"/>
        </w:rPr>
        <w:t>）的投标活动，并代表我方全权办理针对上述项目的所有采购程序和环节的具体事务和签署相关文件。</w:t>
      </w:r>
    </w:p>
    <w:p>
      <w:pPr>
        <w:spacing w:line="440" w:lineRule="exact"/>
        <w:ind w:firstLine="566" w:firstLineChars="236"/>
        <w:contextualSpacing/>
        <w:rPr>
          <w:rFonts w:ascii="仿宋" w:hAnsi="仿宋" w:eastAsia="仿宋"/>
          <w:sz w:val="24"/>
        </w:rPr>
      </w:pPr>
      <w:r>
        <w:rPr>
          <w:rFonts w:hint="eastAsia" w:ascii="仿宋" w:hAnsi="仿宋" w:eastAsia="仿宋"/>
          <w:sz w:val="24"/>
        </w:rPr>
        <w:t>我方对委托代理人的签字事项负全部责任。</w:t>
      </w:r>
    </w:p>
    <w:p>
      <w:pPr>
        <w:spacing w:line="440" w:lineRule="exact"/>
        <w:ind w:firstLine="566" w:firstLineChars="236"/>
        <w:contextualSpacing/>
        <w:rPr>
          <w:rFonts w:ascii="仿宋" w:hAnsi="仿宋" w:eastAsia="仿宋"/>
          <w:sz w:val="24"/>
        </w:rPr>
      </w:pPr>
      <w:r>
        <w:rPr>
          <w:rFonts w:hint="eastAsia" w:ascii="仿宋" w:hAnsi="仿宋" w:eastAsia="仿宋"/>
          <w:sz w:val="24"/>
        </w:rPr>
        <w:t>本授权书自签署之日起生效，在撤销授权的书面通知以前，本授权书一直有效。委托代理人在授权书有效期内签署的所有文件不因授权的撤销而失效。</w:t>
      </w:r>
    </w:p>
    <w:p>
      <w:pPr>
        <w:spacing w:line="440" w:lineRule="exact"/>
        <w:ind w:firstLine="566" w:firstLineChars="236"/>
        <w:contextualSpacing/>
        <w:rPr>
          <w:rFonts w:ascii="仿宋" w:hAnsi="仿宋" w:eastAsia="仿宋"/>
          <w:sz w:val="24"/>
        </w:rPr>
      </w:pPr>
      <w:r>
        <w:rPr>
          <w:rFonts w:hint="eastAsia" w:ascii="仿宋" w:hAnsi="仿宋" w:eastAsia="仿宋"/>
          <w:sz w:val="24"/>
        </w:rPr>
        <w:t>委托代理人无转委托权，特此委托。</w:t>
      </w:r>
    </w:p>
    <w:p>
      <w:pPr>
        <w:spacing w:line="440" w:lineRule="exact"/>
        <w:ind w:firstLine="566" w:firstLineChars="236"/>
        <w:contextualSpacing/>
        <w:rPr>
          <w:rFonts w:ascii="仿宋" w:hAnsi="仿宋" w:eastAsia="仿宋"/>
          <w:sz w:val="24"/>
        </w:rPr>
      </w:pPr>
      <w:r>
        <w:rPr>
          <w:rFonts w:hint="eastAsia" w:ascii="仿宋" w:hAnsi="仿宋" w:eastAsia="仿宋"/>
          <w:sz w:val="24"/>
        </w:rPr>
        <w:t>附：牵头人法定代表人身份证明及委托代理人有效身份证正反面复印件</w:t>
      </w:r>
    </w:p>
    <w:p>
      <w:pPr>
        <w:spacing w:line="440" w:lineRule="exact"/>
        <w:ind w:firstLine="566" w:firstLineChars="236"/>
        <w:contextualSpacing/>
        <w:rPr>
          <w:rFonts w:ascii="仿宋" w:hAnsi="仿宋" w:eastAsia="仿宋"/>
          <w:sz w:val="24"/>
        </w:rPr>
      </w:pPr>
    </w:p>
    <w:p>
      <w:pPr>
        <w:spacing w:line="440" w:lineRule="exact"/>
        <w:ind w:firstLine="566" w:firstLineChars="236"/>
        <w:contextualSpacing/>
        <w:rPr>
          <w:rFonts w:ascii="仿宋" w:hAnsi="仿宋" w:eastAsia="仿宋"/>
          <w:sz w:val="24"/>
        </w:rPr>
      </w:pPr>
      <w:r>
        <w:rPr>
          <w:rFonts w:hint="eastAsia" w:ascii="仿宋" w:hAnsi="仿宋" w:eastAsia="仿宋"/>
          <w:sz w:val="24"/>
        </w:rPr>
        <w:t>牵头人法定代表人（签字或者盖章）：</w:t>
      </w:r>
    </w:p>
    <w:p>
      <w:pPr>
        <w:spacing w:line="440" w:lineRule="exact"/>
        <w:ind w:firstLine="566" w:firstLineChars="236"/>
        <w:contextualSpacing/>
        <w:rPr>
          <w:rFonts w:ascii="仿宋" w:hAnsi="仿宋" w:eastAsia="仿宋"/>
          <w:sz w:val="24"/>
        </w:rPr>
      </w:pPr>
      <w:r>
        <w:rPr>
          <w:rFonts w:hint="eastAsia" w:ascii="仿宋" w:hAnsi="仿宋" w:eastAsia="仿宋"/>
          <w:sz w:val="24"/>
        </w:rPr>
        <w:t>牵头人（盖公章）：</w:t>
      </w:r>
    </w:p>
    <w:p>
      <w:pPr>
        <w:spacing w:line="440" w:lineRule="exact"/>
        <w:ind w:firstLine="566" w:firstLineChars="236"/>
        <w:contextualSpacing/>
        <w:rPr>
          <w:rFonts w:ascii="仿宋" w:hAnsi="仿宋" w:eastAsia="仿宋"/>
          <w:sz w:val="24"/>
        </w:rPr>
      </w:pPr>
      <w:r>
        <w:rPr>
          <w:rFonts w:hint="eastAsia" w:ascii="仿宋" w:hAnsi="仿宋" w:eastAsia="仿宋"/>
          <w:sz w:val="24"/>
        </w:rPr>
        <w:t>日期：    年   月   日</w:t>
      </w:r>
    </w:p>
    <w:p>
      <w:pPr>
        <w:spacing w:line="440" w:lineRule="exact"/>
        <w:ind w:firstLine="566" w:firstLineChars="236"/>
        <w:contextualSpacing/>
        <w:rPr>
          <w:rFonts w:ascii="仿宋" w:hAnsi="仿宋" w:eastAsia="仿宋"/>
          <w:sz w:val="24"/>
        </w:rPr>
      </w:pPr>
    </w:p>
    <w:p>
      <w:pPr>
        <w:spacing w:line="440" w:lineRule="exact"/>
        <w:ind w:firstLine="566" w:firstLineChars="236"/>
        <w:contextualSpacing/>
        <w:rPr>
          <w:rFonts w:ascii="仿宋" w:hAnsi="仿宋" w:eastAsia="仿宋"/>
          <w:sz w:val="24"/>
        </w:rPr>
      </w:pPr>
      <w:r>
        <w:rPr>
          <w:rFonts w:hint="eastAsia" w:ascii="仿宋" w:hAnsi="仿宋" w:eastAsia="仿宋"/>
          <w:sz w:val="24"/>
        </w:rPr>
        <w:t>被授权人（签字）：</w:t>
      </w:r>
    </w:p>
    <w:p>
      <w:pPr>
        <w:spacing w:line="440" w:lineRule="exact"/>
        <w:ind w:firstLine="566" w:firstLineChars="236"/>
        <w:contextualSpacing/>
        <w:rPr>
          <w:rFonts w:ascii="仿宋" w:hAnsi="仿宋" w:eastAsia="仿宋" w:cs="仿宋_GB2312"/>
          <w:sz w:val="32"/>
          <w:szCs w:val="32"/>
        </w:rPr>
      </w:pPr>
      <w:r>
        <w:rPr>
          <w:rFonts w:hint="eastAsia" w:ascii="仿宋" w:hAnsi="仿宋" w:eastAsia="仿宋"/>
          <w:sz w:val="24"/>
        </w:rPr>
        <w:t>日期：    年   月   日</w:t>
      </w:r>
    </w:p>
    <w:p>
      <w:pPr>
        <w:spacing w:line="440" w:lineRule="exact"/>
        <w:contextualSpacing/>
        <w:rPr>
          <w:rFonts w:ascii="仿宋" w:hAnsi="仿宋" w:eastAsia="仿宋" w:cs="仿宋_GB2312"/>
          <w:sz w:val="24"/>
        </w:rPr>
      </w:pPr>
      <w:r>
        <w:rPr>
          <w:rFonts w:hint="eastAsia" w:ascii="仿宋" w:hAnsi="仿宋" w:eastAsia="仿宋" w:cs="仿宋_GB2312"/>
          <w:sz w:val="24"/>
        </w:rPr>
        <w:t>注：1. 法定代表人必须在授权委托书上亲笔签字或者盖章，委托代理人必须在授权委托书上亲笔签字，</w:t>
      </w:r>
      <w:r>
        <w:rPr>
          <w:rFonts w:hint="eastAsia" w:ascii="仿宋" w:hAnsi="仿宋" w:eastAsia="仿宋" w:cs="仿宋_GB2312"/>
          <w:b/>
          <w:bCs/>
          <w:sz w:val="24"/>
        </w:rPr>
        <w:t>否则按无效投标处理</w:t>
      </w:r>
      <w:r>
        <w:rPr>
          <w:rFonts w:hint="eastAsia" w:ascii="仿宋" w:hAnsi="仿宋" w:eastAsia="仿宋" w:cs="仿宋_GB2312"/>
          <w:sz w:val="24"/>
        </w:rPr>
        <w:t>；</w:t>
      </w:r>
    </w:p>
    <w:p>
      <w:pPr>
        <w:spacing w:line="440" w:lineRule="exact"/>
        <w:ind w:firstLine="480" w:firstLineChars="200"/>
        <w:contextualSpacing/>
        <w:jc w:val="left"/>
        <w:rPr>
          <w:rFonts w:ascii="仿宋" w:hAnsi="仿宋" w:eastAsia="仿宋" w:cs="仿宋_GB2312"/>
          <w:sz w:val="24"/>
        </w:rPr>
      </w:pPr>
      <w:r>
        <w:rPr>
          <w:rFonts w:hint="eastAsia" w:ascii="仿宋" w:hAnsi="仿宋" w:eastAsia="仿宋" w:cs="仿宋_GB2312"/>
          <w:sz w:val="24"/>
        </w:rPr>
        <w:t>2.本授权委托书应由联合体牵头人的法定代表人按上述规定签字。</w:t>
      </w:r>
    </w:p>
    <w:p>
      <w:pPr>
        <w:spacing w:line="440" w:lineRule="exact"/>
        <w:ind w:firstLine="480" w:firstLineChars="200"/>
        <w:contextualSpacing/>
        <w:jc w:val="left"/>
        <w:rPr>
          <w:rFonts w:ascii="仿宋" w:hAnsi="仿宋" w:eastAsia="仿宋"/>
          <w:sz w:val="24"/>
        </w:rPr>
      </w:pPr>
      <w:r>
        <w:rPr>
          <w:rFonts w:hint="eastAsia" w:ascii="仿宋" w:hAnsi="仿宋" w:eastAsia="仿宋" w:cs="仿宋_GB2312"/>
          <w:sz w:val="24"/>
        </w:rPr>
        <w:t>3</w:t>
      </w:r>
      <w:r>
        <w:rPr>
          <w:rFonts w:ascii="仿宋" w:hAnsi="仿宋" w:eastAsia="仿宋" w:cs="仿宋_GB2312"/>
          <w:sz w:val="24"/>
        </w:rPr>
        <w:t>.</w:t>
      </w:r>
      <w:r>
        <w:rPr>
          <w:rFonts w:hint="eastAsia" w:ascii="仿宋" w:hAnsi="仿宋" w:eastAsia="仿宋" w:cs="仿宋_GB2312"/>
          <w:sz w:val="24"/>
        </w:rPr>
        <w:t>法人、其他组织投标时“我方”是指“我单位”，自然人投标时“我方”是指“本人”。</w:t>
      </w:r>
    </w:p>
    <w:p>
      <w:pPr>
        <w:snapToGrid w:val="0"/>
        <w:spacing w:before="50" w:after="120" w:afterLines="50"/>
        <w:ind w:firstLine="480" w:firstLineChars="200"/>
        <w:jc w:val="left"/>
        <w:rPr>
          <w:rFonts w:ascii="仿宋" w:hAnsi="仿宋" w:eastAsia="仿宋"/>
          <w:sz w:val="24"/>
        </w:rPr>
        <w:sectPr>
          <w:footerReference r:id="rId6" w:type="first"/>
          <w:headerReference r:id="rId3" w:type="default"/>
          <w:footerReference r:id="rId4" w:type="default"/>
          <w:footerReference r:id="rId5" w:type="even"/>
          <w:pgSz w:w="11906" w:h="16838"/>
          <w:pgMar w:top="907" w:right="851" w:bottom="907" w:left="851" w:header="680" w:footer="567" w:gutter="0"/>
          <w:pgNumType w:fmt="numberInDash" w:start="0"/>
          <w:cols w:space="720" w:num="1"/>
          <w:titlePg/>
          <w:docGrid w:linePitch="312" w:charSpace="0"/>
        </w:sectPr>
      </w:pPr>
    </w:p>
    <w:p>
      <w:pPr>
        <w:rPr>
          <w:rFonts w:ascii="仿宋" w:hAnsi="仿宋" w:eastAsia="仿宋"/>
          <w:b/>
          <w:sz w:val="24"/>
          <w:szCs w:val="20"/>
        </w:rPr>
      </w:pPr>
      <w:r>
        <w:rPr>
          <w:rFonts w:hint="eastAsia" w:ascii="仿宋" w:hAnsi="仿宋" w:eastAsia="仿宋"/>
          <w:b/>
          <w:sz w:val="24"/>
        </w:rPr>
        <w:t>6.商务偏离表格式（注：按第</w:t>
      </w:r>
      <w:r>
        <w:rPr>
          <w:rFonts w:ascii="仿宋" w:hAnsi="仿宋" w:eastAsia="仿宋"/>
          <w:b/>
          <w:sz w:val="24"/>
        </w:rPr>
        <w:t>二章</w:t>
      </w:r>
      <w:r>
        <w:rPr>
          <w:rFonts w:hint="eastAsia" w:ascii="仿宋" w:hAnsi="仿宋" w:eastAsia="仿宋"/>
          <w:b/>
          <w:sz w:val="24"/>
        </w:rPr>
        <w:t>“</w:t>
      </w:r>
      <w:r>
        <w:rPr>
          <w:rFonts w:ascii="仿宋" w:hAnsi="仿宋" w:eastAsia="仿宋"/>
          <w:b/>
          <w:sz w:val="24"/>
        </w:rPr>
        <w:t>采购需求</w:t>
      </w:r>
      <w:r>
        <w:rPr>
          <w:rFonts w:hint="eastAsia" w:ascii="仿宋" w:hAnsi="仿宋" w:eastAsia="仿宋"/>
          <w:b/>
          <w:sz w:val="24"/>
        </w:rPr>
        <w:t>”</w:t>
      </w:r>
      <w:r>
        <w:rPr>
          <w:rFonts w:ascii="仿宋" w:hAnsi="仿宋" w:eastAsia="仿宋"/>
          <w:b/>
          <w:sz w:val="24"/>
        </w:rPr>
        <w:t>内容</w:t>
      </w:r>
      <w:r>
        <w:rPr>
          <w:rFonts w:hint="eastAsia" w:ascii="仿宋" w:hAnsi="仿宋" w:eastAsia="仿宋"/>
          <w:b/>
          <w:sz w:val="24"/>
        </w:rPr>
        <w:t>填写）</w:t>
      </w:r>
    </w:p>
    <w:p>
      <w:pPr>
        <w:snapToGrid w:val="0"/>
        <w:spacing w:before="50"/>
        <w:ind w:right="240"/>
        <w:jc w:val="center"/>
        <w:rPr>
          <w:rFonts w:ascii="仿宋" w:hAnsi="仿宋" w:eastAsia="仿宋"/>
          <w:b/>
          <w:sz w:val="28"/>
        </w:rPr>
      </w:pPr>
    </w:p>
    <w:p>
      <w:pPr>
        <w:snapToGrid w:val="0"/>
        <w:spacing w:before="50"/>
        <w:ind w:right="240"/>
        <w:jc w:val="center"/>
        <w:rPr>
          <w:rFonts w:ascii="仿宋" w:hAnsi="仿宋" w:eastAsia="仿宋"/>
          <w:b/>
          <w:sz w:val="28"/>
        </w:rPr>
      </w:pPr>
      <w:r>
        <w:rPr>
          <w:rFonts w:hint="eastAsia" w:ascii="仿宋" w:hAnsi="仿宋" w:eastAsia="仿宋"/>
          <w:b/>
          <w:sz w:val="28"/>
        </w:rPr>
        <w:t>商务偏离表</w:t>
      </w:r>
    </w:p>
    <w:p>
      <w:pPr>
        <w:snapToGrid w:val="0"/>
        <w:spacing w:before="50"/>
        <w:ind w:right="240"/>
        <w:jc w:val="left"/>
        <w:rPr>
          <w:rFonts w:ascii="仿宋" w:hAnsi="仿宋" w:eastAsia="仿宋" w:cs="仿宋"/>
          <w:sz w:val="24"/>
          <w:u w:val="single"/>
        </w:rPr>
      </w:pPr>
      <w:r>
        <w:rPr>
          <w:rFonts w:hint="eastAsia" w:ascii="仿宋" w:hAnsi="仿宋" w:eastAsia="仿宋" w:cs="宋体"/>
          <w:sz w:val="24"/>
        </w:rPr>
        <w:t>项目</w:t>
      </w:r>
      <w:r>
        <w:rPr>
          <w:rFonts w:ascii="仿宋" w:hAnsi="仿宋" w:eastAsia="仿宋" w:cs="宋体"/>
          <w:sz w:val="24"/>
        </w:rPr>
        <w:t>名称：</w:t>
      </w:r>
      <w:r>
        <w:rPr>
          <w:rFonts w:hint="eastAsia" w:ascii="仿宋" w:hAnsi="仿宋" w:eastAsia="仿宋" w:cs="宋体"/>
          <w:sz w:val="24"/>
        </w:rPr>
        <w:t xml:space="preserve"> </w:t>
      </w:r>
    </w:p>
    <w:tbl>
      <w:tblPr>
        <w:tblStyle w:val="54"/>
        <w:tblW w:w="882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890"/>
        <w:gridCol w:w="10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s="仿宋"/>
                <w:sz w:val="24"/>
              </w:rPr>
            </w:pPr>
            <w:r>
              <w:rPr>
                <w:rFonts w:hint="eastAsia" w:ascii="仿宋" w:hAnsi="仿宋" w:eastAsia="仿宋" w:cs="仿宋"/>
                <w:sz w:val="24"/>
              </w:rPr>
              <w:t>序号</w:t>
            </w: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s="仿宋"/>
                <w:sz w:val="24"/>
              </w:rPr>
            </w:pPr>
            <w:r>
              <w:rPr>
                <w:rFonts w:hint="eastAsia" w:ascii="仿宋" w:hAnsi="仿宋" w:eastAsia="仿宋" w:cs="仿宋"/>
                <w:sz w:val="24"/>
              </w:rPr>
              <w:t>招标文件的商务要求</w:t>
            </w:r>
          </w:p>
        </w:tc>
        <w:tc>
          <w:tcPr>
            <w:tcW w:w="489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s="仿宋"/>
                <w:sz w:val="24"/>
              </w:rPr>
            </w:pPr>
            <w:r>
              <w:rPr>
                <w:rFonts w:hint="eastAsia" w:ascii="仿宋" w:hAnsi="仿宋" w:eastAsia="仿宋" w:cs="仿宋"/>
                <w:sz w:val="24"/>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s="仿宋"/>
                <w:sz w:val="24"/>
              </w:rPr>
            </w:pPr>
            <w:r>
              <w:rPr>
                <w:rFonts w:hint="eastAsia" w:ascii="仿宋" w:hAnsi="仿宋" w:eastAsia="仿宋" w:cs="仿宋"/>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s="仿宋"/>
                <w:sz w:val="24"/>
              </w:rPr>
            </w:pP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s="仿宋"/>
                <w:sz w:val="24"/>
              </w:rPr>
            </w:pPr>
          </w:p>
        </w:tc>
        <w:tc>
          <w:tcPr>
            <w:tcW w:w="489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s="仿宋"/>
                <w:sz w:val="24"/>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s="仿宋"/>
                <w:sz w:val="24"/>
              </w:rPr>
            </w:pPr>
          </w:p>
        </w:tc>
        <w:tc>
          <w:tcPr>
            <w:tcW w:w="21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4"/>
              </w:rPr>
            </w:pPr>
          </w:p>
        </w:tc>
        <w:tc>
          <w:tcPr>
            <w:tcW w:w="489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s="仿宋"/>
                <w:sz w:val="24"/>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s="仿宋"/>
                <w:sz w:val="24"/>
              </w:rPr>
            </w:pPr>
          </w:p>
        </w:tc>
        <w:tc>
          <w:tcPr>
            <w:tcW w:w="21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4"/>
              </w:rPr>
            </w:pPr>
            <w:r>
              <w:rPr>
                <w:rFonts w:hint="eastAsia" w:ascii="仿宋" w:hAnsi="仿宋" w:eastAsia="仿宋" w:cs="仿宋"/>
                <w:sz w:val="24"/>
              </w:rPr>
              <w:t>……</w:t>
            </w:r>
          </w:p>
        </w:tc>
        <w:tc>
          <w:tcPr>
            <w:tcW w:w="489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s="仿宋"/>
                <w:sz w:val="24"/>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s="仿宋"/>
                <w:sz w:val="24"/>
              </w:rPr>
            </w:pPr>
          </w:p>
        </w:tc>
      </w:tr>
    </w:tbl>
    <w:p>
      <w:pPr>
        <w:pStyle w:val="28"/>
        <w:tabs>
          <w:tab w:val="left" w:pos="2127"/>
        </w:tabs>
        <w:spacing w:line="340" w:lineRule="exact"/>
        <w:ind w:firstLine="480" w:firstLineChars="200"/>
        <w:jc w:val="left"/>
        <w:rPr>
          <w:rFonts w:ascii="仿宋" w:hAnsi="仿宋" w:eastAsia="仿宋" w:cs="仿宋"/>
          <w:sz w:val="24"/>
          <w:szCs w:val="24"/>
        </w:rPr>
      </w:pPr>
      <w:bookmarkStart w:id="259" w:name="_Hlk48144603"/>
    </w:p>
    <w:p>
      <w:pPr>
        <w:pStyle w:val="28"/>
        <w:tabs>
          <w:tab w:val="left" w:pos="2127"/>
        </w:tabs>
        <w:spacing w:line="3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注：</w:t>
      </w:r>
    </w:p>
    <w:p>
      <w:pPr>
        <w:pStyle w:val="28"/>
        <w:tabs>
          <w:tab w:val="left" w:pos="2127"/>
        </w:tabs>
        <w:spacing w:line="3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 说明：应对照招标“第三章 采购需求”中的商务要求逐条作出明确响应，并作出偏离说明。</w:t>
      </w:r>
    </w:p>
    <w:p>
      <w:pPr>
        <w:pStyle w:val="28"/>
        <w:tabs>
          <w:tab w:val="left" w:pos="2127"/>
        </w:tabs>
        <w:spacing w:line="3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2.供应商应根据自身的承诺，对照招标文件要求，在“偏离说明”中注明“正偏离”、“负偏离”或者“无偏离”。既不属于“正偏离”也不属于“负偏离”即为“无偏离”。</w:t>
      </w:r>
    </w:p>
    <w:bookmarkEnd w:id="259"/>
    <w:p>
      <w:pPr>
        <w:pStyle w:val="21"/>
        <w:rPr>
          <w:rFonts w:ascii="仿宋" w:hAnsi="仿宋" w:eastAsia="仿宋"/>
          <w:b w:val="0"/>
          <w:bCs w:val="0"/>
        </w:rPr>
      </w:pPr>
    </w:p>
    <w:p>
      <w:pPr>
        <w:snapToGrid w:val="0"/>
        <w:spacing w:before="50" w:after="50"/>
        <w:rPr>
          <w:rFonts w:ascii="仿宋" w:hAnsi="仿宋" w:eastAsia="仿宋"/>
          <w:sz w:val="24"/>
        </w:rPr>
      </w:pPr>
    </w:p>
    <w:p>
      <w:pPr>
        <w:snapToGrid w:val="0"/>
        <w:spacing w:before="50" w:after="50"/>
        <w:rPr>
          <w:rFonts w:ascii="仿宋" w:hAnsi="仿宋" w:eastAsia="仿宋"/>
          <w:spacing w:val="20"/>
          <w:sz w:val="24"/>
          <w:u w:val="single"/>
        </w:rPr>
      </w:pPr>
      <w:r>
        <w:rPr>
          <w:rFonts w:hint="eastAsia" w:ascii="仿宋" w:hAnsi="仿宋" w:eastAsia="仿宋"/>
          <w:sz w:val="24"/>
        </w:rPr>
        <w:t>法定代表人或者委托代理人</w:t>
      </w:r>
      <w:r>
        <w:rPr>
          <w:rFonts w:hint="eastAsia" w:ascii="仿宋" w:hAnsi="仿宋" w:eastAsia="仿宋"/>
          <w:spacing w:val="20"/>
          <w:sz w:val="24"/>
        </w:rPr>
        <w:t>（签字）：</w:t>
      </w:r>
    </w:p>
    <w:p>
      <w:pPr>
        <w:snapToGrid w:val="0"/>
        <w:spacing w:before="120" w:beforeLines="50"/>
        <w:rPr>
          <w:rFonts w:ascii="仿宋" w:hAnsi="仿宋" w:eastAsia="仿宋"/>
          <w:sz w:val="24"/>
        </w:rPr>
      </w:pPr>
      <w:r>
        <w:rPr>
          <w:rFonts w:hint="eastAsia" w:ascii="仿宋" w:hAnsi="仿宋" w:eastAsia="仿宋"/>
          <w:sz w:val="24"/>
        </w:rPr>
        <w:t>投标人盖公章：</w:t>
      </w:r>
    </w:p>
    <w:p>
      <w:pPr>
        <w:snapToGrid w:val="0"/>
        <w:spacing w:before="120" w:beforeLines="50"/>
        <w:rPr>
          <w:rFonts w:ascii="仿宋" w:hAnsi="仿宋" w:eastAsia="仿宋"/>
          <w:sz w:val="24"/>
          <w:szCs w:val="20"/>
        </w:rPr>
      </w:pPr>
      <w:r>
        <w:rPr>
          <w:rFonts w:hint="eastAsia" w:ascii="仿宋" w:hAnsi="仿宋" w:eastAsia="仿宋"/>
          <w:spacing w:val="20"/>
          <w:sz w:val="24"/>
        </w:rPr>
        <w:t>日  期：</w:t>
      </w:r>
    </w:p>
    <w:p>
      <w:pPr>
        <w:snapToGrid w:val="0"/>
        <w:spacing w:before="120" w:beforeLines="50"/>
        <w:rPr>
          <w:rFonts w:ascii="仿宋" w:hAnsi="仿宋" w:eastAsia="仿宋"/>
          <w:sz w:val="24"/>
          <w:szCs w:val="20"/>
        </w:rPr>
      </w:pPr>
    </w:p>
    <w:p>
      <w:pPr>
        <w:snapToGrid w:val="0"/>
        <w:spacing w:before="120" w:beforeLines="50" w:after="50"/>
        <w:jc w:val="left"/>
        <w:rPr>
          <w:rFonts w:ascii="仿宋" w:hAnsi="仿宋" w:eastAsia="仿宋"/>
          <w:sz w:val="24"/>
          <w:szCs w:val="20"/>
        </w:rPr>
      </w:pPr>
    </w:p>
    <w:p>
      <w:pPr>
        <w:snapToGrid w:val="0"/>
        <w:spacing w:before="120" w:beforeLines="50" w:after="50"/>
        <w:jc w:val="left"/>
        <w:rPr>
          <w:rFonts w:ascii="仿宋" w:hAnsi="仿宋" w:eastAsia="仿宋"/>
          <w:sz w:val="24"/>
          <w:szCs w:val="20"/>
        </w:rPr>
      </w:pPr>
    </w:p>
    <w:p>
      <w:pPr>
        <w:rPr>
          <w:rFonts w:ascii="仿宋" w:hAnsi="仿宋" w:eastAsia="仿宋"/>
          <w:sz w:val="24"/>
          <w:szCs w:val="20"/>
        </w:rPr>
      </w:pPr>
    </w:p>
    <w:p>
      <w:pPr>
        <w:rPr>
          <w:rFonts w:ascii="仿宋" w:hAnsi="仿宋" w:eastAsia="仿宋"/>
          <w:sz w:val="24"/>
          <w:szCs w:val="20"/>
        </w:rPr>
      </w:pPr>
    </w:p>
    <w:p>
      <w:pPr>
        <w:rPr>
          <w:rFonts w:ascii="仿宋" w:hAnsi="仿宋" w:eastAsia="仿宋"/>
          <w:sz w:val="24"/>
          <w:szCs w:val="20"/>
        </w:rPr>
      </w:pPr>
    </w:p>
    <w:p>
      <w:pPr>
        <w:rPr>
          <w:rFonts w:ascii="仿宋" w:hAnsi="仿宋" w:eastAsia="仿宋"/>
          <w:sz w:val="24"/>
          <w:szCs w:val="20"/>
        </w:rPr>
      </w:pPr>
    </w:p>
    <w:p>
      <w:pPr>
        <w:rPr>
          <w:rFonts w:ascii="仿宋" w:hAnsi="仿宋" w:eastAsia="仿宋"/>
          <w:sz w:val="24"/>
          <w:szCs w:val="20"/>
        </w:rPr>
      </w:pPr>
    </w:p>
    <w:p>
      <w:pPr>
        <w:rPr>
          <w:rFonts w:ascii="仿宋" w:hAnsi="仿宋" w:eastAsia="仿宋"/>
          <w:sz w:val="24"/>
          <w:szCs w:val="20"/>
        </w:rPr>
      </w:pPr>
    </w:p>
    <w:p>
      <w:pPr>
        <w:rPr>
          <w:rFonts w:ascii="仿宋" w:hAnsi="仿宋" w:eastAsia="仿宋"/>
          <w:sz w:val="24"/>
          <w:szCs w:val="20"/>
        </w:rPr>
      </w:pPr>
    </w:p>
    <w:p>
      <w:pPr>
        <w:snapToGrid w:val="0"/>
        <w:spacing w:before="120" w:beforeLines="50" w:after="50"/>
        <w:jc w:val="left"/>
        <w:rPr>
          <w:rFonts w:ascii="仿宋" w:hAnsi="仿宋" w:eastAsia="仿宋"/>
          <w:b/>
          <w:sz w:val="24"/>
        </w:rPr>
      </w:pPr>
      <w:r>
        <w:rPr>
          <w:rFonts w:ascii="仿宋" w:hAnsi="仿宋" w:eastAsia="仿宋"/>
          <w:sz w:val="24"/>
          <w:szCs w:val="20"/>
        </w:rPr>
        <w:br w:type="page"/>
      </w:r>
      <w:r>
        <w:rPr>
          <w:rFonts w:hint="eastAsia" w:ascii="仿宋" w:hAnsi="仿宋" w:eastAsia="仿宋"/>
          <w:b/>
          <w:sz w:val="24"/>
        </w:rPr>
        <w:t>7.投标人业绩证明材料</w:t>
      </w:r>
    </w:p>
    <w:p>
      <w:pPr>
        <w:pStyle w:val="37"/>
        <w:snapToGrid w:val="0"/>
        <w:ind w:left="480" w:hanging="480"/>
        <w:rPr>
          <w:rFonts w:ascii="仿宋" w:hAnsi="仿宋" w:eastAsia="仿宋"/>
          <w:sz w:val="24"/>
        </w:rPr>
      </w:pPr>
      <w:r>
        <w:rPr>
          <w:rFonts w:hint="eastAsia" w:ascii="仿宋" w:hAnsi="仿宋" w:eastAsia="仿宋"/>
          <w:sz w:val="24"/>
        </w:rPr>
        <w:t xml:space="preserve">投标人业绩情况一览表格式： </w:t>
      </w:r>
    </w:p>
    <w:p>
      <w:pPr>
        <w:snapToGrid w:val="0"/>
        <w:spacing w:before="50"/>
        <w:ind w:right="240"/>
        <w:jc w:val="center"/>
        <w:rPr>
          <w:rFonts w:ascii="仿宋" w:hAnsi="仿宋" w:eastAsia="仿宋"/>
          <w:sz w:val="24"/>
        </w:rPr>
      </w:pPr>
      <w:r>
        <w:rPr>
          <w:rFonts w:hint="eastAsia" w:ascii="仿宋" w:hAnsi="仿宋" w:eastAsia="仿宋"/>
          <w:b/>
          <w:sz w:val="28"/>
        </w:rPr>
        <w:t>业绩情况一览表</w:t>
      </w:r>
    </w:p>
    <w:p>
      <w:pPr>
        <w:snapToGrid w:val="0"/>
        <w:spacing w:before="50"/>
        <w:ind w:right="240" w:firstLine="3840" w:firstLineChars="1600"/>
        <w:jc w:val="center"/>
        <w:rPr>
          <w:rFonts w:ascii="仿宋" w:hAnsi="仿宋" w:eastAsia="仿宋"/>
          <w:sz w:val="24"/>
          <w:u w:val="single"/>
        </w:rPr>
      </w:pPr>
      <w:r>
        <w:rPr>
          <w:rFonts w:hint="eastAsia" w:ascii="仿宋" w:hAnsi="仿宋" w:eastAsia="仿宋" w:cs="宋体"/>
          <w:sz w:val="24"/>
        </w:rPr>
        <w:t xml:space="preserve">                             标项</w:t>
      </w:r>
      <w:r>
        <w:rPr>
          <w:rFonts w:hint="eastAsia" w:ascii="仿宋" w:hAnsi="仿宋" w:eastAsia="仿宋"/>
          <w:sz w:val="24"/>
        </w:rPr>
        <w:t>：</w:t>
      </w:r>
      <w:r>
        <w:rPr>
          <w:rFonts w:ascii="仿宋" w:hAnsi="仿宋" w:eastAsia="仿宋"/>
          <w:sz w:val="24"/>
          <w:u w:val="single"/>
        </w:rPr>
        <w:t xml:space="preserve">   /   </w:t>
      </w:r>
    </w:p>
    <w:tbl>
      <w:tblPr>
        <w:tblStyle w:val="54"/>
        <w:tblW w:w="950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77"/>
        <w:gridCol w:w="1972"/>
        <w:gridCol w:w="1972"/>
        <w:gridCol w:w="31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87" w:hRule="atLeast"/>
          <w:jc w:val="center"/>
        </w:trPr>
        <w:tc>
          <w:tcPr>
            <w:tcW w:w="237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 w:hAnsi="仿宋" w:eastAsia="仿宋"/>
                <w:sz w:val="24"/>
              </w:rPr>
            </w:pPr>
            <w:r>
              <w:rPr>
                <w:rFonts w:hint="eastAsia" w:ascii="仿宋" w:hAnsi="仿宋" w:eastAsia="仿宋"/>
                <w:sz w:val="24"/>
              </w:rPr>
              <w:t>采购人名称</w:t>
            </w:r>
          </w:p>
        </w:tc>
        <w:tc>
          <w:tcPr>
            <w:tcW w:w="197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 w:hAnsi="仿宋" w:eastAsia="仿宋"/>
                <w:sz w:val="24"/>
              </w:rPr>
            </w:pPr>
            <w:r>
              <w:rPr>
                <w:rFonts w:hint="eastAsia" w:ascii="仿宋" w:hAnsi="仿宋" w:eastAsia="仿宋"/>
                <w:sz w:val="24"/>
              </w:rPr>
              <w:t>项目名称</w:t>
            </w:r>
          </w:p>
        </w:tc>
        <w:tc>
          <w:tcPr>
            <w:tcW w:w="197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 w:hAnsi="仿宋" w:eastAsia="仿宋"/>
                <w:sz w:val="24"/>
              </w:rPr>
            </w:pPr>
            <w:r>
              <w:rPr>
                <w:rFonts w:hint="eastAsia" w:ascii="仿宋" w:hAnsi="仿宋" w:eastAsia="仿宋"/>
                <w:sz w:val="24"/>
              </w:rPr>
              <w:t>合同金额</w:t>
            </w:r>
          </w:p>
          <w:p>
            <w:pPr>
              <w:snapToGrid w:val="0"/>
              <w:spacing w:line="240" w:lineRule="exact"/>
              <w:jc w:val="center"/>
              <w:rPr>
                <w:rFonts w:ascii="仿宋" w:hAnsi="仿宋" w:eastAsia="仿宋"/>
                <w:sz w:val="24"/>
              </w:rPr>
            </w:pPr>
            <w:r>
              <w:rPr>
                <w:rFonts w:hint="eastAsia" w:ascii="仿宋" w:hAnsi="仿宋" w:eastAsia="仿宋"/>
                <w:sz w:val="24"/>
              </w:rPr>
              <w:t>（万元）</w:t>
            </w:r>
          </w:p>
        </w:tc>
        <w:tc>
          <w:tcPr>
            <w:tcW w:w="318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仿宋" w:hAnsi="仿宋" w:eastAsia="仿宋"/>
                <w:sz w:val="24"/>
              </w:rPr>
            </w:pPr>
            <w:r>
              <w:rPr>
                <w:rFonts w:hint="eastAsia" w:ascii="仿宋" w:hAnsi="仿宋" w:eastAsia="仿宋"/>
                <w:sz w:val="24"/>
              </w:rPr>
              <w:t>采购人联系人及</w:t>
            </w:r>
          </w:p>
          <w:p>
            <w:pPr>
              <w:snapToGrid w:val="0"/>
              <w:spacing w:line="240" w:lineRule="exact"/>
              <w:jc w:val="center"/>
              <w:rPr>
                <w:rFonts w:ascii="仿宋" w:hAnsi="仿宋" w:eastAsia="仿宋"/>
                <w:sz w:val="24"/>
              </w:rPr>
            </w:pPr>
            <w:r>
              <w:rPr>
                <w:rFonts w:hint="eastAsia" w:ascii="仿宋" w:hAnsi="仿宋" w:eastAsia="仿宋"/>
                <w:sz w:val="24"/>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36" w:hRule="atLeast"/>
          <w:jc w:val="center"/>
        </w:trPr>
        <w:tc>
          <w:tcPr>
            <w:tcW w:w="237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rPr>
            </w:pPr>
          </w:p>
        </w:tc>
        <w:tc>
          <w:tcPr>
            <w:tcW w:w="197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rPr>
            </w:pPr>
          </w:p>
        </w:tc>
        <w:tc>
          <w:tcPr>
            <w:tcW w:w="197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rPr>
            </w:pPr>
          </w:p>
        </w:tc>
        <w:tc>
          <w:tcPr>
            <w:tcW w:w="3181"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jc w:val="center"/>
        </w:trPr>
        <w:tc>
          <w:tcPr>
            <w:tcW w:w="2377"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仿宋" w:hAnsi="仿宋" w:eastAsia="仿宋"/>
                <w:sz w:val="24"/>
              </w:rPr>
            </w:pPr>
          </w:p>
        </w:tc>
        <w:tc>
          <w:tcPr>
            <w:tcW w:w="1972"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仿宋" w:hAnsi="仿宋" w:eastAsia="仿宋"/>
                <w:sz w:val="24"/>
              </w:rPr>
            </w:pPr>
          </w:p>
        </w:tc>
        <w:tc>
          <w:tcPr>
            <w:tcW w:w="1972"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仿宋" w:hAnsi="仿宋" w:eastAsia="仿宋"/>
                <w:sz w:val="24"/>
              </w:rPr>
            </w:pPr>
          </w:p>
        </w:tc>
        <w:tc>
          <w:tcPr>
            <w:tcW w:w="3181"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23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sz w:val="24"/>
              </w:rPr>
            </w:pPr>
          </w:p>
        </w:tc>
        <w:tc>
          <w:tcPr>
            <w:tcW w:w="197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sz w:val="24"/>
              </w:rPr>
            </w:pPr>
          </w:p>
        </w:tc>
        <w:tc>
          <w:tcPr>
            <w:tcW w:w="197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sz w:val="24"/>
              </w:rPr>
            </w:pPr>
          </w:p>
        </w:tc>
        <w:tc>
          <w:tcPr>
            <w:tcW w:w="31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0" w:hRule="atLeast"/>
          <w:jc w:val="center"/>
        </w:trPr>
        <w:tc>
          <w:tcPr>
            <w:tcW w:w="23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sz w:val="24"/>
              </w:rPr>
            </w:pPr>
          </w:p>
        </w:tc>
        <w:tc>
          <w:tcPr>
            <w:tcW w:w="197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sz w:val="24"/>
              </w:rPr>
            </w:pPr>
          </w:p>
        </w:tc>
        <w:tc>
          <w:tcPr>
            <w:tcW w:w="197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sz w:val="24"/>
              </w:rPr>
            </w:pPr>
          </w:p>
        </w:tc>
        <w:tc>
          <w:tcPr>
            <w:tcW w:w="31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23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sz w:val="24"/>
              </w:rPr>
            </w:pPr>
          </w:p>
        </w:tc>
        <w:tc>
          <w:tcPr>
            <w:tcW w:w="197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sz w:val="24"/>
              </w:rPr>
            </w:pPr>
          </w:p>
        </w:tc>
        <w:tc>
          <w:tcPr>
            <w:tcW w:w="197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sz w:val="24"/>
              </w:rPr>
            </w:pPr>
          </w:p>
        </w:tc>
        <w:tc>
          <w:tcPr>
            <w:tcW w:w="31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237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sz w:val="24"/>
              </w:rPr>
            </w:pPr>
          </w:p>
        </w:tc>
        <w:tc>
          <w:tcPr>
            <w:tcW w:w="197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sz w:val="24"/>
              </w:rPr>
            </w:pPr>
          </w:p>
        </w:tc>
        <w:tc>
          <w:tcPr>
            <w:tcW w:w="197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sz w:val="24"/>
              </w:rPr>
            </w:pPr>
          </w:p>
        </w:tc>
        <w:tc>
          <w:tcPr>
            <w:tcW w:w="318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仿宋" w:hAnsi="仿宋" w:eastAsia="仿宋"/>
                <w:sz w:val="24"/>
              </w:rPr>
            </w:pPr>
          </w:p>
        </w:tc>
      </w:tr>
    </w:tbl>
    <w:p>
      <w:pPr>
        <w:pStyle w:val="19"/>
        <w:spacing w:before="0" w:after="0" w:line="360" w:lineRule="auto"/>
        <w:contextualSpacing/>
        <w:rPr>
          <w:rFonts w:ascii="仿宋" w:hAnsi="仿宋" w:eastAsia="仿宋"/>
          <w:sz w:val="24"/>
          <w:szCs w:val="24"/>
        </w:rPr>
      </w:pPr>
    </w:p>
    <w:p>
      <w:pPr>
        <w:pStyle w:val="19"/>
        <w:spacing w:before="0" w:after="0" w:line="360" w:lineRule="auto"/>
        <w:contextualSpacing/>
        <w:rPr>
          <w:rFonts w:ascii="仿宋" w:hAnsi="仿宋" w:eastAsia="仿宋"/>
          <w:sz w:val="24"/>
          <w:szCs w:val="24"/>
        </w:rPr>
      </w:pPr>
      <w:r>
        <w:rPr>
          <w:rFonts w:hint="eastAsia" w:ascii="仿宋" w:hAnsi="仿宋" w:eastAsia="仿宋"/>
          <w:sz w:val="24"/>
          <w:szCs w:val="24"/>
        </w:rPr>
        <w:t>注：</w:t>
      </w:r>
      <w:r>
        <w:rPr>
          <w:rFonts w:hint="eastAsia" w:ascii="仿宋" w:hAnsi="仿宋" w:eastAsia="仿宋"/>
          <w:sz w:val="24"/>
        </w:rPr>
        <w:t>投标人根据评标标准具体要求附业绩证明材料。</w:t>
      </w:r>
    </w:p>
    <w:p>
      <w:pPr>
        <w:pStyle w:val="19"/>
        <w:spacing w:before="0" w:after="0" w:line="360" w:lineRule="auto"/>
        <w:contextualSpacing/>
        <w:jc w:val="left"/>
        <w:rPr>
          <w:rFonts w:ascii="仿宋" w:hAnsi="仿宋" w:eastAsia="仿宋"/>
          <w:sz w:val="24"/>
          <w:szCs w:val="24"/>
        </w:rPr>
      </w:pPr>
    </w:p>
    <w:p>
      <w:pPr>
        <w:pStyle w:val="19"/>
        <w:spacing w:before="0" w:after="0" w:line="360" w:lineRule="auto"/>
        <w:contextualSpacing/>
        <w:jc w:val="left"/>
        <w:rPr>
          <w:rFonts w:ascii="仿宋" w:hAnsi="仿宋" w:eastAsia="仿宋"/>
          <w:sz w:val="24"/>
          <w:szCs w:val="24"/>
          <w:u w:val="single"/>
        </w:rPr>
      </w:pPr>
      <w:r>
        <w:rPr>
          <w:rFonts w:hint="eastAsia" w:ascii="仿宋" w:hAnsi="仿宋" w:eastAsia="仿宋"/>
          <w:sz w:val="24"/>
          <w:szCs w:val="24"/>
        </w:rPr>
        <w:t>法定代表人或者委托代理人（签字）：</w:t>
      </w:r>
      <w:r>
        <w:rPr>
          <w:rFonts w:hint="eastAsia" w:ascii="仿宋" w:hAnsi="仿宋" w:eastAsia="仿宋"/>
          <w:sz w:val="24"/>
          <w:szCs w:val="24"/>
          <w:u w:val="single"/>
        </w:rPr>
        <w:t>　　　　　</w:t>
      </w:r>
    </w:p>
    <w:p>
      <w:pPr>
        <w:spacing w:line="360" w:lineRule="auto"/>
        <w:ind w:left="600" w:right="480" w:hanging="600" w:hangingChars="250"/>
        <w:contextualSpacing/>
        <w:jc w:val="left"/>
        <w:rPr>
          <w:rFonts w:ascii="仿宋" w:hAnsi="仿宋" w:eastAsia="仿宋"/>
          <w:sz w:val="24"/>
          <w:szCs w:val="20"/>
        </w:rPr>
      </w:pPr>
      <w:r>
        <w:rPr>
          <w:rFonts w:hint="eastAsia" w:ascii="仿宋" w:hAnsi="仿宋" w:eastAsia="仿宋" w:cs="Arial"/>
          <w:sz w:val="24"/>
        </w:rPr>
        <w:t>投标人（盖公章）：</w:t>
      </w:r>
      <w:r>
        <w:rPr>
          <w:rFonts w:hint="eastAsia" w:ascii="仿宋" w:hAnsi="仿宋" w:eastAsia="仿宋"/>
          <w:sz w:val="24"/>
        </w:rPr>
        <w:t xml:space="preserve">                                                        年    月    日</w:t>
      </w:r>
    </w:p>
    <w:p>
      <w:pPr>
        <w:snapToGrid w:val="0"/>
        <w:spacing w:before="50"/>
        <w:ind w:firstLine="480" w:firstLineChars="200"/>
        <w:jc w:val="left"/>
        <w:rPr>
          <w:rFonts w:ascii="仿宋" w:hAnsi="仿宋" w:eastAsia="仿宋"/>
          <w:sz w:val="24"/>
          <w:szCs w:val="20"/>
        </w:rPr>
      </w:pPr>
    </w:p>
    <w:p>
      <w:pPr>
        <w:snapToGrid w:val="0"/>
        <w:spacing w:before="50"/>
        <w:jc w:val="left"/>
        <w:rPr>
          <w:rFonts w:ascii="仿宋" w:hAnsi="仿宋" w:eastAsia="仿宋"/>
          <w:sz w:val="24"/>
        </w:rPr>
      </w:pPr>
    </w:p>
    <w:p>
      <w:pPr>
        <w:snapToGrid w:val="0"/>
        <w:spacing w:before="120" w:beforeLines="50"/>
        <w:rPr>
          <w:rFonts w:ascii="仿宋" w:hAnsi="仿宋" w:eastAsia="仿宋"/>
          <w:sz w:val="24"/>
          <w:szCs w:val="20"/>
        </w:rPr>
        <w:sectPr>
          <w:pgSz w:w="11906" w:h="16838"/>
          <w:pgMar w:top="907" w:right="851" w:bottom="907" w:left="851" w:header="851" w:footer="567" w:gutter="0"/>
          <w:pgNumType w:fmt="numberInDash"/>
          <w:cols w:space="720" w:num="1"/>
          <w:docGrid w:linePitch="312" w:charSpace="0"/>
        </w:sectPr>
      </w:pPr>
    </w:p>
    <w:p>
      <w:pPr>
        <w:rPr>
          <w:rFonts w:ascii="仿宋" w:hAnsi="仿宋" w:eastAsia="仿宋"/>
          <w:b/>
          <w:sz w:val="28"/>
          <w:szCs w:val="28"/>
        </w:rPr>
      </w:pPr>
      <w:r>
        <w:rPr>
          <w:rFonts w:hint="eastAsia" w:ascii="仿宋" w:hAnsi="仿宋" w:eastAsia="仿宋"/>
          <w:b/>
          <w:sz w:val="28"/>
          <w:szCs w:val="28"/>
        </w:rPr>
        <w:t>四、技术文件格式</w:t>
      </w:r>
    </w:p>
    <w:p>
      <w:pPr>
        <w:snapToGrid w:val="0"/>
        <w:spacing w:before="120" w:beforeLines="50" w:after="50"/>
        <w:ind w:left="142"/>
        <w:jc w:val="left"/>
        <w:rPr>
          <w:rFonts w:ascii="仿宋" w:hAnsi="仿宋" w:eastAsia="仿宋"/>
          <w:b/>
          <w:sz w:val="24"/>
        </w:rPr>
      </w:pPr>
      <w:r>
        <w:rPr>
          <w:rFonts w:hint="eastAsia" w:ascii="仿宋" w:hAnsi="仿宋" w:eastAsia="仿宋"/>
          <w:b/>
          <w:sz w:val="24"/>
        </w:rPr>
        <w:t xml:space="preserve">1. 技术文件封面格式： </w:t>
      </w:r>
    </w:p>
    <w:p>
      <w:pPr>
        <w:snapToGrid w:val="0"/>
        <w:spacing w:before="120" w:beforeLines="50" w:after="50"/>
        <w:rPr>
          <w:rFonts w:ascii="仿宋" w:hAnsi="仿宋" w:eastAsia="仿宋"/>
          <w:b/>
          <w:bCs/>
          <w:sz w:val="32"/>
          <w:szCs w:val="20"/>
        </w:rPr>
      </w:pPr>
    </w:p>
    <w:p>
      <w:pPr>
        <w:snapToGrid w:val="0"/>
        <w:spacing w:before="120" w:beforeLines="50" w:after="50"/>
        <w:rPr>
          <w:rFonts w:ascii="仿宋" w:hAnsi="仿宋" w:eastAsia="仿宋"/>
          <w:sz w:val="24"/>
          <w:szCs w:val="20"/>
        </w:rPr>
      </w:pPr>
    </w:p>
    <w:p>
      <w:pPr>
        <w:snapToGrid w:val="0"/>
        <w:spacing w:before="120" w:beforeLines="50" w:after="50"/>
        <w:rPr>
          <w:rFonts w:ascii="仿宋" w:hAnsi="仿宋" w:eastAsia="仿宋"/>
          <w:sz w:val="24"/>
          <w:szCs w:val="20"/>
        </w:rPr>
      </w:pPr>
    </w:p>
    <w:p>
      <w:pPr>
        <w:snapToGrid w:val="0"/>
        <w:spacing w:before="120" w:beforeLines="50" w:after="50"/>
        <w:jc w:val="center"/>
        <w:rPr>
          <w:rFonts w:ascii="仿宋" w:hAnsi="仿宋" w:eastAsia="仿宋" w:cs="方正小标宋简体"/>
          <w:sz w:val="84"/>
          <w:szCs w:val="84"/>
        </w:rPr>
      </w:pPr>
      <w:r>
        <w:rPr>
          <w:rFonts w:hint="eastAsia" w:ascii="仿宋" w:hAnsi="仿宋" w:eastAsia="仿宋" w:cs="方正小标宋简体"/>
          <w:sz w:val="84"/>
          <w:szCs w:val="84"/>
        </w:rPr>
        <w:t>投  标  文  件</w:t>
      </w:r>
    </w:p>
    <w:p>
      <w:pPr>
        <w:snapToGrid w:val="0"/>
        <w:spacing w:before="120" w:beforeLines="50" w:after="50"/>
        <w:rPr>
          <w:rFonts w:ascii="仿宋" w:hAnsi="仿宋" w:eastAsia="仿宋"/>
          <w:sz w:val="24"/>
          <w:szCs w:val="20"/>
        </w:rPr>
      </w:pPr>
    </w:p>
    <w:p>
      <w:pPr>
        <w:snapToGrid w:val="0"/>
        <w:spacing w:before="120" w:beforeLines="50" w:after="50"/>
        <w:rPr>
          <w:rFonts w:ascii="仿宋" w:hAnsi="仿宋" w:eastAsia="仿宋"/>
          <w:sz w:val="24"/>
          <w:szCs w:val="20"/>
        </w:rPr>
      </w:pPr>
    </w:p>
    <w:p>
      <w:pPr>
        <w:snapToGrid w:val="0"/>
        <w:spacing w:before="120" w:beforeLines="50" w:after="50"/>
        <w:jc w:val="center"/>
        <w:rPr>
          <w:rFonts w:ascii="仿宋" w:hAnsi="仿宋" w:eastAsia="仿宋"/>
          <w:b/>
          <w:bCs/>
          <w:sz w:val="32"/>
          <w:szCs w:val="32"/>
        </w:rPr>
      </w:pPr>
      <w:r>
        <w:rPr>
          <w:rFonts w:hint="eastAsia" w:ascii="仿宋" w:hAnsi="仿宋" w:eastAsia="仿宋"/>
          <w:b/>
          <w:bCs/>
          <w:sz w:val="32"/>
          <w:szCs w:val="32"/>
        </w:rPr>
        <w:t>技  术  文  件</w:t>
      </w:r>
    </w:p>
    <w:p>
      <w:pPr>
        <w:snapToGrid w:val="0"/>
        <w:spacing w:before="120" w:beforeLines="50" w:after="50"/>
        <w:rPr>
          <w:rFonts w:ascii="仿宋" w:hAnsi="仿宋" w:eastAsia="仿宋"/>
          <w:bCs/>
          <w:sz w:val="24"/>
          <w:szCs w:val="20"/>
        </w:rPr>
      </w:pPr>
    </w:p>
    <w:p>
      <w:pPr>
        <w:snapToGrid w:val="0"/>
        <w:spacing w:before="120" w:beforeLines="50" w:after="50"/>
        <w:rPr>
          <w:rFonts w:ascii="仿宋" w:hAnsi="仿宋" w:eastAsia="仿宋"/>
          <w:bCs/>
          <w:sz w:val="24"/>
          <w:szCs w:val="20"/>
        </w:rPr>
      </w:pPr>
    </w:p>
    <w:p>
      <w:pPr>
        <w:snapToGrid w:val="0"/>
        <w:spacing w:before="120" w:beforeLines="50" w:after="50" w:line="400" w:lineRule="exact"/>
        <w:ind w:firstLine="360" w:firstLineChars="150"/>
        <w:rPr>
          <w:rFonts w:ascii="仿宋" w:hAnsi="仿宋" w:eastAsia="仿宋"/>
          <w:bCs/>
          <w:sz w:val="24"/>
        </w:rPr>
      </w:pPr>
      <w:r>
        <w:rPr>
          <w:rFonts w:hint="eastAsia" w:ascii="仿宋" w:hAnsi="仿宋" w:eastAsia="仿宋"/>
          <w:bCs/>
          <w:sz w:val="24"/>
        </w:rPr>
        <w:t xml:space="preserve">项目名称： </w:t>
      </w:r>
    </w:p>
    <w:p>
      <w:pPr>
        <w:snapToGrid w:val="0"/>
        <w:spacing w:before="120" w:beforeLines="50" w:after="50" w:line="400" w:lineRule="exact"/>
        <w:ind w:firstLine="360" w:firstLineChars="150"/>
        <w:rPr>
          <w:rFonts w:ascii="仿宋" w:hAnsi="仿宋" w:eastAsia="仿宋"/>
          <w:bCs/>
          <w:sz w:val="24"/>
          <w:szCs w:val="20"/>
        </w:rPr>
      </w:pPr>
    </w:p>
    <w:p>
      <w:pPr>
        <w:snapToGrid w:val="0"/>
        <w:spacing w:before="120" w:beforeLines="50" w:after="50" w:line="400" w:lineRule="exact"/>
        <w:ind w:firstLine="360" w:firstLineChars="150"/>
        <w:rPr>
          <w:rFonts w:ascii="仿宋" w:hAnsi="仿宋" w:eastAsia="仿宋"/>
          <w:bCs/>
          <w:sz w:val="24"/>
        </w:rPr>
      </w:pPr>
      <w:r>
        <w:rPr>
          <w:rFonts w:hint="eastAsia" w:ascii="仿宋" w:hAnsi="仿宋" w:eastAsia="仿宋"/>
          <w:bCs/>
          <w:sz w:val="24"/>
        </w:rPr>
        <w:t xml:space="preserve">项目编号： </w:t>
      </w:r>
    </w:p>
    <w:p>
      <w:pPr>
        <w:snapToGrid w:val="0"/>
        <w:spacing w:before="120" w:beforeLines="50" w:after="50" w:line="400" w:lineRule="exact"/>
        <w:ind w:firstLine="360" w:firstLineChars="150"/>
        <w:rPr>
          <w:rFonts w:ascii="仿宋" w:hAnsi="仿宋" w:eastAsia="仿宋"/>
          <w:bCs/>
          <w:sz w:val="24"/>
        </w:rPr>
      </w:pPr>
    </w:p>
    <w:p>
      <w:pPr>
        <w:snapToGrid w:val="0"/>
        <w:spacing w:before="120" w:beforeLines="50" w:after="50" w:line="400" w:lineRule="exact"/>
        <w:ind w:firstLine="360" w:firstLineChars="150"/>
        <w:rPr>
          <w:rFonts w:ascii="仿宋" w:hAnsi="仿宋" w:eastAsia="仿宋"/>
          <w:bCs/>
          <w:sz w:val="24"/>
        </w:rPr>
      </w:pPr>
      <w:r>
        <w:rPr>
          <w:rFonts w:hint="eastAsia" w:ascii="仿宋" w:hAnsi="仿宋" w:eastAsia="仿宋"/>
          <w:bCs/>
          <w:sz w:val="24"/>
        </w:rPr>
        <w:t>所投标项：/</w:t>
      </w:r>
    </w:p>
    <w:p>
      <w:pPr>
        <w:snapToGrid w:val="0"/>
        <w:spacing w:before="120" w:beforeLines="50" w:after="50" w:line="400" w:lineRule="exact"/>
        <w:ind w:firstLine="360" w:firstLineChars="150"/>
        <w:rPr>
          <w:rFonts w:ascii="仿宋" w:hAnsi="仿宋" w:eastAsia="仿宋"/>
          <w:bCs/>
          <w:sz w:val="24"/>
        </w:rPr>
      </w:pPr>
    </w:p>
    <w:p>
      <w:pPr>
        <w:snapToGrid w:val="0"/>
        <w:spacing w:before="120" w:beforeLines="50" w:after="50" w:line="400" w:lineRule="exact"/>
        <w:ind w:firstLine="360" w:firstLineChars="150"/>
        <w:rPr>
          <w:rFonts w:ascii="仿宋" w:hAnsi="仿宋" w:eastAsia="仿宋"/>
          <w:bCs/>
          <w:sz w:val="24"/>
        </w:rPr>
      </w:pPr>
      <w:r>
        <w:rPr>
          <w:rFonts w:hint="eastAsia" w:ascii="仿宋" w:hAnsi="仿宋" w:eastAsia="仿宋"/>
          <w:bCs/>
          <w:sz w:val="24"/>
        </w:rPr>
        <w:t>投标人名称：</w:t>
      </w:r>
    </w:p>
    <w:p>
      <w:pPr>
        <w:snapToGrid w:val="0"/>
        <w:spacing w:before="120" w:beforeLines="50" w:after="50" w:line="400" w:lineRule="exact"/>
        <w:ind w:firstLine="360" w:firstLineChars="150"/>
        <w:rPr>
          <w:rFonts w:ascii="仿宋" w:hAnsi="仿宋" w:eastAsia="仿宋"/>
          <w:bCs/>
          <w:sz w:val="24"/>
        </w:rPr>
      </w:pPr>
    </w:p>
    <w:p>
      <w:pPr>
        <w:snapToGrid w:val="0"/>
        <w:spacing w:before="120" w:beforeLines="50" w:after="50" w:line="400" w:lineRule="exact"/>
        <w:rPr>
          <w:rFonts w:ascii="仿宋" w:hAnsi="仿宋" w:eastAsia="仿宋"/>
          <w:bCs/>
          <w:sz w:val="24"/>
        </w:rPr>
      </w:pPr>
    </w:p>
    <w:p>
      <w:pPr>
        <w:snapToGrid w:val="0"/>
        <w:spacing w:before="120" w:beforeLines="50" w:after="50"/>
        <w:ind w:firstLine="645"/>
        <w:jc w:val="center"/>
        <w:rPr>
          <w:rFonts w:ascii="仿宋" w:hAnsi="仿宋" w:eastAsia="仿宋"/>
          <w:sz w:val="24"/>
        </w:rPr>
      </w:pPr>
    </w:p>
    <w:p>
      <w:pPr>
        <w:snapToGrid w:val="0"/>
        <w:spacing w:before="120" w:beforeLines="50" w:after="50"/>
        <w:ind w:firstLine="645"/>
        <w:jc w:val="center"/>
        <w:rPr>
          <w:rFonts w:ascii="仿宋" w:hAnsi="仿宋" w:eastAsia="仿宋"/>
          <w:sz w:val="24"/>
        </w:rPr>
      </w:pPr>
    </w:p>
    <w:p>
      <w:pPr>
        <w:snapToGrid w:val="0"/>
        <w:spacing w:before="120" w:beforeLines="50" w:after="50"/>
        <w:ind w:firstLine="645"/>
        <w:jc w:val="center"/>
        <w:rPr>
          <w:rFonts w:ascii="仿宋" w:hAnsi="仿宋" w:eastAsia="仿宋"/>
          <w:sz w:val="24"/>
        </w:rPr>
      </w:pPr>
      <w:r>
        <w:rPr>
          <w:rFonts w:hint="eastAsia" w:ascii="仿宋" w:hAnsi="仿宋" w:eastAsia="仿宋"/>
          <w:sz w:val="24"/>
        </w:rPr>
        <w:t>年    月    日</w:t>
      </w:r>
    </w:p>
    <w:p>
      <w:pPr>
        <w:snapToGrid w:val="0"/>
        <w:spacing w:before="120" w:beforeLines="50" w:after="50"/>
        <w:ind w:firstLine="645"/>
        <w:jc w:val="center"/>
        <w:rPr>
          <w:rFonts w:ascii="仿宋" w:hAnsi="仿宋" w:eastAsia="仿宋"/>
          <w:sz w:val="24"/>
          <w:szCs w:val="20"/>
        </w:rPr>
      </w:pPr>
    </w:p>
    <w:p>
      <w:pPr>
        <w:snapToGrid w:val="0"/>
        <w:spacing w:before="120" w:beforeLines="50" w:after="50"/>
        <w:jc w:val="left"/>
        <w:rPr>
          <w:rFonts w:ascii="仿宋" w:hAnsi="仿宋" w:eastAsia="仿宋"/>
          <w:b/>
          <w:bCs/>
          <w:sz w:val="24"/>
        </w:rPr>
      </w:pPr>
      <w:r>
        <w:rPr>
          <w:rFonts w:ascii="仿宋" w:hAnsi="仿宋" w:eastAsia="仿宋"/>
          <w:b/>
          <w:bCs/>
          <w:sz w:val="24"/>
        </w:rPr>
        <w:br w:type="page"/>
      </w:r>
      <w:r>
        <w:rPr>
          <w:rFonts w:hint="eastAsia" w:ascii="仿宋" w:hAnsi="仿宋" w:eastAsia="仿宋"/>
          <w:b/>
          <w:bCs/>
          <w:sz w:val="24"/>
        </w:rPr>
        <w:t>2.技术文件目录</w:t>
      </w:r>
    </w:p>
    <w:p>
      <w:pPr>
        <w:snapToGrid w:val="0"/>
        <w:spacing w:before="50" w:after="120" w:afterLines="50" w:line="360" w:lineRule="auto"/>
        <w:jc w:val="left"/>
        <w:rPr>
          <w:rFonts w:ascii="仿宋" w:hAnsi="仿宋" w:eastAsia="仿宋"/>
          <w:sz w:val="24"/>
        </w:rPr>
      </w:pPr>
      <w:r>
        <w:rPr>
          <w:rFonts w:hint="eastAsia" w:ascii="仿宋" w:hAnsi="仿宋" w:eastAsia="仿宋"/>
          <w:sz w:val="24"/>
        </w:rPr>
        <w:t>根据招标文件规定及投标人提供的材料自行编写目录。</w:t>
      </w:r>
    </w:p>
    <w:p>
      <w:pPr>
        <w:snapToGrid w:val="0"/>
        <w:spacing w:before="120" w:beforeLines="50" w:after="50"/>
        <w:ind w:left="142"/>
        <w:jc w:val="left"/>
        <w:rPr>
          <w:rFonts w:ascii="仿宋" w:hAnsi="仿宋" w:eastAsia="仿宋"/>
          <w:b/>
          <w:sz w:val="24"/>
        </w:rPr>
      </w:pPr>
      <w:r>
        <w:rPr>
          <w:rFonts w:ascii="仿宋" w:hAnsi="仿宋" w:eastAsia="仿宋"/>
          <w:b/>
          <w:sz w:val="24"/>
        </w:rPr>
        <w:br w:type="page"/>
      </w:r>
    </w:p>
    <w:p>
      <w:pPr>
        <w:snapToGrid w:val="0"/>
        <w:spacing w:before="50"/>
        <w:ind w:right="240"/>
        <w:jc w:val="left"/>
        <w:rPr>
          <w:rFonts w:ascii="仿宋" w:hAnsi="仿宋" w:eastAsia="仿宋"/>
          <w:b/>
          <w:sz w:val="28"/>
        </w:rPr>
      </w:pPr>
      <w:r>
        <w:rPr>
          <w:rFonts w:hint="eastAsia" w:ascii="仿宋" w:hAnsi="仿宋" w:eastAsia="仿宋"/>
          <w:b/>
          <w:sz w:val="24"/>
        </w:rPr>
        <w:t>3. 技术偏离表（格式）</w:t>
      </w:r>
    </w:p>
    <w:p>
      <w:pPr>
        <w:snapToGrid w:val="0"/>
        <w:spacing w:before="50"/>
        <w:ind w:right="240"/>
        <w:jc w:val="center"/>
        <w:rPr>
          <w:rFonts w:ascii="仿宋" w:hAnsi="仿宋" w:eastAsia="仿宋"/>
          <w:b/>
          <w:sz w:val="28"/>
        </w:rPr>
      </w:pPr>
      <w:r>
        <w:rPr>
          <w:rFonts w:hint="eastAsia" w:ascii="仿宋" w:hAnsi="仿宋" w:eastAsia="仿宋"/>
          <w:b/>
          <w:sz w:val="28"/>
        </w:rPr>
        <w:t>技术偏离表</w:t>
      </w:r>
    </w:p>
    <w:p>
      <w:pPr>
        <w:snapToGrid w:val="0"/>
        <w:spacing w:before="50"/>
        <w:ind w:right="240"/>
        <w:jc w:val="left"/>
        <w:rPr>
          <w:rFonts w:ascii="仿宋" w:hAnsi="仿宋" w:eastAsia="仿宋" w:cs="仿宋"/>
          <w:sz w:val="24"/>
          <w:u w:val="single"/>
        </w:rPr>
      </w:pPr>
      <w:r>
        <w:rPr>
          <w:rFonts w:hint="eastAsia" w:ascii="仿宋" w:hAnsi="仿宋" w:eastAsia="仿宋" w:cs="宋体"/>
          <w:sz w:val="24"/>
        </w:rPr>
        <w:t>项目</w:t>
      </w:r>
      <w:r>
        <w:rPr>
          <w:rFonts w:ascii="仿宋" w:hAnsi="仿宋" w:eastAsia="仿宋" w:cs="宋体"/>
          <w:sz w:val="24"/>
        </w:rPr>
        <w:t>名称：</w:t>
      </w:r>
      <w:r>
        <w:rPr>
          <w:rFonts w:hint="eastAsia" w:ascii="仿宋" w:hAnsi="仿宋" w:eastAsia="仿宋" w:cs="宋体"/>
          <w:sz w:val="24"/>
        </w:rPr>
        <w:t xml:space="preserve"> </w:t>
      </w:r>
    </w:p>
    <w:tbl>
      <w:tblPr>
        <w:tblStyle w:val="54"/>
        <w:tblW w:w="882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445"/>
        <w:gridCol w:w="4555"/>
        <w:gridCol w:w="10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s="仿宋"/>
                <w:sz w:val="24"/>
              </w:rPr>
            </w:pPr>
            <w:r>
              <w:rPr>
                <w:rFonts w:hint="eastAsia" w:ascii="仿宋" w:hAnsi="仿宋" w:eastAsia="仿宋" w:cs="仿宋"/>
                <w:sz w:val="24"/>
              </w:rPr>
              <w:t>序号</w:t>
            </w:r>
          </w:p>
        </w:tc>
        <w:tc>
          <w:tcPr>
            <w:tcW w:w="244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s="仿宋"/>
                <w:sz w:val="24"/>
              </w:rPr>
            </w:pPr>
            <w:r>
              <w:rPr>
                <w:rFonts w:hint="eastAsia" w:ascii="仿宋" w:hAnsi="仿宋" w:eastAsia="仿宋" w:cs="仿宋"/>
                <w:sz w:val="24"/>
              </w:rPr>
              <w:t>招标文件的技术要求（注明章节及条款号）</w:t>
            </w:r>
          </w:p>
        </w:tc>
        <w:tc>
          <w:tcPr>
            <w:tcW w:w="455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s="仿宋"/>
                <w:sz w:val="24"/>
              </w:rPr>
            </w:pPr>
            <w:r>
              <w:rPr>
                <w:rFonts w:hint="eastAsia" w:ascii="仿宋" w:hAnsi="仿宋" w:eastAsia="仿宋" w:cs="仿宋"/>
                <w:sz w:val="24"/>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s="仿宋"/>
                <w:sz w:val="24"/>
              </w:rPr>
            </w:pPr>
            <w:r>
              <w:rPr>
                <w:rFonts w:hint="eastAsia" w:ascii="仿宋" w:hAnsi="仿宋" w:eastAsia="仿宋" w:cs="仿宋"/>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s="仿宋"/>
                <w:sz w:val="24"/>
              </w:rPr>
            </w:pPr>
          </w:p>
        </w:tc>
        <w:tc>
          <w:tcPr>
            <w:tcW w:w="244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s="仿宋"/>
                <w:sz w:val="24"/>
              </w:rPr>
            </w:pPr>
          </w:p>
        </w:tc>
        <w:tc>
          <w:tcPr>
            <w:tcW w:w="455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s="仿宋"/>
                <w:sz w:val="24"/>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s="仿宋"/>
                <w:sz w:val="24"/>
              </w:rPr>
            </w:pP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4"/>
              </w:rPr>
            </w:pPr>
          </w:p>
        </w:tc>
        <w:tc>
          <w:tcPr>
            <w:tcW w:w="455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s="仿宋"/>
                <w:sz w:val="24"/>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s="仿宋"/>
                <w:sz w:val="24"/>
              </w:rPr>
            </w:pPr>
          </w:p>
        </w:tc>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4"/>
              </w:rPr>
            </w:pPr>
            <w:r>
              <w:rPr>
                <w:rFonts w:hint="eastAsia" w:ascii="仿宋" w:hAnsi="仿宋" w:eastAsia="仿宋" w:cs="仿宋"/>
                <w:sz w:val="24"/>
              </w:rPr>
              <w:t>……</w:t>
            </w:r>
          </w:p>
        </w:tc>
        <w:tc>
          <w:tcPr>
            <w:tcW w:w="455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s="仿宋"/>
                <w:sz w:val="24"/>
              </w:rPr>
            </w:pPr>
          </w:p>
        </w:tc>
        <w:tc>
          <w:tcPr>
            <w:tcW w:w="1082"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 w:hAnsi="仿宋" w:eastAsia="仿宋" w:cs="仿宋"/>
                <w:sz w:val="24"/>
              </w:rPr>
            </w:pPr>
          </w:p>
        </w:tc>
      </w:tr>
    </w:tbl>
    <w:p>
      <w:pPr>
        <w:pStyle w:val="28"/>
        <w:tabs>
          <w:tab w:val="left" w:pos="2127"/>
        </w:tabs>
        <w:spacing w:line="340" w:lineRule="exact"/>
        <w:ind w:firstLine="480" w:firstLineChars="200"/>
        <w:jc w:val="left"/>
        <w:rPr>
          <w:rFonts w:ascii="仿宋" w:hAnsi="仿宋" w:eastAsia="仿宋" w:cs="仿宋"/>
          <w:sz w:val="24"/>
          <w:szCs w:val="24"/>
        </w:rPr>
      </w:pPr>
    </w:p>
    <w:p>
      <w:pPr>
        <w:pStyle w:val="28"/>
        <w:tabs>
          <w:tab w:val="left" w:pos="2127"/>
        </w:tabs>
        <w:spacing w:line="3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注：</w:t>
      </w:r>
    </w:p>
    <w:p>
      <w:pPr>
        <w:pStyle w:val="28"/>
        <w:tabs>
          <w:tab w:val="left" w:pos="2127"/>
        </w:tabs>
        <w:spacing w:line="3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 说明：应对照招标“第三章 采购需求”中的项目要求及技术需求逐条作出明确响应，并作出偏离说明。</w:t>
      </w:r>
    </w:p>
    <w:p>
      <w:pPr>
        <w:pStyle w:val="28"/>
        <w:tabs>
          <w:tab w:val="left" w:pos="2127"/>
        </w:tabs>
        <w:spacing w:line="3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2.供应商应根据自身的承诺，对照招标文件要求，在“偏离说明”中注明“正偏离”、“负偏离”或者“无偏离”。既不属于“正偏离”也不属于“负偏离”即为“无偏离”。</w:t>
      </w:r>
    </w:p>
    <w:p>
      <w:pPr>
        <w:pStyle w:val="21"/>
        <w:rPr>
          <w:rFonts w:ascii="仿宋" w:hAnsi="仿宋" w:eastAsia="仿宋"/>
          <w:b w:val="0"/>
          <w:bCs w:val="0"/>
        </w:rPr>
      </w:pPr>
    </w:p>
    <w:p>
      <w:pPr>
        <w:snapToGrid w:val="0"/>
        <w:spacing w:before="50" w:after="50"/>
        <w:rPr>
          <w:rFonts w:ascii="仿宋" w:hAnsi="仿宋" w:eastAsia="仿宋"/>
          <w:sz w:val="24"/>
        </w:rPr>
      </w:pPr>
    </w:p>
    <w:p>
      <w:pPr>
        <w:snapToGrid w:val="0"/>
        <w:spacing w:before="50" w:after="50"/>
        <w:rPr>
          <w:rFonts w:ascii="仿宋" w:hAnsi="仿宋" w:eastAsia="仿宋"/>
          <w:spacing w:val="20"/>
          <w:sz w:val="24"/>
          <w:u w:val="single"/>
        </w:rPr>
      </w:pPr>
      <w:r>
        <w:rPr>
          <w:rFonts w:hint="eastAsia" w:ascii="仿宋" w:hAnsi="仿宋" w:eastAsia="仿宋"/>
          <w:sz w:val="24"/>
        </w:rPr>
        <w:t>法定代表人或者委托代理人</w:t>
      </w:r>
      <w:r>
        <w:rPr>
          <w:rFonts w:hint="eastAsia" w:ascii="仿宋" w:hAnsi="仿宋" w:eastAsia="仿宋"/>
          <w:spacing w:val="20"/>
          <w:sz w:val="24"/>
        </w:rPr>
        <w:t>（签字）：</w:t>
      </w:r>
    </w:p>
    <w:p>
      <w:pPr>
        <w:snapToGrid w:val="0"/>
        <w:spacing w:before="120" w:beforeLines="50"/>
        <w:rPr>
          <w:rFonts w:ascii="仿宋" w:hAnsi="仿宋" w:eastAsia="仿宋"/>
          <w:sz w:val="24"/>
        </w:rPr>
      </w:pPr>
      <w:r>
        <w:rPr>
          <w:rFonts w:hint="eastAsia" w:ascii="仿宋" w:hAnsi="仿宋" w:eastAsia="仿宋"/>
          <w:sz w:val="24"/>
        </w:rPr>
        <w:t>投标人盖公章：</w:t>
      </w:r>
    </w:p>
    <w:p>
      <w:pPr>
        <w:snapToGrid w:val="0"/>
        <w:spacing w:before="120" w:beforeLines="50"/>
        <w:rPr>
          <w:rFonts w:ascii="仿宋" w:hAnsi="仿宋" w:eastAsia="仿宋"/>
          <w:sz w:val="24"/>
          <w:szCs w:val="20"/>
        </w:rPr>
      </w:pPr>
      <w:r>
        <w:rPr>
          <w:rFonts w:hint="eastAsia" w:ascii="仿宋" w:hAnsi="仿宋" w:eastAsia="仿宋"/>
          <w:spacing w:val="20"/>
          <w:sz w:val="24"/>
        </w:rPr>
        <w:t>日  期：</w:t>
      </w:r>
    </w:p>
    <w:p>
      <w:pPr>
        <w:snapToGrid w:val="0"/>
        <w:spacing w:before="120" w:beforeLines="50" w:after="50"/>
        <w:ind w:left="142"/>
        <w:jc w:val="left"/>
        <w:rPr>
          <w:rFonts w:ascii="仿宋" w:hAnsi="仿宋" w:eastAsia="仿宋"/>
          <w:b/>
          <w:sz w:val="24"/>
        </w:rPr>
      </w:pPr>
    </w:p>
    <w:p>
      <w:pPr>
        <w:snapToGrid w:val="0"/>
        <w:spacing w:before="120" w:beforeLines="50" w:after="50"/>
        <w:ind w:left="142"/>
        <w:jc w:val="left"/>
        <w:rPr>
          <w:rFonts w:ascii="仿宋" w:hAnsi="仿宋" w:eastAsia="仿宋"/>
          <w:b/>
          <w:sz w:val="24"/>
        </w:rPr>
      </w:pPr>
      <w:r>
        <w:rPr>
          <w:rFonts w:hint="eastAsia" w:ascii="仿宋" w:hAnsi="仿宋" w:eastAsia="仿宋"/>
          <w:b/>
          <w:sz w:val="24"/>
        </w:rPr>
        <w:br w:type="page"/>
      </w:r>
    </w:p>
    <w:p>
      <w:pPr>
        <w:snapToGrid w:val="0"/>
        <w:spacing w:before="120" w:beforeLines="50" w:after="50"/>
        <w:ind w:left="142"/>
        <w:jc w:val="left"/>
        <w:rPr>
          <w:rFonts w:ascii="仿宋" w:hAnsi="仿宋" w:eastAsia="仿宋"/>
          <w:b/>
          <w:sz w:val="24"/>
        </w:rPr>
      </w:pPr>
      <w:r>
        <w:rPr>
          <w:rFonts w:hint="eastAsia" w:ascii="仿宋" w:hAnsi="仿宋" w:eastAsia="仿宋"/>
          <w:b/>
          <w:sz w:val="24"/>
        </w:rPr>
        <w:t>4.项目实施人员一览表格式</w:t>
      </w:r>
    </w:p>
    <w:p>
      <w:pPr>
        <w:snapToGrid w:val="0"/>
        <w:spacing w:before="120" w:beforeLines="50" w:after="50"/>
        <w:ind w:left="142"/>
        <w:jc w:val="center"/>
        <w:rPr>
          <w:rFonts w:ascii="仿宋" w:hAnsi="仿宋" w:eastAsia="仿宋"/>
          <w:b/>
          <w:sz w:val="32"/>
          <w:szCs w:val="32"/>
        </w:rPr>
      </w:pPr>
    </w:p>
    <w:p>
      <w:pPr>
        <w:snapToGrid w:val="0"/>
        <w:spacing w:before="120" w:beforeLines="50" w:after="50"/>
        <w:ind w:left="142"/>
        <w:jc w:val="center"/>
        <w:rPr>
          <w:rFonts w:ascii="仿宋" w:hAnsi="仿宋" w:eastAsia="仿宋"/>
          <w:b/>
          <w:sz w:val="32"/>
          <w:szCs w:val="32"/>
        </w:rPr>
      </w:pPr>
      <w:r>
        <w:rPr>
          <w:rFonts w:hint="eastAsia" w:ascii="仿宋" w:hAnsi="仿宋" w:eastAsia="仿宋"/>
          <w:b/>
          <w:sz w:val="32"/>
          <w:szCs w:val="32"/>
        </w:rPr>
        <w:t>项目实施人员一览表</w:t>
      </w:r>
    </w:p>
    <w:p>
      <w:pPr>
        <w:pStyle w:val="28"/>
        <w:wordWrap w:val="0"/>
        <w:ind w:right="480"/>
        <w:jc w:val="right"/>
        <w:rPr>
          <w:rFonts w:ascii="仿宋" w:hAnsi="仿宋" w:eastAsia="仿宋"/>
          <w:sz w:val="24"/>
          <w:szCs w:val="24"/>
        </w:rPr>
      </w:pPr>
      <w:r>
        <w:rPr>
          <w:rFonts w:hint="eastAsia" w:ascii="仿宋" w:hAnsi="仿宋" w:eastAsia="仿宋"/>
          <w:sz w:val="24"/>
          <w:szCs w:val="24"/>
        </w:rPr>
        <w:t>标项：</w:t>
      </w:r>
      <w:r>
        <w:rPr>
          <w:rFonts w:ascii="仿宋" w:hAnsi="仿宋" w:eastAsia="仿宋"/>
          <w:sz w:val="24"/>
          <w:szCs w:val="24"/>
          <w:u w:val="single"/>
        </w:rPr>
        <w:t xml:space="preserve">  /  </w:t>
      </w:r>
    </w:p>
    <w:tbl>
      <w:tblPr>
        <w:tblStyle w:val="54"/>
        <w:tblW w:w="980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20"/>
        <w:gridCol w:w="1723"/>
        <w:gridCol w:w="2267"/>
        <w:gridCol w:w="1776"/>
        <w:gridCol w:w="22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4" w:hRule="atLeast"/>
          <w:jc w:val="center"/>
        </w:trPr>
        <w:tc>
          <w:tcPr>
            <w:tcW w:w="182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rFonts w:ascii="仿宋" w:hAnsi="仿宋" w:eastAsia="仿宋" w:cs="宋体"/>
                <w:sz w:val="24"/>
              </w:rPr>
            </w:pPr>
            <w:r>
              <w:rPr>
                <w:rFonts w:hint="eastAsia" w:ascii="仿宋" w:hAnsi="仿宋" w:eastAsia="仿宋" w:cs="宋体"/>
                <w:sz w:val="24"/>
              </w:rPr>
              <w:t>姓名</w:t>
            </w:r>
          </w:p>
        </w:tc>
        <w:tc>
          <w:tcPr>
            <w:tcW w:w="172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rFonts w:ascii="仿宋" w:hAnsi="仿宋" w:eastAsia="仿宋" w:cs="宋体"/>
                <w:sz w:val="24"/>
              </w:rPr>
            </w:pPr>
            <w:r>
              <w:rPr>
                <w:rFonts w:hint="eastAsia" w:ascii="仿宋" w:hAnsi="仿宋" w:eastAsia="仿宋" w:cs="宋体"/>
                <w:sz w:val="24"/>
              </w:rPr>
              <w:t>职务</w:t>
            </w:r>
          </w:p>
        </w:tc>
        <w:tc>
          <w:tcPr>
            <w:tcW w:w="2267"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rFonts w:ascii="仿宋" w:hAnsi="仿宋" w:eastAsia="仿宋" w:cs="宋体"/>
                <w:sz w:val="24"/>
              </w:rPr>
            </w:pPr>
            <w:r>
              <w:rPr>
                <w:rFonts w:hint="eastAsia" w:ascii="仿宋" w:hAnsi="仿宋" w:eastAsia="仿宋" w:cs="宋体"/>
                <w:sz w:val="24"/>
              </w:rPr>
              <w:t>技术（技能）资格</w:t>
            </w:r>
          </w:p>
        </w:tc>
        <w:tc>
          <w:tcPr>
            <w:tcW w:w="177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rFonts w:ascii="仿宋" w:hAnsi="仿宋" w:eastAsia="仿宋" w:cs="宋体"/>
                <w:sz w:val="24"/>
              </w:rPr>
            </w:pPr>
            <w:r>
              <w:rPr>
                <w:rFonts w:hint="eastAsia" w:ascii="仿宋" w:hAnsi="仿宋" w:eastAsia="仿宋" w:cs="宋体"/>
                <w:sz w:val="24"/>
              </w:rPr>
              <w:t>证书编号</w:t>
            </w:r>
          </w:p>
        </w:tc>
        <w:tc>
          <w:tcPr>
            <w:tcW w:w="221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50"/>
              <w:jc w:val="center"/>
              <w:rPr>
                <w:rFonts w:ascii="仿宋" w:hAnsi="仿宋" w:eastAsia="仿宋" w:cs="宋体"/>
                <w:bCs/>
                <w:sz w:val="24"/>
              </w:rPr>
            </w:pPr>
            <w:r>
              <w:rPr>
                <w:rFonts w:hint="eastAsia" w:ascii="仿宋" w:hAnsi="仿宋" w:eastAsia="仿宋" w:cs="宋体"/>
                <w:bCs/>
                <w:sz w:val="24"/>
              </w:rPr>
              <w:t>拟在</w:t>
            </w:r>
            <w:r>
              <w:rPr>
                <w:rFonts w:ascii="仿宋" w:hAnsi="仿宋" w:eastAsia="仿宋" w:cs="宋体"/>
                <w:bCs/>
                <w:sz w:val="24"/>
              </w:rPr>
              <w:t>本项目中担任的职务（</w:t>
            </w:r>
            <w:r>
              <w:rPr>
                <w:rFonts w:hint="eastAsia" w:ascii="仿宋" w:hAnsi="仿宋" w:eastAsia="仿宋" w:cs="宋体"/>
                <w:bCs/>
                <w:sz w:val="24"/>
              </w:rPr>
              <w:t>或</w:t>
            </w:r>
            <w:r>
              <w:rPr>
                <w:rFonts w:ascii="仿宋" w:hAnsi="仿宋" w:eastAsia="仿宋" w:cs="宋体"/>
                <w:bCs/>
                <w:sz w:val="24"/>
              </w:rPr>
              <w:t>岗位）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jc w:val="center"/>
        </w:trPr>
        <w:tc>
          <w:tcPr>
            <w:tcW w:w="182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仿宋" w:hAnsi="仿宋" w:eastAsia="仿宋" w:cs="宋体"/>
                <w:sz w:val="24"/>
              </w:rPr>
            </w:pPr>
          </w:p>
        </w:tc>
        <w:tc>
          <w:tcPr>
            <w:tcW w:w="1723"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仿宋" w:hAnsi="仿宋" w:eastAsia="仿宋" w:cs="宋体"/>
                <w:sz w:val="24"/>
              </w:rPr>
            </w:pPr>
          </w:p>
        </w:tc>
        <w:tc>
          <w:tcPr>
            <w:tcW w:w="2267"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仿宋" w:hAnsi="仿宋" w:eastAsia="仿宋" w:cs="宋体"/>
                <w:sz w:val="24"/>
              </w:rPr>
            </w:pPr>
          </w:p>
        </w:tc>
        <w:tc>
          <w:tcPr>
            <w:tcW w:w="1776"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仿宋" w:hAnsi="仿宋" w:eastAsia="仿宋" w:cs="宋体"/>
                <w:sz w:val="24"/>
              </w:rPr>
            </w:pPr>
          </w:p>
        </w:tc>
        <w:tc>
          <w:tcPr>
            <w:tcW w:w="2216"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7" w:hRule="atLeast"/>
          <w:jc w:val="center"/>
        </w:trPr>
        <w:tc>
          <w:tcPr>
            <w:tcW w:w="182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仿宋" w:hAnsi="仿宋" w:eastAsia="仿宋" w:cs="宋体"/>
                <w:sz w:val="24"/>
              </w:rPr>
            </w:pPr>
          </w:p>
        </w:tc>
        <w:tc>
          <w:tcPr>
            <w:tcW w:w="1723"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仿宋" w:hAnsi="仿宋" w:eastAsia="仿宋" w:cs="宋体"/>
                <w:sz w:val="24"/>
              </w:rPr>
            </w:pPr>
          </w:p>
        </w:tc>
        <w:tc>
          <w:tcPr>
            <w:tcW w:w="2267"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仿宋" w:hAnsi="仿宋" w:eastAsia="仿宋" w:cs="宋体"/>
                <w:sz w:val="24"/>
              </w:rPr>
            </w:pPr>
          </w:p>
        </w:tc>
        <w:tc>
          <w:tcPr>
            <w:tcW w:w="1776"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仿宋" w:hAnsi="仿宋" w:eastAsia="仿宋" w:cs="宋体"/>
                <w:sz w:val="24"/>
              </w:rPr>
            </w:pPr>
          </w:p>
        </w:tc>
        <w:tc>
          <w:tcPr>
            <w:tcW w:w="2216"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jc w:val="center"/>
        </w:trPr>
        <w:tc>
          <w:tcPr>
            <w:tcW w:w="1820"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仿宋" w:hAnsi="仿宋" w:eastAsia="仿宋" w:cs="宋体"/>
                <w:sz w:val="24"/>
              </w:rPr>
            </w:pPr>
          </w:p>
        </w:tc>
        <w:tc>
          <w:tcPr>
            <w:tcW w:w="1723"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仿宋" w:hAnsi="仿宋" w:eastAsia="仿宋" w:cs="宋体"/>
                <w:sz w:val="24"/>
              </w:rPr>
            </w:pPr>
          </w:p>
        </w:tc>
        <w:tc>
          <w:tcPr>
            <w:tcW w:w="2267" w:type="dxa"/>
            <w:tcBorders>
              <w:top w:val="single" w:color="auto" w:sz="4" w:space="0"/>
              <w:left w:val="single" w:color="auto" w:sz="4" w:space="0"/>
              <w:bottom w:val="single" w:color="auto" w:sz="4" w:space="0"/>
              <w:right w:val="single" w:color="auto" w:sz="4" w:space="0"/>
            </w:tcBorders>
          </w:tcPr>
          <w:p>
            <w:pPr>
              <w:snapToGrid w:val="0"/>
              <w:spacing w:before="120" w:beforeLines="50" w:after="50"/>
              <w:ind w:left="5250" w:leftChars="2500"/>
              <w:rPr>
                <w:rFonts w:ascii="仿宋" w:hAnsi="仿宋" w:eastAsia="仿宋" w:cs="宋体"/>
                <w:sz w:val="24"/>
              </w:rPr>
            </w:pPr>
          </w:p>
        </w:tc>
        <w:tc>
          <w:tcPr>
            <w:tcW w:w="1776"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仿宋" w:hAnsi="仿宋" w:eastAsia="仿宋" w:cs="宋体"/>
                <w:sz w:val="24"/>
              </w:rPr>
            </w:pPr>
          </w:p>
        </w:tc>
        <w:tc>
          <w:tcPr>
            <w:tcW w:w="2216" w:type="dxa"/>
            <w:tcBorders>
              <w:top w:val="single" w:color="auto" w:sz="4" w:space="0"/>
              <w:left w:val="single" w:color="auto" w:sz="4" w:space="0"/>
              <w:bottom w:val="single" w:color="auto" w:sz="4" w:space="0"/>
              <w:right w:val="single" w:color="auto" w:sz="4" w:space="0"/>
            </w:tcBorders>
          </w:tcPr>
          <w:p>
            <w:pPr>
              <w:snapToGrid w:val="0"/>
              <w:spacing w:before="120" w:beforeLines="50" w:after="50"/>
              <w:rPr>
                <w:rFonts w:ascii="仿宋" w:hAnsi="仿宋" w:eastAsia="仿宋" w:cs="宋体"/>
                <w:sz w:val="24"/>
              </w:rPr>
            </w:pPr>
          </w:p>
        </w:tc>
      </w:tr>
    </w:tbl>
    <w:p>
      <w:pPr>
        <w:spacing w:line="360" w:lineRule="auto"/>
        <w:contextualSpacing/>
        <w:jc w:val="left"/>
        <w:rPr>
          <w:rFonts w:ascii="仿宋" w:hAnsi="仿宋" w:eastAsia="仿宋"/>
          <w:sz w:val="24"/>
          <w:szCs w:val="20"/>
        </w:rPr>
      </w:pPr>
      <w:r>
        <w:rPr>
          <w:rFonts w:hint="eastAsia" w:ascii="仿宋" w:hAnsi="仿宋" w:eastAsia="仿宋"/>
          <w:sz w:val="24"/>
          <w:szCs w:val="20"/>
        </w:rPr>
        <w:t>注：</w:t>
      </w:r>
    </w:p>
    <w:p>
      <w:pPr>
        <w:spacing w:line="360" w:lineRule="auto"/>
        <w:contextualSpacing/>
        <w:jc w:val="left"/>
        <w:rPr>
          <w:rFonts w:ascii="仿宋" w:hAnsi="仿宋" w:eastAsia="仿宋"/>
          <w:sz w:val="24"/>
          <w:szCs w:val="20"/>
        </w:rPr>
      </w:pPr>
      <w:r>
        <w:rPr>
          <w:rFonts w:hint="eastAsia" w:ascii="仿宋" w:hAnsi="仿宋" w:eastAsia="仿宋"/>
          <w:sz w:val="24"/>
          <w:szCs w:val="20"/>
        </w:rPr>
        <w:t>1</w:t>
      </w:r>
      <w:r>
        <w:rPr>
          <w:rFonts w:ascii="仿宋" w:hAnsi="仿宋" w:eastAsia="仿宋"/>
          <w:sz w:val="24"/>
          <w:szCs w:val="20"/>
        </w:rPr>
        <w:t>.</w:t>
      </w:r>
      <w:r>
        <w:rPr>
          <w:rFonts w:hint="eastAsia" w:ascii="仿宋" w:hAnsi="仿宋" w:eastAsia="仿宋"/>
          <w:sz w:val="24"/>
          <w:szCs w:val="20"/>
        </w:rPr>
        <w:t>在填写时，如本表格不适合投标单位的实际情况，可根据本表格式自行制表填写。</w:t>
      </w:r>
    </w:p>
    <w:p>
      <w:pPr>
        <w:spacing w:line="360" w:lineRule="auto"/>
        <w:contextualSpacing/>
        <w:jc w:val="left"/>
        <w:rPr>
          <w:rFonts w:ascii="仿宋" w:hAnsi="仿宋" w:eastAsia="仿宋"/>
          <w:sz w:val="24"/>
          <w:szCs w:val="20"/>
        </w:rPr>
      </w:pPr>
      <w:r>
        <w:rPr>
          <w:rFonts w:ascii="仿宋" w:hAnsi="仿宋" w:eastAsia="仿宋"/>
          <w:sz w:val="24"/>
          <w:szCs w:val="20"/>
        </w:rPr>
        <w:t>2.</w:t>
      </w:r>
      <w:r>
        <w:rPr>
          <w:rFonts w:hint="eastAsia" w:ascii="仿宋" w:hAnsi="仿宋" w:eastAsia="仿宋"/>
          <w:sz w:val="24"/>
          <w:szCs w:val="20"/>
        </w:rPr>
        <w:t>投标人应当附本表所列证书的复印件并加盖投标人公章。</w:t>
      </w:r>
    </w:p>
    <w:p>
      <w:pPr>
        <w:spacing w:line="360" w:lineRule="auto"/>
        <w:contextualSpacing/>
        <w:rPr>
          <w:rFonts w:ascii="仿宋" w:hAnsi="仿宋" w:eastAsia="仿宋"/>
          <w:sz w:val="24"/>
        </w:rPr>
      </w:pPr>
    </w:p>
    <w:p>
      <w:pPr>
        <w:spacing w:line="360" w:lineRule="auto"/>
        <w:contextualSpacing/>
        <w:rPr>
          <w:rFonts w:ascii="仿宋" w:hAnsi="仿宋" w:eastAsia="仿宋"/>
          <w:sz w:val="24"/>
        </w:rPr>
      </w:pPr>
    </w:p>
    <w:p>
      <w:pPr>
        <w:spacing w:line="360" w:lineRule="auto"/>
        <w:contextualSpacing/>
        <w:rPr>
          <w:rFonts w:ascii="仿宋" w:hAnsi="仿宋" w:eastAsia="仿宋"/>
          <w:spacing w:val="20"/>
          <w:sz w:val="24"/>
          <w:szCs w:val="20"/>
          <w:u w:val="single"/>
        </w:rPr>
      </w:pPr>
      <w:r>
        <w:rPr>
          <w:rFonts w:hint="eastAsia" w:ascii="仿宋" w:hAnsi="仿宋" w:eastAsia="仿宋"/>
          <w:sz w:val="24"/>
        </w:rPr>
        <w:t>法定代表人或者委托代理人</w:t>
      </w:r>
      <w:r>
        <w:rPr>
          <w:rFonts w:hint="eastAsia" w:ascii="仿宋" w:hAnsi="仿宋" w:eastAsia="仿宋"/>
          <w:spacing w:val="20"/>
          <w:sz w:val="24"/>
        </w:rPr>
        <w:t>（签字）：</w:t>
      </w:r>
    </w:p>
    <w:p>
      <w:pPr>
        <w:spacing w:line="360" w:lineRule="auto"/>
        <w:contextualSpacing/>
        <w:jc w:val="left"/>
        <w:rPr>
          <w:rFonts w:ascii="仿宋" w:hAnsi="仿宋" w:eastAsia="仿宋"/>
          <w:sz w:val="24"/>
        </w:rPr>
      </w:pPr>
      <w:r>
        <w:rPr>
          <w:rFonts w:hint="eastAsia" w:ascii="仿宋" w:hAnsi="仿宋" w:eastAsia="仿宋"/>
          <w:sz w:val="24"/>
        </w:rPr>
        <w:t>投标人（盖公章）：</w:t>
      </w:r>
    </w:p>
    <w:p>
      <w:pPr>
        <w:spacing w:line="360" w:lineRule="auto"/>
        <w:contextualSpacing/>
        <w:jc w:val="left"/>
        <w:rPr>
          <w:rFonts w:ascii="仿宋" w:hAnsi="仿宋" w:eastAsia="仿宋"/>
          <w:sz w:val="24"/>
          <w:szCs w:val="20"/>
        </w:rPr>
      </w:pPr>
      <w:r>
        <w:rPr>
          <w:rFonts w:hint="eastAsia" w:ascii="仿宋" w:hAnsi="仿宋" w:eastAsia="仿宋"/>
          <w:spacing w:val="20"/>
          <w:sz w:val="24"/>
        </w:rPr>
        <w:t>日 期：</w:t>
      </w:r>
    </w:p>
    <w:p>
      <w:pPr>
        <w:snapToGrid w:val="0"/>
        <w:spacing w:before="50" w:after="120" w:afterLines="50"/>
        <w:jc w:val="left"/>
        <w:rPr>
          <w:rFonts w:ascii="仿宋" w:hAnsi="仿宋" w:eastAsia="仿宋"/>
          <w:sz w:val="24"/>
          <w:szCs w:val="20"/>
        </w:rPr>
      </w:pPr>
    </w:p>
    <w:p>
      <w:pPr>
        <w:snapToGrid w:val="0"/>
        <w:spacing w:before="120" w:beforeLines="50" w:after="50"/>
        <w:ind w:left="142"/>
        <w:jc w:val="left"/>
        <w:rPr>
          <w:rFonts w:ascii="仿宋" w:hAnsi="仿宋" w:eastAsia="仿宋"/>
          <w:b/>
          <w:sz w:val="28"/>
          <w:szCs w:val="28"/>
        </w:rPr>
      </w:pPr>
      <w:r>
        <w:rPr>
          <w:rFonts w:ascii="仿宋" w:hAnsi="仿宋" w:eastAsia="仿宋"/>
          <w:b/>
          <w:sz w:val="24"/>
        </w:rPr>
        <w:br w:type="page"/>
      </w:r>
    </w:p>
    <w:p>
      <w:pPr>
        <w:rPr>
          <w:rFonts w:ascii="仿宋" w:hAnsi="仿宋" w:eastAsia="仿宋"/>
          <w:b/>
          <w:sz w:val="28"/>
          <w:szCs w:val="28"/>
        </w:rPr>
      </w:pPr>
      <w:r>
        <w:rPr>
          <w:rFonts w:hint="eastAsia" w:ascii="仿宋" w:hAnsi="仿宋" w:eastAsia="仿宋"/>
          <w:b/>
          <w:sz w:val="28"/>
          <w:szCs w:val="28"/>
        </w:rPr>
        <w:t>五、其他文书、文件格式</w:t>
      </w:r>
    </w:p>
    <w:p>
      <w:pPr>
        <w:snapToGrid w:val="0"/>
        <w:spacing w:before="120" w:beforeLines="50" w:after="50"/>
        <w:ind w:left="142"/>
        <w:jc w:val="left"/>
        <w:rPr>
          <w:rFonts w:ascii="仿宋" w:hAnsi="仿宋" w:eastAsia="仿宋"/>
          <w:b/>
          <w:spacing w:val="20"/>
          <w:sz w:val="24"/>
        </w:rPr>
      </w:pPr>
      <w:r>
        <w:rPr>
          <w:rFonts w:hint="eastAsia" w:ascii="仿宋" w:hAnsi="仿宋" w:eastAsia="仿宋"/>
          <w:b/>
          <w:spacing w:val="20"/>
          <w:sz w:val="24"/>
        </w:rPr>
        <w:t>1.联合投标协议书格式</w:t>
      </w:r>
    </w:p>
    <w:p>
      <w:pPr>
        <w:snapToGrid w:val="0"/>
        <w:spacing w:before="120" w:beforeLines="50" w:after="50"/>
        <w:ind w:left="142"/>
        <w:jc w:val="left"/>
        <w:rPr>
          <w:rFonts w:ascii="仿宋" w:hAnsi="仿宋" w:eastAsia="仿宋"/>
          <w:b/>
          <w:spacing w:val="20"/>
          <w:sz w:val="24"/>
        </w:rPr>
      </w:pPr>
    </w:p>
    <w:p>
      <w:pPr>
        <w:pStyle w:val="9"/>
        <w:overflowPunct w:val="0"/>
        <w:jc w:val="center"/>
        <w:rPr>
          <w:rFonts w:ascii="仿宋" w:hAnsi="仿宋" w:eastAsia="仿宋" w:cs="方正小标宋简体"/>
          <w:sz w:val="44"/>
          <w:szCs w:val="44"/>
        </w:rPr>
      </w:pPr>
      <w:r>
        <w:rPr>
          <w:rFonts w:hint="eastAsia" w:ascii="仿宋" w:hAnsi="仿宋" w:eastAsia="仿宋" w:cs="方正小标宋简体"/>
          <w:sz w:val="44"/>
          <w:szCs w:val="44"/>
        </w:rPr>
        <w:t>联合体协议书</w:t>
      </w:r>
    </w:p>
    <w:p>
      <w:pPr>
        <w:pStyle w:val="9"/>
        <w:overflowPunct w:val="0"/>
        <w:rPr>
          <w:rFonts w:ascii="仿宋" w:hAnsi="仿宋" w:eastAsia="仿宋"/>
          <w:sz w:val="24"/>
        </w:rPr>
      </w:pPr>
    </w:p>
    <w:p>
      <w:pPr>
        <w:pStyle w:val="9"/>
        <w:overflowPunct w:val="0"/>
        <w:spacing w:line="360" w:lineRule="auto"/>
        <w:contextualSpacing/>
        <w:rPr>
          <w:rFonts w:ascii="仿宋" w:hAnsi="仿宋" w:eastAsia="仿宋"/>
          <w:sz w:val="24"/>
        </w:rPr>
      </w:pPr>
      <w:r>
        <w:rPr>
          <w:rFonts w:ascii="仿宋" w:hAnsi="仿宋" w:eastAsia="仿宋"/>
          <w:sz w:val="24"/>
          <w:u w:val="single"/>
        </w:rPr>
        <w:tab/>
      </w:r>
      <w:r>
        <w:rPr>
          <w:rFonts w:hint="eastAsia" w:ascii="仿宋" w:hAnsi="仿宋" w:eastAsia="仿宋"/>
          <w:sz w:val="24"/>
        </w:rPr>
        <w:t>（所有成员单位名称）自愿组成</w:t>
      </w:r>
      <w:r>
        <w:rPr>
          <w:rFonts w:ascii="仿宋" w:hAnsi="仿宋" w:eastAsia="仿宋"/>
          <w:sz w:val="24"/>
          <w:u w:val="single"/>
        </w:rPr>
        <w:tab/>
      </w:r>
      <w:r>
        <w:rPr>
          <w:rFonts w:hint="eastAsia" w:ascii="仿宋" w:hAnsi="仿宋" w:eastAsia="仿宋"/>
          <w:sz w:val="24"/>
        </w:rPr>
        <w:t>（联合体名称）联合体，共同参加</w:t>
      </w:r>
      <w:r>
        <w:rPr>
          <w:rFonts w:ascii="仿宋" w:hAnsi="仿宋" w:eastAsia="仿宋"/>
          <w:sz w:val="24"/>
          <w:u w:val="single"/>
        </w:rPr>
        <w:tab/>
      </w:r>
      <w:r>
        <w:rPr>
          <w:rFonts w:hint="eastAsia" w:ascii="仿宋" w:hAnsi="仿宋" w:eastAsia="仿宋"/>
          <w:sz w:val="24"/>
          <w:u w:val="single"/>
        </w:rPr>
        <w:t xml:space="preserve">（项目名称）      </w:t>
      </w:r>
      <w:r>
        <w:rPr>
          <w:rFonts w:hint="eastAsia" w:ascii="仿宋" w:hAnsi="仿宋" w:eastAsia="仿宋"/>
          <w:sz w:val="24"/>
        </w:rPr>
        <w:t>采购招标项目投标。现就联合体投标事宜订立如下协议。</w:t>
      </w:r>
    </w:p>
    <w:p>
      <w:pPr>
        <w:pStyle w:val="9"/>
        <w:overflowPunct w:val="0"/>
        <w:spacing w:line="360" w:lineRule="auto"/>
        <w:ind w:firstLineChars="175"/>
        <w:contextualSpacing/>
        <w:rPr>
          <w:rFonts w:ascii="仿宋" w:hAnsi="仿宋" w:eastAsia="仿宋"/>
          <w:sz w:val="24"/>
        </w:rPr>
      </w:pPr>
      <w:r>
        <w:rPr>
          <w:rFonts w:ascii="仿宋" w:hAnsi="仿宋" w:eastAsia="仿宋"/>
          <w:sz w:val="24"/>
        </w:rPr>
        <w:t xml:space="preserve">1.  </w:t>
      </w:r>
      <w:r>
        <w:rPr>
          <w:rFonts w:ascii="仿宋" w:hAnsi="仿宋" w:eastAsia="仿宋"/>
          <w:sz w:val="24"/>
          <w:u w:val="single"/>
        </w:rPr>
        <w:tab/>
      </w:r>
      <w:r>
        <w:rPr>
          <w:rFonts w:hint="eastAsia" w:ascii="仿宋" w:hAnsi="仿宋" w:eastAsia="仿宋"/>
          <w:sz w:val="24"/>
        </w:rPr>
        <w:t>（某成员单位名称）为</w:t>
      </w:r>
      <w:r>
        <w:rPr>
          <w:rFonts w:ascii="仿宋" w:hAnsi="仿宋" w:eastAsia="仿宋"/>
          <w:sz w:val="24"/>
          <w:u w:val="single"/>
        </w:rPr>
        <w:tab/>
      </w:r>
      <w:r>
        <w:rPr>
          <w:rFonts w:hint="eastAsia" w:ascii="仿宋" w:hAnsi="仿宋" w:eastAsia="仿宋"/>
          <w:sz w:val="24"/>
        </w:rPr>
        <w:t>（联合体名称）牵头人。</w:t>
      </w:r>
    </w:p>
    <w:p>
      <w:pPr>
        <w:pStyle w:val="9"/>
        <w:overflowPunct w:val="0"/>
        <w:spacing w:line="360" w:lineRule="auto"/>
        <w:ind w:firstLineChars="175"/>
        <w:contextualSpacing/>
        <w:rPr>
          <w:rFonts w:ascii="仿宋" w:hAnsi="仿宋" w:eastAsia="仿宋"/>
          <w:sz w:val="24"/>
        </w:rPr>
      </w:pPr>
      <w:r>
        <w:rPr>
          <w:rFonts w:ascii="仿宋" w:hAnsi="仿宋" w:eastAsia="仿宋"/>
          <w:sz w:val="24"/>
        </w:rPr>
        <w:t>2.</w:t>
      </w:r>
      <w:r>
        <w:rPr>
          <w:rFonts w:hint="eastAsia" w:ascii="仿宋" w:hAnsi="仿宋" w:eastAsia="仿宋"/>
          <w:sz w:val="24"/>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pPr>
        <w:pStyle w:val="9"/>
        <w:overflowPunct w:val="0"/>
        <w:spacing w:line="360" w:lineRule="auto"/>
        <w:ind w:firstLineChars="175"/>
        <w:contextualSpacing/>
        <w:rPr>
          <w:rFonts w:ascii="仿宋" w:hAnsi="仿宋" w:eastAsia="仿宋"/>
          <w:sz w:val="24"/>
        </w:rPr>
      </w:pPr>
      <w:r>
        <w:rPr>
          <w:rFonts w:ascii="仿宋" w:hAnsi="仿宋" w:eastAsia="仿宋"/>
          <w:sz w:val="24"/>
        </w:rPr>
        <w:t>3.</w:t>
      </w:r>
      <w:r>
        <w:rPr>
          <w:rFonts w:hint="eastAsia" w:ascii="仿宋" w:hAnsi="仿宋" w:eastAsia="仿宋"/>
          <w:sz w:val="24"/>
        </w:rPr>
        <w:t>联合体牵头人在本项目中签署和盖章的一切文件和处理的一切事宜，联合体各成员均予以承认。联合体各成员将严格按照招标文件、投标文件和合同的要求全面履行义务，并向采购人承担连带责任。</w:t>
      </w:r>
    </w:p>
    <w:p>
      <w:pPr>
        <w:pStyle w:val="9"/>
        <w:overflowPunct w:val="0"/>
        <w:spacing w:line="360" w:lineRule="auto"/>
        <w:ind w:firstLineChars="175"/>
        <w:contextualSpacing/>
        <w:rPr>
          <w:rFonts w:ascii="仿宋" w:hAnsi="仿宋" w:eastAsia="仿宋"/>
          <w:sz w:val="24"/>
        </w:rPr>
      </w:pPr>
      <w:r>
        <w:rPr>
          <w:rFonts w:ascii="仿宋" w:hAnsi="仿宋" w:eastAsia="仿宋"/>
          <w:sz w:val="24"/>
        </w:rPr>
        <w:t>4.</w:t>
      </w:r>
      <w:r>
        <w:rPr>
          <w:rFonts w:hint="eastAsia" w:ascii="仿宋" w:hAnsi="仿宋" w:eastAsia="仿宋"/>
          <w:sz w:val="24"/>
        </w:rPr>
        <w:t>联合体各成员单位内部的职责分工如下：</w:t>
      </w:r>
      <w:r>
        <w:rPr>
          <w:rFonts w:ascii="仿宋" w:hAnsi="仿宋" w:eastAsia="仿宋"/>
          <w:sz w:val="24"/>
          <w:u w:val="single"/>
        </w:rPr>
        <w:tab/>
      </w:r>
      <w:r>
        <w:rPr>
          <w:rFonts w:hint="eastAsia" w:ascii="仿宋" w:hAnsi="仿宋" w:eastAsia="仿宋"/>
          <w:sz w:val="24"/>
        </w:rPr>
        <w:t>。</w:t>
      </w:r>
    </w:p>
    <w:p>
      <w:pPr>
        <w:pStyle w:val="9"/>
        <w:overflowPunct w:val="0"/>
        <w:spacing w:line="360" w:lineRule="auto"/>
        <w:ind w:firstLineChars="175"/>
        <w:contextualSpacing/>
        <w:rPr>
          <w:rFonts w:ascii="仿宋" w:hAnsi="仿宋" w:eastAsia="仿宋"/>
          <w:sz w:val="24"/>
        </w:rPr>
      </w:pPr>
      <w:r>
        <w:rPr>
          <w:rFonts w:ascii="仿宋" w:hAnsi="仿宋" w:eastAsia="仿宋"/>
          <w:sz w:val="24"/>
        </w:rPr>
        <w:t>5.</w:t>
      </w:r>
      <w:r>
        <w:rPr>
          <w:rFonts w:hint="eastAsia" w:ascii="仿宋" w:hAnsi="仿宋" w:eastAsia="仿宋"/>
          <w:sz w:val="24"/>
        </w:rPr>
        <w:t>本协议书自所有成员单位法定代表人或者其委托代理人签字或者盖公章之日起生效，合同履行完毕后自动失效。</w:t>
      </w:r>
    </w:p>
    <w:p>
      <w:pPr>
        <w:pStyle w:val="9"/>
        <w:overflowPunct w:val="0"/>
        <w:spacing w:line="360" w:lineRule="auto"/>
        <w:ind w:firstLineChars="175"/>
        <w:contextualSpacing/>
        <w:rPr>
          <w:rFonts w:ascii="仿宋" w:hAnsi="仿宋" w:eastAsia="仿宋"/>
          <w:sz w:val="24"/>
        </w:rPr>
      </w:pPr>
      <w:r>
        <w:rPr>
          <w:rFonts w:ascii="仿宋" w:hAnsi="仿宋" w:eastAsia="仿宋"/>
          <w:sz w:val="24"/>
        </w:rPr>
        <w:t>6.</w:t>
      </w:r>
      <w:r>
        <w:rPr>
          <w:rFonts w:hint="eastAsia" w:ascii="仿宋" w:hAnsi="仿宋" w:eastAsia="仿宋"/>
          <w:sz w:val="24"/>
        </w:rPr>
        <w:t>本协议书一式</w:t>
      </w:r>
      <w:r>
        <w:rPr>
          <w:rFonts w:ascii="仿宋" w:hAnsi="仿宋" w:eastAsia="仿宋"/>
          <w:sz w:val="24"/>
          <w:u w:val="single"/>
        </w:rPr>
        <w:tab/>
      </w:r>
      <w:r>
        <w:rPr>
          <w:rFonts w:hint="eastAsia" w:ascii="仿宋" w:hAnsi="仿宋" w:eastAsia="仿宋"/>
          <w:sz w:val="24"/>
        </w:rPr>
        <w:t>份，联合体成员和采购人各执一份。</w:t>
      </w:r>
    </w:p>
    <w:p>
      <w:pPr>
        <w:pStyle w:val="9"/>
        <w:overflowPunct w:val="0"/>
        <w:spacing w:line="360" w:lineRule="auto"/>
        <w:ind w:firstLineChars="175"/>
        <w:contextualSpacing/>
        <w:rPr>
          <w:rFonts w:ascii="仿宋" w:hAnsi="仿宋" w:eastAsia="仿宋"/>
          <w:sz w:val="24"/>
        </w:rPr>
      </w:pPr>
      <w:r>
        <w:rPr>
          <w:rFonts w:hint="eastAsia" w:ascii="仿宋" w:hAnsi="仿宋" w:eastAsia="仿宋"/>
          <w:sz w:val="24"/>
        </w:rPr>
        <w:t>注：本协议书由法定代表人签字的，应附法定代表人身份证明；由委托代理人签字的，应附授权委托书。</w:t>
      </w:r>
    </w:p>
    <w:p>
      <w:pPr>
        <w:pStyle w:val="9"/>
        <w:overflowPunct w:val="0"/>
        <w:spacing w:line="360" w:lineRule="auto"/>
        <w:ind w:firstLineChars="175"/>
        <w:contextualSpacing/>
        <w:rPr>
          <w:rFonts w:ascii="仿宋" w:hAnsi="仿宋" w:eastAsia="仿宋"/>
          <w:sz w:val="24"/>
        </w:rPr>
      </w:pPr>
    </w:p>
    <w:p>
      <w:pPr>
        <w:pStyle w:val="9"/>
        <w:overflowPunct w:val="0"/>
        <w:spacing w:line="360" w:lineRule="auto"/>
        <w:ind w:firstLineChars="175"/>
        <w:contextualSpacing/>
        <w:rPr>
          <w:rFonts w:ascii="仿宋" w:hAnsi="仿宋" w:eastAsia="仿宋"/>
          <w:sz w:val="24"/>
        </w:rPr>
      </w:pPr>
      <w:r>
        <w:rPr>
          <w:rFonts w:hint="eastAsia" w:ascii="仿宋" w:hAnsi="仿宋" w:eastAsia="仿宋"/>
          <w:sz w:val="24"/>
        </w:rPr>
        <w:t>联合体牵头人名称（盖公章）：</w:t>
      </w:r>
    </w:p>
    <w:p>
      <w:pPr>
        <w:pStyle w:val="9"/>
        <w:overflowPunct w:val="0"/>
        <w:spacing w:line="360" w:lineRule="auto"/>
        <w:ind w:firstLineChars="175"/>
        <w:contextualSpacing/>
        <w:rPr>
          <w:rFonts w:ascii="仿宋" w:hAnsi="仿宋" w:eastAsia="仿宋"/>
          <w:sz w:val="24"/>
        </w:rPr>
      </w:pPr>
      <w:r>
        <w:rPr>
          <w:rFonts w:hint="eastAsia" w:ascii="仿宋" w:hAnsi="仿宋" w:eastAsia="仿宋"/>
          <w:sz w:val="24"/>
        </w:rPr>
        <w:t>法定代表人或者其委托代理人：</w:t>
      </w:r>
      <w:r>
        <w:rPr>
          <w:rFonts w:ascii="仿宋" w:hAnsi="仿宋" w:eastAsia="仿宋"/>
          <w:sz w:val="24"/>
        </w:rPr>
        <w:tab/>
      </w:r>
      <w:r>
        <w:rPr>
          <w:rFonts w:hint="eastAsia" w:ascii="仿宋" w:hAnsi="仿宋" w:eastAsia="仿宋"/>
          <w:sz w:val="24"/>
        </w:rPr>
        <w:t>（签字）</w:t>
      </w:r>
    </w:p>
    <w:p>
      <w:pPr>
        <w:pStyle w:val="9"/>
        <w:overflowPunct w:val="0"/>
        <w:spacing w:line="360" w:lineRule="auto"/>
        <w:ind w:firstLineChars="175"/>
        <w:contextualSpacing/>
        <w:rPr>
          <w:rFonts w:ascii="仿宋" w:hAnsi="仿宋" w:eastAsia="仿宋"/>
          <w:sz w:val="24"/>
        </w:rPr>
      </w:pPr>
    </w:p>
    <w:p>
      <w:pPr>
        <w:pStyle w:val="9"/>
        <w:overflowPunct w:val="0"/>
        <w:spacing w:line="360" w:lineRule="auto"/>
        <w:ind w:firstLineChars="175"/>
        <w:contextualSpacing/>
        <w:rPr>
          <w:rFonts w:ascii="仿宋" w:hAnsi="仿宋" w:eastAsia="仿宋"/>
          <w:sz w:val="24"/>
        </w:rPr>
      </w:pPr>
      <w:r>
        <w:rPr>
          <w:rFonts w:hint="eastAsia" w:ascii="仿宋" w:hAnsi="仿宋" w:eastAsia="仿宋"/>
          <w:sz w:val="24"/>
        </w:rPr>
        <w:t>联合体成员名称（盖公章）：</w:t>
      </w:r>
    </w:p>
    <w:p>
      <w:pPr>
        <w:pStyle w:val="9"/>
        <w:overflowPunct w:val="0"/>
        <w:spacing w:line="360" w:lineRule="auto"/>
        <w:ind w:firstLineChars="175"/>
        <w:contextualSpacing/>
        <w:rPr>
          <w:rFonts w:ascii="仿宋" w:hAnsi="仿宋" w:eastAsia="仿宋"/>
          <w:sz w:val="24"/>
        </w:rPr>
      </w:pPr>
      <w:r>
        <w:rPr>
          <w:rFonts w:hint="eastAsia" w:ascii="仿宋" w:hAnsi="仿宋" w:eastAsia="仿宋"/>
          <w:sz w:val="24"/>
        </w:rPr>
        <w:t>法定代表人或者其委托代理人：</w:t>
      </w:r>
      <w:r>
        <w:rPr>
          <w:rFonts w:ascii="仿宋" w:hAnsi="仿宋" w:eastAsia="仿宋"/>
          <w:sz w:val="24"/>
        </w:rPr>
        <w:tab/>
      </w:r>
      <w:r>
        <w:rPr>
          <w:rFonts w:hint="eastAsia" w:ascii="仿宋" w:hAnsi="仿宋" w:eastAsia="仿宋"/>
          <w:sz w:val="24"/>
        </w:rPr>
        <w:t>（签字）</w:t>
      </w:r>
    </w:p>
    <w:p>
      <w:pPr>
        <w:pStyle w:val="9"/>
        <w:overflowPunct w:val="0"/>
        <w:spacing w:line="360" w:lineRule="auto"/>
        <w:ind w:firstLineChars="175"/>
        <w:contextualSpacing/>
        <w:rPr>
          <w:rFonts w:ascii="仿宋" w:hAnsi="仿宋" w:eastAsia="仿宋"/>
          <w:sz w:val="24"/>
        </w:rPr>
      </w:pPr>
      <w:r>
        <w:rPr>
          <w:rFonts w:ascii="仿宋" w:hAnsi="仿宋" w:eastAsia="仿宋"/>
          <w:sz w:val="24"/>
        </w:rPr>
        <w:t>……</w:t>
      </w:r>
    </w:p>
    <w:p>
      <w:pPr>
        <w:pStyle w:val="9"/>
        <w:overflowPunct w:val="0"/>
        <w:spacing w:line="360" w:lineRule="auto"/>
        <w:ind w:firstLineChars="175"/>
        <w:contextualSpacing/>
        <w:rPr>
          <w:rFonts w:ascii="仿宋" w:hAnsi="仿宋" w:eastAsia="仿宋"/>
          <w:sz w:val="24"/>
        </w:rPr>
      </w:pPr>
    </w:p>
    <w:p>
      <w:pPr>
        <w:pStyle w:val="9"/>
        <w:overflowPunct w:val="0"/>
        <w:spacing w:line="360" w:lineRule="auto"/>
        <w:ind w:firstLineChars="175"/>
        <w:contextualSpacing/>
        <w:jc w:val="right"/>
        <w:rPr>
          <w:rFonts w:ascii="仿宋" w:hAnsi="仿宋" w:eastAsia="仿宋"/>
          <w:b/>
          <w:sz w:val="24"/>
        </w:rPr>
      </w:pPr>
      <w:r>
        <w:rPr>
          <w:rFonts w:ascii="仿宋" w:hAnsi="仿宋" w:eastAsia="仿宋"/>
          <w:sz w:val="24"/>
        </w:rPr>
        <w:tab/>
      </w:r>
      <w:r>
        <w:rPr>
          <w:rFonts w:hint="eastAsia" w:ascii="仿宋" w:hAnsi="仿宋" w:eastAsia="仿宋"/>
          <w:sz w:val="24"/>
        </w:rPr>
        <w:t>年</w:t>
      </w:r>
      <w:r>
        <w:rPr>
          <w:rFonts w:ascii="仿宋" w:hAnsi="仿宋" w:eastAsia="仿宋"/>
          <w:sz w:val="24"/>
        </w:rPr>
        <w:tab/>
      </w:r>
      <w:r>
        <w:rPr>
          <w:rFonts w:hint="eastAsia" w:ascii="仿宋" w:hAnsi="仿宋" w:eastAsia="仿宋"/>
          <w:sz w:val="24"/>
        </w:rPr>
        <w:t>月</w:t>
      </w:r>
      <w:r>
        <w:rPr>
          <w:rFonts w:ascii="仿宋" w:hAnsi="仿宋" w:eastAsia="仿宋"/>
          <w:sz w:val="24"/>
        </w:rPr>
        <w:tab/>
      </w:r>
      <w:r>
        <w:rPr>
          <w:rFonts w:hint="eastAsia" w:ascii="仿宋" w:hAnsi="仿宋" w:eastAsia="仿宋"/>
          <w:sz w:val="24"/>
        </w:rPr>
        <w:t>日</w:t>
      </w:r>
    </w:p>
    <w:p>
      <w:pPr>
        <w:snapToGrid w:val="0"/>
        <w:spacing w:before="120" w:beforeLines="50" w:after="50"/>
        <w:jc w:val="left"/>
        <w:rPr>
          <w:rFonts w:ascii="仿宋" w:hAnsi="仿宋" w:eastAsia="仿宋"/>
        </w:rPr>
      </w:pPr>
      <w:r>
        <w:rPr>
          <w:rFonts w:hint="eastAsia" w:ascii="仿宋" w:hAnsi="仿宋" w:eastAsia="仿宋"/>
          <w:b/>
          <w:sz w:val="24"/>
        </w:rPr>
        <w:t>2.中小企业声明函格式</w:t>
      </w:r>
    </w:p>
    <w:p>
      <w:pPr>
        <w:rPr>
          <w:rFonts w:ascii="仿宋" w:hAnsi="仿宋" w:eastAsia="仿宋"/>
        </w:rPr>
      </w:pPr>
    </w:p>
    <w:p>
      <w:pPr>
        <w:jc w:val="center"/>
        <w:rPr>
          <w:rFonts w:ascii="仿宋" w:hAnsi="仿宋" w:eastAsia="仿宋" w:cs="方正小标宋简体"/>
          <w:sz w:val="44"/>
          <w:szCs w:val="44"/>
        </w:rPr>
      </w:pPr>
      <w:r>
        <w:rPr>
          <w:rFonts w:hint="eastAsia" w:ascii="仿宋" w:hAnsi="仿宋" w:eastAsia="仿宋" w:cs="方正小标宋简体"/>
          <w:sz w:val="44"/>
          <w:szCs w:val="44"/>
        </w:rPr>
        <w:t>中小企业声明函（服务）</w:t>
      </w:r>
    </w:p>
    <w:p>
      <w:pPr>
        <w:spacing w:before="2" w:line="500" w:lineRule="exact"/>
        <w:rPr>
          <w:rFonts w:ascii="仿宋" w:hAnsi="仿宋" w:eastAsia="仿宋" w:cs="宋体"/>
          <w:b/>
          <w:bCs/>
          <w:sz w:val="27"/>
          <w:szCs w:val="27"/>
        </w:rPr>
      </w:pPr>
    </w:p>
    <w:p>
      <w:pPr>
        <w:pStyle w:val="137"/>
        <w:spacing w:line="400" w:lineRule="exact"/>
        <w:ind w:firstLine="480" w:firstLineChars="200"/>
        <w:jc w:val="both"/>
        <w:rPr>
          <w:rFonts w:ascii="仿宋" w:hAnsi="仿宋" w:eastAsia="仿宋"/>
          <w:sz w:val="24"/>
          <w:szCs w:val="24"/>
        </w:rPr>
      </w:pPr>
      <w:r>
        <w:rPr>
          <w:rFonts w:hint="eastAsia" w:ascii="仿宋" w:hAnsi="仿宋" w:eastAsia="仿宋"/>
          <w:sz w:val="24"/>
          <w:szCs w:val="24"/>
        </w:rPr>
        <w:t>本公司（联合体）郑重声明，根据《政府采购促进中小企业发展管理办法》（财库〔2020〕46号）的规定，本公司（联合体）参加</w:t>
      </w:r>
      <w:r>
        <w:rPr>
          <w:rFonts w:hint="eastAsia" w:ascii="仿宋" w:hAnsi="仿宋" w:eastAsia="仿宋"/>
          <w:sz w:val="24"/>
          <w:szCs w:val="24"/>
          <w:u w:val="single"/>
        </w:rPr>
        <w:t>（采购人名称）</w:t>
      </w:r>
      <w:r>
        <w:rPr>
          <w:rFonts w:hint="eastAsia" w:ascii="仿宋" w:hAnsi="仿宋" w:eastAsia="仿宋"/>
          <w:sz w:val="24"/>
          <w:szCs w:val="24"/>
        </w:rPr>
        <w:t>的</w:t>
      </w:r>
      <w:r>
        <w:rPr>
          <w:rFonts w:hint="eastAsia" w:ascii="仿宋" w:hAnsi="仿宋" w:eastAsia="仿宋"/>
          <w:sz w:val="24"/>
          <w:szCs w:val="24"/>
          <w:u w:val="single"/>
        </w:rPr>
        <w:t>（项目名称及</w:t>
      </w:r>
      <w:r>
        <w:rPr>
          <w:rFonts w:ascii="仿宋" w:hAnsi="仿宋" w:eastAsia="仿宋"/>
          <w:sz w:val="24"/>
          <w:szCs w:val="24"/>
          <w:u w:val="single"/>
        </w:rPr>
        <w:t>项目编号</w:t>
      </w:r>
      <w:r>
        <w:rPr>
          <w:rFonts w:hint="eastAsia" w:ascii="仿宋" w:hAnsi="仿宋" w:eastAsia="仿宋"/>
          <w:sz w:val="24"/>
          <w:szCs w:val="24"/>
          <w:u w:val="single"/>
        </w:rPr>
        <w:t>）</w:t>
      </w:r>
      <w:r>
        <w:rPr>
          <w:rFonts w:hint="eastAsia" w:ascii="仿宋" w:hAnsi="仿宋" w:eastAsia="仿宋"/>
          <w:sz w:val="24"/>
          <w:szCs w:val="24"/>
        </w:rPr>
        <w:t>釆购活动,服务</w:t>
      </w:r>
      <w:r>
        <w:rPr>
          <w:rFonts w:ascii="仿宋" w:hAnsi="仿宋" w:eastAsia="仿宋"/>
          <w:sz w:val="24"/>
          <w:szCs w:val="24"/>
        </w:rPr>
        <w:t>全部由符合政策要求的中小企业承接</w:t>
      </w:r>
      <w:r>
        <w:rPr>
          <w:rFonts w:hint="eastAsia" w:ascii="仿宋" w:hAnsi="仿宋" w:eastAsia="仿宋"/>
          <w:sz w:val="24"/>
          <w:szCs w:val="24"/>
        </w:rPr>
        <w:t>。相关企业（含联合体中的中小企业、签订分包意向协议的中小企业）的具体情况如下</w:t>
      </w:r>
      <w:bookmarkStart w:id="260" w:name="bookmark1"/>
      <w:bookmarkEnd w:id="260"/>
      <w:r>
        <w:rPr>
          <w:rFonts w:hint="eastAsia" w:ascii="仿宋" w:hAnsi="仿宋" w:eastAsia="仿宋"/>
          <w:sz w:val="24"/>
          <w:szCs w:val="24"/>
        </w:rPr>
        <w:t>：</w:t>
      </w:r>
    </w:p>
    <w:p>
      <w:pPr>
        <w:pStyle w:val="137"/>
        <w:spacing w:line="400" w:lineRule="exact"/>
        <w:ind w:firstLine="640"/>
        <w:jc w:val="both"/>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u w:val="single"/>
        </w:rPr>
        <w:t xml:space="preserve"> （项目名称）</w:t>
      </w:r>
      <w:r>
        <w:rPr>
          <w:rFonts w:hint="eastAsia" w:ascii="仿宋" w:hAnsi="仿宋" w:eastAsia="仿宋"/>
          <w:sz w:val="24"/>
          <w:szCs w:val="24"/>
        </w:rPr>
        <w:t>，属于；承接企业为</w:t>
      </w:r>
      <w:r>
        <w:rPr>
          <w:rFonts w:hint="eastAsia" w:ascii="仿宋" w:hAnsi="仿宋" w:eastAsia="仿宋"/>
          <w:sz w:val="24"/>
          <w:szCs w:val="24"/>
          <w:u w:val="single"/>
        </w:rPr>
        <w:t>（企业名称）</w:t>
      </w:r>
      <w:r>
        <w:rPr>
          <w:rFonts w:hint="eastAsia" w:ascii="仿宋" w:hAnsi="仿宋" w:eastAsia="仿宋"/>
          <w:sz w:val="24"/>
          <w:szCs w:val="24"/>
        </w:rPr>
        <w:t>，从业人员</w:t>
      </w:r>
      <w:r>
        <w:rPr>
          <w:rFonts w:hint="eastAsia" w:ascii="仿宋" w:hAnsi="仿宋" w:eastAsia="仿宋"/>
          <w:sz w:val="24"/>
          <w:szCs w:val="24"/>
          <w:u w:val="single"/>
        </w:rPr>
        <w:tab/>
      </w:r>
      <w:r>
        <w:rPr>
          <w:rFonts w:hint="eastAsia" w:ascii="仿宋" w:hAnsi="仿宋" w:eastAsia="仿宋"/>
          <w:sz w:val="24"/>
          <w:szCs w:val="24"/>
        </w:rPr>
        <w:t>人，营业收入为万元，资产总额为万元，属于</w:t>
      </w:r>
      <w:r>
        <w:rPr>
          <w:rFonts w:hint="eastAsia" w:ascii="仿宋" w:hAnsi="仿宋" w:eastAsia="仿宋"/>
          <w:sz w:val="24"/>
          <w:szCs w:val="24"/>
          <w:u w:val="single"/>
        </w:rPr>
        <w:t>（中型企业、小型企业、微型企业）</w:t>
      </w:r>
      <w:r>
        <w:rPr>
          <w:rFonts w:hint="eastAsia" w:ascii="仿宋" w:hAnsi="仿宋" w:eastAsia="仿宋"/>
          <w:sz w:val="24"/>
          <w:szCs w:val="24"/>
        </w:rPr>
        <w:t xml:space="preserve">； </w:t>
      </w:r>
    </w:p>
    <w:p>
      <w:pPr>
        <w:pStyle w:val="137"/>
        <w:spacing w:line="400" w:lineRule="exact"/>
        <w:ind w:firstLine="640"/>
        <w:jc w:val="both"/>
        <w:rPr>
          <w:rFonts w:ascii="仿宋" w:hAnsi="仿宋" w:eastAsia="仿宋"/>
          <w:sz w:val="24"/>
          <w:szCs w:val="24"/>
        </w:rPr>
      </w:pPr>
      <w:r>
        <w:rPr>
          <w:rFonts w:hint="eastAsia" w:ascii="仿宋" w:hAnsi="仿宋" w:eastAsia="仿宋"/>
          <w:sz w:val="24"/>
          <w:szCs w:val="24"/>
        </w:rPr>
        <w:t>......</w:t>
      </w:r>
    </w:p>
    <w:p>
      <w:pPr>
        <w:pStyle w:val="137"/>
        <w:spacing w:line="400" w:lineRule="exact"/>
        <w:ind w:firstLine="640"/>
        <w:jc w:val="both"/>
        <w:rPr>
          <w:rFonts w:ascii="仿宋" w:hAnsi="仿宋" w:eastAsia="仿宋"/>
          <w:sz w:val="24"/>
          <w:szCs w:val="24"/>
        </w:rPr>
      </w:pPr>
      <w:r>
        <w:rPr>
          <w:rFonts w:hint="eastAsia" w:ascii="仿宋" w:hAnsi="仿宋" w:eastAsia="仿宋"/>
          <w:sz w:val="24"/>
          <w:szCs w:val="24"/>
        </w:rPr>
        <w:t>以上企业，不属于大企业的分支机构，不存在控股股东为大企业的情形，也不存在与大企业的负责人为同一人的情形。</w:t>
      </w:r>
    </w:p>
    <w:p>
      <w:pPr>
        <w:pStyle w:val="137"/>
        <w:spacing w:after="40" w:line="400" w:lineRule="exact"/>
        <w:ind w:firstLine="640"/>
        <w:jc w:val="both"/>
        <w:rPr>
          <w:rFonts w:ascii="仿宋" w:hAnsi="仿宋" w:eastAsia="仿宋"/>
          <w:sz w:val="24"/>
          <w:szCs w:val="24"/>
        </w:rPr>
      </w:pPr>
      <w:r>
        <w:rPr>
          <w:rFonts w:hint="eastAsia" w:ascii="仿宋" w:hAnsi="仿宋" w:eastAsia="仿宋"/>
          <w:sz w:val="24"/>
          <w:szCs w:val="24"/>
        </w:rPr>
        <w:t>本企业对上述声明内容的真实性负责。如有虚假，将依法承担相应责任。</w:t>
      </w:r>
    </w:p>
    <w:p>
      <w:pPr>
        <w:pStyle w:val="137"/>
        <w:spacing w:after="40" w:line="400" w:lineRule="exact"/>
        <w:ind w:firstLine="640"/>
        <w:jc w:val="both"/>
        <w:rPr>
          <w:rFonts w:ascii="仿宋" w:hAnsi="仿宋" w:eastAsia="仿宋"/>
          <w:sz w:val="24"/>
          <w:szCs w:val="24"/>
        </w:rPr>
      </w:pPr>
    </w:p>
    <w:p>
      <w:pPr>
        <w:pStyle w:val="137"/>
        <w:spacing w:line="400" w:lineRule="exact"/>
        <w:ind w:firstLine="640"/>
        <w:jc w:val="both"/>
        <w:rPr>
          <w:rFonts w:ascii="仿宋" w:hAnsi="仿宋" w:eastAsia="仿宋"/>
          <w:sz w:val="24"/>
          <w:szCs w:val="24"/>
        </w:rPr>
      </w:pPr>
      <w:r>
        <w:rPr>
          <w:rFonts w:hint="eastAsia" w:ascii="仿宋" w:hAnsi="仿宋" w:eastAsia="仿宋"/>
          <w:sz w:val="24"/>
          <w:szCs w:val="24"/>
        </w:rPr>
        <w:t xml:space="preserve">                         企业名称[盖公章]：</w:t>
      </w:r>
    </w:p>
    <w:p>
      <w:pPr>
        <w:pStyle w:val="137"/>
        <w:spacing w:line="400" w:lineRule="exact"/>
        <w:ind w:firstLine="640"/>
        <w:jc w:val="both"/>
        <w:rPr>
          <w:rFonts w:ascii="仿宋" w:hAnsi="仿宋" w:eastAsia="仿宋"/>
          <w:sz w:val="24"/>
          <w:szCs w:val="24"/>
        </w:rPr>
      </w:pPr>
      <w:r>
        <w:rPr>
          <w:rFonts w:hint="eastAsia" w:ascii="仿宋" w:hAnsi="仿宋" w:eastAsia="仿宋"/>
          <w:sz w:val="24"/>
          <w:szCs w:val="24"/>
        </w:rPr>
        <w:t xml:space="preserve">                         日期：</w:t>
      </w:r>
    </w:p>
    <w:p>
      <w:pPr>
        <w:spacing w:line="460" w:lineRule="exact"/>
        <w:rPr>
          <w:rFonts w:ascii="仿宋" w:hAnsi="仿宋" w:eastAsia="仿宋" w:cs="宋体"/>
          <w:sz w:val="24"/>
        </w:rPr>
      </w:pPr>
    </w:p>
    <w:p>
      <w:pPr>
        <w:spacing w:line="460" w:lineRule="exact"/>
        <w:rPr>
          <w:rFonts w:ascii="仿宋" w:hAnsi="仿宋" w:eastAsia="仿宋" w:cs="宋体"/>
          <w:b/>
          <w:sz w:val="24"/>
        </w:rPr>
      </w:pPr>
      <w:r>
        <w:rPr>
          <w:rFonts w:hint="eastAsia" w:ascii="仿宋" w:hAnsi="仿宋" w:eastAsia="仿宋" w:cs="宋体"/>
          <w:sz w:val="24"/>
        </w:rPr>
        <w:t>备注：如果投标产品（或</w:t>
      </w:r>
      <w:r>
        <w:rPr>
          <w:rFonts w:ascii="仿宋" w:hAnsi="仿宋" w:eastAsia="仿宋" w:cs="宋体"/>
          <w:sz w:val="24"/>
        </w:rPr>
        <w:t>服务</w:t>
      </w:r>
      <w:r>
        <w:rPr>
          <w:rFonts w:hint="eastAsia" w:ascii="仿宋" w:hAnsi="仿宋" w:eastAsia="仿宋" w:cs="宋体"/>
          <w:sz w:val="24"/>
        </w:rPr>
        <w:t>）中有小型或微型企业的产品（服务），应在投标报价明细表中注明生产（或服务）企业名称，并在投标文件提供符合规定的有关证明材料（投标人应提供最近一年的年度财务审计报告，以证明投标人（或投标产品生产厂家）的营业收入、资产总额等指标），否则不认可该产品（服务）为小型或微型企业的产品（服务）。</w:t>
      </w:r>
    </w:p>
    <w:p>
      <w:pPr>
        <w:pStyle w:val="2"/>
        <w:spacing w:line="360" w:lineRule="auto"/>
        <w:ind w:left="3960" w:right="1808"/>
        <w:contextualSpacing/>
        <w:rPr>
          <w:rFonts w:ascii="仿宋" w:hAnsi="仿宋" w:eastAsia="仿宋"/>
          <w:kern w:val="24"/>
        </w:rPr>
      </w:pPr>
    </w:p>
    <w:p>
      <w:pPr>
        <w:pStyle w:val="2"/>
        <w:spacing w:line="360" w:lineRule="auto"/>
        <w:ind w:left="-426" w:right="142" w:firstLine="567"/>
        <w:contextualSpacing/>
        <w:rPr>
          <w:rFonts w:ascii="仿宋" w:hAnsi="仿宋" w:eastAsia="仿宋"/>
          <w:kern w:val="24"/>
        </w:rPr>
      </w:pPr>
      <w:r>
        <w:rPr>
          <w:rFonts w:hint="eastAsia" w:ascii="仿宋" w:hAnsi="仿宋" w:eastAsia="仿宋"/>
          <w:kern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pPr>
        <w:snapToGrid w:val="0"/>
        <w:spacing w:before="120" w:beforeLines="50" w:after="50"/>
        <w:ind w:left="142"/>
        <w:jc w:val="left"/>
        <w:rPr>
          <w:rFonts w:ascii="仿宋" w:hAnsi="仿宋" w:eastAsia="仿宋"/>
          <w:b/>
          <w:sz w:val="24"/>
        </w:rPr>
      </w:pPr>
    </w:p>
    <w:p>
      <w:pPr>
        <w:pStyle w:val="28"/>
        <w:jc w:val="left"/>
        <w:rPr>
          <w:rFonts w:ascii="仿宋" w:hAnsi="仿宋" w:eastAsia="仿宋"/>
          <w:b/>
          <w:sz w:val="24"/>
        </w:rPr>
      </w:pPr>
      <w:r>
        <w:rPr>
          <w:rFonts w:ascii="仿宋" w:hAnsi="仿宋" w:eastAsia="仿宋" w:cs="Arial Unicode MS"/>
          <w:sz w:val="32"/>
          <w:szCs w:val="32"/>
        </w:rPr>
        <w:br w:type="page"/>
      </w:r>
      <w:r>
        <w:rPr>
          <w:rFonts w:hint="eastAsia" w:ascii="仿宋" w:hAnsi="仿宋" w:eastAsia="仿宋"/>
          <w:b/>
          <w:sz w:val="24"/>
        </w:rPr>
        <w:t>3.残疾人福利性单位声明函格式</w:t>
      </w:r>
    </w:p>
    <w:p>
      <w:pPr>
        <w:spacing w:line="588" w:lineRule="exact"/>
        <w:jc w:val="center"/>
        <w:rPr>
          <w:rFonts w:ascii="仿宋" w:hAnsi="仿宋" w:eastAsia="仿宋"/>
          <w:b/>
          <w:spacing w:val="6"/>
          <w:sz w:val="32"/>
          <w:szCs w:val="32"/>
        </w:rPr>
      </w:pPr>
    </w:p>
    <w:p>
      <w:pPr>
        <w:spacing w:line="588" w:lineRule="exact"/>
        <w:jc w:val="center"/>
        <w:rPr>
          <w:rFonts w:ascii="仿宋" w:hAnsi="仿宋" w:eastAsia="仿宋" w:cs="方正小标宋简体"/>
          <w:bCs/>
          <w:spacing w:val="6"/>
          <w:sz w:val="44"/>
          <w:szCs w:val="44"/>
        </w:rPr>
      </w:pPr>
      <w:r>
        <w:rPr>
          <w:rFonts w:hint="eastAsia" w:ascii="仿宋" w:hAnsi="仿宋" w:eastAsia="仿宋" w:cs="方正小标宋简体"/>
          <w:bCs/>
          <w:spacing w:val="6"/>
          <w:sz w:val="44"/>
          <w:szCs w:val="44"/>
        </w:rPr>
        <w:t>残疾人福利性单位声明函</w:t>
      </w:r>
    </w:p>
    <w:p>
      <w:pPr>
        <w:spacing w:line="360" w:lineRule="auto"/>
        <w:contextualSpacing/>
        <w:rPr>
          <w:rFonts w:ascii="仿宋" w:hAnsi="仿宋" w:eastAsia="仿宋"/>
          <w:bCs/>
          <w:spacing w:val="6"/>
          <w:sz w:val="30"/>
          <w:szCs w:val="30"/>
        </w:rPr>
      </w:pPr>
    </w:p>
    <w:p>
      <w:pPr>
        <w:spacing w:line="360" w:lineRule="auto"/>
        <w:ind w:firstLine="504" w:firstLineChars="200"/>
        <w:contextualSpacing/>
        <w:rPr>
          <w:rFonts w:ascii="仿宋" w:hAnsi="仿宋" w:eastAsia="仿宋"/>
          <w:spacing w:val="6"/>
          <w:sz w:val="24"/>
        </w:rPr>
      </w:pPr>
      <w:r>
        <w:rPr>
          <w:rFonts w:hint="eastAsia" w:ascii="仿宋" w:hAnsi="仿宋" w:eastAsia="仿宋"/>
          <w:spacing w:val="6"/>
          <w:sz w:val="24"/>
        </w:rPr>
        <w:t>本单位郑重声明，根据《财政部 民政部 中国残疾人联合会关于促进残疾人就业政府采购政策的通知》（财库</w:t>
      </w:r>
      <w:r>
        <w:rPr>
          <w:rFonts w:hint="eastAsia" w:ascii="仿宋" w:hAnsi="仿宋" w:eastAsia="仿宋"/>
          <w:sz w:val="24"/>
        </w:rPr>
        <w:t>〔2017〕 141</w:t>
      </w:r>
      <w:r>
        <w:rPr>
          <w:rFonts w:hint="eastAsia" w:ascii="仿宋" w:hAnsi="仿宋" w:eastAsia="仿宋"/>
          <w:spacing w:val="6"/>
          <w:sz w:val="24"/>
        </w:rPr>
        <w:t>号）的规定，本单位为符合条件的残疾人福利性单位，且本单位参加______单位的______项目采购活动提供本单位的服务</w:t>
      </w:r>
      <w:r>
        <w:rPr>
          <w:rFonts w:hint="eastAsia" w:ascii="仿宋" w:hAnsi="仿宋" w:eastAsia="仿宋"/>
          <w:spacing w:val="-6"/>
          <w:sz w:val="24"/>
        </w:rPr>
        <w:t>。</w:t>
      </w:r>
    </w:p>
    <w:p>
      <w:pPr>
        <w:spacing w:line="360" w:lineRule="auto"/>
        <w:ind w:firstLine="504" w:firstLineChars="200"/>
        <w:contextualSpacing/>
        <w:rPr>
          <w:rFonts w:ascii="仿宋" w:hAnsi="仿宋" w:eastAsia="仿宋"/>
          <w:spacing w:val="6"/>
          <w:sz w:val="24"/>
        </w:rPr>
      </w:pPr>
      <w:r>
        <w:rPr>
          <w:rFonts w:hint="eastAsia" w:ascii="仿宋" w:hAnsi="仿宋" w:eastAsia="仿宋"/>
          <w:spacing w:val="6"/>
          <w:sz w:val="24"/>
        </w:rPr>
        <w:t>本单位对上述声明的真实性负责。如有虚假，将依法承担相应责任。</w:t>
      </w:r>
    </w:p>
    <w:p>
      <w:pPr>
        <w:spacing w:line="360" w:lineRule="auto"/>
        <w:ind w:firstLine="504" w:firstLineChars="200"/>
        <w:contextualSpacing/>
        <w:rPr>
          <w:rFonts w:ascii="仿宋" w:hAnsi="仿宋" w:eastAsia="仿宋"/>
          <w:spacing w:val="6"/>
          <w:sz w:val="24"/>
        </w:rPr>
      </w:pPr>
    </w:p>
    <w:p>
      <w:pPr>
        <w:spacing w:line="360" w:lineRule="auto"/>
        <w:ind w:firstLine="504" w:firstLineChars="200"/>
        <w:contextualSpacing/>
        <w:rPr>
          <w:rFonts w:ascii="仿宋" w:hAnsi="仿宋" w:eastAsia="仿宋"/>
          <w:spacing w:val="6"/>
          <w:sz w:val="24"/>
        </w:rPr>
      </w:pPr>
    </w:p>
    <w:p>
      <w:pPr>
        <w:tabs>
          <w:tab w:val="left" w:pos="4860"/>
        </w:tabs>
        <w:spacing w:line="360" w:lineRule="auto"/>
        <w:ind w:right="1560" w:firstLine="504" w:firstLineChars="200"/>
        <w:contextualSpacing/>
        <w:jc w:val="center"/>
        <w:rPr>
          <w:rFonts w:ascii="仿宋" w:hAnsi="仿宋" w:eastAsia="仿宋"/>
          <w:spacing w:val="6"/>
          <w:sz w:val="24"/>
        </w:rPr>
      </w:pPr>
      <w:r>
        <w:rPr>
          <w:rFonts w:hint="eastAsia" w:ascii="仿宋" w:hAnsi="仿宋" w:eastAsia="仿宋"/>
          <w:spacing w:val="6"/>
          <w:sz w:val="24"/>
        </w:rPr>
        <w:t>单位名称（盖公章）：</w:t>
      </w:r>
    </w:p>
    <w:p>
      <w:pPr>
        <w:tabs>
          <w:tab w:val="left" w:pos="4860"/>
        </w:tabs>
        <w:spacing w:line="360" w:lineRule="auto"/>
        <w:ind w:right="1560" w:firstLine="504" w:firstLineChars="200"/>
        <w:contextualSpacing/>
        <w:jc w:val="center"/>
        <w:rPr>
          <w:rFonts w:ascii="仿宋" w:hAnsi="仿宋" w:eastAsia="仿宋"/>
          <w:spacing w:val="6"/>
          <w:sz w:val="24"/>
        </w:rPr>
      </w:pPr>
      <w:r>
        <w:rPr>
          <w:rFonts w:hint="eastAsia" w:ascii="仿宋" w:hAnsi="仿宋" w:eastAsia="仿宋"/>
          <w:spacing w:val="6"/>
          <w:sz w:val="24"/>
        </w:rPr>
        <w:t>日  期：</w:t>
      </w:r>
    </w:p>
    <w:p>
      <w:pPr>
        <w:spacing w:line="360" w:lineRule="auto"/>
        <w:contextualSpacing/>
        <w:rPr>
          <w:rFonts w:ascii="仿宋" w:hAnsi="仿宋" w:eastAsia="仿宋"/>
          <w:sz w:val="24"/>
        </w:rPr>
      </w:pPr>
    </w:p>
    <w:p>
      <w:pPr>
        <w:spacing w:line="360" w:lineRule="auto"/>
        <w:contextualSpacing/>
        <w:rPr>
          <w:rFonts w:ascii="仿宋" w:hAnsi="仿宋" w:eastAsia="仿宋"/>
          <w:sz w:val="24"/>
        </w:rPr>
      </w:pPr>
    </w:p>
    <w:p>
      <w:pPr>
        <w:spacing w:line="360" w:lineRule="auto"/>
        <w:contextualSpacing/>
        <w:rPr>
          <w:rFonts w:ascii="仿宋" w:hAnsi="仿宋" w:eastAsia="仿宋"/>
          <w:sz w:val="24"/>
        </w:rPr>
      </w:pPr>
    </w:p>
    <w:p>
      <w:pPr>
        <w:spacing w:line="360" w:lineRule="auto"/>
        <w:contextualSpacing/>
        <w:rPr>
          <w:rFonts w:ascii="仿宋" w:hAnsi="仿宋" w:eastAsia="仿宋"/>
          <w:sz w:val="24"/>
        </w:rPr>
      </w:pPr>
      <w:r>
        <w:rPr>
          <w:rFonts w:hint="eastAsia" w:ascii="仿宋" w:hAnsi="仿宋" w:eastAsia="仿宋"/>
          <w:sz w:val="24"/>
        </w:rPr>
        <w:t>注：请根据自己的真实情况出具《残疾人福利性单位声明函》。依法享受中小企业优惠政策的，采购人或者采购代理机构在公告中标结果时，同时公告其《残疾人福利性单位声明函》，接受社会监督。</w:t>
      </w:r>
    </w:p>
    <w:p>
      <w:pPr>
        <w:spacing w:line="360" w:lineRule="auto"/>
        <w:jc w:val="left"/>
        <w:rPr>
          <w:rFonts w:ascii="仿宋" w:hAnsi="仿宋" w:eastAsia="仿宋"/>
          <w:sz w:val="24"/>
        </w:rPr>
      </w:pPr>
      <w:r>
        <w:rPr>
          <w:rFonts w:ascii="仿宋" w:hAnsi="仿宋" w:eastAsia="仿宋"/>
          <w:sz w:val="24"/>
        </w:rPr>
        <w:br w:type="page"/>
      </w:r>
      <w:r>
        <w:rPr>
          <w:rFonts w:hint="eastAsia" w:ascii="仿宋" w:hAnsi="仿宋" w:eastAsia="仿宋"/>
          <w:b/>
          <w:sz w:val="24"/>
        </w:rPr>
        <w:t>4.质疑函格式</w:t>
      </w:r>
    </w:p>
    <w:p>
      <w:pPr>
        <w:spacing w:line="500" w:lineRule="exact"/>
        <w:jc w:val="center"/>
        <w:rPr>
          <w:rFonts w:ascii="仿宋" w:hAnsi="仿宋" w:eastAsia="仿宋" w:cs="方正小标宋简体"/>
          <w:b/>
          <w:sz w:val="36"/>
          <w:szCs w:val="36"/>
        </w:rPr>
      </w:pPr>
      <w:r>
        <w:rPr>
          <w:rFonts w:hint="eastAsia" w:ascii="仿宋" w:hAnsi="仿宋" w:eastAsia="仿宋" w:cs="方正小标宋简体"/>
          <w:b/>
          <w:sz w:val="36"/>
          <w:szCs w:val="36"/>
        </w:rPr>
        <w:t>质疑函</w:t>
      </w:r>
    </w:p>
    <w:p>
      <w:pPr>
        <w:pStyle w:val="28"/>
        <w:snapToGrid w:val="0"/>
        <w:spacing w:line="400" w:lineRule="exact"/>
        <w:ind w:firstLine="482" w:firstLineChars="200"/>
        <w:rPr>
          <w:rFonts w:ascii="仿宋" w:hAnsi="仿宋" w:eastAsia="仿宋"/>
          <w:b/>
          <w:bCs/>
          <w:sz w:val="24"/>
          <w:szCs w:val="24"/>
        </w:rPr>
      </w:pPr>
      <w:r>
        <w:rPr>
          <w:rFonts w:hint="eastAsia" w:ascii="仿宋" w:hAnsi="仿宋" w:eastAsia="仿宋"/>
          <w:b/>
          <w:bCs/>
          <w:sz w:val="24"/>
          <w:szCs w:val="24"/>
        </w:rPr>
        <w:t>一、质疑供应商基本信息：</w:t>
      </w:r>
    </w:p>
    <w:p>
      <w:pPr>
        <w:pStyle w:val="28"/>
        <w:snapToGrid w:val="0"/>
        <w:spacing w:line="400" w:lineRule="exact"/>
        <w:ind w:firstLine="480" w:firstLineChars="200"/>
        <w:rPr>
          <w:rFonts w:ascii="仿宋" w:hAnsi="仿宋" w:eastAsia="仿宋"/>
          <w:bCs/>
          <w:sz w:val="24"/>
          <w:szCs w:val="24"/>
          <w:u w:val="single"/>
        </w:rPr>
      </w:pPr>
      <w:r>
        <w:rPr>
          <w:rFonts w:hint="eastAsia" w:ascii="仿宋" w:hAnsi="仿宋" w:eastAsia="仿宋"/>
          <w:bCs/>
          <w:sz w:val="24"/>
          <w:szCs w:val="24"/>
        </w:rPr>
        <w:t>质疑供应商：</w:t>
      </w:r>
    </w:p>
    <w:p>
      <w:pPr>
        <w:pStyle w:val="28"/>
        <w:snapToGrid w:val="0"/>
        <w:spacing w:line="400" w:lineRule="exact"/>
        <w:ind w:firstLine="480" w:firstLineChars="200"/>
        <w:rPr>
          <w:rFonts w:ascii="仿宋" w:hAnsi="仿宋" w:eastAsia="仿宋"/>
          <w:bCs/>
          <w:sz w:val="24"/>
          <w:szCs w:val="24"/>
        </w:rPr>
      </w:pPr>
      <w:r>
        <w:rPr>
          <w:rFonts w:ascii="仿宋" w:hAnsi="仿宋" w:eastAsia="仿宋"/>
          <w:bCs/>
          <w:sz w:val="24"/>
          <w:szCs w:val="24"/>
        </w:rPr>
        <w:t>地址</w:t>
      </w:r>
      <w:r>
        <w:rPr>
          <w:rFonts w:hint="eastAsia" w:ascii="仿宋" w:hAnsi="仿宋" w:eastAsia="仿宋"/>
          <w:bCs/>
          <w:sz w:val="24"/>
          <w:szCs w:val="24"/>
        </w:rPr>
        <w:t>：</w:t>
      </w:r>
      <w:r>
        <w:rPr>
          <w:rFonts w:ascii="仿宋" w:hAnsi="仿宋" w:eastAsia="仿宋"/>
          <w:bCs/>
          <w:sz w:val="24"/>
          <w:szCs w:val="24"/>
        </w:rPr>
        <w:t>邮编</w:t>
      </w:r>
      <w:r>
        <w:rPr>
          <w:rFonts w:hint="eastAsia" w:ascii="仿宋" w:hAnsi="仿宋" w:eastAsia="仿宋"/>
          <w:bCs/>
          <w:sz w:val="24"/>
          <w:szCs w:val="24"/>
        </w:rPr>
        <w:t>：</w:t>
      </w:r>
    </w:p>
    <w:p>
      <w:pPr>
        <w:pStyle w:val="28"/>
        <w:snapToGrid w:val="0"/>
        <w:spacing w:line="400" w:lineRule="exact"/>
        <w:ind w:firstLine="480" w:firstLineChars="200"/>
        <w:rPr>
          <w:rFonts w:ascii="仿宋" w:hAnsi="仿宋" w:eastAsia="仿宋"/>
          <w:bCs/>
          <w:sz w:val="24"/>
          <w:szCs w:val="24"/>
        </w:rPr>
      </w:pPr>
      <w:r>
        <w:rPr>
          <w:rFonts w:ascii="仿宋" w:hAnsi="仿宋" w:eastAsia="仿宋"/>
          <w:bCs/>
          <w:sz w:val="24"/>
          <w:szCs w:val="24"/>
        </w:rPr>
        <w:t>联系人</w:t>
      </w:r>
      <w:r>
        <w:rPr>
          <w:rFonts w:hint="eastAsia" w:ascii="仿宋" w:hAnsi="仿宋" w:eastAsia="仿宋"/>
          <w:bCs/>
          <w:sz w:val="24"/>
          <w:szCs w:val="24"/>
        </w:rPr>
        <w:t>：</w:t>
      </w:r>
      <w:r>
        <w:rPr>
          <w:rFonts w:ascii="仿宋" w:hAnsi="仿宋" w:eastAsia="仿宋"/>
          <w:bCs/>
          <w:sz w:val="24"/>
          <w:szCs w:val="24"/>
        </w:rPr>
        <w:t>联系电话</w:t>
      </w:r>
      <w:r>
        <w:rPr>
          <w:rFonts w:hint="eastAsia" w:ascii="仿宋" w:hAnsi="仿宋" w:eastAsia="仿宋"/>
          <w:bCs/>
          <w:sz w:val="24"/>
          <w:szCs w:val="24"/>
        </w:rPr>
        <w:t>：</w:t>
      </w:r>
    </w:p>
    <w:p>
      <w:pPr>
        <w:pStyle w:val="28"/>
        <w:snapToGrid w:val="0"/>
        <w:spacing w:line="400" w:lineRule="exact"/>
        <w:ind w:firstLine="480" w:firstLineChars="200"/>
        <w:rPr>
          <w:rFonts w:ascii="仿宋" w:hAnsi="仿宋" w:eastAsia="仿宋"/>
          <w:bCs/>
          <w:sz w:val="24"/>
          <w:szCs w:val="24"/>
        </w:rPr>
      </w:pPr>
      <w:r>
        <w:rPr>
          <w:rFonts w:hint="eastAsia" w:ascii="仿宋" w:hAnsi="仿宋" w:eastAsia="仿宋"/>
          <w:bCs/>
          <w:sz w:val="24"/>
          <w:szCs w:val="24"/>
        </w:rPr>
        <w:t>授权代表：</w:t>
      </w:r>
      <w:r>
        <w:rPr>
          <w:rFonts w:ascii="仿宋" w:hAnsi="仿宋" w:eastAsia="仿宋"/>
          <w:bCs/>
          <w:sz w:val="24"/>
          <w:szCs w:val="24"/>
        </w:rPr>
        <w:t>联系</w:t>
      </w:r>
      <w:r>
        <w:rPr>
          <w:rFonts w:hint="eastAsia" w:ascii="仿宋" w:hAnsi="仿宋" w:eastAsia="仿宋"/>
          <w:bCs/>
          <w:sz w:val="24"/>
          <w:szCs w:val="24"/>
        </w:rPr>
        <w:t>电话：</w:t>
      </w:r>
    </w:p>
    <w:p>
      <w:pPr>
        <w:pStyle w:val="28"/>
        <w:snapToGrid w:val="0"/>
        <w:spacing w:line="400" w:lineRule="exact"/>
        <w:ind w:firstLine="480" w:firstLineChars="200"/>
        <w:rPr>
          <w:rFonts w:ascii="仿宋" w:hAnsi="仿宋" w:eastAsia="仿宋"/>
          <w:bCs/>
          <w:sz w:val="24"/>
          <w:szCs w:val="24"/>
        </w:rPr>
      </w:pPr>
      <w:r>
        <w:rPr>
          <w:rFonts w:ascii="仿宋" w:hAnsi="仿宋" w:eastAsia="仿宋"/>
          <w:bCs/>
          <w:sz w:val="24"/>
          <w:szCs w:val="24"/>
        </w:rPr>
        <w:t>地址</w:t>
      </w:r>
      <w:r>
        <w:rPr>
          <w:rFonts w:hint="eastAsia" w:ascii="仿宋" w:hAnsi="仿宋" w:eastAsia="仿宋"/>
          <w:bCs/>
          <w:sz w:val="24"/>
          <w:szCs w:val="24"/>
        </w:rPr>
        <w:t>：</w:t>
      </w:r>
      <w:r>
        <w:rPr>
          <w:rFonts w:ascii="仿宋" w:hAnsi="仿宋" w:eastAsia="仿宋"/>
          <w:bCs/>
          <w:sz w:val="24"/>
          <w:szCs w:val="24"/>
        </w:rPr>
        <w:t>邮编</w:t>
      </w:r>
      <w:r>
        <w:rPr>
          <w:rFonts w:hint="eastAsia" w:ascii="仿宋" w:hAnsi="仿宋" w:eastAsia="仿宋"/>
          <w:bCs/>
          <w:sz w:val="24"/>
          <w:szCs w:val="24"/>
        </w:rPr>
        <w:t>：</w:t>
      </w:r>
    </w:p>
    <w:p>
      <w:pPr>
        <w:pStyle w:val="28"/>
        <w:snapToGrid w:val="0"/>
        <w:spacing w:line="400" w:lineRule="exact"/>
        <w:ind w:firstLine="482" w:firstLineChars="200"/>
        <w:rPr>
          <w:rFonts w:ascii="仿宋" w:hAnsi="仿宋" w:eastAsia="仿宋"/>
          <w:b/>
          <w:bCs/>
          <w:sz w:val="24"/>
          <w:szCs w:val="24"/>
        </w:rPr>
      </w:pPr>
      <w:r>
        <w:rPr>
          <w:rFonts w:hint="eastAsia" w:ascii="仿宋" w:hAnsi="仿宋" w:eastAsia="仿宋"/>
          <w:b/>
          <w:bCs/>
          <w:sz w:val="24"/>
          <w:szCs w:val="24"/>
        </w:rPr>
        <w:t>二、质疑项目基本情况：</w:t>
      </w:r>
    </w:p>
    <w:p>
      <w:pPr>
        <w:pStyle w:val="28"/>
        <w:spacing w:line="400" w:lineRule="exact"/>
        <w:ind w:left="25" w:leftChars="12" w:firstLine="472" w:firstLineChars="197"/>
        <w:rPr>
          <w:rFonts w:ascii="仿宋" w:hAnsi="仿宋" w:eastAsia="仿宋"/>
          <w:sz w:val="24"/>
          <w:szCs w:val="24"/>
        </w:rPr>
      </w:pPr>
      <w:r>
        <w:rPr>
          <w:rFonts w:hint="eastAsia" w:ascii="仿宋" w:hAnsi="仿宋" w:eastAsia="仿宋"/>
          <w:bCs/>
          <w:sz w:val="24"/>
          <w:szCs w:val="24"/>
        </w:rPr>
        <w:t>质疑</w:t>
      </w:r>
      <w:r>
        <w:rPr>
          <w:rFonts w:hint="eastAsia" w:ascii="仿宋" w:hAnsi="仿宋" w:eastAsia="仿宋"/>
          <w:sz w:val="24"/>
          <w:szCs w:val="24"/>
        </w:rPr>
        <w:t>项目的名称：</w:t>
      </w:r>
    </w:p>
    <w:p>
      <w:pPr>
        <w:pStyle w:val="28"/>
        <w:spacing w:line="400" w:lineRule="exact"/>
        <w:ind w:left="25" w:leftChars="12" w:firstLine="472" w:firstLineChars="197"/>
        <w:rPr>
          <w:rFonts w:ascii="仿宋" w:hAnsi="仿宋" w:eastAsia="仿宋"/>
          <w:sz w:val="24"/>
          <w:szCs w:val="24"/>
        </w:rPr>
      </w:pPr>
      <w:r>
        <w:rPr>
          <w:rFonts w:hint="eastAsia" w:ascii="仿宋" w:hAnsi="仿宋" w:eastAsia="仿宋"/>
          <w:bCs/>
          <w:sz w:val="24"/>
          <w:szCs w:val="24"/>
        </w:rPr>
        <w:t>质疑</w:t>
      </w:r>
      <w:r>
        <w:rPr>
          <w:rFonts w:hint="eastAsia" w:ascii="仿宋" w:hAnsi="仿宋" w:eastAsia="仿宋"/>
          <w:sz w:val="24"/>
          <w:szCs w:val="24"/>
        </w:rPr>
        <w:t>项目的编号：</w:t>
      </w:r>
    </w:p>
    <w:p>
      <w:pPr>
        <w:pStyle w:val="28"/>
        <w:spacing w:line="400" w:lineRule="exact"/>
        <w:ind w:left="25" w:leftChars="12" w:firstLine="472" w:firstLineChars="197"/>
        <w:rPr>
          <w:rFonts w:ascii="仿宋" w:hAnsi="仿宋" w:eastAsia="仿宋"/>
          <w:sz w:val="24"/>
          <w:szCs w:val="24"/>
        </w:rPr>
      </w:pPr>
      <w:r>
        <w:rPr>
          <w:rFonts w:hint="eastAsia" w:ascii="仿宋" w:hAnsi="仿宋" w:eastAsia="仿宋"/>
          <w:sz w:val="24"/>
          <w:szCs w:val="24"/>
        </w:rPr>
        <w:t>采购人名称：</w:t>
      </w:r>
    </w:p>
    <w:p>
      <w:pPr>
        <w:pStyle w:val="28"/>
        <w:spacing w:line="400" w:lineRule="exact"/>
        <w:ind w:left="25" w:leftChars="12" w:firstLine="472" w:firstLineChars="197"/>
        <w:rPr>
          <w:rFonts w:ascii="仿宋" w:hAnsi="仿宋" w:eastAsia="仿宋"/>
          <w:sz w:val="24"/>
          <w:szCs w:val="24"/>
        </w:rPr>
      </w:pPr>
      <w:r>
        <w:rPr>
          <w:rFonts w:hint="eastAsia" w:ascii="仿宋" w:hAnsi="仿宋" w:eastAsia="仿宋"/>
          <w:sz w:val="24"/>
          <w:szCs w:val="24"/>
        </w:rPr>
        <w:t>质疑事项：</w:t>
      </w:r>
    </w:p>
    <w:p>
      <w:pPr>
        <w:pStyle w:val="28"/>
        <w:spacing w:line="400" w:lineRule="exact"/>
        <w:ind w:left="25" w:leftChars="12" w:firstLine="472" w:firstLineChars="197"/>
        <w:rPr>
          <w:rFonts w:ascii="仿宋" w:hAnsi="仿宋" w:eastAsia="仿宋"/>
          <w:b/>
          <w:sz w:val="24"/>
          <w:szCs w:val="24"/>
        </w:rPr>
      </w:pPr>
      <w:r>
        <w:rPr>
          <w:rFonts w:hint="eastAsia" w:ascii="仿宋" w:hAnsi="仿宋" w:eastAsia="仿宋"/>
          <w:sz w:val="24"/>
          <w:szCs w:val="24"/>
        </w:rPr>
        <w:t>□招标文件   招标文件获取日期：</w:t>
      </w:r>
    </w:p>
    <w:p>
      <w:pPr>
        <w:pStyle w:val="28"/>
        <w:spacing w:line="400" w:lineRule="exact"/>
        <w:ind w:left="25" w:leftChars="12" w:firstLine="472" w:firstLineChars="197"/>
        <w:rPr>
          <w:rFonts w:ascii="仿宋" w:hAnsi="仿宋" w:eastAsia="仿宋"/>
          <w:sz w:val="24"/>
          <w:szCs w:val="24"/>
        </w:rPr>
      </w:pPr>
      <w:r>
        <w:rPr>
          <w:rFonts w:hint="eastAsia" w:ascii="仿宋" w:hAnsi="仿宋" w:eastAsia="仿宋"/>
          <w:sz w:val="24"/>
          <w:szCs w:val="24"/>
        </w:rPr>
        <w:t xml:space="preserve">□采购过程   </w:t>
      </w:r>
    </w:p>
    <w:p>
      <w:pPr>
        <w:pStyle w:val="28"/>
        <w:spacing w:line="400" w:lineRule="exact"/>
        <w:ind w:left="25" w:leftChars="12" w:firstLine="472" w:firstLineChars="197"/>
        <w:rPr>
          <w:rFonts w:ascii="仿宋" w:hAnsi="仿宋" w:eastAsia="仿宋"/>
          <w:bCs/>
          <w:sz w:val="24"/>
          <w:szCs w:val="24"/>
          <w:u w:val="single"/>
        </w:rPr>
      </w:pPr>
      <w:r>
        <w:rPr>
          <w:rFonts w:hint="eastAsia" w:ascii="仿宋" w:hAnsi="仿宋" w:eastAsia="仿宋"/>
          <w:sz w:val="24"/>
          <w:szCs w:val="24"/>
        </w:rPr>
        <w:t xml:space="preserve">□中标结果   </w:t>
      </w:r>
    </w:p>
    <w:p>
      <w:pPr>
        <w:pStyle w:val="28"/>
        <w:spacing w:line="400" w:lineRule="exact"/>
        <w:ind w:left="25" w:leftChars="12" w:firstLine="472" w:firstLineChars="196"/>
        <w:rPr>
          <w:rFonts w:ascii="仿宋" w:hAnsi="仿宋" w:eastAsia="仿宋"/>
          <w:b/>
          <w:sz w:val="24"/>
          <w:szCs w:val="24"/>
        </w:rPr>
      </w:pPr>
      <w:r>
        <w:rPr>
          <w:rFonts w:hint="eastAsia" w:ascii="仿宋" w:hAnsi="仿宋" w:eastAsia="仿宋"/>
          <w:b/>
          <w:sz w:val="24"/>
          <w:szCs w:val="24"/>
        </w:rPr>
        <w:t>三、质疑事项具体内容</w:t>
      </w:r>
    </w:p>
    <w:p>
      <w:pPr>
        <w:pStyle w:val="28"/>
        <w:spacing w:line="400" w:lineRule="exact"/>
        <w:ind w:left="25" w:leftChars="12" w:firstLine="472" w:firstLineChars="197"/>
        <w:rPr>
          <w:rFonts w:ascii="仿宋" w:hAnsi="仿宋" w:eastAsia="仿宋"/>
          <w:sz w:val="24"/>
          <w:szCs w:val="24"/>
        </w:rPr>
      </w:pPr>
      <w:r>
        <w:rPr>
          <w:rFonts w:hint="eastAsia" w:ascii="仿宋" w:hAnsi="仿宋" w:eastAsia="仿宋"/>
          <w:sz w:val="24"/>
          <w:szCs w:val="24"/>
        </w:rPr>
        <w:t>质疑事项1：</w:t>
      </w:r>
    </w:p>
    <w:p>
      <w:pPr>
        <w:pStyle w:val="28"/>
        <w:spacing w:line="400" w:lineRule="exact"/>
        <w:ind w:left="25" w:leftChars="12" w:firstLine="472" w:firstLineChars="197"/>
        <w:rPr>
          <w:rFonts w:ascii="仿宋" w:hAnsi="仿宋" w:eastAsia="仿宋"/>
          <w:sz w:val="24"/>
          <w:szCs w:val="24"/>
        </w:rPr>
      </w:pPr>
      <w:r>
        <w:rPr>
          <w:rFonts w:hint="eastAsia" w:ascii="仿宋" w:hAnsi="仿宋" w:eastAsia="仿宋"/>
          <w:sz w:val="24"/>
          <w:szCs w:val="24"/>
        </w:rPr>
        <w:t>事实依据：</w:t>
      </w:r>
    </w:p>
    <w:p>
      <w:pPr>
        <w:pStyle w:val="28"/>
        <w:spacing w:line="400" w:lineRule="exact"/>
        <w:ind w:left="25" w:leftChars="12" w:firstLine="472" w:firstLineChars="197"/>
        <w:rPr>
          <w:rFonts w:ascii="仿宋" w:hAnsi="仿宋" w:eastAsia="仿宋"/>
          <w:sz w:val="24"/>
          <w:szCs w:val="24"/>
        </w:rPr>
      </w:pPr>
      <w:r>
        <w:rPr>
          <w:rFonts w:hint="eastAsia" w:ascii="仿宋" w:hAnsi="仿宋" w:eastAsia="仿宋"/>
          <w:sz w:val="24"/>
          <w:szCs w:val="24"/>
        </w:rPr>
        <w:t>法律依据：</w:t>
      </w:r>
    </w:p>
    <w:p>
      <w:pPr>
        <w:pStyle w:val="28"/>
        <w:spacing w:line="400" w:lineRule="exact"/>
        <w:ind w:left="25" w:leftChars="12" w:firstLine="472" w:firstLineChars="197"/>
        <w:rPr>
          <w:rFonts w:ascii="仿宋" w:hAnsi="仿宋" w:eastAsia="仿宋"/>
          <w:sz w:val="24"/>
          <w:szCs w:val="24"/>
        </w:rPr>
      </w:pPr>
      <w:r>
        <w:rPr>
          <w:rFonts w:hint="eastAsia" w:ascii="仿宋" w:hAnsi="仿宋" w:eastAsia="仿宋"/>
          <w:sz w:val="24"/>
          <w:szCs w:val="24"/>
        </w:rPr>
        <w:t>质疑事项2：</w:t>
      </w:r>
    </w:p>
    <w:p>
      <w:pPr>
        <w:pStyle w:val="28"/>
        <w:spacing w:line="400" w:lineRule="exact"/>
        <w:ind w:left="25" w:leftChars="12" w:firstLine="472" w:firstLineChars="197"/>
        <w:rPr>
          <w:rFonts w:ascii="仿宋" w:hAnsi="仿宋" w:eastAsia="仿宋"/>
          <w:sz w:val="24"/>
          <w:szCs w:val="24"/>
        </w:rPr>
      </w:pPr>
      <w:r>
        <w:rPr>
          <w:rFonts w:ascii="仿宋" w:hAnsi="仿宋" w:eastAsia="仿宋"/>
          <w:sz w:val="24"/>
          <w:szCs w:val="24"/>
        </w:rPr>
        <w:t>……</w:t>
      </w:r>
    </w:p>
    <w:p>
      <w:pPr>
        <w:pStyle w:val="28"/>
        <w:spacing w:line="400" w:lineRule="exact"/>
        <w:ind w:left="25" w:leftChars="12" w:firstLine="472" w:firstLineChars="197"/>
        <w:rPr>
          <w:rFonts w:ascii="仿宋" w:hAnsi="仿宋" w:eastAsia="仿宋"/>
          <w:sz w:val="24"/>
          <w:szCs w:val="24"/>
        </w:rPr>
      </w:pPr>
      <w:r>
        <w:rPr>
          <w:rFonts w:hint="eastAsia" w:ascii="仿宋" w:hAnsi="仿宋" w:eastAsia="仿宋"/>
          <w:sz w:val="24"/>
          <w:szCs w:val="24"/>
        </w:rPr>
        <w:t>四、与质疑事项相关的质疑请求：</w:t>
      </w:r>
    </w:p>
    <w:p>
      <w:pPr>
        <w:pStyle w:val="28"/>
        <w:spacing w:line="400" w:lineRule="exact"/>
        <w:ind w:left="25" w:leftChars="12" w:firstLine="472" w:firstLineChars="197"/>
        <w:rPr>
          <w:rFonts w:ascii="仿宋" w:hAnsi="仿宋" w:eastAsia="仿宋"/>
          <w:sz w:val="24"/>
          <w:szCs w:val="24"/>
        </w:rPr>
      </w:pPr>
      <w:r>
        <w:rPr>
          <w:rFonts w:hint="eastAsia" w:ascii="仿宋" w:hAnsi="仿宋" w:eastAsia="仿宋"/>
          <w:sz w:val="24"/>
          <w:szCs w:val="24"/>
        </w:rPr>
        <w:t>请求：</w:t>
      </w:r>
    </w:p>
    <w:p>
      <w:pPr>
        <w:pStyle w:val="28"/>
        <w:spacing w:line="400" w:lineRule="exact"/>
        <w:ind w:left="25" w:leftChars="12" w:firstLine="352" w:firstLineChars="147"/>
        <w:rPr>
          <w:rFonts w:ascii="仿宋" w:hAnsi="仿宋" w:eastAsia="仿宋"/>
          <w:sz w:val="24"/>
          <w:szCs w:val="24"/>
        </w:rPr>
      </w:pPr>
    </w:p>
    <w:p>
      <w:pPr>
        <w:pStyle w:val="28"/>
        <w:spacing w:line="400" w:lineRule="exact"/>
        <w:ind w:left="25" w:leftChars="12" w:firstLine="472" w:firstLineChars="197"/>
        <w:rPr>
          <w:rFonts w:ascii="仿宋" w:hAnsi="仿宋" w:eastAsia="仿宋"/>
          <w:sz w:val="24"/>
          <w:szCs w:val="24"/>
        </w:rPr>
      </w:pPr>
      <w:r>
        <w:rPr>
          <w:rFonts w:hint="eastAsia" w:ascii="仿宋" w:hAnsi="仿宋" w:eastAsia="仿宋"/>
          <w:sz w:val="24"/>
          <w:szCs w:val="24"/>
        </w:rPr>
        <w:t>签字（签章）：</w:t>
      </w:r>
    </w:p>
    <w:p>
      <w:pPr>
        <w:pStyle w:val="28"/>
        <w:spacing w:line="400" w:lineRule="exact"/>
        <w:ind w:left="25" w:leftChars="12" w:firstLine="472" w:firstLineChars="197"/>
        <w:rPr>
          <w:rFonts w:ascii="仿宋" w:hAnsi="仿宋" w:eastAsia="仿宋"/>
          <w:sz w:val="24"/>
          <w:szCs w:val="24"/>
        </w:rPr>
      </w:pPr>
      <w:r>
        <w:rPr>
          <w:rFonts w:hint="eastAsia" w:ascii="仿宋" w:hAnsi="仿宋" w:eastAsia="仿宋"/>
          <w:sz w:val="24"/>
          <w:szCs w:val="24"/>
        </w:rPr>
        <w:t>公章：</w:t>
      </w:r>
    </w:p>
    <w:p>
      <w:pPr>
        <w:pStyle w:val="28"/>
        <w:spacing w:line="400" w:lineRule="exact"/>
        <w:ind w:left="25" w:leftChars="12" w:firstLine="472" w:firstLineChars="197"/>
        <w:rPr>
          <w:rFonts w:ascii="仿宋" w:hAnsi="仿宋" w:eastAsia="仿宋"/>
          <w:sz w:val="24"/>
          <w:szCs w:val="24"/>
        </w:rPr>
      </w:pPr>
      <w:r>
        <w:rPr>
          <w:rFonts w:hint="eastAsia" w:ascii="仿宋" w:hAnsi="仿宋" w:eastAsia="仿宋"/>
          <w:sz w:val="24"/>
          <w:szCs w:val="24"/>
        </w:rPr>
        <w:t>日期：</w:t>
      </w:r>
    </w:p>
    <w:p>
      <w:pPr>
        <w:pStyle w:val="28"/>
        <w:snapToGrid w:val="0"/>
        <w:spacing w:line="360" w:lineRule="exact"/>
        <w:rPr>
          <w:rFonts w:ascii="仿宋" w:hAnsi="仿宋" w:eastAsia="仿宋"/>
          <w:b/>
          <w:sz w:val="24"/>
          <w:szCs w:val="24"/>
        </w:rPr>
      </w:pPr>
      <w:r>
        <w:rPr>
          <w:rFonts w:hint="eastAsia" w:ascii="仿宋" w:hAnsi="仿宋" w:eastAsia="仿宋"/>
          <w:b/>
          <w:sz w:val="24"/>
          <w:szCs w:val="24"/>
        </w:rPr>
        <w:t>说明：</w:t>
      </w:r>
    </w:p>
    <w:p>
      <w:pPr>
        <w:pStyle w:val="28"/>
        <w:spacing w:line="360" w:lineRule="exact"/>
        <w:ind w:left="25" w:leftChars="12" w:firstLine="354" w:firstLineChars="147"/>
        <w:rPr>
          <w:rFonts w:ascii="仿宋" w:hAnsi="仿宋" w:eastAsia="仿宋"/>
          <w:b/>
          <w:bCs/>
          <w:sz w:val="24"/>
          <w:szCs w:val="24"/>
        </w:rPr>
      </w:pPr>
      <w:r>
        <w:rPr>
          <w:rFonts w:hint="eastAsia" w:ascii="仿宋" w:hAnsi="仿宋" w:eastAsia="仿宋"/>
          <w:b/>
          <w:sz w:val="24"/>
          <w:szCs w:val="24"/>
        </w:rPr>
        <w:t>1.供应商提出质疑时，应提交质疑函和必要的证明材料</w:t>
      </w:r>
      <w:r>
        <w:rPr>
          <w:rFonts w:hint="eastAsia" w:ascii="仿宋" w:hAnsi="仿宋" w:eastAsia="仿宋"/>
          <w:b/>
          <w:bCs/>
          <w:sz w:val="24"/>
          <w:szCs w:val="24"/>
        </w:rPr>
        <w:t>。</w:t>
      </w:r>
    </w:p>
    <w:p>
      <w:pPr>
        <w:pStyle w:val="28"/>
        <w:spacing w:line="360" w:lineRule="exact"/>
        <w:ind w:left="25" w:leftChars="12" w:firstLine="354" w:firstLineChars="147"/>
        <w:rPr>
          <w:rFonts w:ascii="仿宋" w:hAnsi="仿宋" w:eastAsia="仿宋"/>
          <w:b/>
          <w:sz w:val="24"/>
          <w:szCs w:val="24"/>
        </w:rPr>
      </w:pPr>
      <w:r>
        <w:rPr>
          <w:rFonts w:hint="eastAsia" w:ascii="仿宋" w:hAnsi="仿宋" w:eastAsia="仿宋"/>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28"/>
        <w:spacing w:line="360" w:lineRule="exact"/>
        <w:ind w:left="25" w:leftChars="12" w:firstLine="354" w:firstLineChars="147"/>
        <w:rPr>
          <w:rFonts w:ascii="仿宋" w:hAnsi="仿宋" w:eastAsia="仿宋"/>
          <w:b/>
          <w:sz w:val="24"/>
          <w:szCs w:val="24"/>
        </w:rPr>
      </w:pPr>
      <w:r>
        <w:rPr>
          <w:rFonts w:hint="eastAsia" w:ascii="仿宋" w:hAnsi="仿宋" w:eastAsia="仿宋"/>
          <w:b/>
          <w:sz w:val="24"/>
          <w:szCs w:val="24"/>
        </w:rPr>
        <w:t>3.质疑函的质疑事项应具体、明确，并有必要的事实依据和法律依据。</w:t>
      </w:r>
    </w:p>
    <w:p>
      <w:pPr>
        <w:pStyle w:val="28"/>
        <w:spacing w:line="360" w:lineRule="exact"/>
        <w:ind w:left="25" w:leftChars="12" w:firstLine="354" w:firstLineChars="147"/>
        <w:rPr>
          <w:rFonts w:ascii="仿宋" w:hAnsi="仿宋" w:eastAsia="仿宋"/>
          <w:b/>
          <w:sz w:val="24"/>
          <w:szCs w:val="24"/>
        </w:rPr>
      </w:pPr>
      <w:r>
        <w:rPr>
          <w:rFonts w:hint="eastAsia" w:ascii="仿宋" w:hAnsi="仿宋" w:eastAsia="仿宋"/>
          <w:b/>
          <w:sz w:val="24"/>
          <w:szCs w:val="24"/>
        </w:rPr>
        <w:t>4.质疑函的质疑请求应与质疑事项相关。</w:t>
      </w:r>
    </w:p>
    <w:p>
      <w:pPr>
        <w:pStyle w:val="28"/>
        <w:spacing w:line="360" w:lineRule="exact"/>
        <w:ind w:left="25" w:leftChars="12" w:firstLine="354" w:firstLineChars="147"/>
        <w:rPr>
          <w:rFonts w:ascii="仿宋" w:hAnsi="仿宋" w:eastAsia="仿宋"/>
          <w:b/>
          <w:bCs/>
          <w:sz w:val="24"/>
          <w:szCs w:val="24"/>
        </w:rPr>
      </w:pPr>
      <w:r>
        <w:rPr>
          <w:rFonts w:hint="eastAsia" w:ascii="仿宋" w:hAnsi="仿宋" w:eastAsia="仿宋"/>
          <w:b/>
          <w:sz w:val="24"/>
          <w:szCs w:val="24"/>
        </w:rPr>
        <w:t>5.质疑供应商为法人或者其他组织的，质疑函应由法定代表人、主要负责人，或者其授权代表签字或者盖章，并加盖公章。</w:t>
      </w:r>
    </w:p>
    <w:p>
      <w:pPr>
        <w:spacing w:line="360" w:lineRule="auto"/>
        <w:jc w:val="left"/>
        <w:rPr>
          <w:rFonts w:ascii="仿宋" w:hAnsi="仿宋" w:eastAsia="仿宋"/>
          <w:b/>
          <w:bCs/>
          <w:sz w:val="32"/>
          <w:szCs w:val="32"/>
        </w:rPr>
      </w:pPr>
      <w:r>
        <w:rPr>
          <w:rFonts w:ascii="仿宋" w:hAnsi="仿宋" w:eastAsia="仿宋"/>
          <w:sz w:val="44"/>
        </w:rPr>
        <w:br w:type="page"/>
      </w:r>
      <w:r>
        <w:rPr>
          <w:rFonts w:hint="eastAsia" w:ascii="仿宋" w:hAnsi="仿宋" w:eastAsia="仿宋"/>
          <w:b/>
          <w:sz w:val="24"/>
        </w:rPr>
        <w:t>5.投诉书格式</w:t>
      </w:r>
    </w:p>
    <w:p>
      <w:pPr>
        <w:spacing w:line="500" w:lineRule="exact"/>
        <w:jc w:val="center"/>
        <w:rPr>
          <w:rFonts w:ascii="仿宋" w:hAnsi="仿宋" w:eastAsia="仿宋" w:cs="方正小标宋简体"/>
          <w:b/>
          <w:sz w:val="36"/>
          <w:szCs w:val="36"/>
        </w:rPr>
      </w:pPr>
      <w:r>
        <w:rPr>
          <w:rFonts w:hint="eastAsia" w:ascii="仿宋" w:hAnsi="仿宋" w:eastAsia="仿宋" w:cs="方正小标宋简体"/>
          <w:b/>
          <w:sz w:val="36"/>
          <w:szCs w:val="36"/>
        </w:rPr>
        <w:t>投诉书</w:t>
      </w:r>
    </w:p>
    <w:p>
      <w:pPr>
        <w:pStyle w:val="28"/>
        <w:snapToGrid w:val="0"/>
        <w:spacing w:line="400" w:lineRule="exact"/>
        <w:ind w:firstLine="482" w:firstLineChars="200"/>
        <w:rPr>
          <w:rFonts w:ascii="仿宋" w:hAnsi="仿宋" w:eastAsia="仿宋"/>
          <w:b/>
          <w:bCs/>
          <w:sz w:val="24"/>
          <w:szCs w:val="24"/>
        </w:rPr>
      </w:pPr>
      <w:r>
        <w:rPr>
          <w:rFonts w:hint="eastAsia" w:ascii="仿宋" w:hAnsi="仿宋" w:eastAsia="仿宋"/>
          <w:b/>
          <w:bCs/>
          <w:sz w:val="24"/>
          <w:szCs w:val="24"/>
        </w:rPr>
        <w:t>一、投诉相关主体基本情况：</w:t>
      </w:r>
    </w:p>
    <w:p>
      <w:pPr>
        <w:pStyle w:val="28"/>
        <w:snapToGrid w:val="0"/>
        <w:spacing w:line="400" w:lineRule="exact"/>
        <w:ind w:firstLine="480" w:firstLineChars="200"/>
        <w:jc w:val="left"/>
        <w:rPr>
          <w:rFonts w:ascii="仿宋" w:hAnsi="仿宋" w:eastAsia="仿宋"/>
          <w:bCs/>
          <w:sz w:val="24"/>
          <w:szCs w:val="24"/>
          <w:u w:val="single"/>
        </w:rPr>
      </w:pPr>
      <w:r>
        <w:rPr>
          <w:rFonts w:hint="eastAsia" w:ascii="仿宋" w:hAnsi="仿宋" w:eastAsia="仿宋"/>
          <w:bCs/>
          <w:sz w:val="24"/>
          <w:szCs w:val="24"/>
        </w:rPr>
        <w:t>投标人：</w:t>
      </w:r>
    </w:p>
    <w:p>
      <w:pPr>
        <w:pStyle w:val="28"/>
        <w:snapToGrid w:val="0"/>
        <w:spacing w:line="400" w:lineRule="exact"/>
        <w:ind w:firstLine="480" w:firstLineChars="200"/>
        <w:jc w:val="left"/>
        <w:rPr>
          <w:rFonts w:ascii="仿宋" w:hAnsi="仿宋" w:eastAsia="仿宋"/>
          <w:bCs/>
          <w:sz w:val="24"/>
          <w:szCs w:val="24"/>
        </w:rPr>
      </w:pPr>
      <w:r>
        <w:rPr>
          <w:rFonts w:ascii="仿宋" w:hAnsi="仿宋" w:eastAsia="仿宋"/>
          <w:bCs/>
          <w:sz w:val="24"/>
          <w:szCs w:val="24"/>
        </w:rPr>
        <w:t>地址</w:t>
      </w:r>
      <w:r>
        <w:rPr>
          <w:rFonts w:hint="eastAsia" w:ascii="仿宋" w:hAnsi="仿宋" w:eastAsia="仿宋"/>
          <w:bCs/>
          <w:sz w:val="24"/>
          <w:szCs w:val="24"/>
        </w:rPr>
        <w:t>：</w:t>
      </w:r>
      <w:r>
        <w:rPr>
          <w:rFonts w:ascii="仿宋" w:hAnsi="仿宋" w:eastAsia="仿宋"/>
          <w:bCs/>
          <w:sz w:val="24"/>
          <w:szCs w:val="24"/>
        </w:rPr>
        <w:t>邮编</w:t>
      </w:r>
      <w:r>
        <w:rPr>
          <w:rFonts w:hint="eastAsia" w:ascii="仿宋" w:hAnsi="仿宋" w:eastAsia="仿宋"/>
          <w:bCs/>
          <w:sz w:val="24"/>
          <w:szCs w:val="24"/>
        </w:rPr>
        <w:t>：</w:t>
      </w:r>
    </w:p>
    <w:p>
      <w:pPr>
        <w:pStyle w:val="28"/>
        <w:snapToGrid w:val="0"/>
        <w:spacing w:line="400" w:lineRule="exact"/>
        <w:ind w:firstLine="480" w:firstLineChars="200"/>
        <w:jc w:val="left"/>
        <w:rPr>
          <w:rFonts w:ascii="仿宋" w:hAnsi="仿宋" w:eastAsia="仿宋"/>
          <w:bCs/>
          <w:sz w:val="24"/>
          <w:szCs w:val="24"/>
          <w:u w:val="single"/>
        </w:rPr>
      </w:pPr>
      <w:r>
        <w:rPr>
          <w:rFonts w:hint="eastAsia" w:ascii="仿宋" w:hAnsi="仿宋" w:eastAsia="仿宋"/>
          <w:bCs/>
          <w:sz w:val="24"/>
          <w:szCs w:val="24"/>
        </w:rPr>
        <w:t>法定代表人/主要负责人：</w:t>
      </w:r>
    </w:p>
    <w:p>
      <w:pPr>
        <w:pStyle w:val="28"/>
        <w:snapToGrid w:val="0"/>
        <w:spacing w:line="400" w:lineRule="exact"/>
        <w:ind w:firstLine="480" w:firstLineChars="200"/>
        <w:jc w:val="left"/>
        <w:rPr>
          <w:rFonts w:ascii="仿宋" w:hAnsi="仿宋" w:eastAsia="仿宋"/>
          <w:bCs/>
          <w:sz w:val="24"/>
          <w:szCs w:val="24"/>
        </w:rPr>
      </w:pPr>
      <w:r>
        <w:rPr>
          <w:rFonts w:ascii="仿宋" w:hAnsi="仿宋" w:eastAsia="仿宋"/>
          <w:bCs/>
          <w:sz w:val="24"/>
          <w:szCs w:val="24"/>
        </w:rPr>
        <w:t>联系电话</w:t>
      </w:r>
      <w:r>
        <w:rPr>
          <w:rFonts w:hint="eastAsia" w:ascii="仿宋" w:hAnsi="仿宋" w:eastAsia="仿宋"/>
          <w:bCs/>
          <w:sz w:val="24"/>
          <w:szCs w:val="24"/>
        </w:rPr>
        <w:t>：</w:t>
      </w:r>
    </w:p>
    <w:p>
      <w:pPr>
        <w:pStyle w:val="28"/>
        <w:snapToGrid w:val="0"/>
        <w:spacing w:line="400" w:lineRule="exact"/>
        <w:ind w:firstLine="480" w:firstLineChars="200"/>
        <w:jc w:val="left"/>
        <w:rPr>
          <w:rFonts w:ascii="仿宋" w:hAnsi="仿宋" w:eastAsia="仿宋"/>
          <w:bCs/>
          <w:sz w:val="24"/>
          <w:szCs w:val="24"/>
          <w:u w:val="single"/>
        </w:rPr>
      </w:pPr>
      <w:r>
        <w:rPr>
          <w:rFonts w:hint="eastAsia" w:ascii="仿宋" w:hAnsi="仿宋" w:eastAsia="仿宋"/>
          <w:bCs/>
          <w:sz w:val="24"/>
          <w:szCs w:val="24"/>
        </w:rPr>
        <w:t>授权代表：</w:t>
      </w:r>
      <w:r>
        <w:rPr>
          <w:rFonts w:ascii="仿宋" w:hAnsi="仿宋" w:eastAsia="仿宋"/>
          <w:bCs/>
          <w:sz w:val="24"/>
          <w:szCs w:val="24"/>
        </w:rPr>
        <w:t>联系</w:t>
      </w:r>
      <w:r>
        <w:rPr>
          <w:rFonts w:hint="eastAsia" w:ascii="仿宋" w:hAnsi="仿宋" w:eastAsia="仿宋"/>
          <w:bCs/>
          <w:sz w:val="24"/>
          <w:szCs w:val="24"/>
        </w:rPr>
        <w:t>电话：</w:t>
      </w:r>
    </w:p>
    <w:p>
      <w:pPr>
        <w:pStyle w:val="28"/>
        <w:snapToGrid w:val="0"/>
        <w:spacing w:line="400" w:lineRule="exact"/>
        <w:ind w:firstLine="480" w:firstLineChars="200"/>
        <w:jc w:val="left"/>
        <w:rPr>
          <w:rFonts w:ascii="仿宋" w:hAnsi="仿宋" w:eastAsia="仿宋"/>
          <w:bCs/>
          <w:sz w:val="24"/>
          <w:szCs w:val="24"/>
          <w:u w:val="single"/>
        </w:rPr>
      </w:pPr>
      <w:r>
        <w:rPr>
          <w:rFonts w:ascii="仿宋" w:hAnsi="仿宋" w:eastAsia="仿宋"/>
          <w:bCs/>
          <w:sz w:val="24"/>
          <w:szCs w:val="24"/>
        </w:rPr>
        <w:t>地址</w:t>
      </w:r>
      <w:r>
        <w:rPr>
          <w:rFonts w:hint="eastAsia" w:ascii="仿宋" w:hAnsi="仿宋" w:eastAsia="仿宋"/>
          <w:bCs/>
          <w:sz w:val="24"/>
          <w:szCs w:val="24"/>
        </w:rPr>
        <w:t>：</w:t>
      </w:r>
    </w:p>
    <w:p>
      <w:pPr>
        <w:pStyle w:val="28"/>
        <w:snapToGrid w:val="0"/>
        <w:spacing w:line="400" w:lineRule="exact"/>
        <w:ind w:firstLine="480" w:firstLineChars="200"/>
        <w:jc w:val="left"/>
        <w:rPr>
          <w:rFonts w:ascii="仿宋" w:hAnsi="仿宋" w:eastAsia="仿宋"/>
          <w:bCs/>
          <w:sz w:val="24"/>
          <w:szCs w:val="24"/>
        </w:rPr>
      </w:pPr>
      <w:r>
        <w:rPr>
          <w:rFonts w:ascii="仿宋" w:hAnsi="仿宋" w:eastAsia="仿宋"/>
          <w:bCs/>
          <w:sz w:val="24"/>
          <w:szCs w:val="24"/>
        </w:rPr>
        <w:t>邮编</w:t>
      </w:r>
      <w:r>
        <w:rPr>
          <w:rFonts w:hint="eastAsia" w:ascii="仿宋" w:hAnsi="仿宋" w:eastAsia="仿宋"/>
          <w:bCs/>
          <w:sz w:val="24"/>
          <w:szCs w:val="24"/>
        </w:rPr>
        <w:t>：</w:t>
      </w:r>
    </w:p>
    <w:p>
      <w:pPr>
        <w:pStyle w:val="28"/>
        <w:snapToGrid w:val="0"/>
        <w:spacing w:line="400" w:lineRule="exact"/>
        <w:ind w:firstLine="480" w:firstLineChars="200"/>
        <w:jc w:val="left"/>
        <w:rPr>
          <w:rFonts w:ascii="仿宋" w:hAnsi="仿宋" w:eastAsia="仿宋"/>
          <w:bCs/>
          <w:sz w:val="24"/>
          <w:szCs w:val="24"/>
        </w:rPr>
      </w:pPr>
      <w:r>
        <w:rPr>
          <w:rFonts w:hint="eastAsia" w:ascii="仿宋" w:hAnsi="仿宋" w:eastAsia="仿宋"/>
          <w:bCs/>
          <w:sz w:val="24"/>
          <w:szCs w:val="24"/>
        </w:rPr>
        <w:t>被投诉人1：</w:t>
      </w:r>
    </w:p>
    <w:p>
      <w:pPr>
        <w:pStyle w:val="28"/>
        <w:snapToGrid w:val="0"/>
        <w:spacing w:line="400" w:lineRule="exact"/>
        <w:ind w:firstLine="480" w:firstLineChars="200"/>
        <w:jc w:val="left"/>
        <w:rPr>
          <w:rFonts w:ascii="仿宋" w:hAnsi="仿宋" w:eastAsia="仿宋"/>
          <w:bCs/>
          <w:sz w:val="24"/>
          <w:szCs w:val="24"/>
          <w:u w:val="single"/>
        </w:rPr>
      </w:pPr>
      <w:r>
        <w:rPr>
          <w:rFonts w:hint="eastAsia" w:ascii="仿宋" w:hAnsi="仿宋" w:eastAsia="仿宋"/>
          <w:bCs/>
          <w:sz w:val="24"/>
          <w:szCs w:val="24"/>
        </w:rPr>
        <w:t>地址：</w:t>
      </w:r>
    </w:p>
    <w:p>
      <w:pPr>
        <w:pStyle w:val="28"/>
        <w:snapToGrid w:val="0"/>
        <w:spacing w:line="400" w:lineRule="exact"/>
        <w:ind w:firstLine="480" w:firstLineChars="200"/>
        <w:jc w:val="left"/>
        <w:rPr>
          <w:rFonts w:ascii="仿宋" w:hAnsi="仿宋" w:eastAsia="仿宋"/>
          <w:bCs/>
          <w:sz w:val="24"/>
          <w:szCs w:val="24"/>
        </w:rPr>
      </w:pPr>
      <w:r>
        <w:rPr>
          <w:rFonts w:ascii="仿宋" w:hAnsi="仿宋" w:eastAsia="仿宋"/>
          <w:bCs/>
          <w:sz w:val="24"/>
          <w:szCs w:val="24"/>
        </w:rPr>
        <w:t>邮编</w:t>
      </w:r>
      <w:r>
        <w:rPr>
          <w:rFonts w:hint="eastAsia" w:ascii="仿宋" w:hAnsi="仿宋" w:eastAsia="仿宋"/>
          <w:bCs/>
          <w:sz w:val="24"/>
          <w:szCs w:val="24"/>
        </w:rPr>
        <w:t>：</w:t>
      </w:r>
    </w:p>
    <w:p>
      <w:pPr>
        <w:pStyle w:val="28"/>
        <w:snapToGrid w:val="0"/>
        <w:spacing w:line="400" w:lineRule="exact"/>
        <w:ind w:firstLine="480" w:firstLineChars="200"/>
        <w:jc w:val="left"/>
        <w:rPr>
          <w:rFonts w:ascii="仿宋" w:hAnsi="仿宋" w:eastAsia="仿宋"/>
          <w:bCs/>
          <w:sz w:val="24"/>
          <w:szCs w:val="24"/>
          <w:u w:val="single"/>
        </w:rPr>
      </w:pPr>
      <w:r>
        <w:rPr>
          <w:rFonts w:hint="eastAsia" w:ascii="仿宋" w:hAnsi="仿宋" w:eastAsia="仿宋"/>
          <w:bCs/>
          <w:sz w:val="24"/>
          <w:szCs w:val="24"/>
        </w:rPr>
        <w:t>联系人：</w:t>
      </w:r>
      <w:r>
        <w:rPr>
          <w:rFonts w:ascii="仿宋" w:hAnsi="仿宋" w:eastAsia="仿宋"/>
          <w:bCs/>
          <w:sz w:val="24"/>
          <w:szCs w:val="24"/>
        </w:rPr>
        <w:t>联系</w:t>
      </w:r>
      <w:r>
        <w:rPr>
          <w:rFonts w:hint="eastAsia" w:ascii="仿宋" w:hAnsi="仿宋" w:eastAsia="仿宋"/>
          <w:bCs/>
          <w:sz w:val="24"/>
          <w:szCs w:val="24"/>
        </w:rPr>
        <w:t>电话：</w:t>
      </w:r>
    </w:p>
    <w:p>
      <w:pPr>
        <w:pStyle w:val="28"/>
        <w:snapToGrid w:val="0"/>
        <w:spacing w:line="400" w:lineRule="exact"/>
        <w:ind w:firstLine="480" w:firstLineChars="200"/>
        <w:jc w:val="left"/>
        <w:rPr>
          <w:rFonts w:ascii="仿宋" w:hAnsi="仿宋" w:eastAsia="仿宋"/>
          <w:bCs/>
          <w:sz w:val="24"/>
          <w:szCs w:val="24"/>
        </w:rPr>
      </w:pPr>
      <w:r>
        <w:rPr>
          <w:rFonts w:hint="eastAsia" w:ascii="仿宋" w:hAnsi="仿宋" w:eastAsia="仿宋"/>
          <w:bCs/>
          <w:sz w:val="24"/>
          <w:szCs w:val="24"/>
        </w:rPr>
        <w:t>被投诉人2：</w:t>
      </w:r>
    </w:p>
    <w:p>
      <w:pPr>
        <w:pStyle w:val="28"/>
        <w:snapToGrid w:val="0"/>
        <w:spacing w:line="400" w:lineRule="exact"/>
        <w:ind w:firstLine="480" w:firstLineChars="200"/>
        <w:jc w:val="left"/>
        <w:rPr>
          <w:rFonts w:ascii="仿宋" w:hAnsi="仿宋" w:eastAsia="仿宋"/>
          <w:bCs/>
          <w:sz w:val="24"/>
          <w:szCs w:val="24"/>
        </w:rPr>
      </w:pPr>
      <w:r>
        <w:rPr>
          <w:rFonts w:ascii="仿宋" w:hAnsi="仿宋" w:eastAsia="仿宋"/>
          <w:bCs/>
          <w:sz w:val="24"/>
          <w:szCs w:val="24"/>
        </w:rPr>
        <w:t>……</w:t>
      </w:r>
    </w:p>
    <w:p>
      <w:pPr>
        <w:pStyle w:val="28"/>
        <w:snapToGrid w:val="0"/>
        <w:spacing w:line="400" w:lineRule="exact"/>
        <w:ind w:firstLine="480" w:firstLineChars="200"/>
        <w:jc w:val="left"/>
        <w:rPr>
          <w:rFonts w:ascii="仿宋" w:hAnsi="仿宋" w:eastAsia="仿宋"/>
          <w:bCs/>
          <w:sz w:val="24"/>
          <w:szCs w:val="24"/>
          <w:u w:val="single"/>
        </w:rPr>
      </w:pPr>
      <w:r>
        <w:rPr>
          <w:rFonts w:hint="eastAsia" w:ascii="仿宋" w:hAnsi="仿宋" w:eastAsia="仿宋"/>
          <w:bCs/>
          <w:sz w:val="24"/>
          <w:szCs w:val="24"/>
        </w:rPr>
        <w:t>相关供应商：</w:t>
      </w:r>
    </w:p>
    <w:p>
      <w:pPr>
        <w:pStyle w:val="28"/>
        <w:snapToGrid w:val="0"/>
        <w:spacing w:line="400" w:lineRule="exact"/>
        <w:ind w:firstLine="480" w:firstLineChars="200"/>
        <w:jc w:val="left"/>
        <w:rPr>
          <w:rFonts w:ascii="仿宋" w:hAnsi="仿宋" w:eastAsia="仿宋"/>
          <w:bCs/>
          <w:sz w:val="24"/>
          <w:szCs w:val="24"/>
          <w:u w:val="single"/>
        </w:rPr>
      </w:pPr>
      <w:r>
        <w:rPr>
          <w:rFonts w:ascii="仿宋" w:hAnsi="仿宋" w:eastAsia="仿宋"/>
          <w:bCs/>
          <w:sz w:val="24"/>
          <w:szCs w:val="24"/>
        </w:rPr>
        <w:t>地址</w:t>
      </w:r>
      <w:r>
        <w:rPr>
          <w:rFonts w:hint="eastAsia" w:ascii="仿宋" w:hAnsi="仿宋" w:eastAsia="仿宋"/>
          <w:bCs/>
          <w:sz w:val="24"/>
          <w:szCs w:val="24"/>
        </w:rPr>
        <w:t>：</w:t>
      </w:r>
      <w:r>
        <w:rPr>
          <w:rFonts w:ascii="仿宋" w:hAnsi="仿宋" w:eastAsia="仿宋"/>
          <w:bCs/>
          <w:sz w:val="24"/>
          <w:szCs w:val="24"/>
        </w:rPr>
        <w:t>邮编</w:t>
      </w:r>
      <w:r>
        <w:rPr>
          <w:rFonts w:hint="eastAsia" w:ascii="仿宋" w:hAnsi="仿宋" w:eastAsia="仿宋"/>
          <w:bCs/>
          <w:sz w:val="24"/>
          <w:szCs w:val="24"/>
        </w:rPr>
        <w:t>：</w:t>
      </w:r>
    </w:p>
    <w:p>
      <w:pPr>
        <w:pStyle w:val="28"/>
        <w:snapToGrid w:val="0"/>
        <w:spacing w:line="400" w:lineRule="exact"/>
        <w:ind w:firstLine="480" w:firstLineChars="200"/>
        <w:jc w:val="left"/>
        <w:rPr>
          <w:rFonts w:ascii="仿宋" w:hAnsi="仿宋" w:eastAsia="仿宋"/>
          <w:bCs/>
          <w:sz w:val="24"/>
          <w:szCs w:val="24"/>
        </w:rPr>
      </w:pPr>
      <w:r>
        <w:rPr>
          <w:rFonts w:hint="eastAsia" w:ascii="仿宋" w:hAnsi="仿宋" w:eastAsia="仿宋"/>
          <w:bCs/>
          <w:sz w:val="24"/>
          <w:szCs w:val="24"/>
        </w:rPr>
        <w:t>联系人：</w:t>
      </w:r>
      <w:r>
        <w:rPr>
          <w:rFonts w:ascii="仿宋" w:hAnsi="仿宋" w:eastAsia="仿宋"/>
          <w:bCs/>
          <w:sz w:val="24"/>
          <w:szCs w:val="24"/>
        </w:rPr>
        <w:t>联系</w:t>
      </w:r>
      <w:r>
        <w:rPr>
          <w:rFonts w:hint="eastAsia" w:ascii="仿宋" w:hAnsi="仿宋" w:eastAsia="仿宋"/>
          <w:bCs/>
          <w:sz w:val="24"/>
          <w:szCs w:val="24"/>
        </w:rPr>
        <w:t>电话：</w:t>
      </w:r>
    </w:p>
    <w:p>
      <w:pPr>
        <w:pStyle w:val="28"/>
        <w:snapToGrid w:val="0"/>
        <w:spacing w:line="400" w:lineRule="exact"/>
        <w:ind w:firstLine="482" w:firstLineChars="200"/>
        <w:rPr>
          <w:rFonts w:ascii="仿宋" w:hAnsi="仿宋" w:eastAsia="仿宋"/>
          <w:b/>
          <w:bCs/>
          <w:sz w:val="24"/>
          <w:szCs w:val="24"/>
        </w:rPr>
      </w:pPr>
      <w:r>
        <w:rPr>
          <w:rFonts w:hint="eastAsia" w:ascii="仿宋" w:hAnsi="仿宋" w:eastAsia="仿宋"/>
          <w:b/>
          <w:bCs/>
          <w:sz w:val="24"/>
          <w:szCs w:val="24"/>
        </w:rPr>
        <w:t>二、投诉项目基本情况：</w:t>
      </w:r>
    </w:p>
    <w:p>
      <w:pPr>
        <w:pStyle w:val="28"/>
        <w:spacing w:line="400" w:lineRule="exact"/>
        <w:ind w:left="25" w:leftChars="12" w:firstLine="472" w:firstLineChars="197"/>
        <w:rPr>
          <w:rFonts w:ascii="仿宋" w:hAnsi="仿宋" w:eastAsia="仿宋"/>
          <w:sz w:val="24"/>
          <w:szCs w:val="24"/>
        </w:rPr>
      </w:pPr>
      <w:r>
        <w:rPr>
          <w:rFonts w:hint="eastAsia" w:ascii="仿宋" w:hAnsi="仿宋" w:eastAsia="仿宋"/>
          <w:bCs/>
          <w:sz w:val="24"/>
          <w:szCs w:val="24"/>
        </w:rPr>
        <w:t>采购</w:t>
      </w:r>
      <w:r>
        <w:rPr>
          <w:rFonts w:hint="eastAsia" w:ascii="仿宋" w:hAnsi="仿宋" w:eastAsia="仿宋"/>
          <w:sz w:val="24"/>
          <w:szCs w:val="24"/>
        </w:rPr>
        <w:t>项目的名称：</w:t>
      </w:r>
    </w:p>
    <w:p>
      <w:pPr>
        <w:pStyle w:val="28"/>
        <w:spacing w:line="400" w:lineRule="exact"/>
        <w:ind w:left="25" w:leftChars="12" w:firstLine="472" w:firstLineChars="197"/>
        <w:rPr>
          <w:rFonts w:ascii="仿宋" w:hAnsi="仿宋" w:eastAsia="仿宋"/>
          <w:sz w:val="24"/>
          <w:szCs w:val="24"/>
        </w:rPr>
      </w:pPr>
      <w:r>
        <w:rPr>
          <w:rFonts w:hint="eastAsia" w:ascii="仿宋" w:hAnsi="仿宋" w:eastAsia="仿宋"/>
          <w:bCs/>
          <w:sz w:val="24"/>
          <w:szCs w:val="24"/>
        </w:rPr>
        <w:t>采购</w:t>
      </w:r>
      <w:r>
        <w:rPr>
          <w:rFonts w:hint="eastAsia" w:ascii="仿宋" w:hAnsi="仿宋" w:eastAsia="仿宋"/>
          <w:sz w:val="24"/>
          <w:szCs w:val="24"/>
        </w:rPr>
        <w:t>项目的编号：</w:t>
      </w:r>
    </w:p>
    <w:p>
      <w:pPr>
        <w:pStyle w:val="28"/>
        <w:spacing w:line="400" w:lineRule="exact"/>
        <w:ind w:left="25" w:leftChars="12" w:firstLine="472" w:firstLineChars="197"/>
        <w:rPr>
          <w:rFonts w:ascii="仿宋" w:hAnsi="仿宋" w:eastAsia="仿宋"/>
          <w:bCs/>
          <w:sz w:val="24"/>
          <w:szCs w:val="24"/>
          <w:u w:val="single"/>
        </w:rPr>
      </w:pPr>
      <w:r>
        <w:rPr>
          <w:rFonts w:hint="eastAsia" w:ascii="仿宋" w:hAnsi="仿宋" w:eastAsia="仿宋"/>
          <w:sz w:val="24"/>
          <w:szCs w:val="24"/>
        </w:rPr>
        <w:t>采购人名称：</w:t>
      </w:r>
    </w:p>
    <w:p>
      <w:pPr>
        <w:pStyle w:val="28"/>
        <w:spacing w:line="400" w:lineRule="exact"/>
        <w:ind w:left="25" w:leftChars="12" w:firstLine="472" w:firstLineChars="197"/>
        <w:rPr>
          <w:rFonts w:ascii="仿宋" w:hAnsi="仿宋" w:eastAsia="仿宋"/>
          <w:bCs/>
          <w:sz w:val="24"/>
          <w:szCs w:val="24"/>
          <w:u w:val="single"/>
        </w:rPr>
      </w:pPr>
      <w:r>
        <w:rPr>
          <w:rFonts w:hint="eastAsia" w:ascii="仿宋" w:hAnsi="仿宋" w:eastAsia="仿宋"/>
          <w:sz w:val="24"/>
          <w:szCs w:val="24"/>
        </w:rPr>
        <w:t>代理机构名称：</w:t>
      </w:r>
    </w:p>
    <w:p>
      <w:pPr>
        <w:pStyle w:val="28"/>
        <w:spacing w:line="400" w:lineRule="exact"/>
        <w:ind w:left="25" w:leftChars="12" w:firstLine="472" w:firstLineChars="197"/>
        <w:rPr>
          <w:rFonts w:ascii="仿宋" w:hAnsi="仿宋" w:eastAsia="仿宋"/>
          <w:bCs/>
          <w:sz w:val="24"/>
          <w:szCs w:val="24"/>
          <w:u w:val="single"/>
        </w:rPr>
      </w:pPr>
      <w:r>
        <w:rPr>
          <w:rFonts w:hint="eastAsia" w:ascii="仿宋" w:hAnsi="仿宋" w:eastAsia="仿宋"/>
          <w:bCs/>
          <w:sz w:val="24"/>
          <w:szCs w:val="24"/>
        </w:rPr>
        <w:t>招标文件公告：</w:t>
      </w:r>
      <w:r>
        <w:rPr>
          <w:rFonts w:hint="eastAsia" w:ascii="仿宋" w:hAnsi="仿宋" w:eastAsia="仿宋"/>
          <w:bCs/>
          <w:sz w:val="24"/>
          <w:szCs w:val="24"/>
          <w:u w:val="single"/>
        </w:rPr>
        <w:t>是/否</w:t>
      </w:r>
      <w:r>
        <w:rPr>
          <w:rFonts w:hint="eastAsia" w:ascii="仿宋" w:hAnsi="仿宋" w:eastAsia="仿宋"/>
          <w:bCs/>
          <w:sz w:val="24"/>
          <w:szCs w:val="24"/>
        </w:rPr>
        <w:t>公告期限：</w:t>
      </w:r>
    </w:p>
    <w:p>
      <w:pPr>
        <w:pStyle w:val="28"/>
        <w:spacing w:line="400" w:lineRule="exact"/>
        <w:ind w:left="25" w:leftChars="12" w:firstLine="472" w:firstLineChars="197"/>
        <w:rPr>
          <w:rFonts w:ascii="仿宋" w:hAnsi="仿宋" w:eastAsia="仿宋"/>
          <w:b/>
          <w:sz w:val="24"/>
          <w:szCs w:val="24"/>
        </w:rPr>
      </w:pPr>
      <w:r>
        <w:rPr>
          <w:rFonts w:hint="eastAsia" w:ascii="仿宋" w:hAnsi="仿宋" w:eastAsia="仿宋"/>
          <w:bCs/>
          <w:sz w:val="24"/>
          <w:szCs w:val="24"/>
        </w:rPr>
        <w:t>采购结果公告：</w:t>
      </w:r>
      <w:r>
        <w:rPr>
          <w:rFonts w:hint="eastAsia" w:ascii="仿宋" w:hAnsi="仿宋" w:eastAsia="仿宋"/>
          <w:bCs/>
          <w:sz w:val="24"/>
          <w:szCs w:val="24"/>
          <w:u w:val="single"/>
        </w:rPr>
        <w:t>是/否</w:t>
      </w:r>
      <w:r>
        <w:rPr>
          <w:rFonts w:hint="eastAsia" w:ascii="仿宋" w:hAnsi="仿宋" w:eastAsia="仿宋"/>
          <w:bCs/>
          <w:sz w:val="24"/>
          <w:szCs w:val="24"/>
        </w:rPr>
        <w:t xml:space="preserve">     公告期限：</w:t>
      </w:r>
    </w:p>
    <w:p>
      <w:pPr>
        <w:pStyle w:val="28"/>
        <w:spacing w:line="400" w:lineRule="exact"/>
        <w:ind w:left="25" w:leftChars="12" w:firstLine="472" w:firstLineChars="196"/>
        <w:rPr>
          <w:rFonts w:ascii="仿宋" w:hAnsi="仿宋" w:eastAsia="仿宋"/>
          <w:b/>
          <w:sz w:val="24"/>
          <w:szCs w:val="24"/>
        </w:rPr>
      </w:pPr>
      <w:r>
        <w:rPr>
          <w:rFonts w:hint="eastAsia" w:ascii="仿宋" w:hAnsi="仿宋" w:eastAsia="仿宋"/>
          <w:b/>
          <w:sz w:val="24"/>
          <w:szCs w:val="24"/>
        </w:rPr>
        <w:t>三、质疑基本情况</w:t>
      </w:r>
    </w:p>
    <w:p>
      <w:pPr>
        <w:pStyle w:val="28"/>
        <w:spacing w:line="400" w:lineRule="exact"/>
        <w:ind w:left="25" w:leftChars="12" w:firstLine="480" w:firstLineChars="200"/>
        <w:rPr>
          <w:rFonts w:ascii="仿宋" w:hAnsi="仿宋" w:eastAsia="仿宋"/>
          <w:bCs/>
          <w:sz w:val="24"/>
          <w:szCs w:val="24"/>
          <w:u w:val="single"/>
        </w:rPr>
      </w:pPr>
      <w:r>
        <w:rPr>
          <w:rFonts w:hint="eastAsia" w:ascii="仿宋" w:hAnsi="仿宋" w:eastAsia="仿宋"/>
          <w:sz w:val="24"/>
          <w:szCs w:val="24"/>
        </w:rPr>
        <w:t>投诉人于  年   月   日，向提出质疑，质疑事项为：</w:t>
      </w:r>
    </w:p>
    <w:p>
      <w:pPr>
        <w:pStyle w:val="28"/>
        <w:spacing w:line="400" w:lineRule="exact"/>
        <w:ind w:firstLine="480" w:firstLineChars="200"/>
        <w:rPr>
          <w:rFonts w:ascii="仿宋" w:hAnsi="仿宋" w:eastAsia="仿宋"/>
          <w:sz w:val="24"/>
          <w:szCs w:val="24"/>
        </w:rPr>
      </w:pPr>
      <w:r>
        <w:rPr>
          <w:rFonts w:hint="eastAsia" w:ascii="仿宋" w:hAnsi="仿宋" w:eastAsia="仿宋"/>
          <w:bCs/>
          <w:sz w:val="24"/>
          <w:szCs w:val="24"/>
          <w:u w:val="single"/>
        </w:rPr>
        <w:t>采购人/代理机构</w:t>
      </w:r>
      <w:r>
        <w:rPr>
          <w:rFonts w:hint="eastAsia" w:ascii="仿宋" w:hAnsi="仿宋" w:eastAsia="仿宋"/>
          <w:bCs/>
          <w:sz w:val="24"/>
          <w:szCs w:val="24"/>
        </w:rPr>
        <w:t xml:space="preserve">于   </w:t>
      </w:r>
      <w:r>
        <w:rPr>
          <w:rFonts w:hint="eastAsia" w:ascii="仿宋" w:hAnsi="仿宋" w:eastAsia="仿宋"/>
          <w:sz w:val="24"/>
          <w:szCs w:val="24"/>
        </w:rPr>
        <w:t>年  月   日，</w:t>
      </w:r>
      <w:r>
        <w:rPr>
          <w:rFonts w:hint="eastAsia" w:ascii="仿宋" w:hAnsi="仿宋" w:eastAsia="仿宋"/>
          <w:bCs/>
          <w:sz w:val="24"/>
          <w:szCs w:val="24"/>
        </w:rPr>
        <w:t xml:space="preserve">就质疑事项作出了答复/没有在法定期限内作出答复。                                                                                             </w:t>
      </w:r>
    </w:p>
    <w:p>
      <w:pPr>
        <w:pStyle w:val="28"/>
        <w:spacing w:line="400" w:lineRule="exact"/>
        <w:ind w:left="25" w:leftChars="12" w:firstLine="472" w:firstLineChars="196"/>
        <w:rPr>
          <w:rFonts w:ascii="仿宋" w:hAnsi="仿宋" w:eastAsia="仿宋"/>
          <w:b/>
          <w:sz w:val="24"/>
          <w:szCs w:val="24"/>
        </w:rPr>
      </w:pPr>
      <w:r>
        <w:rPr>
          <w:rFonts w:hint="eastAsia" w:ascii="仿宋" w:hAnsi="仿宋" w:eastAsia="仿宋"/>
          <w:b/>
          <w:sz w:val="24"/>
          <w:szCs w:val="24"/>
        </w:rPr>
        <w:t>四、投诉事项具体内容</w:t>
      </w:r>
    </w:p>
    <w:p>
      <w:pPr>
        <w:pStyle w:val="28"/>
        <w:spacing w:line="400" w:lineRule="exact"/>
        <w:ind w:left="25" w:leftChars="12" w:firstLine="472" w:firstLineChars="197"/>
        <w:rPr>
          <w:rFonts w:ascii="仿宋" w:hAnsi="仿宋" w:eastAsia="仿宋"/>
          <w:bCs/>
          <w:sz w:val="24"/>
          <w:szCs w:val="24"/>
          <w:u w:val="single"/>
        </w:rPr>
      </w:pPr>
      <w:r>
        <w:rPr>
          <w:rFonts w:hint="eastAsia" w:ascii="仿宋" w:hAnsi="仿宋" w:eastAsia="仿宋"/>
          <w:sz w:val="24"/>
          <w:szCs w:val="24"/>
        </w:rPr>
        <w:t>投诉事项1：</w:t>
      </w:r>
    </w:p>
    <w:p>
      <w:pPr>
        <w:pStyle w:val="28"/>
        <w:spacing w:line="400" w:lineRule="exact"/>
        <w:ind w:firstLine="480" w:firstLineChars="200"/>
        <w:rPr>
          <w:rFonts w:ascii="仿宋" w:hAnsi="仿宋" w:eastAsia="仿宋"/>
          <w:bCs/>
          <w:sz w:val="24"/>
          <w:szCs w:val="24"/>
          <w:u w:val="single"/>
        </w:rPr>
      </w:pPr>
      <w:r>
        <w:rPr>
          <w:rFonts w:hint="eastAsia" w:ascii="仿宋" w:hAnsi="仿宋" w:eastAsia="仿宋"/>
          <w:bCs/>
          <w:sz w:val="24"/>
          <w:szCs w:val="24"/>
        </w:rPr>
        <w:t>事实依据：</w:t>
      </w:r>
    </w:p>
    <w:p>
      <w:pPr>
        <w:pStyle w:val="28"/>
        <w:spacing w:line="400" w:lineRule="exact"/>
        <w:ind w:firstLine="480" w:firstLineChars="200"/>
        <w:rPr>
          <w:rFonts w:ascii="仿宋" w:hAnsi="仿宋" w:eastAsia="仿宋"/>
          <w:bCs/>
          <w:sz w:val="24"/>
          <w:szCs w:val="24"/>
          <w:u w:val="single"/>
        </w:rPr>
      </w:pPr>
      <w:r>
        <w:rPr>
          <w:rFonts w:hint="eastAsia" w:ascii="仿宋" w:hAnsi="仿宋" w:eastAsia="仿宋"/>
          <w:bCs/>
          <w:sz w:val="24"/>
          <w:szCs w:val="24"/>
        </w:rPr>
        <w:t>法律依据：</w:t>
      </w:r>
    </w:p>
    <w:p>
      <w:pPr>
        <w:pStyle w:val="28"/>
        <w:spacing w:line="400" w:lineRule="exact"/>
        <w:ind w:left="25" w:leftChars="12" w:firstLine="472" w:firstLineChars="197"/>
        <w:rPr>
          <w:rFonts w:ascii="仿宋" w:hAnsi="仿宋" w:eastAsia="仿宋"/>
          <w:bCs/>
          <w:sz w:val="24"/>
          <w:szCs w:val="24"/>
        </w:rPr>
      </w:pPr>
      <w:r>
        <w:rPr>
          <w:rFonts w:hint="eastAsia" w:ascii="仿宋" w:hAnsi="仿宋" w:eastAsia="仿宋"/>
          <w:sz w:val="24"/>
          <w:szCs w:val="24"/>
        </w:rPr>
        <w:t>投诉事项2：</w:t>
      </w:r>
    </w:p>
    <w:p>
      <w:pPr>
        <w:pStyle w:val="28"/>
        <w:spacing w:line="400" w:lineRule="exact"/>
        <w:ind w:left="25" w:leftChars="12" w:firstLine="472" w:firstLineChars="197"/>
        <w:rPr>
          <w:rFonts w:ascii="仿宋" w:hAnsi="仿宋" w:eastAsia="仿宋"/>
          <w:bCs/>
          <w:sz w:val="24"/>
          <w:szCs w:val="24"/>
        </w:rPr>
      </w:pPr>
      <w:r>
        <w:rPr>
          <w:rFonts w:ascii="仿宋" w:hAnsi="仿宋" w:eastAsia="仿宋"/>
          <w:bCs/>
          <w:sz w:val="24"/>
          <w:szCs w:val="24"/>
        </w:rPr>
        <w:t>……</w:t>
      </w:r>
    </w:p>
    <w:p>
      <w:pPr>
        <w:pStyle w:val="28"/>
        <w:spacing w:line="400" w:lineRule="exact"/>
        <w:ind w:left="25" w:leftChars="12" w:firstLine="472" w:firstLineChars="196"/>
        <w:rPr>
          <w:rFonts w:ascii="仿宋" w:hAnsi="仿宋" w:eastAsia="仿宋"/>
          <w:b/>
          <w:sz w:val="24"/>
          <w:szCs w:val="24"/>
        </w:rPr>
      </w:pPr>
      <w:r>
        <w:rPr>
          <w:rFonts w:hint="eastAsia" w:ascii="仿宋" w:hAnsi="仿宋" w:eastAsia="仿宋"/>
          <w:b/>
          <w:sz w:val="24"/>
          <w:szCs w:val="24"/>
        </w:rPr>
        <w:t>五、与投诉事项相关的投诉请求：</w:t>
      </w:r>
    </w:p>
    <w:p>
      <w:pPr>
        <w:pStyle w:val="28"/>
        <w:spacing w:line="400" w:lineRule="exact"/>
        <w:ind w:left="25" w:leftChars="12" w:firstLine="472" w:firstLineChars="197"/>
        <w:rPr>
          <w:rFonts w:ascii="仿宋" w:hAnsi="仿宋" w:eastAsia="仿宋"/>
          <w:sz w:val="24"/>
          <w:szCs w:val="24"/>
        </w:rPr>
      </w:pPr>
      <w:r>
        <w:rPr>
          <w:rFonts w:hint="eastAsia" w:ascii="仿宋" w:hAnsi="仿宋" w:eastAsia="仿宋"/>
          <w:sz w:val="24"/>
          <w:szCs w:val="24"/>
        </w:rPr>
        <w:t>请求：</w:t>
      </w:r>
    </w:p>
    <w:p>
      <w:pPr>
        <w:pStyle w:val="28"/>
        <w:spacing w:line="400" w:lineRule="exact"/>
        <w:ind w:left="25" w:leftChars="12" w:firstLine="352" w:firstLineChars="147"/>
        <w:rPr>
          <w:rFonts w:ascii="仿宋" w:hAnsi="仿宋" w:eastAsia="仿宋"/>
          <w:sz w:val="24"/>
          <w:szCs w:val="24"/>
        </w:rPr>
      </w:pPr>
    </w:p>
    <w:p>
      <w:pPr>
        <w:pStyle w:val="28"/>
        <w:spacing w:line="400" w:lineRule="exact"/>
        <w:ind w:left="25" w:leftChars="12" w:firstLine="472" w:firstLineChars="197"/>
        <w:rPr>
          <w:rFonts w:ascii="仿宋" w:hAnsi="仿宋" w:eastAsia="仿宋"/>
          <w:sz w:val="24"/>
          <w:szCs w:val="24"/>
        </w:rPr>
      </w:pPr>
      <w:r>
        <w:rPr>
          <w:rFonts w:hint="eastAsia" w:ascii="仿宋" w:hAnsi="仿宋" w:eastAsia="仿宋"/>
          <w:sz w:val="24"/>
          <w:szCs w:val="24"/>
        </w:rPr>
        <w:t>签字（签章）：</w:t>
      </w:r>
    </w:p>
    <w:p>
      <w:pPr>
        <w:pStyle w:val="28"/>
        <w:spacing w:line="400" w:lineRule="exact"/>
        <w:ind w:left="25" w:leftChars="12" w:firstLine="472" w:firstLineChars="197"/>
        <w:rPr>
          <w:rFonts w:ascii="仿宋" w:hAnsi="仿宋" w:eastAsia="仿宋"/>
          <w:sz w:val="24"/>
          <w:szCs w:val="24"/>
        </w:rPr>
      </w:pPr>
      <w:r>
        <w:rPr>
          <w:rFonts w:hint="eastAsia" w:ascii="仿宋" w:hAnsi="仿宋" w:eastAsia="仿宋"/>
          <w:sz w:val="24"/>
          <w:szCs w:val="24"/>
        </w:rPr>
        <w:t>公章：</w:t>
      </w:r>
    </w:p>
    <w:p>
      <w:pPr>
        <w:pStyle w:val="28"/>
        <w:spacing w:line="400" w:lineRule="exact"/>
        <w:ind w:left="25" w:leftChars="12" w:firstLine="472" w:firstLineChars="197"/>
        <w:rPr>
          <w:rFonts w:ascii="仿宋" w:hAnsi="仿宋" w:eastAsia="仿宋"/>
          <w:sz w:val="24"/>
          <w:szCs w:val="24"/>
        </w:rPr>
      </w:pPr>
      <w:r>
        <w:rPr>
          <w:rFonts w:hint="eastAsia" w:ascii="仿宋" w:hAnsi="仿宋" w:eastAsia="仿宋"/>
          <w:sz w:val="24"/>
          <w:szCs w:val="24"/>
        </w:rPr>
        <w:t>日期：</w:t>
      </w:r>
    </w:p>
    <w:p>
      <w:pPr>
        <w:pStyle w:val="28"/>
        <w:snapToGrid w:val="0"/>
        <w:spacing w:line="360" w:lineRule="exact"/>
        <w:rPr>
          <w:rFonts w:ascii="仿宋" w:hAnsi="仿宋" w:eastAsia="仿宋"/>
          <w:b/>
          <w:sz w:val="24"/>
          <w:szCs w:val="24"/>
        </w:rPr>
      </w:pPr>
      <w:r>
        <w:rPr>
          <w:rFonts w:hint="eastAsia" w:ascii="仿宋" w:hAnsi="仿宋" w:eastAsia="仿宋"/>
          <w:b/>
          <w:sz w:val="24"/>
          <w:szCs w:val="24"/>
        </w:rPr>
        <w:t>说明：</w:t>
      </w:r>
    </w:p>
    <w:p>
      <w:pPr>
        <w:pStyle w:val="28"/>
        <w:spacing w:line="360" w:lineRule="exact"/>
        <w:ind w:left="25" w:leftChars="12" w:firstLine="354" w:firstLineChars="147"/>
        <w:rPr>
          <w:rFonts w:ascii="仿宋" w:hAnsi="仿宋" w:eastAsia="仿宋"/>
          <w:b/>
          <w:bCs/>
          <w:sz w:val="24"/>
          <w:szCs w:val="24"/>
        </w:rPr>
      </w:pPr>
      <w:r>
        <w:rPr>
          <w:rFonts w:hint="eastAsia" w:ascii="仿宋" w:hAnsi="仿宋" w:eastAsia="仿宋"/>
          <w:b/>
          <w:sz w:val="24"/>
          <w:szCs w:val="24"/>
        </w:rPr>
        <w:t>1.投诉人提起投诉时，应当提交投诉书和必要的证明材料，并按照被投诉人和与投诉事项有关的供应商数量提供投诉书副本</w:t>
      </w:r>
      <w:r>
        <w:rPr>
          <w:rFonts w:hint="eastAsia" w:ascii="仿宋" w:hAnsi="仿宋" w:eastAsia="仿宋"/>
          <w:b/>
          <w:bCs/>
          <w:sz w:val="24"/>
          <w:szCs w:val="24"/>
        </w:rPr>
        <w:t>。</w:t>
      </w:r>
    </w:p>
    <w:p>
      <w:pPr>
        <w:pStyle w:val="28"/>
        <w:spacing w:line="360" w:lineRule="exact"/>
        <w:ind w:left="25" w:leftChars="12" w:firstLine="354" w:firstLineChars="147"/>
        <w:rPr>
          <w:rFonts w:ascii="仿宋" w:hAnsi="仿宋" w:eastAsia="仿宋"/>
          <w:b/>
          <w:sz w:val="24"/>
          <w:szCs w:val="24"/>
        </w:rPr>
      </w:pPr>
      <w:r>
        <w:rPr>
          <w:rFonts w:hint="eastAsia" w:ascii="仿宋" w:hAnsi="仿宋" w:eastAsia="仿宋"/>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28"/>
        <w:spacing w:line="360" w:lineRule="exact"/>
        <w:ind w:left="25" w:leftChars="12" w:firstLine="354" w:firstLineChars="147"/>
        <w:rPr>
          <w:rFonts w:ascii="仿宋" w:hAnsi="仿宋" w:eastAsia="仿宋"/>
          <w:b/>
          <w:sz w:val="24"/>
          <w:szCs w:val="24"/>
        </w:rPr>
      </w:pPr>
      <w:r>
        <w:rPr>
          <w:rFonts w:hint="eastAsia" w:ascii="仿宋" w:hAnsi="仿宋" w:eastAsia="仿宋"/>
          <w:b/>
          <w:sz w:val="24"/>
          <w:szCs w:val="24"/>
        </w:rPr>
        <w:t>3.投诉书应简要列明质疑事项，质疑函、质疑答复等作为附件材料提供。</w:t>
      </w:r>
    </w:p>
    <w:p>
      <w:pPr>
        <w:pStyle w:val="28"/>
        <w:spacing w:line="360" w:lineRule="exact"/>
        <w:ind w:left="25" w:leftChars="12" w:firstLine="354" w:firstLineChars="147"/>
        <w:rPr>
          <w:rFonts w:ascii="仿宋" w:hAnsi="仿宋" w:eastAsia="仿宋"/>
          <w:b/>
          <w:sz w:val="24"/>
          <w:szCs w:val="24"/>
        </w:rPr>
      </w:pPr>
      <w:r>
        <w:rPr>
          <w:rFonts w:hint="eastAsia" w:ascii="仿宋" w:hAnsi="仿宋" w:eastAsia="仿宋"/>
          <w:b/>
          <w:sz w:val="24"/>
          <w:szCs w:val="24"/>
        </w:rPr>
        <w:t>4.投诉书的投诉事项应具体、明确，并有必要的事实依据和法律依据。</w:t>
      </w:r>
    </w:p>
    <w:p>
      <w:pPr>
        <w:pStyle w:val="28"/>
        <w:spacing w:line="360" w:lineRule="exact"/>
        <w:ind w:left="25" w:leftChars="12" w:firstLine="354" w:firstLineChars="147"/>
        <w:rPr>
          <w:rFonts w:ascii="仿宋" w:hAnsi="仿宋" w:eastAsia="仿宋"/>
          <w:b/>
          <w:sz w:val="24"/>
          <w:szCs w:val="24"/>
        </w:rPr>
      </w:pPr>
      <w:r>
        <w:rPr>
          <w:rFonts w:hint="eastAsia" w:ascii="仿宋" w:hAnsi="仿宋" w:eastAsia="仿宋"/>
          <w:b/>
          <w:sz w:val="24"/>
          <w:szCs w:val="24"/>
        </w:rPr>
        <w:t>5.投诉书的投诉请求应与投诉事项相关。</w:t>
      </w:r>
    </w:p>
    <w:p>
      <w:pPr>
        <w:pStyle w:val="28"/>
        <w:spacing w:line="360" w:lineRule="exact"/>
        <w:ind w:left="25" w:leftChars="12" w:firstLine="354" w:firstLineChars="147"/>
        <w:rPr>
          <w:rFonts w:ascii="仿宋" w:hAnsi="仿宋" w:eastAsia="仿宋"/>
          <w:b/>
        </w:rPr>
      </w:pPr>
      <w:r>
        <w:rPr>
          <w:rFonts w:hint="eastAsia" w:ascii="仿宋" w:hAnsi="仿宋" w:eastAsia="仿宋"/>
          <w:b/>
          <w:sz w:val="24"/>
          <w:szCs w:val="24"/>
        </w:rPr>
        <w:t>6.投诉人为法人或者其他组织的，投诉书应由法定代表人、主要负责人，或者其授权代表签字或者盖章，并加盖公章。</w:t>
      </w:r>
    </w:p>
    <w:sectPr>
      <w:footerReference r:id="rId10" w:type="first"/>
      <w:headerReference r:id="rId7" w:type="default"/>
      <w:footerReference r:id="rId8" w:type="default"/>
      <w:footerReference r:id="rId9" w:type="even"/>
      <w:pgSz w:w="11906" w:h="16838"/>
      <w:pgMar w:top="907" w:right="851" w:bottom="907" w:left="851" w:header="851" w:footer="510"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0000009F" w:csb1="00000000"/>
  </w:font>
  <w:font w:name="Arial Unicode MS">
    <w:altName w:val="宋体"/>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altName w:val="微软雅黑"/>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845952"/>
    </w:sdtPr>
    <w:sdtEndPr>
      <w:rPr>
        <w:rFonts w:ascii="仿宋" w:hAnsi="仿宋" w:eastAsia="仿宋"/>
        <w:sz w:val="21"/>
        <w:szCs w:val="21"/>
      </w:rPr>
    </w:sdtEndPr>
    <w:sdtContent>
      <w:p>
        <w:pPr>
          <w:pStyle w:val="33"/>
          <w:jc w:val="center"/>
          <w:rPr>
            <w:rFonts w:ascii="仿宋" w:hAnsi="仿宋" w:eastAsia="仿宋"/>
            <w:sz w:val="21"/>
            <w:szCs w:val="21"/>
          </w:rPr>
        </w:pPr>
        <w:r>
          <w:rPr>
            <w:rFonts w:ascii="仿宋" w:hAnsi="仿宋" w:eastAsia="仿宋"/>
            <w:sz w:val="21"/>
            <w:szCs w:val="21"/>
          </w:rPr>
          <w:fldChar w:fldCharType="begin"/>
        </w:r>
        <w:r>
          <w:rPr>
            <w:rFonts w:ascii="仿宋" w:hAnsi="仿宋" w:eastAsia="仿宋"/>
            <w:sz w:val="21"/>
            <w:szCs w:val="21"/>
          </w:rPr>
          <w:instrText xml:space="preserve">PAGE   \* MERGEFORMAT</w:instrText>
        </w:r>
        <w:r>
          <w:rPr>
            <w:rFonts w:ascii="仿宋" w:hAnsi="仿宋" w:eastAsia="仿宋"/>
            <w:sz w:val="21"/>
            <w:szCs w:val="21"/>
          </w:rPr>
          <w:fldChar w:fldCharType="separate"/>
        </w:r>
        <w:r>
          <w:rPr>
            <w:rFonts w:ascii="仿宋" w:hAnsi="仿宋" w:eastAsia="仿宋"/>
            <w:sz w:val="21"/>
            <w:szCs w:val="21"/>
            <w:lang w:val="zh-CN"/>
          </w:rPr>
          <w:t>-</w:t>
        </w:r>
        <w:r>
          <w:rPr>
            <w:rFonts w:ascii="仿宋" w:hAnsi="仿宋" w:eastAsia="仿宋"/>
            <w:sz w:val="21"/>
            <w:szCs w:val="21"/>
          </w:rPr>
          <w:t xml:space="preserve"> 35 -</w:t>
        </w:r>
        <w:r>
          <w:rPr>
            <w:rFonts w:ascii="仿宋" w:hAnsi="仿宋" w:eastAsia="仿宋"/>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49"/>
      </w:rPr>
    </w:pPr>
    <w:r>
      <w:fldChar w:fldCharType="begin"/>
    </w:r>
    <w:r>
      <w:rPr>
        <w:rStyle w:val="49"/>
      </w:rPr>
      <w:instrText xml:space="preserve">PAGE  </w:instrText>
    </w:r>
    <w:r>
      <w:fldChar w:fldCharType="end"/>
    </w:r>
  </w:p>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ascii="仿宋" w:hAnsi="仿宋" w:eastAsia="仿宋"/>
        <w:sz w:val="21"/>
        <w:szCs w:val="21"/>
      </w:rPr>
    </w:pPr>
    <w:r>
      <w:rPr>
        <w:rFonts w:ascii="仿宋" w:hAnsi="仿宋" w:eastAsia="仿宋"/>
        <w:sz w:val="21"/>
        <w:szCs w:val="21"/>
      </w:rPr>
      <w:fldChar w:fldCharType="begin"/>
    </w:r>
    <w:r>
      <w:rPr>
        <w:rFonts w:ascii="仿宋" w:hAnsi="仿宋" w:eastAsia="仿宋"/>
        <w:sz w:val="21"/>
        <w:szCs w:val="21"/>
      </w:rPr>
      <w:instrText xml:space="preserve"> PAGE   \* MERGEFORMAT </w:instrText>
    </w:r>
    <w:r>
      <w:rPr>
        <w:rFonts w:ascii="仿宋" w:hAnsi="仿宋" w:eastAsia="仿宋"/>
        <w:sz w:val="21"/>
        <w:szCs w:val="21"/>
      </w:rPr>
      <w:fldChar w:fldCharType="separate"/>
    </w:r>
    <w:r>
      <w:rPr>
        <w:rFonts w:ascii="仿宋" w:hAnsi="仿宋" w:eastAsia="仿宋"/>
        <w:sz w:val="21"/>
        <w:szCs w:val="21"/>
        <w:lang w:val="zh-CN"/>
      </w:rPr>
      <w:t>-</w:t>
    </w:r>
    <w:r>
      <w:rPr>
        <w:rFonts w:ascii="仿宋" w:hAnsi="仿宋" w:eastAsia="仿宋"/>
        <w:sz w:val="21"/>
        <w:szCs w:val="21"/>
      </w:rPr>
      <w:t xml:space="preserve"> 114 -</w:t>
    </w:r>
    <w:r>
      <w:rPr>
        <w:rFonts w:ascii="仿宋" w:hAnsi="仿宋" w:eastAsia="仿宋"/>
        <w:sz w:val="21"/>
        <w:szCs w:val="21"/>
      </w:rPr>
      <w:fldChar w:fldCharType="end"/>
    </w:r>
  </w:p>
  <w:p>
    <w:pPr>
      <w:pStyle w:val="3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49"/>
      </w:rPr>
    </w:pPr>
    <w:r>
      <w:fldChar w:fldCharType="begin"/>
    </w:r>
    <w:r>
      <w:rPr>
        <w:rStyle w:val="49"/>
      </w:rPr>
      <w:instrText xml:space="preserve">PAGE  </w:instrText>
    </w:r>
    <w:r>
      <w:fldChar w:fldCharType="end"/>
    </w:r>
  </w:p>
  <w:p>
    <w:pPr>
      <w:pStyle w:val="3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309AE5"/>
    <w:multiLevelType w:val="singleLevel"/>
    <w:tmpl w:val="88309AE5"/>
    <w:lvl w:ilvl="0" w:tentative="0">
      <w:start w:val="1"/>
      <w:numFmt w:val="decimalEnclosedCircleChinese"/>
      <w:suff w:val="nothing"/>
      <w:lvlText w:val="%1　"/>
      <w:lvlJc w:val="left"/>
      <w:pPr>
        <w:ind w:left="0" w:firstLine="400"/>
      </w:pPr>
      <w:rPr>
        <w:rFonts w:hint="eastAsia"/>
      </w:rPr>
    </w:lvl>
  </w:abstractNum>
  <w:abstractNum w:abstractNumId="1">
    <w:nsid w:val="946A9D07"/>
    <w:multiLevelType w:val="singleLevel"/>
    <w:tmpl w:val="946A9D07"/>
    <w:lvl w:ilvl="0" w:tentative="0">
      <w:start w:val="1"/>
      <w:numFmt w:val="decimalEnclosedCircleChinese"/>
      <w:suff w:val="nothing"/>
      <w:lvlText w:val="%1　"/>
      <w:lvlJc w:val="left"/>
      <w:pPr>
        <w:ind w:left="0" w:firstLine="400"/>
      </w:pPr>
      <w:rPr>
        <w:rFonts w:hint="eastAsia"/>
      </w:rPr>
    </w:lvl>
  </w:abstractNum>
  <w:abstractNum w:abstractNumId="2">
    <w:nsid w:val="9712FA61"/>
    <w:multiLevelType w:val="singleLevel"/>
    <w:tmpl w:val="9712FA61"/>
    <w:lvl w:ilvl="0" w:tentative="0">
      <w:start w:val="1"/>
      <w:numFmt w:val="decimal"/>
      <w:suff w:val="space"/>
      <w:lvlText w:val="(%1)"/>
      <w:lvlJc w:val="left"/>
      <w:pPr>
        <w:ind w:left="0" w:firstLine="0"/>
      </w:pPr>
    </w:lvl>
  </w:abstractNum>
  <w:abstractNum w:abstractNumId="3">
    <w:nsid w:val="97D37375"/>
    <w:multiLevelType w:val="singleLevel"/>
    <w:tmpl w:val="97D37375"/>
    <w:lvl w:ilvl="0" w:tentative="0">
      <w:start w:val="1"/>
      <w:numFmt w:val="decimal"/>
      <w:suff w:val="space"/>
      <w:lvlText w:val="(%1)"/>
      <w:lvlJc w:val="left"/>
      <w:pPr>
        <w:ind w:left="0" w:firstLine="0"/>
      </w:pPr>
    </w:lvl>
  </w:abstractNum>
  <w:abstractNum w:abstractNumId="4">
    <w:nsid w:val="9F84C4D0"/>
    <w:multiLevelType w:val="singleLevel"/>
    <w:tmpl w:val="9F84C4D0"/>
    <w:lvl w:ilvl="0" w:tentative="0">
      <w:start w:val="1"/>
      <w:numFmt w:val="decimal"/>
      <w:suff w:val="space"/>
      <w:lvlText w:val="(%1)"/>
      <w:lvlJc w:val="left"/>
      <w:pPr>
        <w:ind w:left="0" w:firstLine="0"/>
      </w:pPr>
    </w:lvl>
  </w:abstractNum>
  <w:abstractNum w:abstractNumId="5">
    <w:nsid w:val="A1AFA268"/>
    <w:multiLevelType w:val="singleLevel"/>
    <w:tmpl w:val="A1AFA268"/>
    <w:lvl w:ilvl="0" w:tentative="0">
      <w:start w:val="1"/>
      <w:numFmt w:val="decimal"/>
      <w:suff w:val="space"/>
      <w:lvlText w:val="(%1)"/>
      <w:lvlJc w:val="left"/>
      <w:pPr>
        <w:ind w:left="0" w:firstLine="0"/>
      </w:pPr>
    </w:lvl>
  </w:abstractNum>
  <w:abstractNum w:abstractNumId="6">
    <w:nsid w:val="A282AA06"/>
    <w:multiLevelType w:val="singleLevel"/>
    <w:tmpl w:val="A282AA06"/>
    <w:lvl w:ilvl="0" w:tentative="0">
      <w:start w:val="1"/>
      <w:numFmt w:val="decimalEnclosedCircleChinese"/>
      <w:suff w:val="nothing"/>
      <w:lvlText w:val="%1　"/>
      <w:lvlJc w:val="left"/>
      <w:pPr>
        <w:ind w:left="0" w:firstLine="400"/>
      </w:pPr>
      <w:rPr>
        <w:rFonts w:hint="eastAsia"/>
      </w:rPr>
    </w:lvl>
  </w:abstractNum>
  <w:abstractNum w:abstractNumId="7">
    <w:nsid w:val="A48919F8"/>
    <w:multiLevelType w:val="singleLevel"/>
    <w:tmpl w:val="A48919F8"/>
    <w:lvl w:ilvl="0" w:tentative="0">
      <w:start w:val="1"/>
      <w:numFmt w:val="decimalEnclosedCircleChinese"/>
      <w:suff w:val="nothing"/>
      <w:lvlText w:val="%1　"/>
      <w:lvlJc w:val="left"/>
      <w:pPr>
        <w:ind w:left="0" w:firstLine="400"/>
      </w:pPr>
      <w:rPr>
        <w:rFonts w:hint="eastAsia"/>
      </w:rPr>
    </w:lvl>
  </w:abstractNum>
  <w:abstractNum w:abstractNumId="8">
    <w:nsid w:val="A96CD87F"/>
    <w:multiLevelType w:val="singleLevel"/>
    <w:tmpl w:val="A96CD87F"/>
    <w:lvl w:ilvl="0" w:tentative="0">
      <w:start w:val="1"/>
      <w:numFmt w:val="decimal"/>
      <w:suff w:val="space"/>
      <w:lvlText w:val="(%1)"/>
      <w:lvlJc w:val="left"/>
      <w:pPr>
        <w:ind w:left="0" w:firstLine="0"/>
      </w:pPr>
    </w:lvl>
  </w:abstractNum>
  <w:abstractNum w:abstractNumId="9">
    <w:nsid w:val="AC737191"/>
    <w:multiLevelType w:val="singleLevel"/>
    <w:tmpl w:val="AC737191"/>
    <w:lvl w:ilvl="0" w:tentative="0">
      <w:start w:val="2"/>
      <w:numFmt w:val="chineseCounting"/>
      <w:suff w:val="space"/>
      <w:lvlText w:val="第%1章"/>
      <w:lvlJc w:val="left"/>
      <w:rPr>
        <w:rFonts w:hint="eastAsia"/>
      </w:rPr>
    </w:lvl>
  </w:abstractNum>
  <w:abstractNum w:abstractNumId="10">
    <w:nsid w:val="B07ED049"/>
    <w:multiLevelType w:val="singleLevel"/>
    <w:tmpl w:val="B07ED049"/>
    <w:lvl w:ilvl="0" w:tentative="0">
      <w:start w:val="1"/>
      <w:numFmt w:val="decimalEnclosedCircleChinese"/>
      <w:suff w:val="nothing"/>
      <w:lvlText w:val="%1　"/>
      <w:lvlJc w:val="left"/>
      <w:pPr>
        <w:ind w:left="0" w:firstLine="400"/>
      </w:pPr>
      <w:rPr>
        <w:rFonts w:hint="eastAsia"/>
      </w:rPr>
    </w:lvl>
  </w:abstractNum>
  <w:abstractNum w:abstractNumId="11">
    <w:nsid w:val="B267D1B1"/>
    <w:multiLevelType w:val="singleLevel"/>
    <w:tmpl w:val="B267D1B1"/>
    <w:lvl w:ilvl="0" w:tentative="0">
      <w:start w:val="1"/>
      <w:numFmt w:val="decimalEnclosedCircleChinese"/>
      <w:suff w:val="nothing"/>
      <w:lvlText w:val="%1　"/>
      <w:lvlJc w:val="left"/>
      <w:pPr>
        <w:ind w:left="0" w:firstLine="400"/>
      </w:pPr>
      <w:rPr>
        <w:rFonts w:hint="eastAsia"/>
      </w:rPr>
    </w:lvl>
  </w:abstractNum>
  <w:abstractNum w:abstractNumId="12">
    <w:nsid w:val="B7742D0C"/>
    <w:multiLevelType w:val="singleLevel"/>
    <w:tmpl w:val="B7742D0C"/>
    <w:lvl w:ilvl="0" w:tentative="0">
      <w:start w:val="1"/>
      <w:numFmt w:val="decimal"/>
      <w:suff w:val="space"/>
      <w:lvlText w:val="(%1)"/>
      <w:lvlJc w:val="left"/>
      <w:pPr>
        <w:ind w:left="0" w:firstLine="0"/>
      </w:pPr>
    </w:lvl>
  </w:abstractNum>
  <w:abstractNum w:abstractNumId="13">
    <w:nsid w:val="BC09C800"/>
    <w:multiLevelType w:val="singleLevel"/>
    <w:tmpl w:val="BC09C800"/>
    <w:lvl w:ilvl="0" w:tentative="0">
      <w:start w:val="1"/>
      <w:numFmt w:val="decimal"/>
      <w:suff w:val="space"/>
      <w:lvlText w:val="(%1)"/>
      <w:lvlJc w:val="left"/>
      <w:pPr>
        <w:ind w:left="0" w:firstLine="0"/>
      </w:pPr>
    </w:lvl>
  </w:abstractNum>
  <w:abstractNum w:abstractNumId="14">
    <w:nsid w:val="C41FEE6D"/>
    <w:multiLevelType w:val="singleLevel"/>
    <w:tmpl w:val="C41FEE6D"/>
    <w:lvl w:ilvl="0" w:tentative="0">
      <w:start w:val="1"/>
      <w:numFmt w:val="decimal"/>
      <w:suff w:val="space"/>
      <w:lvlText w:val="(%1)"/>
      <w:lvlJc w:val="left"/>
      <w:pPr>
        <w:ind w:left="0" w:firstLine="0"/>
      </w:pPr>
    </w:lvl>
  </w:abstractNum>
  <w:abstractNum w:abstractNumId="15">
    <w:nsid w:val="C45331F3"/>
    <w:multiLevelType w:val="singleLevel"/>
    <w:tmpl w:val="C45331F3"/>
    <w:lvl w:ilvl="0" w:tentative="0">
      <w:start w:val="1"/>
      <w:numFmt w:val="decimal"/>
      <w:suff w:val="space"/>
      <w:lvlText w:val="(%1)"/>
      <w:lvlJc w:val="left"/>
      <w:pPr>
        <w:ind w:left="0" w:firstLine="0"/>
      </w:pPr>
    </w:lvl>
  </w:abstractNum>
  <w:abstractNum w:abstractNumId="16">
    <w:nsid w:val="C756B300"/>
    <w:multiLevelType w:val="singleLevel"/>
    <w:tmpl w:val="C756B300"/>
    <w:lvl w:ilvl="0" w:tentative="0">
      <w:start w:val="1"/>
      <w:numFmt w:val="decimalEnclosedCircleChinese"/>
      <w:suff w:val="nothing"/>
      <w:lvlText w:val="%1　"/>
      <w:lvlJc w:val="left"/>
      <w:pPr>
        <w:ind w:left="0" w:firstLine="400"/>
      </w:pPr>
      <w:rPr>
        <w:rFonts w:hint="eastAsia"/>
      </w:rPr>
    </w:lvl>
  </w:abstractNum>
  <w:abstractNum w:abstractNumId="17">
    <w:nsid w:val="C7FCA7CC"/>
    <w:multiLevelType w:val="singleLevel"/>
    <w:tmpl w:val="C7FCA7CC"/>
    <w:lvl w:ilvl="0" w:tentative="0">
      <w:start w:val="4"/>
      <w:numFmt w:val="decimal"/>
      <w:suff w:val="nothing"/>
      <w:lvlText w:val="%1、"/>
      <w:lvlJc w:val="left"/>
    </w:lvl>
  </w:abstractNum>
  <w:abstractNum w:abstractNumId="18">
    <w:nsid w:val="CAE1A95E"/>
    <w:multiLevelType w:val="singleLevel"/>
    <w:tmpl w:val="CAE1A95E"/>
    <w:lvl w:ilvl="0" w:tentative="0">
      <w:start w:val="1"/>
      <w:numFmt w:val="decimalEnclosedCircleChinese"/>
      <w:suff w:val="nothing"/>
      <w:lvlText w:val="%1　"/>
      <w:lvlJc w:val="left"/>
      <w:pPr>
        <w:ind w:left="0" w:firstLine="400"/>
      </w:pPr>
      <w:rPr>
        <w:rFonts w:hint="eastAsia"/>
      </w:rPr>
    </w:lvl>
  </w:abstractNum>
  <w:abstractNum w:abstractNumId="19">
    <w:nsid w:val="D534E067"/>
    <w:multiLevelType w:val="singleLevel"/>
    <w:tmpl w:val="D534E067"/>
    <w:lvl w:ilvl="0" w:tentative="0">
      <w:start w:val="1"/>
      <w:numFmt w:val="decimal"/>
      <w:suff w:val="space"/>
      <w:lvlText w:val="(%1)"/>
      <w:lvlJc w:val="left"/>
      <w:pPr>
        <w:ind w:left="0" w:firstLine="0"/>
      </w:pPr>
    </w:lvl>
  </w:abstractNum>
  <w:abstractNum w:abstractNumId="20">
    <w:nsid w:val="D9858846"/>
    <w:multiLevelType w:val="singleLevel"/>
    <w:tmpl w:val="D9858846"/>
    <w:lvl w:ilvl="0" w:tentative="0">
      <w:start w:val="1"/>
      <w:numFmt w:val="decimalEnclosedCircleChinese"/>
      <w:suff w:val="nothing"/>
      <w:lvlText w:val="%1　"/>
      <w:lvlJc w:val="left"/>
      <w:pPr>
        <w:ind w:left="0" w:firstLine="400"/>
      </w:pPr>
      <w:rPr>
        <w:rFonts w:hint="eastAsia"/>
      </w:rPr>
    </w:lvl>
  </w:abstractNum>
  <w:abstractNum w:abstractNumId="21">
    <w:nsid w:val="DE470A9F"/>
    <w:multiLevelType w:val="singleLevel"/>
    <w:tmpl w:val="DE470A9F"/>
    <w:lvl w:ilvl="0" w:tentative="0">
      <w:start w:val="1"/>
      <w:numFmt w:val="decimalEnclosedCircleChinese"/>
      <w:suff w:val="nothing"/>
      <w:lvlText w:val="%1　"/>
      <w:lvlJc w:val="left"/>
      <w:pPr>
        <w:ind w:left="0" w:firstLine="400"/>
      </w:pPr>
      <w:rPr>
        <w:rFonts w:hint="eastAsia"/>
      </w:rPr>
    </w:lvl>
  </w:abstractNum>
  <w:abstractNum w:abstractNumId="22">
    <w:nsid w:val="DF9F484C"/>
    <w:multiLevelType w:val="singleLevel"/>
    <w:tmpl w:val="DF9F484C"/>
    <w:lvl w:ilvl="0" w:tentative="0">
      <w:start w:val="1"/>
      <w:numFmt w:val="decimal"/>
      <w:suff w:val="space"/>
      <w:lvlText w:val="(%1)"/>
      <w:lvlJc w:val="left"/>
      <w:pPr>
        <w:ind w:left="0" w:firstLine="0"/>
      </w:pPr>
    </w:lvl>
  </w:abstractNum>
  <w:abstractNum w:abstractNumId="23">
    <w:nsid w:val="DFEE9995"/>
    <w:multiLevelType w:val="singleLevel"/>
    <w:tmpl w:val="DFEE9995"/>
    <w:lvl w:ilvl="0" w:tentative="0">
      <w:start w:val="1"/>
      <w:numFmt w:val="decimal"/>
      <w:suff w:val="space"/>
      <w:lvlText w:val="(%1)"/>
      <w:lvlJc w:val="left"/>
      <w:pPr>
        <w:ind w:left="0" w:firstLine="0"/>
      </w:pPr>
    </w:lvl>
  </w:abstractNum>
  <w:abstractNum w:abstractNumId="24">
    <w:nsid w:val="E1486C97"/>
    <w:multiLevelType w:val="singleLevel"/>
    <w:tmpl w:val="E1486C97"/>
    <w:lvl w:ilvl="0" w:tentative="0">
      <w:start w:val="1"/>
      <w:numFmt w:val="decimal"/>
      <w:suff w:val="space"/>
      <w:lvlText w:val="(%1)"/>
      <w:lvlJc w:val="left"/>
      <w:pPr>
        <w:ind w:left="0" w:firstLine="0"/>
      </w:pPr>
    </w:lvl>
  </w:abstractNum>
  <w:abstractNum w:abstractNumId="25">
    <w:nsid w:val="E188018E"/>
    <w:multiLevelType w:val="singleLevel"/>
    <w:tmpl w:val="E188018E"/>
    <w:lvl w:ilvl="0" w:tentative="0">
      <w:start w:val="1"/>
      <w:numFmt w:val="decimalEnclosedCircleChinese"/>
      <w:suff w:val="nothing"/>
      <w:lvlText w:val="%1　"/>
      <w:lvlJc w:val="left"/>
      <w:pPr>
        <w:ind w:left="0" w:firstLine="400"/>
      </w:pPr>
      <w:rPr>
        <w:rFonts w:hint="eastAsia"/>
      </w:rPr>
    </w:lvl>
  </w:abstractNum>
  <w:abstractNum w:abstractNumId="26">
    <w:nsid w:val="E5319E33"/>
    <w:multiLevelType w:val="singleLevel"/>
    <w:tmpl w:val="E5319E33"/>
    <w:lvl w:ilvl="0" w:tentative="0">
      <w:start w:val="1"/>
      <w:numFmt w:val="decimalEnclosedCircleChinese"/>
      <w:suff w:val="nothing"/>
      <w:lvlText w:val="%1　"/>
      <w:lvlJc w:val="left"/>
      <w:pPr>
        <w:ind w:left="0" w:firstLine="400"/>
      </w:pPr>
      <w:rPr>
        <w:rFonts w:hint="eastAsia"/>
      </w:rPr>
    </w:lvl>
  </w:abstractNum>
  <w:abstractNum w:abstractNumId="27">
    <w:nsid w:val="F46CAFFD"/>
    <w:multiLevelType w:val="singleLevel"/>
    <w:tmpl w:val="F46CAFFD"/>
    <w:lvl w:ilvl="0" w:tentative="0">
      <w:start w:val="1"/>
      <w:numFmt w:val="decimal"/>
      <w:suff w:val="space"/>
      <w:lvlText w:val="(%1)"/>
      <w:lvlJc w:val="left"/>
      <w:pPr>
        <w:ind w:left="0" w:firstLine="0"/>
      </w:pPr>
    </w:lvl>
  </w:abstractNum>
  <w:abstractNum w:abstractNumId="28">
    <w:nsid w:val="FDBF07F4"/>
    <w:multiLevelType w:val="singleLevel"/>
    <w:tmpl w:val="FDBF07F4"/>
    <w:lvl w:ilvl="0" w:tentative="0">
      <w:start w:val="1"/>
      <w:numFmt w:val="decimal"/>
      <w:suff w:val="space"/>
      <w:lvlText w:val="(%1)"/>
      <w:lvlJc w:val="left"/>
      <w:pPr>
        <w:ind w:left="0" w:firstLine="0"/>
      </w:pPr>
    </w:lvl>
  </w:abstractNum>
  <w:abstractNum w:abstractNumId="29">
    <w:nsid w:val="FFFFFF7E"/>
    <w:multiLevelType w:val="singleLevel"/>
    <w:tmpl w:val="FFFFFF7E"/>
    <w:lvl w:ilvl="0" w:tentative="0">
      <w:start w:val="1"/>
      <w:numFmt w:val="decimal"/>
      <w:pStyle w:val="24"/>
      <w:lvlText w:val="%1."/>
      <w:lvlJc w:val="left"/>
      <w:pPr>
        <w:tabs>
          <w:tab w:val="left" w:pos="1200"/>
        </w:tabs>
        <w:ind w:left="1200" w:hanging="360"/>
      </w:pPr>
    </w:lvl>
  </w:abstractNum>
  <w:abstractNum w:abstractNumId="30">
    <w:nsid w:val="00BC550F"/>
    <w:multiLevelType w:val="singleLevel"/>
    <w:tmpl w:val="00BC550F"/>
    <w:lvl w:ilvl="0" w:tentative="0">
      <w:start w:val="1"/>
      <w:numFmt w:val="decimal"/>
      <w:suff w:val="space"/>
      <w:lvlText w:val="(%1)"/>
      <w:lvlJc w:val="left"/>
      <w:pPr>
        <w:ind w:left="0" w:firstLine="0"/>
      </w:pPr>
    </w:lvl>
  </w:abstractNum>
  <w:abstractNum w:abstractNumId="31">
    <w:nsid w:val="0EA96EB4"/>
    <w:multiLevelType w:val="singleLevel"/>
    <w:tmpl w:val="0EA96EB4"/>
    <w:lvl w:ilvl="0" w:tentative="0">
      <w:start w:val="1"/>
      <w:numFmt w:val="decimalEnclosedCircleChinese"/>
      <w:suff w:val="nothing"/>
      <w:lvlText w:val="%1　"/>
      <w:lvlJc w:val="left"/>
      <w:pPr>
        <w:ind w:left="0" w:firstLine="400"/>
      </w:pPr>
      <w:rPr>
        <w:rFonts w:hint="eastAsia"/>
      </w:rPr>
    </w:lvl>
  </w:abstractNum>
  <w:abstractNum w:abstractNumId="32">
    <w:nsid w:val="189E0B5A"/>
    <w:multiLevelType w:val="singleLevel"/>
    <w:tmpl w:val="189E0B5A"/>
    <w:lvl w:ilvl="0" w:tentative="0">
      <w:start w:val="1"/>
      <w:numFmt w:val="decimalEnclosedCircleChinese"/>
      <w:suff w:val="nothing"/>
      <w:lvlText w:val="%1　"/>
      <w:lvlJc w:val="left"/>
      <w:pPr>
        <w:ind w:left="0" w:firstLine="400"/>
      </w:pPr>
      <w:rPr>
        <w:rFonts w:hint="eastAsia"/>
      </w:rPr>
    </w:lvl>
  </w:abstractNum>
  <w:abstractNum w:abstractNumId="33">
    <w:nsid w:val="1D557F20"/>
    <w:multiLevelType w:val="singleLevel"/>
    <w:tmpl w:val="1D557F20"/>
    <w:lvl w:ilvl="0" w:tentative="0">
      <w:start w:val="1"/>
      <w:numFmt w:val="decimal"/>
      <w:suff w:val="space"/>
      <w:lvlText w:val="(%1)"/>
      <w:lvlJc w:val="left"/>
      <w:pPr>
        <w:ind w:left="0" w:firstLine="0"/>
      </w:pPr>
    </w:lvl>
  </w:abstractNum>
  <w:abstractNum w:abstractNumId="34">
    <w:nsid w:val="21777C85"/>
    <w:multiLevelType w:val="multilevel"/>
    <w:tmpl w:val="21777C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2302E9D2"/>
    <w:multiLevelType w:val="singleLevel"/>
    <w:tmpl w:val="2302E9D2"/>
    <w:lvl w:ilvl="0" w:tentative="0">
      <w:start w:val="1"/>
      <w:numFmt w:val="decimalEnclosedCircleChinese"/>
      <w:suff w:val="nothing"/>
      <w:lvlText w:val="%1　"/>
      <w:lvlJc w:val="left"/>
      <w:pPr>
        <w:ind w:left="0" w:firstLine="400"/>
      </w:pPr>
      <w:rPr>
        <w:rFonts w:hint="eastAsia"/>
      </w:rPr>
    </w:lvl>
  </w:abstractNum>
  <w:abstractNum w:abstractNumId="36">
    <w:nsid w:val="23309C6D"/>
    <w:multiLevelType w:val="singleLevel"/>
    <w:tmpl w:val="23309C6D"/>
    <w:lvl w:ilvl="0" w:tentative="0">
      <w:start w:val="1"/>
      <w:numFmt w:val="decimalEnclosedCircleChinese"/>
      <w:suff w:val="nothing"/>
      <w:lvlText w:val="%1　"/>
      <w:lvlJc w:val="left"/>
      <w:pPr>
        <w:ind w:left="0" w:firstLine="400"/>
      </w:pPr>
      <w:rPr>
        <w:rFonts w:hint="eastAsia"/>
      </w:rPr>
    </w:lvl>
  </w:abstractNum>
  <w:abstractNum w:abstractNumId="37">
    <w:nsid w:val="27ED4B80"/>
    <w:multiLevelType w:val="singleLevel"/>
    <w:tmpl w:val="27ED4B80"/>
    <w:lvl w:ilvl="0" w:tentative="0">
      <w:start w:val="1"/>
      <w:numFmt w:val="decimalEnclosedCircleChinese"/>
      <w:suff w:val="nothing"/>
      <w:lvlText w:val="%1　"/>
      <w:lvlJc w:val="left"/>
      <w:pPr>
        <w:ind w:left="0" w:firstLine="400"/>
      </w:pPr>
      <w:rPr>
        <w:rFonts w:hint="eastAsia"/>
      </w:rPr>
    </w:lvl>
  </w:abstractNum>
  <w:abstractNum w:abstractNumId="38">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pStyle w:val="11"/>
      <w:suff w:val="nothing"/>
      <w:lvlText w:val=""/>
      <w:lvlJc w:val="left"/>
      <w:pPr>
        <w:ind w:left="0" w:firstLine="0"/>
      </w:pPr>
      <w:rPr>
        <w:rFonts w:hint="eastAsia"/>
      </w:rPr>
    </w:lvl>
    <w:lvl w:ilvl="7" w:tentative="0">
      <w:start w:val="1"/>
      <w:numFmt w:val="none"/>
      <w:pStyle w:val="12"/>
      <w:suff w:val="nothing"/>
      <w:lvlText w:val=""/>
      <w:lvlJc w:val="left"/>
      <w:pPr>
        <w:ind w:left="0" w:firstLine="0"/>
      </w:pPr>
      <w:rPr>
        <w:rFonts w:hint="eastAsia"/>
      </w:rPr>
    </w:lvl>
    <w:lvl w:ilvl="8" w:tentative="0">
      <w:start w:val="1"/>
      <w:numFmt w:val="none"/>
      <w:pStyle w:val="13"/>
      <w:suff w:val="nothing"/>
      <w:lvlText w:val=""/>
      <w:lvlJc w:val="left"/>
      <w:pPr>
        <w:ind w:left="0" w:firstLine="0"/>
      </w:pPr>
      <w:rPr>
        <w:rFonts w:hint="eastAsia"/>
      </w:rPr>
    </w:lvl>
  </w:abstractNum>
  <w:abstractNum w:abstractNumId="39">
    <w:nsid w:val="36F1643E"/>
    <w:multiLevelType w:val="singleLevel"/>
    <w:tmpl w:val="36F1643E"/>
    <w:lvl w:ilvl="0" w:tentative="0">
      <w:start w:val="1"/>
      <w:numFmt w:val="decimalEnclosedCircleChinese"/>
      <w:suff w:val="nothing"/>
      <w:lvlText w:val="%1　"/>
      <w:lvlJc w:val="left"/>
      <w:pPr>
        <w:ind w:left="0" w:firstLine="400"/>
      </w:pPr>
      <w:rPr>
        <w:rFonts w:hint="eastAsia"/>
      </w:rPr>
    </w:lvl>
  </w:abstractNum>
  <w:abstractNum w:abstractNumId="40">
    <w:nsid w:val="398866F0"/>
    <w:multiLevelType w:val="singleLevel"/>
    <w:tmpl w:val="398866F0"/>
    <w:lvl w:ilvl="0" w:tentative="0">
      <w:start w:val="1"/>
      <w:numFmt w:val="decimal"/>
      <w:suff w:val="space"/>
      <w:lvlText w:val="(%1)"/>
      <w:lvlJc w:val="left"/>
      <w:pPr>
        <w:ind w:left="0" w:firstLine="0"/>
      </w:pPr>
    </w:lvl>
  </w:abstractNum>
  <w:abstractNum w:abstractNumId="41">
    <w:nsid w:val="3B2D930C"/>
    <w:multiLevelType w:val="singleLevel"/>
    <w:tmpl w:val="3B2D930C"/>
    <w:lvl w:ilvl="0" w:tentative="0">
      <w:start w:val="1"/>
      <w:numFmt w:val="decimalEnclosedCircleChinese"/>
      <w:suff w:val="nothing"/>
      <w:lvlText w:val="%1　"/>
      <w:lvlJc w:val="left"/>
      <w:pPr>
        <w:ind w:left="0" w:firstLine="400"/>
      </w:pPr>
      <w:rPr>
        <w:rFonts w:hint="eastAsia"/>
      </w:rPr>
    </w:lvl>
  </w:abstractNum>
  <w:abstractNum w:abstractNumId="42">
    <w:nsid w:val="3D2BC573"/>
    <w:multiLevelType w:val="singleLevel"/>
    <w:tmpl w:val="3D2BC573"/>
    <w:lvl w:ilvl="0" w:tentative="0">
      <w:start w:val="1"/>
      <w:numFmt w:val="decimalEnclosedCircleChinese"/>
      <w:suff w:val="nothing"/>
      <w:lvlText w:val="%1　"/>
      <w:lvlJc w:val="left"/>
      <w:pPr>
        <w:ind w:left="0" w:firstLine="400"/>
      </w:pPr>
      <w:rPr>
        <w:rFonts w:hint="eastAsia"/>
      </w:rPr>
    </w:lvl>
  </w:abstractNum>
  <w:abstractNum w:abstractNumId="43">
    <w:nsid w:val="3F51DF12"/>
    <w:multiLevelType w:val="singleLevel"/>
    <w:tmpl w:val="3F51DF12"/>
    <w:lvl w:ilvl="0" w:tentative="0">
      <w:start w:val="1"/>
      <w:numFmt w:val="decimalEnclosedCircleChinese"/>
      <w:suff w:val="nothing"/>
      <w:lvlText w:val="%1　"/>
      <w:lvlJc w:val="left"/>
      <w:pPr>
        <w:ind w:left="0" w:firstLine="400"/>
      </w:pPr>
      <w:rPr>
        <w:rFonts w:hint="eastAsia"/>
      </w:rPr>
    </w:lvl>
  </w:abstractNum>
  <w:abstractNum w:abstractNumId="44">
    <w:nsid w:val="44F6FC94"/>
    <w:multiLevelType w:val="singleLevel"/>
    <w:tmpl w:val="44F6FC94"/>
    <w:lvl w:ilvl="0" w:tentative="0">
      <w:start w:val="1"/>
      <w:numFmt w:val="decimalEnclosedCircleChinese"/>
      <w:suff w:val="nothing"/>
      <w:lvlText w:val="%1　"/>
      <w:lvlJc w:val="left"/>
      <w:pPr>
        <w:ind w:left="0" w:firstLine="400"/>
      </w:pPr>
      <w:rPr>
        <w:rFonts w:hint="eastAsia"/>
      </w:rPr>
    </w:lvl>
  </w:abstractNum>
  <w:abstractNum w:abstractNumId="45">
    <w:nsid w:val="4889E5F7"/>
    <w:multiLevelType w:val="singleLevel"/>
    <w:tmpl w:val="4889E5F7"/>
    <w:lvl w:ilvl="0" w:tentative="0">
      <w:start w:val="1"/>
      <w:numFmt w:val="decimalEnclosedCircleChinese"/>
      <w:suff w:val="nothing"/>
      <w:lvlText w:val="%1　"/>
      <w:lvlJc w:val="left"/>
      <w:pPr>
        <w:ind w:left="0" w:firstLine="400"/>
      </w:pPr>
      <w:rPr>
        <w:rFonts w:hint="eastAsia"/>
      </w:rPr>
    </w:lvl>
  </w:abstractNum>
  <w:abstractNum w:abstractNumId="46">
    <w:nsid w:val="4C601917"/>
    <w:multiLevelType w:val="singleLevel"/>
    <w:tmpl w:val="4C601917"/>
    <w:lvl w:ilvl="0" w:tentative="0">
      <w:start w:val="1"/>
      <w:numFmt w:val="decimal"/>
      <w:suff w:val="nothing"/>
      <w:lvlText w:val="（%1）"/>
      <w:lvlJc w:val="left"/>
      <w:pPr>
        <w:ind w:left="-2"/>
      </w:pPr>
    </w:lvl>
  </w:abstractNum>
  <w:abstractNum w:abstractNumId="47">
    <w:nsid w:val="4CACA03D"/>
    <w:multiLevelType w:val="singleLevel"/>
    <w:tmpl w:val="4CACA03D"/>
    <w:lvl w:ilvl="0" w:tentative="0">
      <w:start w:val="1"/>
      <w:numFmt w:val="decimal"/>
      <w:suff w:val="space"/>
      <w:lvlText w:val="(%1)"/>
      <w:lvlJc w:val="left"/>
      <w:pPr>
        <w:ind w:left="0" w:firstLine="0"/>
      </w:pPr>
    </w:lvl>
  </w:abstractNum>
  <w:abstractNum w:abstractNumId="48">
    <w:nsid w:val="50AC8C45"/>
    <w:multiLevelType w:val="singleLevel"/>
    <w:tmpl w:val="50AC8C45"/>
    <w:lvl w:ilvl="0" w:tentative="0">
      <w:start w:val="1"/>
      <w:numFmt w:val="decimalEnclosedCircleChinese"/>
      <w:suff w:val="nothing"/>
      <w:lvlText w:val="%1　"/>
      <w:lvlJc w:val="left"/>
      <w:pPr>
        <w:ind w:left="0" w:firstLine="400"/>
      </w:pPr>
      <w:rPr>
        <w:rFonts w:hint="eastAsia"/>
      </w:rPr>
    </w:lvl>
  </w:abstractNum>
  <w:abstractNum w:abstractNumId="49">
    <w:nsid w:val="517FE4F2"/>
    <w:multiLevelType w:val="singleLevel"/>
    <w:tmpl w:val="517FE4F2"/>
    <w:lvl w:ilvl="0" w:tentative="0">
      <w:start w:val="1"/>
      <w:numFmt w:val="decimal"/>
      <w:suff w:val="space"/>
      <w:lvlText w:val="(%1)"/>
      <w:lvlJc w:val="left"/>
      <w:pPr>
        <w:ind w:left="0" w:firstLine="0"/>
      </w:pPr>
      <w:rPr>
        <w:rFonts w:hint="default" w:ascii="宋体" w:hAnsi="宋体" w:eastAsia="宋体" w:cs="宋体"/>
        <w:sz w:val="24"/>
        <w:szCs w:val="24"/>
      </w:rPr>
    </w:lvl>
  </w:abstractNum>
  <w:abstractNum w:abstractNumId="50">
    <w:nsid w:val="5654880B"/>
    <w:multiLevelType w:val="singleLevel"/>
    <w:tmpl w:val="5654880B"/>
    <w:lvl w:ilvl="0" w:tentative="0">
      <w:start w:val="1"/>
      <w:numFmt w:val="decimal"/>
      <w:suff w:val="space"/>
      <w:lvlText w:val="(%1)"/>
      <w:lvlJc w:val="left"/>
      <w:pPr>
        <w:ind w:left="0" w:firstLine="0"/>
      </w:pPr>
    </w:lvl>
  </w:abstractNum>
  <w:abstractNum w:abstractNumId="51">
    <w:nsid w:val="56E7542F"/>
    <w:multiLevelType w:val="multilevel"/>
    <w:tmpl w:val="56E7542F"/>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tabs>
          <w:tab w:val="left" w:pos="420"/>
        </w:tabs>
        <w:ind w:left="0" w:firstLine="0"/>
      </w:pPr>
      <w:rPr>
        <w:rFonts w:hint="eastAsia"/>
        <w:sz w:val="30"/>
        <w:szCs w:val="30"/>
      </w:rPr>
    </w:lvl>
    <w:lvl w:ilvl="3" w:tentative="0">
      <w:start w:val="1"/>
      <w:numFmt w:val="decimal"/>
      <w:suff w:val="space"/>
      <w:lvlText w:val="%3.%4."/>
      <w:lvlJc w:val="left"/>
      <w:pPr>
        <w:tabs>
          <w:tab w:val="left" w:pos="420"/>
        </w:tabs>
        <w:ind w:left="0" w:firstLine="0"/>
      </w:pPr>
      <w:rPr>
        <w:rFonts w:hint="eastAsia"/>
      </w:rPr>
    </w:lvl>
    <w:lvl w:ilvl="4" w:tentative="0">
      <w:start w:val="1"/>
      <w:numFmt w:val="decimal"/>
      <w:suff w:val="space"/>
      <w:lvlText w:val="%3.%4.%5"/>
      <w:lvlJc w:val="left"/>
      <w:pPr>
        <w:ind w:left="0" w:firstLine="0"/>
      </w:pPr>
      <w:rPr>
        <w:rFonts w:hint="eastAsia"/>
      </w:rPr>
    </w:lvl>
    <w:lvl w:ilvl="5" w:tentative="0">
      <w:start w:val="1"/>
      <w:numFmt w:val="decimal"/>
      <w:suff w:val="space"/>
      <w:lvlText w:val="_x0004_%3.%4.%5.%6"/>
      <w:lvlJc w:val="left"/>
      <w:pPr>
        <w:tabs>
          <w:tab w:val="left" w:pos="0"/>
        </w:tabs>
        <w:ind w:left="0" w:firstLine="0"/>
      </w:pPr>
      <w:rPr>
        <w:rFonts w:hint="eastAsia"/>
      </w:rPr>
    </w:lvl>
    <w:lvl w:ilvl="6" w:tentative="0">
      <w:start w:val="1"/>
      <w:numFmt w:val="decimalEnclosedCircleChinese"/>
      <w:suff w:val="nothing"/>
      <w:lvlText w:val="%7．"/>
      <w:lvlJc w:val="left"/>
      <w:pPr>
        <w:ind w:left="840" w:firstLine="402"/>
      </w:pPr>
      <w:rPr>
        <w:rFonts w:hint="eastAsia"/>
      </w:rPr>
    </w:lvl>
    <w:lvl w:ilvl="7" w:tentative="0">
      <w:start w:val="1"/>
      <w:numFmt w:val="lowerLetter"/>
      <w:suff w:val="nothing"/>
      <w:lvlText w:val="%8）"/>
      <w:lvlJc w:val="left"/>
      <w:pPr>
        <w:ind w:left="840" w:firstLine="402"/>
      </w:pPr>
      <w:rPr>
        <w:rFonts w:hint="eastAsia"/>
      </w:rPr>
    </w:lvl>
    <w:lvl w:ilvl="8" w:tentative="0">
      <w:start w:val="1"/>
      <w:numFmt w:val="lowerRoman"/>
      <w:suff w:val="nothing"/>
      <w:lvlText w:val="%9 "/>
      <w:lvlJc w:val="left"/>
      <w:pPr>
        <w:ind w:left="840" w:firstLine="402"/>
      </w:pPr>
      <w:rPr>
        <w:rFonts w:hint="eastAsia"/>
      </w:rPr>
    </w:lvl>
  </w:abstractNum>
  <w:abstractNum w:abstractNumId="52">
    <w:nsid w:val="593FD8AB"/>
    <w:multiLevelType w:val="singleLevel"/>
    <w:tmpl w:val="593FD8AB"/>
    <w:lvl w:ilvl="0" w:tentative="0">
      <w:start w:val="1"/>
      <w:numFmt w:val="decimalEnclosedCircleChinese"/>
      <w:suff w:val="nothing"/>
      <w:lvlText w:val="%1　"/>
      <w:lvlJc w:val="left"/>
      <w:pPr>
        <w:ind w:left="0" w:firstLine="400"/>
      </w:pPr>
      <w:rPr>
        <w:rFonts w:hint="eastAsia"/>
      </w:rPr>
    </w:lvl>
  </w:abstractNum>
  <w:abstractNum w:abstractNumId="53">
    <w:nsid w:val="59CF623D"/>
    <w:multiLevelType w:val="singleLevel"/>
    <w:tmpl w:val="59CF623D"/>
    <w:lvl w:ilvl="0" w:tentative="0">
      <w:start w:val="1"/>
      <w:numFmt w:val="decimalEnclosedCircleChinese"/>
      <w:suff w:val="nothing"/>
      <w:lvlText w:val="%1　"/>
      <w:lvlJc w:val="left"/>
      <w:pPr>
        <w:ind w:left="0" w:firstLine="400"/>
      </w:pPr>
      <w:rPr>
        <w:rFonts w:hint="eastAsia"/>
      </w:rPr>
    </w:lvl>
  </w:abstractNum>
  <w:abstractNum w:abstractNumId="54">
    <w:nsid w:val="5FABD14B"/>
    <w:multiLevelType w:val="singleLevel"/>
    <w:tmpl w:val="5FABD14B"/>
    <w:lvl w:ilvl="0" w:tentative="0">
      <w:start w:val="1"/>
      <w:numFmt w:val="decimal"/>
      <w:suff w:val="nothing"/>
      <w:lvlText w:val="（%1）"/>
      <w:lvlJc w:val="left"/>
    </w:lvl>
  </w:abstractNum>
  <w:abstractNum w:abstractNumId="55">
    <w:nsid w:val="605FD3CB"/>
    <w:multiLevelType w:val="singleLevel"/>
    <w:tmpl w:val="605FD3CB"/>
    <w:lvl w:ilvl="0" w:tentative="0">
      <w:start w:val="1"/>
      <w:numFmt w:val="decimal"/>
      <w:suff w:val="space"/>
      <w:lvlText w:val="(%1)"/>
      <w:lvlJc w:val="left"/>
      <w:pPr>
        <w:ind w:left="0" w:firstLine="0"/>
      </w:pPr>
    </w:lvl>
  </w:abstractNum>
  <w:abstractNum w:abstractNumId="56">
    <w:nsid w:val="69CE5205"/>
    <w:multiLevelType w:val="singleLevel"/>
    <w:tmpl w:val="69CE5205"/>
    <w:lvl w:ilvl="0" w:tentative="0">
      <w:start w:val="1"/>
      <w:numFmt w:val="decimalEnclosedCircleChinese"/>
      <w:suff w:val="nothing"/>
      <w:lvlText w:val="%1　"/>
      <w:lvlJc w:val="left"/>
      <w:pPr>
        <w:ind w:left="0" w:firstLine="400"/>
      </w:pPr>
      <w:rPr>
        <w:rFonts w:hint="eastAsia"/>
      </w:rPr>
    </w:lvl>
  </w:abstractNum>
  <w:abstractNum w:abstractNumId="57">
    <w:nsid w:val="6D2DFC8E"/>
    <w:multiLevelType w:val="singleLevel"/>
    <w:tmpl w:val="6D2DFC8E"/>
    <w:lvl w:ilvl="0" w:tentative="0">
      <w:start w:val="1"/>
      <w:numFmt w:val="decimal"/>
      <w:suff w:val="space"/>
      <w:lvlText w:val="(%1)"/>
      <w:lvlJc w:val="left"/>
      <w:pPr>
        <w:ind w:left="0" w:firstLine="0"/>
      </w:pPr>
    </w:lvl>
  </w:abstractNum>
  <w:abstractNum w:abstractNumId="58">
    <w:nsid w:val="73944D1F"/>
    <w:multiLevelType w:val="singleLevel"/>
    <w:tmpl w:val="73944D1F"/>
    <w:lvl w:ilvl="0" w:tentative="0">
      <w:start w:val="1"/>
      <w:numFmt w:val="decimalEnclosedCircleChinese"/>
      <w:suff w:val="nothing"/>
      <w:lvlText w:val="%1　"/>
      <w:lvlJc w:val="left"/>
      <w:pPr>
        <w:ind w:left="0" w:firstLine="400"/>
      </w:pPr>
      <w:rPr>
        <w:rFonts w:hint="eastAsia"/>
      </w:rPr>
    </w:lvl>
  </w:abstractNum>
  <w:abstractNum w:abstractNumId="59">
    <w:nsid w:val="73BCF5C9"/>
    <w:multiLevelType w:val="singleLevel"/>
    <w:tmpl w:val="73BCF5C9"/>
    <w:lvl w:ilvl="0" w:tentative="0">
      <w:start w:val="1"/>
      <w:numFmt w:val="decimal"/>
      <w:suff w:val="space"/>
      <w:lvlText w:val="(%1)"/>
      <w:lvlJc w:val="left"/>
      <w:pPr>
        <w:ind w:left="0" w:firstLine="0"/>
      </w:pPr>
    </w:lvl>
  </w:abstractNum>
  <w:abstractNum w:abstractNumId="60">
    <w:nsid w:val="756A4368"/>
    <w:multiLevelType w:val="multilevel"/>
    <w:tmpl w:val="756A4368"/>
    <w:lvl w:ilvl="0" w:tentative="0">
      <w:start w:val="1"/>
      <w:numFmt w:val="chineseCountingThousand"/>
      <w:lvlText w:val="%1. "/>
      <w:lvlJc w:val="left"/>
      <w:pPr>
        <w:tabs>
          <w:tab w:val="left" w:pos="432"/>
        </w:tabs>
        <w:ind w:left="432" w:hanging="432"/>
      </w:pPr>
      <w:rPr>
        <w:rFonts w:hint="eastAsia"/>
      </w:rPr>
    </w:lvl>
    <w:lvl w:ilvl="1" w:tentative="0">
      <w:start w:val="1"/>
      <w:numFmt w:val="decimal"/>
      <w:isLgl/>
      <w:lvlText w:val="%1.%2"/>
      <w:lvlJc w:val="left"/>
      <w:pPr>
        <w:tabs>
          <w:tab w:val="left" w:pos="576"/>
        </w:tabs>
        <w:ind w:left="576" w:hanging="576"/>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pStyle w:val="7"/>
      <w:isLg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1">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62">
    <w:nsid w:val="766F0341"/>
    <w:multiLevelType w:val="singleLevel"/>
    <w:tmpl w:val="766F0341"/>
    <w:lvl w:ilvl="0" w:tentative="0">
      <w:start w:val="1"/>
      <w:numFmt w:val="decimal"/>
      <w:suff w:val="space"/>
      <w:lvlText w:val="(%1)"/>
      <w:lvlJc w:val="left"/>
      <w:pPr>
        <w:ind w:left="0" w:firstLine="0"/>
      </w:pPr>
      <w:rPr>
        <w:rFonts w:hint="default" w:ascii="宋体" w:hAnsi="宋体" w:eastAsia="宋体" w:cs="宋体"/>
        <w:sz w:val="24"/>
        <w:szCs w:val="24"/>
      </w:rPr>
    </w:lvl>
  </w:abstractNum>
  <w:abstractNum w:abstractNumId="63">
    <w:nsid w:val="782C775E"/>
    <w:multiLevelType w:val="singleLevel"/>
    <w:tmpl w:val="782C775E"/>
    <w:lvl w:ilvl="0" w:tentative="0">
      <w:start w:val="1"/>
      <w:numFmt w:val="decimalEnclosedCircleChinese"/>
      <w:suff w:val="nothing"/>
      <w:lvlText w:val="%1　"/>
      <w:lvlJc w:val="left"/>
      <w:pPr>
        <w:ind w:left="0" w:firstLine="400"/>
      </w:pPr>
      <w:rPr>
        <w:rFonts w:hint="eastAsia"/>
      </w:rPr>
    </w:lvl>
  </w:abstractNum>
  <w:abstractNum w:abstractNumId="64">
    <w:nsid w:val="7C4A1C0B"/>
    <w:multiLevelType w:val="singleLevel"/>
    <w:tmpl w:val="7C4A1C0B"/>
    <w:lvl w:ilvl="0" w:tentative="0">
      <w:start w:val="1"/>
      <w:numFmt w:val="decimalEnclosedCircleChinese"/>
      <w:suff w:val="nothing"/>
      <w:lvlText w:val="%1　"/>
      <w:lvlJc w:val="left"/>
      <w:pPr>
        <w:ind w:left="0" w:firstLine="400"/>
      </w:pPr>
      <w:rPr>
        <w:rFonts w:hint="eastAsia"/>
      </w:rPr>
    </w:lvl>
  </w:abstractNum>
  <w:abstractNum w:abstractNumId="65">
    <w:nsid w:val="7C64FFB0"/>
    <w:multiLevelType w:val="singleLevel"/>
    <w:tmpl w:val="7C64FFB0"/>
    <w:lvl w:ilvl="0" w:tentative="0">
      <w:start w:val="1"/>
      <w:numFmt w:val="decimalEnclosedCircleChinese"/>
      <w:suff w:val="nothing"/>
      <w:lvlText w:val="%1　"/>
      <w:lvlJc w:val="left"/>
      <w:pPr>
        <w:ind w:left="0" w:firstLine="400"/>
      </w:pPr>
      <w:rPr>
        <w:rFonts w:hint="eastAsia"/>
      </w:rPr>
    </w:lvl>
  </w:abstractNum>
  <w:abstractNum w:abstractNumId="66">
    <w:nsid w:val="7EF1FD3D"/>
    <w:multiLevelType w:val="singleLevel"/>
    <w:tmpl w:val="7EF1FD3D"/>
    <w:lvl w:ilvl="0" w:tentative="0">
      <w:start w:val="1"/>
      <w:numFmt w:val="decimal"/>
      <w:suff w:val="space"/>
      <w:lvlText w:val="(%1)"/>
      <w:lvlJc w:val="left"/>
      <w:pPr>
        <w:ind w:left="0" w:firstLine="0"/>
      </w:pPr>
      <w:rPr>
        <w:rFonts w:hint="default" w:ascii="宋体" w:hAnsi="宋体" w:eastAsia="宋体" w:cs="宋体"/>
        <w:sz w:val="24"/>
        <w:szCs w:val="24"/>
      </w:rPr>
    </w:lvl>
  </w:abstractNum>
  <w:num w:numId="1">
    <w:abstractNumId w:val="60"/>
  </w:num>
  <w:num w:numId="2">
    <w:abstractNumId w:val="38"/>
  </w:num>
  <w:num w:numId="3">
    <w:abstractNumId w:val="29"/>
  </w:num>
  <w:num w:numId="4">
    <w:abstractNumId w:val="9"/>
  </w:num>
  <w:num w:numId="5">
    <w:abstractNumId w:val="34"/>
  </w:num>
  <w:num w:numId="6">
    <w:abstractNumId w:val="51"/>
  </w:num>
  <w:num w:numId="7">
    <w:abstractNumId w:val="24"/>
  </w:num>
  <w:num w:numId="8">
    <w:abstractNumId w:val="19"/>
  </w:num>
  <w:num w:numId="9">
    <w:abstractNumId w:val="63"/>
  </w:num>
  <w:num w:numId="10">
    <w:abstractNumId w:val="26"/>
  </w:num>
  <w:num w:numId="11">
    <w:abstractNumId w:val="57"/>
  </w:num>
  <w:num w:numId="12">
    <w:abstractNumId w:val="65"/>
  </w:num>
  <w:num w:numId="13">
    <w:abstractNumId w:val="12"/>
  </w:num>
  <w:num w:numId="14">
    <w:abstractNumId w:val="36"/>
  </w:num>
  <w:num w:numId="15">
    <w:abstractNumId w:val="25"/>
  </w:num>
  <w:num w:numId="16">
    <w:abstractNumId w:val="18"/>
  </w:num>
  <w:num w:numId="17">
    <w:abstractNumId w:val="0"/>
  </w:num>
  <w:num w:numId="18">
    <w:abstractNumId w:val="62"/>
  </w:num>
  <w:num w:numId="19">
    <w:abstractNumId w:val="66"/>
  </w:num>
  <w:num w:numId="20">
    <w:abstractNumId w:val="48"/>
  </w:num>
  <w:num w:numId="21">
    <w:abstractNumId w:val="53"/>
  </w:num>
  <w:num w:numId="22">
    <w:abstractNumId w:val="10"/>
  </w:num>
  <w:num w:numId="23">
    <w:abstractNumId w:val="56"/>
  </w:num>
  <w:num w:numId="24">
    <w:abstractNumId w:val="13"/>
  </w:num>
  <w:num w:numId="25">
    <w:abstractNumId w:val="11"/>
  </w:num>
  <w:num w:numId="26">
    <w:abstractNumId w:val="64"/>
  </w:num>
  <w:num w:numId="27">
    <w:abstractNumId w:val="49"/>
  </w:num>
  <w:num w:numId="28">
    <w:abstractNumId w:val="28"/>
  </w:num>
  <w:num w:numId="29">
    <w:abstractNumId w:val="6"/>
  </w:num>
  <w:num w:numId="30">
    <w:abstractNumId w:val="58"/>
  </w:num>
  <w:num w:numId="31">
    <w:abstractNumId w:val="44"/>
  </w:num>
  <w:num w:numId="32">
    <w:abstractNumId w:val="7"/>
  </w:num>
  <w:num w:numId="33">
    <w:abstractNumId w:val="37"/>
  </w:num>
  <w:num w:numId="34">
    <w:abstractNumId w:val="30"/>
  </w:num>
  <w:num w:numId="35">
    <w:abstractNumId w:val="21"/>
  </w:num>
  <w:num w:numId="36">
    <w:abstractNumId w:val="41"/>
  </w:num>
  <w:num w:numId="37">
    <w:abstractNumId w:val="43"/>
  </w:num>
  <w:num w:numId="38">
    <w:abstractNumId w:val="31"/>
  </w:num>
  <w:num w:numId="39">
    <w:abstractNumId w:val="59"/>
  </w:num>
  <w:num w:numId="40">
    <w:abstractNumId w:val="35"/>
  </w:num>
  <w:num w:numId="41">
    <w:abstractNumId w:val="52"/>
  </w:num>
  <w:num w:numId="42">
    <w:abstractNumId w:val="23"/>
  </w:num>
  <w:num w:numId="43">
    <w:abstractNumId w:val="27"/>
  </w:num>
  <w:num w:numId="44">
    <w:abstractNumId w:val="3"/>
  </w:num>
  <w:num w:numId="45">
    <w:abstractNumId w:val="50"/>
  </w:num>
  <w:num w:numId="46">
    <w:abstractNumId w:val="45"/>
  </w:num>
  <w:num w:numId="47">
    <w:abstractNumId w:val="32"/>
  </w:num>
  <w:num w:numId="48">
    <w:abstractNumId w:val="16"/>
  </w:num>
  <w:num w:numId="49">
    <w:abstractNumId w:val="20"/>
  </w:num>
  <w:num w:numId="50">
    <w:abstractNumId w:val="39"/>
  </w:num>
  <w:num w:numId="51">
    <w:abstractNumId w:val="33"/>
  </w:num>
  <w:num w:numId="52">
    <w:abstractNumId w:val="1"/>
  </w:num>
  <w:num w:numId="53">
    <w:abstractNumId w:val="14"/>
  </w:num>
  <w:num w:numId="54">
    <w:abstractNumId w:val="5"/>
  </w:num>
  <w:num w:numId="55">
    <w:abstractNumId w:val="4"/>
  </w:num>
  <w:num w:numId="56">
    <w:abstractNumId w:val="40"/>
  </w:num>
  <w:num w:numId="57">
    <w:abstractNumId w:val="8"/>
  </w:num>
  <w:num w:numId="58">
    <w:abstractNumId w:val="15"/>
  </w:num>
  <w:num w:numId="59">
    <w:abstractNumId w:val="2"/>
  </w:num>
  <w:num w:numId="60">
    <w:abstractNumId w:val="22"/>
  </w:num>
  <w:num w:numId="61">
    <w:abstractNumId w:val="47"/>
  </w:num>
  <w:num w:numId="62">
    <w:abstractNumId w:val="55"/>
  </w:num>
  <w:num w:numId="63">
    <w:abstractNumId w:val="46"/>
  </w:num>
  <w:num w:numId="64">
    <w:abstractNumId w:val="54"/>
  </w:num>
  <w:num w:numId="65">
    <w:abstractNumId w:val="42"/>
  </w:num>
  <w:num w:numId="6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ZWNiYTYzNTlhN2IzYjYzMmQxZTljMTQyOWJmZGYifQ=="/>
  </w:docVars>
  <w:rsids>
    <w:rsidRoot w:val="00F9008B"/>
    <w:rsid w:val="0000010C"/>
    <w:rsid w:val="000004FE"/>
    <w:rsid w:val="00000FE0"/>
    <w:rsid w:val="00001068"/>
    <w:rsid w:val="0000114A"/>
    <w:rsid w:val="000013F0"/>
    <w:rsid w:val="00001417"/>
    <w:rsid w:val="00001731"/>
    <w:rsid w:val="00001C2D"/>
    <w:rsid w:val="00001C55"/>
    <w:rsid w:val="00001CA8"/>
    <w:rsid w:val="00001ED4"/>
    <w:rsid w:val="00001FAE"/>
    <w:rsid w:val="00002291"/>
    <w:rsid w:val="00002DBF"/>
    <w:rsid w:val="00002EC0"/>
    <w:rsid w:val="00003224"/>
    <w:rsid w:val="000033F5"/>
    <w:rsid w:val="0000358C"/>
    <w:rsid w:val="0000361D"/>
    <w:rsid w:val="00003BEF"/>
    <w:rsid w:val="00004130"/>
    <w:rsid w:val="0000431F"/>
    <w:rsid w:val="00004634"/>
    <w:rsid w:val="000046FA"/>
    <w:rsid w:val="00004D8B"/>
    <w:rsid w:val="000059E2"/>
    <w:rsid w:val="00005E6D"/>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705"/>
    <w:rsid w:val="00013446"/>
    <w:rsid w:val="00013509"/>
    <w:rsid w:val="000135BC"/>
    <w:rsid w:val="000135DC"/>
    <w:rsid w:val="000136D6"/>
    <w:rsid w:val="00014085"/>
    <w:rsid w:val="00014D89"/>
    <w:rsid w:val="00014DD9"/>
    <w:rsid w:val="00014EE0"/>
    <w:rsid w:val="000151E4"/>
    <w:rsid w:val="00015577"/>
    <w:rsid w:val="000156E4"/>
    <w:rsid w:val="000159A7"/>
    <w:rsid w:val="00015EA2"/>
    <w:rsid w:val="00015FB8"/>
    <w:rsid w:val="0001609F"/>
    <w:rsid w:val="0001611C"/>
    <w:rsid w:val="0001635B"/>
    <w:rsid w:val="00016549"/>
    <w:rsid w:val="00016814"/>
    <w:rsid w:val="00016BF7"/>
    <w:rsid w:val="0001720C"/>
    <w:rsid w:val="0001767E"/>
    <w:rsid w:val="0001776D"/>
    <w:rsid w:val="00017F31"/>
    <w:rsid w:val="00020607"/>
    <w:rsid w:val="00020CBB"/>
    <w:rsid w:val="0002103A"/>
    <w:rsid w:val="000217E4"/>
    <w:rsid w:val="00021852"/>
    <w:rsid w:val="00021A12"/>
    <w:rsid w:val="000223BF"/>
    <w:rsid w:val="00022622"/>
    <w:rsid w:val="00023363"/>
    <w:rsid w:val="000235F3"/>
    <w:rsid w:val="00023644"/>
    <w:rsid w:val="00023712"/>
    <w:rsid w:val="00024E3C"/>
    <w:rsid w:val="00024EB0"/>
    <w:rsid w:val="00025471"/>
    <w:rsid w:val="00025604"/>
    <w:rsid w:val="00025DAF"/>
    <w:rsid w:val="0002646A"/>
    <w:rsid w:val="0002651D"/>
    <w:rsid w:val="00026C90"/>
    <w:rsid w:val="00026CFD"/>
    <w:rsid w:val="00027C8B"/>
    <w:rsid w:val="00027CD9"/>
    <w:rsid w:val="00027E96"/>
    <w:rsid w:val="00030242"/>
    <w:rsid w:val="00030422"/>
    <w:rsid w:val="00030B06"/>
    <w:rsid w:val="0003183A"/>
    <w:rsid w:val="00031CDC"/>
    <w:rsid w:val="00032461"/>
    <w:rsid w:val="0003263B"/>
    <w:rsid w:val="0003282C"/>
    <w:rsid w:val="000329E7"/>
    <w:rsid w:val="00032F6D"/>
    <w:rsid w:val="0003304A"/>
    <w:rsid w:val="0003317E"/>
    <w:rsid w:val="00033413"/>
    <w:rsid w:val="000337F3"/>
    <w:rsid w:val="00033DDB"/>
    <w:rsid w:val="00034499"/>
    <w:rsid w:val="000345AB"/>
    <w:rsid w:val="00034B24"/>
    <w:rsid w:val="00034C27"/>
    <w:rsid w:val="00034E2A"/>
    <w:rsid w:val="0003577F"/>
    <w:rsid w:val="00035B29"/>
    <w:rsid w:val="00035DFD"/>
    <w:rsid w:val="000363B6"/>
    <w:rsid w:val="00036466"/>
    <w:rsid w:val="0003675E"/>
    <w:rsid w:val="00037F87"/>
    <w:rsid w:val="00037FA2"/>
    <w:rsid w:val="000400D0"/>
    <w:rsid w:val="000402BE"/>
    <w:rsid w:val="00040343"/>
    <w:rsid w:val="000425AC"/>
    <w:rsid w:val="000427B8"/>
    <w:rsid w:val="00042F4A"/>
    <w:rsid w:val="00043AC8"/>
    <w:rsid w:val="00043BE5"/>
    <w:rsid w:val="00044003"/>
    <w:rsid w:val="00044527"/>
    <w:rsid w:val="000447E8"/>
    <w:rsid w:val="00044897"/>
    <w:rsid w:val="00044ACF"/>
    <w:rsid w:val="00045465"/>
    <w:rsid w:val="000454F4"/>
    <w:rsid w:val="00045789"/>
    <w:rsid w:val="00045D1E"/>
    <w:rsid w:val="00045E69"/>
    <w:rsid w:val="00045E97"/>
    <w:rsid w:val="00045EF4"/>
    <w:rsid w:val="00046547"/>
    <w:rsid w:val="000466D7"/>
    <w:rsid w:val="00046753"/>
    <w:rsid w:val="00047254"/>
    <w:rsid w:val="00047E41"/>
    <w:rsid w:val="0005022B"/>
    <w:rsid w:val="00050450"/>
    <w:rsid w:val="00050771"/>
    <w:rsid w:val="000509BA"/>
    <w:rsid w:val="0005137A"/>
    <w:rsid w:val="000513F3"/>
    <w:rsid w:val="000521C4"/>
    <w:rsid w:val="00052287"/>
    <w:rsid w:val="000522E0"/>
    <w:rsid w:val="00052FED"/>
    <w:rsid w:val="000532F4"/>
    <w:rsid w:val="000535A9"/>
    <w:rsid w:val="000536AE"/>
    <w:rsid w:val="00054C2F"/>
    <w:rsid w:val="00054CD5"/>
    <w:rsid w:val="00054D03"/>
    <w:rsid w:val="000550AC"/>
    <w:rsid w:val="0005584D"/>
    <w:rsid w:val="00055CC3"/>
    <w:rsid w:val="00055CEE"/>
    <w:rsid w:val="00055FB7"/>
    <w:rsid w:val="000566FA"/>
    <w:rsid w:val="00056A2B"/>
    <w:rsid w:val="00056DA8"/>
    <w:rsid w:val="00056E37"/>
    <w:rsid w:val="00056EE2"/>
    <w:rsid w:val="00056F27"/>
    <w:rsid w:val="00056FE2"/>
    <w:rsid w:val="000570FB"/>
    <w:rsid w:val="000575B8"/>
    <w:rsid w:val="00060131"/>
    <w:rsid w:val="0006026B"/>
    <w:rsid w:val="00060293"/>
    <w:rsid w:val="00061341"/>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7B3"/>
    <w:rsid w:val="00066896"/>
    <w:rsid w:val="00067002"/>
    <w:rsid w:val="00067993"/>
    <w:rsid w:val="00067B1C"/>
    <w:rsid w:val="00067CED"/>
    <w:rsid w:val="00067F66"/>
    <w:rsid w:val="0007041A"/>
    <w:rsid w:val="00070634"/>
    <w:rsid w:val="0007063F"/>
    <w:rsid w:val="00070883"/>
    <w:rsid w:val="00070C3F"/>
    <w:rsid w:val="0007102C"/>
    <w:rsid w:val="00071D68"/>
    <w:rsid w:val="00071FCE"/>
    <w:rsid w:val="00072661"/>
    <w:rsid w:val="00072CCC"/>
    <w:rsid w:val="000730BC"/>
    <w:rsid w:val="0007315D"/>
    <w:rsid w:val="00073549"/>
    <w:rsid w:val="000737BE"/>
    <w:rsid w:val="0007483E"/>
    <w:rsid w:val="000751DB"/>
    <w:rsid w:val="0007542D"/>
    <w:rsid w:val="0007578F"/>
    <w:rsid w:val="000758C2"/>
    <w:rsid w:val="00075E43"/>
    <w:rsid w:val="00076CB1"/>
    <w:rsid w:val="00076DE2"/>
    <w:rsid w:val="00077706"/>
    <w:rsid w:val="00077878"/>
    <w:rsid w:val="00077E81"/>
    <w:rsid w:val="000804EF"/>
    <w:rsid w:val="00080558"/>
    <w:rsid w:val="0008069D"/>
    <w:rsid w:val="00080DCC"/>
    <w:rsid w:val="00081230"/>
    <w:rsid w:val="000814E2"/>
    <w:rsid w:val="000818C9"/>
    <w:rsid w:val="00081CBB"/>
    <w:rsid w:val="00081D42"/>
    <w:rsid w:val="000822EF"/>
    <w:rsid w:val="0008241E"/>
    <w:rsid w:val="000826F5"/>
    <w:rsid w:val="000829B1"/>
    <w:rsid w:val="00082AAB"/>
    <w:rsid w:val="0008307D"/>
    <w:rsid w:val="000831E9"/>
    <w:rsid w:val="000833BB"/>
    <w:rsid w:val="00083F72"/>
    <w:rsid w:val="0008452D"/>
    <w:rsid w:val="0008467B"/>
    <w:rsid w:val="000850FA"/>
    <w:rsid w:val="000857A6"/>
    <w:rsid w:val="00085C12"/>
    <w:rsid w:val="00085DA0"/>
    <w:rsid w:val="00085F82"/>
    <w:rsid w:val="00086506"/>
    <w:rsid w:val="00086B6E"/>
    <w:rsid w:val="00086C2F"/>
    <w:rsid w:val="00086C64"/>
    <w:rsid w:val="000874BB"/>
    <w:rsid w:val="0008781A"/>
    <w:rsid w:val="00087FF8"/>
    <w:rsid w:val="00090951"/>
    <w:rsid w:val="00090A61"/>
    <w:rsid w:val="000918F5"/>
    <w:rsid w:val="000919B5"/>
    <w:rsid w:val="00091C1D"/>
    <w:rsid w:val="00091D01"/>
    <w:rsid w:val="00091E08"/>
    <w:rsid w:val="00092100"/>
    <w:rsid w:val="000922D8"/>
    <w:rsid w:val="00092E07"/>
    <w:rsid w:val="000932E7"/>
    <w:rsid w:val="0009333A"/>
    <w:rsid w:val="000933C3"/>
    <w:rsid w:val="00093459"/>
    <w:rsid w:val="00093A93"/>
    <w:rsid w:val="00093B8B"/>
    <w:rsid w:val="000944C3"/>
    <w:rsid w:val="000951E7"/>
    <w:rsid w:val="00095B82"/>
    <w:rsid w:val="00096098"/>
    <w:rsid w:val="000961B2"/>
    <w:rsid w:val="000969D9"/>
    <w:rsid w:val="00096F37"/>
    <w:rsid w:val="00097FE5"/>
    <w:rsid w:val="000A0354"/>
    <w:rsid w:val="000A079F"/>
    <w:rsid w:val="000A091F"/>
    <w:rsid w:val="000A0958"/>
    <w:rsid w:val="000A0FCC"/>
    <w:rsid w:val="000A1033"/>
    <w:rsid w:val="000A25DA"/>
    <w:rsid w:val="000A2712"/>
    <w:rsid w:val="000A2877"/>
    <w:rsid w:val="000A355D"/>
    <w:rsid w:val="000A35DA"/>
    <w:rsid w:val="000A371E"/>
    <w:rsid w:val="000A3DE5"/>
    <w:rsid w:val="000A4011"/>
    <w:rsid w:val="000A45D5"/>
    <w:rsid w:val="000A46CD"/>
    <w:rsid w:val="000A490E"/>
    <w:rsid w:val="000A4B64"/>
    <w:rsid w:val="000A529E"/>
    <w:rsid w:val="000A57C9"/>
    <w:rsid w:val="000A5B49"/>
    <w:rsid w:val="000A5FE5"/>
    <w:rsid w:val="000A6684"/>
    <w:rsid w:val="000A7194"/>
    <w:rsid w:val="000A7218"/>
    <w:rsid w:val="000A740A"/>
    <w:rsid w:val="000A7446"/>
    <w:rsid w:val="000A7E7F"/>
    <w:rsid w:val="000A7ECD"/>
    <w:rsid w:val="000B04DD"/>
    <w:rsid w:val="000B09EE"/>
    <w:rsid w:val="000B0F01"/>
    <w:rsid w:val="000B1346"/>
    <w:rsid w:val="000B1914"/>
    <w:rsid w:val="000B19DC"/>
    <w:rsid w:val="000B1B44"/>
    <w:rsid w:val="000B1CA2"/>
    <w:rsid w:val="000B202E"/>
    <w:rsid w:val="000B2293"/>
    <w:rsid w:val="000B24A4"/>
    <w:rsid w:val="000B255C"/>
    <w:rsid w:val="000B395E"/>
    <w:rsid w:val="000B39C3"/>
    <w:rsid w:val="000B3A00"/>
    <w:rsid w:val="000B3F6B"/>
    <w:rsid w:val="000B4840"/>
    <w:rsid w:val="000B4D79"/>
    <w:rsid w:val="000B53E8"/>
    <w:rsid w:val="000B5627"/>
    <w:rsid w:val="000B5671"/>
    <w:rsid w:val="000B5A2F"/>
    <w:rsid w:val="000B6BF0"/>
    <w:rsid w:val="000B6CE8"/>
    <w:rsid w:val="000B7DAF"/>
    <w:rsid w:val="000C006F"/>
    <w:rsid w:val="000C071C"/>
    <w:rsid w:val="000C0931"/>
    <w:rsid w:val="000C0BB4"/>
    <w:rsid w:val="000C0BEE"/>
    <w:rsid w:val="000C11BE"/>
    <w:rsid w:val="000C1CB9"/>
    <w:rsid w:val="000C2159"/>
    <w:rsid w:val="000C21BB"/>
    <w:rsid w:val="000C289B"/>
    <w:rsid w:val="000C2EB4"/>
    <w:rsid w:val="000C352F"/>
    <w:rsid w:val="000C3F01"/>
    <w:rsid w:val="000C410D"/>
    <w:rsid w:val="000C420D"/>
    <w:rsid w:val="000C4773"/>
    <w:rsid w:val="000C4944"/>
    <w:rsid w:val="000C4E24"/>
    <w:rsid w:val="000C52D0"/>
    <w:rsid w:val="000C5851"/>
    <w:rsid w:val="000C591E"/>
    <w:rsid w:val="000C5C4A"/>
    <w:rsid w:val="000C5F01"/>
    <w:rsid w:val="000C63C4"/>
    <w:rsid w:val="000C66C1"/>
    <w:rsid w:val="000C689F"/>
    <w:rsid w:val="000C69CE"/>
    <w:rsid w:val="000C6F0B"/>
    <w:rsid w:val="000C6F32"/>
    <w:rsid w:val="000C6FEF"/>
    <w:rsid w:val="000C7324"/>
    <w:rsid w:val="000C778C"/>
    <w:rsid w:val="000C7833"/>
    <w:rsid w:val="000C7E1B"/>
    <w:rsid w:val="000C7E73"/>
    <w:rsid w:val="000D001B"/>
    <w:rsid w:val="000D0A45"/>
    <w:rsid w:val="000D136E"/>
    <w:rsid w:val="000D14AC"/>
    <w:rsid w:val="000D15BA"/>
    <w:rsid w:val="000D15BE"/>
    <w:rsid w:val="000D1C25"/>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147"/>
    <w:rsid w:val="000D6372"/>
    <w:rsid w:val="000D6979"/>
    <w:rsid w:val="000D6CE7"/>
    <w:rsid w:val="000D6E38"/>
    <w:rsid w:val="000D6E63"/>
    <w:rsid w:val="000D711C"/>
    <w:rsid w:val="000D7B6E"/>
    <w:rsid w:val="000E0644"/>
    <w:rsid w:val="000E076D"/>
    <w:rsid w:val="000E087C"/>
    <w:rsid w:val="000E187C"/>
    <w:rsid w:val="000E1AF6"/>
    <w:rsid w:val="000E1B28"/>
    <w:rsid w:val="000E1E8D"/>
    <w:rsid w:val="000E1EBC"/>
    <w:rsid w:val="000E2173"/>
    <w:rsid w:val="000E220B"/>
    <w:rsid w:val="000E2266"/>
    <w:rsid w:val="000E2A50"/>
    <w:rsid w:val="000E30F2"/>
    <w:rsid w:val="000E316B"/>
    <w:rsid w:val="000E372D"/>
    <w:rsid w:val="000E3B3C"/>
    <w:rsid w:val="000E3D08"/>
    <w:rsid w:val="000E4728"/>
    <w:rsid w:val="000E4D1F"/>
    <w:rsid w:val="000E5658"/>
    <w:rsid w:val="000E5698"/>
    <w:rsid w:val="000E5723"/>
    <w:rsid w:val="000E581B"/>
    <w:rsid w:val="000E64B2"/>
    <w:rsid w:val="000E65D2"/>
    <w:rsid w:val="000E6919"/>
    <w:rsid w:val="000E6B1B"/>
    <w:rsid w:val="000E6F0C"/>
    <w:rsid w:val="000E7215"/>
    <w:rsid w:val="000E732D"/>
    <w:rsid w:val="000F07ED"/>
    <w:rsid w:val="000F0CF2"/>
    <w:rsid w:val="000F1401"/>
    <w:rsid w:val="000F15C8"/>
    <w:rsid w:val="000F1A32"/>
    <w:rsid w:val="000F1CC2"/>
    <w:rsid w:val="000F1D15"/>
    <w:rsid w:val="000F270A"/>
    <w:rsid w:val="000F2FA3"/>
    <w:rsid w:val="000F34C8"/>
    <w:rsid w:val="000F38BC"/>
    <w:rsid w:val="000F3E2A"/>
    <w:rsid w:val="000F41CA"/>
    <w:rsid w:val="000F46AF"/>
    <w:rsid w:val="000F4D26"/>
    <w:rsid w:val="000F5639"/>
    <w:rsid w:val="000F5645"/>
    <w:rsid w:val="000F58A4"/>
    <w:rsid w:val="000F5F99"/>
    <w:rsid w:val="000F6833"/>
    <w:rsid w:val="000F6A24"/>
    <w:rsid w:val="000F7502"/>
    <w:rsid w:val="000F7616"/>
    <w:rsid w:val="000F7DE9"/>
    <w:rsid w:val="000F7F7A"/>
    <w:rsid w:val="001002F4"/>
    <w:rsid w:val="001004C7"/>
    <w:rsid w:val="0010050C"/>
    <w:rsid w:val="001006CB"/>
    <w:rsid w:val="001011FC"/>
    <w:rsid w:val="0010121A"/>
    <w:rsid w:val="0010165F"/>
    <w:rsid w:val="00101D61"/>
    <w:rsid w:val="00101E7C"/>
    <w:rsid w:val="001021D7"/>
    <w:rsid w:val="001023DC"/>
    <w:rsid w:val="001024A7"/>
    <w:rsid w:val="00102572"/>
    <w:rsid w:val="00102946"/>
    <w:rsid w:val="001029A0"/>
    <w:rsid w:val="00102A9C"/>
    <w:rsid w:val="00102FBF"/>
    <w:rsid w:val="0010333D"/>
    <w:rsid w:val="0010372A"/>
    <w:rsid w:val="00103F41"/>
    <w:rsid w:val="00104662"/>
    <w:rsid w:val="001047D9"/>
    <w:rsid w:val="00104F34"/>
    <w:rsid w:val="001053C5"/>
    <w:rsid w:val="001055AD"/>
    <w:rsid w:val="00105C14"/>
    <w:rsid w:val="001065A3"/>
    <w:rsid w:val="00106610"/>
    <w:rsid w:val="00106831"/>
    <w:rsid w:val="0010683E"/>
    <w:rsid w:val="0010691D"/>
    <w:rsid w:val="00106931"/>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74E"/>
    <w:rsid w:val="00113821"/>
    <w:rsid w:val="00114058"/>
    <w:rsid w:val="0011449E"/>
    <w:rsid w:val="00114B4E"/>
    <w:rsid w:val="00114DF5"/>
    <w:rsid w:val="001153EF"/>
    <w:rsid w:val="00115D55"/>
    <w:rsid w:val="00115E45"/>
    <w:rsid w:val="00115F1E"/>
    <w:rsid w:val="00115F85"/>
    <w:rsid w:val="0011688E"/>
    <w:rsid w:val="00116A8B"/>
    <w:rsid w:val="00116ACD"/>
    <w:rsid w:val="00116AF0"/>
    <w:rsid w:val="00116E19"/>
    <w:rsid w:val="00116F55"/>
    <w:rsid w:val="0011718F"/>
    <w:rsid w:val="00117B7D"/>
    <w:rsid w:val="00117D52"/>
    <w:rsid w:val="00117EFC"/>
    <w:rsid w:val="00120023"/>
    <w:rsid w:val="001205A8"/>
    <w:rsid w:val="00121766"/>
    <w:rsid w:val="0012291C"/>
    <w:rsid w:val="00122A64"/>
    <w:rsid w:val="001233B4"/>
    <w:rsid w:val="00123694"/>
    <w:rsid w:val="0012388A"/>
    <w:rsid w:val="0012388C"/>
    <w:rsid w:val="00123AFA"/>
    <w:rsid w:val="00123C8C"/>
    <w:rsid w:val="00123E8B"/>
    <w:rsid w:val="00124405"/>
    <w:rsid w:val="00124B43"/>
    <w:rsid w:val="00124DF8"/>
    <w:rsid w:val="001253EA"/>
    <w:rsid w:val="00125B99"/>
    <w:rsid w:val="00126160"/>
    <w:rsid w:val="00126AEC"/>
    <w:rsid w:val="00126DB5"/>
    <w:rsid w:val="0012711C"/>
    <w:rsid w:val="00127178"/>
    <w:rsid w:val="00127700"/>
    <w:rsid w:val="00127F09"/>
    <w:rsid w:val="0013002A"/>
    <w:rsid w:val="0013013C"/>
    <w:rsid w:val="0013085D"/>
    <w:rsid w:val="0013089C"/>
    <w:rsid w:val="00130A2D"/>
    <w:rsid w:val="00130CEA"/>
    <w:rsid w:val="00130F54"/>
    <w:rsid w:val="00131888"/>
    <w:rsid w:val="00131B07"/>
    <w:rsid w:val="00131F17"/>
    <w:rsid w:val="0013212F"/>
    <w:rsid w:val="00132284"/>
    <w:rsid w:val="001323F9"/>
    <w:rsid w:val="0013251F"/>
    <w:rsid w:val="00133088"/>
    <w:rsid w:val="00133346"/>
    <w:rsid w:val="001335B1"/>
    <w:rsid w:val="00133668"/>
    <w:rsid w:val="00133B4E"/>
    <w:rsid w:val="0013410F"/>
    <w:rsid w:val="001346AF"/>
    <w:rsid w:val="00134990"/>
    <w:rsid w:val="00134BAD"/>
    <w:rsid w:val="001354D1"/>
    <w:rsid w:val="00135840"/>
    <w:rsid w:val="00135A0A"/>
    <w:rsid w:val="00135BB9"/>
    <w:rsid w:val="0013621D"/>
    <w:rsid w:val="00136354"/>
    <w:rsid w:val="00136674"/>
    <w:rsid w:val="00136B0E"/>
    <w:rsid w:val="00136C3B"/>
    <w:rsid w:val="001376AB"/>
    <w:rsid w:val="0013777C"/>
    <w:rsid w:val="00137D5F"/>
    <w:rsid w:val="00140082"/>
    <w:rsid w:val="001400C5"/>
    <w:rsid w:val="00140175"/>
    <w:rsid w:val="00140757"/>
    <w:rsid w:val="00140D07"/>
    <w:rsid w:val="00141854"/>
    <w:rsid w:val="00141A3A"/>
    <w:rsid w:val="00141FD4"/>
    <w:rsid w:val="001423FA"/>
    <w:rsid w:val="001427B5"/>
    <w:rsid w:val="001428CF"/>
    <w:rsid w:val="00142D0C"/>
    <w:rsid w:val="00142E3C"/>
    <w:rsid w:val="00143387"/>
    <w:rsid w:val="001439BA"/>
    <w:rsid w:val="00144013"/>
    <w:rsid w:val="0014557F"/>
    <w:rsid w:val="001455C3"/>
    <w:rsid w:val="00145A17"/>
    <w:rsid w:val="00145BBE"/>
    <w:rsid w:val="001460B5"/>
    <w:rsid w:val="0014641F"/>
    <w:rsid w:val="001464A8"/>
    <w:rsid w:val="001467BB"/>
    <w:rsid w:val="00146CA8"/>
    <w:rsid w:val="00146DB9"/>
    <w:rsid w:val="00147884"/>
    <w:rsid w:val="00150827"/>
    <w:rsid w:val="00150B0D"/>
    <w:rsid w:val="00150E10"/>
    <w:rsid w:val="00151A32"/>
    <w:rsid w:val="00151B2C"/>
    <w:rsid w:val="00151E31"/>
    <w:rsid w:val="00151F9B"/>
    <w:rsid w:val="00152289"/>
    <w:rsid w:val="00152425"/>
    <w:rsid w:val="00152BAD"/>
    <w:rsid w:val="00152CE3"/>
    <w:rsid w:val="00153652"/>
    <w:rsid w:val="00153697"/>
    <w:rsid w:val="00153828"/>
    <w:rsid w:val="00153956"/>
    <w:rsid w:val="00153B95"/>
    <w:rsid w:val="00154146"/>
    <w:rsid w:val="00154190"/>
    <w:rsid w:val="00154396"/>
    <w:rsid w:val="001545EA"/>
    <w:rsid w:val="001549BA"/>
    <w:rsid w:val="00154BBF"/>
    <w:rsid w:val="00155099"/>
    <w:rsid w:val="00155C85"/>
    <w:rsid w:val="00156592"/>
    <w:rsid w:val="00156A6C"/>
    <w:rsid w:val="00156B10"/>
    <w:rsid w:val="001576FE"/>
    <w:rsid w:val="00157823"/>
    <w:rsid w:val="0015790D"/>
    <w:rsid w:val="00157C5E"/>
    <w:rsid w:val="00157DD3"/>
    <w:rsid w:val="0016015A"/>
    <w:rsid w:val="0016020E"/>
    <w:rsid w:val="00160503"/>
    <w:rsid w:val="00160BF6"/>
    <w:rsid w:val="00160D1F"/>
    <w:rsid w:val="00160D7C"/>
    <w:rsid w:val="00160E30"/>
    <w:rsid w:val="0016106D"/>
    <w:rsid w:val="001612E1"/>
    <w:rsid w:val="001614DB"/>
    <w:rsid w:val="00161752"/>
    <w:rsid w:val="00161793"/>
    <w:rsid w:val="0016194E"/>
    <w:rsid w:val="00161B1E"/>
    <w:rsid w:val="0016236C"/>
    <w:rsid w:val="00162625"/>
    <w:rsid w:val="0016280E"/>
    <w:rsid w:val="001630A8"/>
    <w:rsid w:val="00163826"/>
    <w:rsid w:val="00163943"/>
    <w:rsid w:val="00163BA1"/>
    <w:rsid w:val="00163C89"/>
    <w:rsid w:val="00163EB2"/>
    <w:rsid w:val="00163F22"/>
    <w:rsid w:val="0016417B"/>
    <w:rsid w:val="001643A6"/>
    <w:rsid w:val="0016470E"/>
    <w:rsid w:val="001649D3"/>
    <w:rsid w:val="00164E0A"/>
    <w:rsid w:val="001652D7"/>
    <w:rsid w:val="00165A5F"/>
    <w:rsid w:val="00165EEF"/>
    <w:rsid w:val="00166223"/>
    <w:rsid w:val="0016793E"/>
    <w:rsid w:val="00167D4D"/>
    <w:rsid w:val="0017054C"/>
    <w:rsid w:val="00170635"/>
    <w:rsid w:val="0017070D"/>
    <w:rsid w:val="00170837"/>
    <w:rsid w:val="00171035"/>
    <w:rsid w:val="001713B7"/>
    <w:rsid w:val="00171ADB"/>
    <w:rsid w:val="00171E2C"/>
    <w:rsid w:val="00172029"/>
    <w:rsid w:val="001721CA"/>
    <w:rsid w:val="0017234A"/>
    <w:rsid w:val="001733A4"/>
    <w:rsid w:val="00173AB9"/>
    <w:rsid w:val="00173BED"/>
    <w:rsid w:val="00173EED"/>
    <w:rsid w:val="00174368"/>
    <w:rsid w:val="001744EA"/>
    <w:rsid w:val="00174731"/>
    <w:rsid w:val="00174B2F"/>
    <w:rsid w:val="00174D82"/>
    <w:rsid w:val="00174E44"/>
    <w:rsid w:val="00175053"/>
    <w:rsid w:val="00175151"/>
    <w:rsid w:val="001753B7"/>
    <w:rsid w:val="001757E7"/>
    <w:rsid w:val="00175873"/>
    <w:rsid w:val="00175A5C"/>
    <w:rsid w:val="00175C59"/>
    <w:rsid w:val="00175E8F"/>
    <w:rsid w:val="001760BC"/>
    <w:rsid w:val="00176674"/>
    <w:rsid w:val="00176818"/>
    <w:rsid w:val="00176B82"/>
    <w:rsid w:val="00176E3B"/>
    <w:rsid w:val="00176ECB"/>
    <w:rsid w:val="0017752D"/>
    <w:rsid w:val="0017759F"/>
    <w:rsid w:val="00177832"/>
    <w:rsid w:val="00180CC5"/>
    <w:rsid w:val="00181178"/>
    <w:rsid w:val="0018119E"/>
    <w:rsid w:val="0018152C"/>
    <w:rsid w:val="00181DBA"/>
    <w:rsid w:val="00181EEF"/>
    <w:rsid w:val="00181F3E"/>
    <w:rsid w:val="00182456"/>
    <w:rsid w:val="00182FE0"/>
    <w:rsid w:val="0018374A"/>
    <w:rsid w:val="00183911"/>
    <w:rsid w:val="00184418"/>
    <w:rsid w:val="001845FB"/>
    <w:rsid w:val="001857FB"/>
    <w:rsid w:val="00185DA6"/>
    <w:rsid w:val="00185F64"/>
    <w:rsid w:val="00186096"/>
    <w:rsid w:val="001862FE"/>
    <w:rsid w:val="001864AC"/>
    <w:rsid w:val="00187317"/>
    <w:rsid w:val="0018772E"/>
    <w:rsid w:val="00187765"/>
    <w:rsid w:val="00187A4E"/>
    <w:rsid w:val="00187A94"/>
    <w:rsid w:val="0019029E"/>
    <w:rsid w:val="00190804"/>
    <w:rsid w:val="0019088F"/>
    <w:rsid w:val="00190C51"/>
    <w:rsid w:val="00190F5E"/>
    <w:rsid w:val="0019285F"/>
    <w:rsid w:val="00192F00"/>
    <w:rsid w:val="00193ACC"/>
    <w:rsid w:val="00193BFE"/>
    <w:rsid w:val="001943CA"/>
    <w:rsid w:val="00195062"/>
    <w:rsid w:val="00195322"/>
    <w:rsid w:val="0019560E"/>
    <w:rsid w:val="001958E3"/>
    <w:rsid w:val="00195FFA"/>
    <w:rsid w:val="0019601B"/>
    <w:rsid w:val="00196048"/>
    <w:rsid w:val="00196A82"/>
    <w:rsid w:val="0019769B"/>
    <w:rsid w:val="001979F9"/>
    <w:rsid w:val="00197FFE"/>
    <w:rsid w:val="001A0D25"/>
    <w:rsid w:val="001A0E14"/>
    <w:rsid w:val="001A1570"/>
    <w:rsid w:val="001A1917"/>
    <w:rsid w:val="001A1C64"/>
    <w:rsid w:val="001A1DFB"/>
    <w:rsid w:val="001A1E7F"/>
    <w:rsid w:val="001A200C"/>
    <w:rsid w:val="001A2466"/>
    <w:rsid w:val="001A2918"/>
    <w:rsid w:val="001A2AF3"/>
    <w:rsid w:val="001A2D02"/>
    <w:rsid w:val="001A2DF0"/>
    <w:rsid w:val="001A2FD7"/>
    <w:rsid w:val="001A3076"/>
    <w:rsid w:val="001A3163"/>
    <w:rsid w:val="001A31A5"/>
    <w:rsid w:val="001A3879"/>
    <w:rsid w:val="001A389C"/>
    <w:rsid w:val="001A3B75"/>
    <w:rsid w:val="001A42A3"/>
    <w:rsid w:val="001A46FB"/>
    <w:rsid w:val="001A4EC9"/>
    <w:rsid w:val="001A5482"/>
    <w:rsid w:val="001A5944"/>
    <w:rsid w:val="001A5FB1"/>
    <w:rsid w:val="001A5FD2"/>
    <w:rsid w:val="001A618F"/>
    <w:rsid w:val="001A698A"/>
    <w:rsid w:val="001A6CCC"/>
    <w:rsid w:val="001A6E3B"/>
    <w:rsid w:val="001A70C8"/>
    <w:rsid w:val="001A71C9"/>
    <w:rsid w:val="001A7429"/>
    <w:rsid w:val="001A760C"/>
    <w:rsid w:val="001A76F0"/>
    <w:rsid w:val="001A7977"/>
    <w:rsid w:val="001A799B"/>
    <w:rsid w:val="001A7AC7"/>
    <w:rsid w:val="001A7C38"/>
    <w:rsid w:val="001B011F"/>
    <w:rsid w:val="001B02F8"/>
    <w:rsid w:val="001B2104"/>
    <w:rsid w:val="001B2279"/>
    <w:rsid w:val="001B2729"/>
    <w:rsid w:val="001B2866"/>
    <w:rsid w:val="001B2881"/>
    <w:rsid w:val="001B2B73"/>
    <w:rsid w:val="001B3675"/>
    <w:rsid w:val="001B37C8"/>
    <w:rsid w:val="001B3B29"/>
    <w:rsid w:val="001B48BA"/>
    <w:rsid w:val="001B4945"/>
    <w:rsid w:val="001B4B2C"/>
    <w:rsid w:val="001B4F10"/>
    <w:rsid w:val="001B5154"/>
    <w:rsid w:val="001B5323"/>
    <w:rsid w:val="001B5AC2"/>
    <w:rsid w:val="001B6DCE"/>
    <w:rsid w:val="001B6E30"/>
    <w:rsid w:val="001B7060"/>
    <w:rsid w:val="001B7BF7"/>
    <w:rsid w:val="001B7C8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54"/>
    <w:rsid w:val="001C3308"/>
    <w:rsid w:val="001C34F5"/>
    <w:rsid w:val="001C3BBB"/>
    <w:rsid w:val="001C40D1"/>
    <w:rsid w:val="001C468A"/>
    <w:rsid w:val="001C4834"/>
    <w:rsid w:val="001C4A38"/>
    <w:rsid w:val="001C4A9E"/>
    <w:rsid w:val="001C5001"/>
    <w:rsid w:val="001C5103"/>
    <w:rsid w:val="001C52A8"/>
    <w:rsid w:val="001C5ADF"/>
    <w:rsid w:val="001C5E8E"/>
    <w:rsid w:val="001C6120"/>
    <w:rsid w:val="001C6516"/>
    <w:rsid w:val="001C6B5C"/>
    <w:rsid w:val="001C6CF0"/>
    <w:rsid w:val="001C7155"/>
    <w:rsid w:val="001C7E48"/>
    <w:rsid w:val="001D0190"/>
    <w:rsid w:val="001D039B"/>
    <w:rsid w:val="001D05A3"/>
    <w:rsid w:val="001D0849"/>
    <w:rsid w:val="001D1258"/>
    <w:rsid w:val="001D18BA"/>
    <w:rsid w:val="001D1AB8"/>
    <w:rsid w:val="001D26F5"/>
    <w:rsid w:val="001D286F"/>
    <w:rsid w:val="001D2C94"/>
    <w:rsid w:val="001D33D9"/>
    <w:rsid w:val="001D3698"/>
    <w:rsid w:val="001D36A9"/>
    <w:rsid w:val="001D36F6"/>
    <w:rsid w:val="001D4303"/>
    <w:rsid w:val="001D45E5"/>
    <w:rsid w:val="001D461A"/>
    <w:rsid w:val="001D4A9D"/>
    <w:rsid w:val="001D4AAD"/>
    <w:rsid w:val="001D4E16"/>
    <w:rsid w:val="001D59FF"/>
    <w:rsid w:val="001D5AFA"/>
    <w:rsid w:val="001D652D"/>
    <w:rsid w:val="001D72D9"/>
    <w:rsid w:val="001D7421"/>
    <w:rsid w:val="001D784A"/>
    <w:rsid w:val="001E04A4"/>
    <w:rsid w:val="001E07C5"/>
    <w:rsid w:val="001E0B45"/>
    <w:rsid w:val="001E0BF4"/>
    <w:rsid w:val="001E176D"/>
    <w:rsid w:val="001E196E"/>
    <w:rsid w:val="001E1BCE"/>
    <w:rsid w:val="001E1E05"/>
    <w:rsid w:val="001E2086"/>
    <w:rsid w:val="001E339F"/>
    <w:rsid w:val="001E3629"/>
    <w:rsid w:val="001E3785"/>
    <w:rsid w:val="001E3E7D"/>
    <w:rsid w:val="001E40F0"/>
    <w:rsid w:val="001E4172"/>
    <w:rsid w:val="001E4C01"/>
    <w:rsid w:val="001E4F08"/>
    <w:rsid w:val="001E5366"/>
    <w:rsid w:val="001E5490"/>
    <w:rsid w:val="001E5730"/>
    <w:rsid w:val="001E5D2B"/>
    <w:rsid w:val="001E5E2E"/>
    <w:rsid w:val="001E6352"/>
    <w:rsid w:val="001E700A"/>
    <w:rsid w:val="001E70AD"/>
    <w:rsid w:val="001E7237"/>
    <w:rsid w:val="001E7AF6"/>
    <w:rsid w:val="001F01B8"/>
    <w:rsid w:val="001F0FC3"/>
    <w:rsid w:val="001F1188"/>
    <w:rsid w:val="001F1B8D"/>
    <w:rsid w:val="001F1C50"/>
    <w:rsid w:val="001F274F"/>
    <w:rsid w:val="001F289C"/>
    <w:rsid w:val="001F2BF9"/>
    <w:rsid w:val="001F3AF2"/>
    <w:rsid w:val="001F6008"/>
    <w:rsid w:val="001F604B"/>
    <w:rsid w:val="001F641B"/>
    <w:rsid w:val="001F6D4D"/>
    <w:rsid w:val="001F7F7E"/>
    <w:rsid w:val="0020125C"/>
    <w:rsid w:val="0020130D"/>
    <w:rsid w:val="00201916"/>
    <w:rsid w:val="00201D06"/>
    <w:rsid w:val="00201E9F"/>
    <w:rsid w:val="00202071"/>
    <w:rsid w:val="002021AF"/>
    <w:rsid w:val="00202F25"/>
    <w:rsid w:val="002035B3"/>
    <w:rsid w:val="00203929"/>
    <w:rsid w:val="00203CD6"/>
    <w:rsid w:val="00203D01"/>
    <w:rsid w:val="00204460"/>
    <w:rsid w:val="002049B5"/>
    <w:rsid w:val="002051EA"/>
    <w:rsid w:val="00205CBC"/>
    <w:rsid w:val="00206259"/>
    <w:rsid w:val="002074B7"/>
    <w:rsid w:val="0020758D"/>
    <w:rsid w:val="00207C7B"/>
    <w:rsid w:val="002102F4"/>
    <w:rsid w:val="00211470"/>
    <w:rsid w:val="0021168C"/>
    <w:rsid w:val="00211922"/>
    <w:rsid w:val="00211DF3"/>
    <w:rsid w:val="0021213A"/>
    <w:rsid w:val="002123E8"/>
    <w:rsid w:val="0021265F"/>
    <w:rsid w:val="00213232"/>
    <w:rsid w:val="00213817"/>
    <w:rsid w:val="00214428"/>
    <w:rsid w:val="002145A8"/>
    <w:rsid w:val="002145EB"/>
    <w:rsid w:val="00214F82"/>
    <w:rsid w:val="00214FE7"/>
    <w:rsid w:val="00215033"/>
    <w:rsid w:val="00215834"/>
    <w:rsid w:val="00215CC2"/>
    <w:rsid w:val="00215D95"/>
    <w:rsid w:val="00215ED8"/>
    <w:rsid w:val="00215FAF"/>
    <w:rsid w:val="002175F1"/>
    <w:rsid w:val="00217700"/>
    <w:rsid w:val="002177E2"/>
    <w:rsid w:val="0021783B"/>
    <w:rsid w:val="00217B43"/>
    <w:rsid w:val="002200C0"/>
    <w:rsid w:val="002201C3"/>
    <w:rsid w:val="002205F3"/>
    <w:rsid w:val="0022085B"/>
    <w:rsid w:val="00220E53"/>
    <w:rsid w:val="0022176C"/>
    <w:rsid w:val="002225D1"/>
    <w:rsid w:val="002230FA"/>
    <w:rsid w:val="0022319D"/>
    <w:rsid w:val="002232B9"/>
    <w:rsid w:val="002236E5"/>
    <w:rsid w:val="00223DF2"/>
    <w:rsid w:val="002249A2"/>
    <w:rsid w:val="00224C0C"/>
    <w:rsid w:val="002256C2"/>
    <w:rsid w:val="002256D0"/>
    <w:rsid w:val="00225C8E"/>
    <w:rsid w:val="00226428"/>
    <w:rsid w:val="002265A9"/>
    <w:rsid w:val="002266CB"/>
    <w:rsid w:val="0022697C"/>
    <w:rsid w:val="00227052"/>
    <w:rsid w:val="002272D5"/>
    <w:rsid w:val="0022738E"/>
    <w:rsid w:val="00227906"/>
    <w:rsid w:val="00227934"/>
    <w:rsid w:val="00227E21"/>
    <w:rsid w:val="0023008A"/>
    <w:rsid w:val="00230C8C"/>
    <w:rsid w:val="00231927"/>
    <w:rsid w:val="00231D05"/>
    <w:rsid w:val="0023241A"/>
    <w:rsid w:val="002336E2"/>
    <w:rsid w:val="00233AC2"/>
    <w:rsid w:val="00233BAF"/>
    <w:rsid w:val="00233CD8"/>
    <w:rsid w:val="00233F80"/>
    <w:rsid w:val="00234082"/>
    <w:rsid w:val="0023423A"/>
    <w:rsid w:val="002343A8"/>
    <w:rsid w:val="00235420"/>
    <w:rsid w:val="00235700"/>
    <w:rsid w:val="00236525"/>
    <w:rsid w:val="00236DA1"/>
    <w:rsid w:val="0023788D"/>
    <w:rsid w:val="00240422"/>
    <w:rsid w:val="0024065B"/>
    <w:rsid w:val="002409A6"/>
    <w:rsid w:val="00240C63"/>
    <w:rsid w:val="00240D91"/>
    <w:rsid w:val="00240EA5"/>
    <w:rsid w:val="00241132"/>
    <w:rsid w:val="002411BB"/>
    <w:rsid w:val="00241205"/>
    <w:rsid w:val="002418C5"/>
    <w:rsid w:val="0024261D"/>
    <w:rsid w:val="00242712"/>
    <w:rsid w:val="00242DFB"/>
    <w:rsid w:val="00243807"/>
    <w:rsid w:val="002440AC"/>
    <w:rsid w:val="00244365"/>
    <w:rsid w:val="0024459A"/>
    <w:rsid w:val="0024459B"/>
    <w:rsid w:val="002446A3"/>
    <w:rsid w:val="00244771"/>
    <w:rsid w:val="00244903"/>
    <w:rsid w:val="00244AFB"/>
    <w:rsid w:val="002453DF"/>
    <w:rsid w:val="00245A81"/>
    <w:rsid w:val="002462A5"/>
    <w:rsid w:val="00246B86"/>
    <w:rsid w:val="00247335"/>
    <w:rsid w:val="002473EF"/>
    <w:rsid w:val="00247538"/>
    <w:rsid w:val="002477B9"/>
    <w:rsid w:val="00247B69"/>
    <w:rsid w:val="00247CBE"/>
    <w:rsid w:val="00247E69"/>
    <w:rsid w:val="00250A1F"/>
    <w:rsid w:val="00250ADA"/>
    <w:rsid w:val="00250D6E"/>
    <w:rsid w:val="00250F1D"/>
    <w:rsid w:val="00251DB0"/>
    <w:rsid w:val="00251FF1"/>
    <w:rsid w:val="002520BA"/>
    <w:rsid w:val="00252234"/>
    <w:rsid w:val="002528E3"/>
    <w:rsid w:val="00252944"/>
    <w:rsid w:val="00252D55"/>
    <w:rsid w:val="00252D82"/>
    <w:rsid w:val="00252FEA"/>
    <w:rsid w:val="00253006"/>
    <w:rsid w:val="00253165"/>
    <w:rsid w:val="002531EA"/>
    <w:rsid w:val="002533F5"/>
    <w:rsid w:val="00253C60"/>
    <w:rsid w:val="00253F21"/>
    <w:rsid w:val="0025429D"/>
    <w:rsid w:val="002549E9"/>
    <w:rsid w:val="00254FF6"/>
    <w:rsid w:val="00255099"/>
    <w:rsid w:val="002555C6"/>
    <w:rsid w:val="0025597E"/>
    <w:rsid w:val="00255C3E"/>
    <w:rsid w:val="00255E14"/>
    <w:rsid w:val="00255E45"/>
    <w:rsid w:val="00255FF9"/>
    <w:rsid w:val="00257059"/>
    <w:rsid w:val="0025712F"/>
    <w:rsid w:val="00257395"/>
    <w:rsid w:val="00257857"/>
    <w:rsid w:val="002578DA"/>
    <w:rsid w:val="00257CBC"/>
    <w:rsid w:val="002602C2"/>
    <w:rsid w:val="002602DA"/>
    <w:rsid w:val="0026040B"/>
    <w:rsid w:val="002604F2"/>
    <w:rsid w:val="00260802"/>
    <w:rsid w:val="002609E3"/>
    <w:rsid w:val="002611AA"/>
    <w:rsid w:val="00261223"/>
    <w:rsid w:val="002616E6"/>
    <w:rsid w:val="002617AB"/>
    <w:rsid w:val="00261D08"/>
    <w:rsid w:val="00261DCC"/>
    <w:rsid w:val="002624D0"/>
    <w:rsid w:val="00263CF7"/>
    <w:rsid w:val="00263EC7"/>
    <w:rsid w:val="0026491B"/>
    <w:rsid w:val="00264A36"/>
    <w:rsid w:val="00264B06"/>
    <w:rsid w:val="00264C1B"/>
    <w:rsid w:val="002657FB"/>
    <w:rsid w:val="00265D10"/>
    <w:rsid w:val="00265E2E"/>
    <w:rsid w:val="002661AB"/>
    <w:rsid w:val="0026742B"/>
    <w:rsid w:val="002674FE"/>
    <w:rsid w:val="00267A82"/>
    <w:rsid w:val="00267E59"/>
    <w:rsid w:val="002702F6"/>
    <w:rsid w:val="00270748"/>
    <w:rsid w:val="00270CAB"/>
    <w:rsid w:val="0027117F"/>
    <w:rsid w:val="00271264"/>
    <w:rsid w:val="002712DC"/>
    <w:rsid w:val="00271875"/>
    <w:rsid w:val="002718FF"/>
    <w:rsid w:val="00271955"/>
    <w:rsid w:val="002720EC"/>
    <w:rsid w:val="00272278"/>
    <w:rsid w:val="00272432"/>
    <w:rsid w:val="00272633"/>
    <w:rsid w:val="00272D36"/>
    <w:rsid w:val="00272E48"/>
    <w:rsid w:val="00272F1C"/>
    <w:rsid w:val="00272FBF"/>
    <w:rsid w:val="00273599"/>
    <w:rsid w:val="00273A10"/>
    <w:rsid w:val="00273A58"/>
    <w:rsid w:val="00274630"/>
    <w:rsid w:val="00274C6E"/>
    <w:rsid w:val="00274CAB"/>
    <w:rsid w:val="00274E8A"/>
    <w:rsid w:val="0027550D"/>
    <w:rsid w:val="002755A8"/>
    <w:rsid w:val="00275C21"/>
    <w:rsid w:val="00275FCE"/>
    <w:rsid w:val="002762EA"/>
    <w:rsid w:val="002766B8"/>
    <w:rsid w:val="0027680F"/>
    <w:rsid w:val="002777C0"/>
    <w:rsid w:val="0028076D"/>
    <w:rsid w:val="00281006"/>
    <w:rsid w:val="002815B1"/>
    <w:rsid w:val="002815FC"/>
    <w:rsid w:val="00281893"/>
    <w:rsid w:val="00281C1F"/>
    <w:rsid w:val="00281EEA"/>
    <w:rsid w:val="00281F88"/>
    <w:rsid w:val="0028240D"/>
    <w:rsid w:val="0028288D"/>
    <w:rsid w:val="00282967"/>
    <w:rsid w:val="002829B7"/>
    <w:rsid w:val="00282B82"/>
    <w:rsid w:val="00282C74"/>
    <w:rsid w:val="00282E5B"/>
    <w:rsid w:val="00283995"/>
    <w:rsid w:val="00283B11"/>
    <w:rsid w:val="002841A9"/>
    <w:rsid w:val="00284313"/>
    <w:rsid w:val="00284554"/>
    <w:rsid w:val="002848AD"/>
    <w:rsid w:val="00284DE4"/>
    <w:rsid w:val="00285154"/>
    <w:rsid w:val="00285AFF"/>
    <w:rsid w:val="00285BF2"/>
    <w:rsid w:val="00285C78"/>
    <w:rsid w:val="002863CE"/>
    <w:rsid w:val="00287E20"/>
    <w:rsid w:val="0029041D"/>
    <w:rsid w:val="00290AEB"/>
    <w:rsid w:val="0029110F"/>
    <w:rsid w:val="00291492"/>
    <w:rsid w:val="00291527"/>
    <w:rsid w:val="002916B4"/>
    <w:rsid w:val="0029199A"/>
    <w:rsid w:val="00291BBE"/>
    <w:rsid w:val="00291FEB"/>
    <w:rsid w:val="00292E70"/>
    <w:rsid w:val="00293146"/>
    <w:rsid w:val="0029361E"/>
    <w:rsid w:val="00293D68"/>
    <w:rsid w:val="0029408A"/>
    <w:rsid w:val="00294352"/>
    <w:rsid w:val="002944A0"/>
    <w:rsid w:val="00294629"/>
    <w:rsid w:val="002946E4"/>
    <w:rsid w:val="0029495C"/>
    <w:rsid w:val="002957D9"/>
    <w:rsid w:val="0029596F"/>
    <w:rsid w:val="002959D4"/>
    <w:rsid w:val="00295B52"/>
    <w:rsid w:val="00296024"/>
    <w:rsid w:val="00296293"/>
    <w:rsid w:val="002969C7"/>
    <w:rsid w:val="00296AF7"/>
    <w:rsid w:val="00297021"/>
    <w:rsid w:val="002972F9"/>
    <w:rsid w:val="00297612"/>
    <w:rsid w:val="002977CA"/>
    <w:rsid w:val="00297ED7"/>
    <w:rsid w:val="002A0007"/>
    <w:rsid w:val="002A03AA"/>
    <w:rsid w:val="002A056D"/>
    <w:rsid w:val="002A07FE"/>
    <w:rsid w:val="002A094D"/>
    <w:rsid w:val="002A0CAF"/>
    <w:rsid w:val="002A0DDB"/>
    <w:rsid w:val="002A1565"/>
    <w:rsid w:val="002A16A9"/>
    <w:rsid w:val="002A2745"/>
    <w:rsid w:val="002A2941"/>
    <w:rsid w:val="002A2C69"/>
    <w:rsid w:val="002A2DC4"/>
    <w:rsid w:val="002A3703"/>
    <w:rsid w:val="002A3817"/>
    <w:rsid w:val="002A3E69"/>
    <w:rsid w:val="002A44F9"/>
    <w:rsid w:val="002A4946"/>
    <w:rsid w:val="002A49EF"/>
    <w:rsid w:val="002A4B8B"/>
    <w:rsid w:val="002A5107"/>
    <w:rsid w:val="002A535E"/>
    <w:rsid w:val="002A5DBD"/>
    <w:rsid w:val="002A5EF6"/>
    <w:rsid w:val="002A6406"/>
    <w:rsid w:val="002A6432"/>
    <w:rsid w:val="002A68FB"/>
    <w:rsid w:val="002A6CF0"/>
    <w:rsid w:val="002A6DDE"/>
    <w:rsid w:val="002A6FFC"/>
    <w:rsid w:val="002A7010"/>
    <w:rsid w:val="002A70BA"/>
    <w:rsid w:val="002A7A57"/>
    <w:rsid w:val="002A7BB2"/>
    <w:rsid w:val="002A7CC1"/>
    <w:rsid w:val="002A7DCB"/>
    <w:rsid w:val="002B0685"/>
    <w:rsid w:val="002B0794"/>
    <w:rsid w:val="002B0B53"/>
    <w:rsid w:val="002B1617"/>
    <w:rsid w:val="002B1A90"/>
    <w:rsid w:val="002B1D11"/>
    <w:rsid w:val="002B273B"/>
    <w:rsid w:val="002B29AA"/>
    <w:rsid w:val="002B2A7E"/>
    <w:rsid w:val="002B2C2B"/>
    <w:rsid w:val="002B2F1B"/>
    <w:rsid w:val="002B3082"/>
    <w:rsid w:val="002B3332"/>
    <w:rsid w:val="002B34C7"/>
    <w:rsid w:val="002B3F25"/>
    <w:rsid w:val="002B4903"/>
    <w:rsid w:val="002B5AFB"/>
    <w:rsid w:val="002B62DA"/>
    <w:rsid w:val="002B6320"/>
    <w:rsid w:val="002B66AC"/>
    <w:rsid w:val="002B6852"/>
    <w:rsid w:val="002B6923"/>
    <w:rsid w:val="002B723C"/>
    <w:rsid w:val="002B74EF"/>
    <w:rsid w:val="002B77E1"/>
    <w:rsid w:val="002C039C"/>
    <w:rsid w:val="002C0656"/>
    <w:rsid w:val="002C0714"/>
    <w:rsid w:val="002C0796"/>
    <w:rsid w:val="002C0A96"/>
    <w:rsid w:val="002C13C6"/>
    <w:rsid w:val="002C1503"/>
    <w:rsid w:val="002C1BF4"/>
    <w:rsid w:val="002C1E0D"/>
    <w:rsid w:val="002C2266"/>
    <w:rsid w:val="002C2356"/>
    <w:rsid w:val="002C238F"/>
    <w:rsid w:val="002C23C2"/>
    <w:rsid w:val="002C276F"/>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E85"/>
    <w:rsid w:val="002D0FA7"/>
    <w:rsid w:val="002D12FB"/>
    <w:rsid w:val="002D1603"/>
    <w:rsid w:val="002D19D1"/>
    <w:rsid w:val="002D1B26"/>
    <w:rsid w:val="002D1F35"/>
    <w:rsid w:val="002D1FA3"/>
    <w:rsid w:val="002D20CD"/>
    <w:rsid w:val="002D22DA"/>
    <w:rsid w:val="002D23C6"/>
    <w:rsid w:val="002D24F0"/>
    <w:rsid w:val="002D25EB"/>
    <w:rsid w:val="002D29F3"/>
    <w:rsid w:val="002D3126"/>
    <w:rsid w:val="002D3529"/>
    <w:rsid w:val="002D37C1"/>
    <w:rsid w:val="002D3D0A"/>
    <w:rsid w:val="002D3EF0"/>
    <w:rsid w:val="002D478E"/>
    <w:rsid w:val="002D4799"/>
    <w:rsid w:val="002D47AE"/>
    <w:rsid w:val="002D4A94"/>
    <w:rsid w:val="002D4AFE"/>
    <w:rsid w:val="002D55BB"/>
    <w:rsid w:val="002D5D85"/>
    <w:rsid w:val="002D65FF"/>
    <w:rsid w:val="002D6D10"/>
    <w:rsid w:val="002D71E2"/>
    <w:rsid w:val="002D79C9"/>
    <w:rsid w:val="002D7B6A"/>
    <w:rsid w:val="002E0026"/>
    <w:rsid w:val="002E08E8"/>
    <w:rsid w:val="002E0918"/>
    <w:rsid w:val="002E0BAA"/>
    <w:rsid w:val="002E0D96"/>
    <w:rsid w:val="002E0EA5"/>
    <w:rsid w:val="002E0F1C"/>
    <w:rsid w:val="002E1BF0"/>
    <w:rsid w:val="002E1E19"/>
    <w:rsid w:val="002E1FAC"/>
    <w:rsid w:val="002E2572"/>
    <w:rsid w:val="002E283F"/>
    <w:rsid w:val="002E2854"/>
    <w:rsid w:val="002E2E74"/>
    <w:rsid w:val="002E32D2"/>
    <w:rsid w:val="002E361B"/>
    <w:rsid w:val="002E37AB"/>
    <w:rsid w:val="002E3A80"/>
    <w:rsid w:val="002E3D4C"/>
    <w:rsid w:val="002E3FE4"/>
    <w:rsid w:val="002E41C7"/>
    <w:rsid w:val="002E51DF"/>
    <w:rsid w:val="002E57B9"/>
    <w:rsid w:val="002E5A56"/>
    <w:rsid w:val="002E6127"/>
    <w:rsid w:val="002E6885"/>
    <w:rsid w:val="002E72E4"/>
    <w:rsid w:val="002E739D"/>
    <w:rsid w:val="002F0F36"/>
    <w:rsid w:val="002F1276"/>
    <w:rsid w:val="002F1986"/>
    <w:rsid w:val="002F1E5F"/>
    <w:rsid w:val="002F2A49"/>
    <w:rsid w:val="002F2A5F"/>
    <w:rsid w:val="002F3550"/>
    <w:rsid w:val="002F3B63"/>
    <w:rsid w:val="002F3C56"/>
    <w:rsid w:val="002F4271"/>
    <w:rsid w:val="002F46B0"/>
    <w:rsid w:val="002F477E"/>
    <w:rsid w:val="002F4B17"/>
    <w:rsid w:val="002F5150"/>
    <w:rsid w:val="002F5463"/>
    <w:rsid w:val="002F58C2"/>
    <w:rsid w:val="002F5932"/>
    <w:rsid w:val="002F5C85"/>
    <w:rsid w:val="002F603B"/>
    <w:rsid w:val="002F61A3"/>
    <w:rsid w:val="002F61D4"/>
    <w:rsid w:val="002F6201"/>
    <w:rsid w:val="002F6493"/>
    <w:rsid w:val="002F724B"/>
    <w:rsid w:val="002F72BA"/>
    <w:rsid w:val="002F73C7"/>
    <w:rsid w:val="00300267"/>
    <w:rsid w:val="003004D2"/>
    <w:rsid w:val="00300D6B"/>
    <w:rsid w:val="00301380"/>
    <w:rsid w:val="00301D6A"/>
    <w:rsid w:val="00301E89"/>
    <w:rsid w:val="00302052"/>
    <w:rsid w:val="00302142"/>
    <w:rsid w:val="00302169"/>
    <w:rsid w:val="00302612"/>
    <w:rsid w:val="00303254"/>
    <w:rsid w:val="003044D9"/>
    <w:rsid w:val="00304D8A"/>
    <w:rsid w:val="00305216"/>
    <w:rsid w:val="003053B9"/>
    <w:rsid w:val="0030555B"/>
    <w:rsid w:val="003061F5"/>
    <w:rsid w:val="00306A49"/>
    <w:rsid w:val="00306D27"/>
    <w:rsid w:val="0030731E"/>
    <w:rsid w:val="0030739C"/>
    <w:rsid w:val="003103A9"/>
    <w:rsid w:val="00310A50"/>
    <w:rsid w:val="00310D51"/>
    <w:rsid w:val="00310FFF"/>
    <w:rsid w:val="00311B36"/>
    <w:rsid w:val="00311C92"/>
    <w:rsid w:val="00313321"/>
    <w:rsid w:val="003133AE"/>
    <w:rsid w:val="0031371B"/>
    <w:rsid w:val="00313E5C"/>
    <w:rsid w:val="00314156"/>
    <w:rsid w:val="00314CF8"/>
    <w:rsid w:val="0031535B"/>
    <w:rsid w:val="003154DD"/>
    <w:rsid w:val="00315DC2"/>
    <w:rsid w:val="00315FCF"/>
    <w:rsid w:val="003161A6"/>
    <w:rsid w:val="00316B42"/>
    <w:rsid w:val="00316F76"/>
    <w:rsid w:val="003170F4"/>
    <w:rsid w:val="00317552"/>
    <w:rsid w:val="0032035D"/>
    <w:rsid w:val="003204EB"/>
    <w:rsid w:val="003205E9"/>
    <w:rsid w:val="00320B28"/>
    <w:rsid w:val="0032123E"/>
    <w:rsid w:val="003216D5"/>
    <w:rsid w:val="003216FF"/>
    <w:rsid w:val="00321866"/>
    <w:rsid w:val="00321A83"/>
    <w:rsid w:val="00321C1A"/>
    <w:rsid w:val="00321F6B"/>
    <w:rsid w:val="003220D3"/>
    <w:rsid w:val="00322389"/>
    <w:rsid w:val="003223CA"/>
    <w:rsid w:val="00322458"/>
    <w:rsid w:val="00322BE5"/>
    <w:rsid w:val="00322E87"/>
    <w:rsid w:val="0032312D"/>
    <w:rsid w:val="00323AA5"/>
    <w:rsid w:val="003242E4"/>
    <w:rsid w:val="0032468D"/>
    <w:rsid w:val="00324887"/>
    <w:rsid w:val="00324926"/>
    <w:rsid w:val="00324B25"/>
    <w:rsid w:val="0032522F"/>
    <w:rsid w:val="003253C4"/>
    <w:rsid w:val="0032550F"/>
    <w:rsid w:val="00325992"/>
    <w:rsid w:val="00325B74"/>
    <w:rsid w:val="00325B96"/>
    <w:rsid w:val="0032638F"/>
    <w:rsid w:val="003263EA"/>
    <w:rsid w:val="00326B59"/>
    <w:rsid w:val="00326BD4"/>
    <w:rsid w:val="003270BC"/>
    <w:rsid w:val="003272C6"/>
    <w:rsid w:val="00327752"/>
    <w:rsid w:val="00327C7C"/>
    <w:rsid w:val="00327FFE"/>
    <w:rsid w:val="00330009"/>
    <w:rsid w:val="003301E6"/>
    <w:rsid w:val="003302C5"/>
    <w:rsid w:val="00330411"/>
    <w:rsid w:val="003310AB"/>
    <w:rsid w:val="00331415"/>
    <w:rsid w:val="003314D2"/>
    <w:rsid w:val="00331712"/>
    <w:rsid w:val="00331A3F"/>
    <w:rsid w:val="00331D94"/>
    <w:rsid w:val="00332191"/>
    <w:rsid w:val="00332720"/>
    <w:rsid w:val="00332EBD"/>
    <w:rsid w:val="00332EED"/>
    <w:rsid w:val="00333195"/>
    <w:rsid w:val="003334A7"/>
    <w:rsid w:val="003337E8"/>
    <w:rsid w:val="00333A14"/>
    <w:rsid w:val="00333B2A"/>
    <w:rsid w:val="00333FD5"/>
    <w:rsid w:val="00334649"/>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440"/>
    <w:rsid w:val="003475EA"/>
    <w:rsid w:val="00347A27"/>
    <w:rsid w:val="00347CD4"/>
    <w:rsid w:val="00347E2E"/>
    <w:rsid w:val="00350A55"/>
    <w:rsid w:val="00350DF8"/>
    <w:rsid w:val="00351A8A"/>
    <w:rsid w:val="003524B2"/>
    <w:rsid w:val="0035266A"/>
    <w:rsid w:val="0035279C"/>
    <w:rsid w:val="003535D2"/>
    <w:rsid w:val="0035384D"/>
    <w:rsid w:val="0035396D"/>
    <w:rsid w:val="00353C0B"/>
    <w:rsid w:val="00354472"/>
    <w:rsid w:val="00354AE4"/>
    <w:rsid w:val="00354B0A"/>
    <w:rsid w:val="00355350"/>
    <w:rsid w:val="0035551B"/>
    <w:rsid w:val="003555ED"/>
    <w:rsid w:val="00355756"/>
    <w:rsid w:val="00355911"/>
    <w:rsid w:val="00355BFC"/>
    <w:rsid w:val="00355FE2"/>
    <w:rsid w:val="0035636B"/>
    <w:rsid w:val="003564CC"/>
    <w:rsid w:val="0035690F"/>
    <w:rsid w:val="00357424"/>
    <w:rsid w:val="00357BE9"/>
    <w:rsid w:val="003601A2"/>
    <w:rsid w:val="00361474"/>
    <w:rsid w:val="00361789"/>
    <w:rsid w:val="0036196D"/>
    <w:rsid w:val="00361A59"/>
    <w:rsid w:val="00361AA1"/>
    <w:rsid w:val="00362136"/>
    <w:rsid w:val="00362336"/>
    <w:rsid w:val="003627BD"/>
    <w:rsid w:val="00362997"/>
    <w:rsid w:val="00362C59"/>
    <w:rsid w:val="00363040"/>
    <w:rsid w:val="003630B7"/>
    <w:rsid w:val="00363786"/>
    <w:rsid w:val="003638A4"/>
    <w:rsid w:val="003639BF"/>
    <w:rsid w:val="00363E41"/>
    <w:rsid w:val="00363FD2"/>
    <w:rsid w:val="00364653"/>
    <w:rsid w:val="00364D36"/>
    <w:rsid w:val="003653EC"/>
    <w:rsid w:val="0036572E"/>
    <w:rsid w:val="00366168"/>
    <w:rsid w:val="003663D9"/>
    <w:rsid w:val="003666BF"/>
    <w:rsid w:val="00366707"/>
    <w:rsid w:val="00366BD3"/>
    <w:rsid w:val="00366FA9"/>
    <w:rsid w:val="00367B19"/>
    <w:rsid w:val="00367E49"/>
    <w:rsid w:val="00367E95"/>
    <w:rsid w:val="003700E6"/>
    <w:rsid w:val="0037017C"/>
    <w:rsid w:val="00370490"/>
    <w:rsid w:val="00370A8C"/>
    <w:rsid w:val="003712A9"/>
    <w:rsid w:val="00371C86"/>
    <w:rsid w:val="0037236C"/>
    <w:rsid w:val="003729DE"/>
    <w:rsid w:val="00372EA2"/>
    <w:rsid w:val="003734B8"/>
    <w:rsid w:val="003735D3"/>
    <w:rsid w:val="0037386D"/>
    <w:rsid w:val="00373956"/>
    <w:rsid w:val="00373BE1"/>
    <w:rsid w:val="00374153"/>
    <w:rsid w:val="003741BC"/>
    <w:rsid w:val="00374671"/>
    <w:rsid w:val="003750E0"/>
    <w:rsid w:val="00375AF1"/>
    <w:rsid w:val="00375C2F"/>
    <w:rsid w:val="00375FC5"/>
    <w:rsid w:val="003769BA"/>
    <w:rsid w:val="00376D1C"/>
    <w:rsid w:val="00377871"/>
    <w:rsid w:val="003778B2"/>
    <w:rsid w:val="00377E58"/>
    <w:rsid w:val="003805E3"/>
    <w:rsid w:val="00380618"/>
    <w:rsid w:val="0038062E"/>
    <w:rsid w:val="003806D7"/>
    <w:rsid w:val="003807F7"/>
    <w:rsid w:val="00381610"/>
    <w:rsid w:val="00381C9E"/>
    <w:rsid w:val="00381CA8"/>
    <w:rsid w:val="00382106"/>
    <w:rsid w:val="00382657"/>
    <w:rsid w:val="00382708"/>
    <w:rsid w:val="00382B82"/>
    <w:rsid w:val="00383446"/>
    <w:rsid w:val="003838E0"/>
    <w:rsid w:val="003844BF"/>
    <w:rsid w:val="003847A0"/>
    <w:rsid w:val="003854D5"/>
    <w:rsid w:val="0038552A"/>
    <w:rsid w:val="003859EA"/>
    <w:rsid w:val="00386704"/>
    <w:rsid w:val="0038709E"/>
    <w:rsid w:val="00387623"/>
    <w:rsid w:val="00387D30"/>
    <w:rsid w:val="00391753"/>
    <w:rsid w:val="00391C7F"/>
    <w:rsid w:val="00392454"/>
    <w:rsid w:val="00392C85"/>
    <w:rsid w:val="00392FD8"/>
    <w:rsid w:val="00393923"/>
    <w:rsid w:val="00393E11"/>
    <w:rsid w:val="00393FE3"/>
    <w:rsid w:val="00394475"/>
    <w:rsid w:val="0039517A"/>
    <w:rsid w:val="003954FE"/>
    <w:rsid w:val="00395B51"/>
    <w:rsid w:val="00396796"/>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140"/>
    <w:rsid w:val="003A595F"/>
    <w:rsid w:val="003A5EEC"/>
    <w:rsid w:val="003A6B7A"/>
    <w:rsid w:val="003A730A"/>
    <w:rsid w:val="003A748F"/>
    <w:rsid w:val="003A79AE"/>
    <w:rsid w:val="003A7CA3"/>
    <w:rsid w:val="003B00B6"/>
    <w:rsid w:val="003B01C4"/>
    <w:rsid w:val="003B0BB0"/>
    <w:rsid w:val="003B11EE"/>
    <w:rsid w:val="003B15F8"/>
    <w:rsid w:val="003B166F"/>
    <w:rsid w:val="003B1B60"/>
    <w:rsid w:val="003B207E"/>
    <w:rsid w:val="003B230B"/>
    <w:rsid w:val="003B23BC"/>
    <w:rsid w:val="003B28BA"/>
    <w:rsid w:val="003B28F6"/>
    <w:rsid w:val="003B2DB5"/>
    <w:rsid w:val="003B2F05"/>
    <w:rsid w:val="003B3966"/>
    <w:rsid w:val="003B39B7"/>
    <w:rsid w:val="003B4754"/>
    <w:rsid w:val="003B4EB0"/>
    <w:rsid w:val="003B5094"/>
    <w:rsid w:val="003B57FD"/>
    <w:rsid w:val="003B5F6A"/>
    <w:rsid w:val="003B6584"/>
    <w:rsid w:val="003B6B7F"/>
    <w:rsid w:val="003B7820"/>
    <w:rsid w:val="003C01A4"/>
    <w:rsid w:val="003C0219"/>
    <w:rsid w:val="003C0941"/>
    <w:rsid w:val="003C0C12"/>
    <w:rsid w:val="003C0E6B"/>
    <w:rsid w:val="003C16EE"/>
    <w:rsid w:val="003C1C87"/>
    <w:rsid w:val="003C1D4D"/>
    <w:rsid w:val="003C2927"/>
    <w:rsid w:val="003C2C85"/>
    <w:rsid w:val="003C2F61"/>
    <w:rsid w:val="003C345E"/>
    <w:rsid w:val="003C4409"/>
    <w:rsid w:val="003C4997"/>
    <w:rsid w:val="003C4DA5"/>
    <w:rsid w:val="003C502A"/>
    <w:rsid w:val="003C5666"/>
    <w:rsid w:val="003C60CC"/>
    <w:rsid w:val="003C6193"/>
    <w:rsid w:val="003C64F4"/>
    <w:rsid w:val="003C6D4E"/>
    <w:rsid w:val="003C724B"/>
    <w:rsid w:val="003C73DB"/>
    <w:rsid w:val="003D0185"/>
    <w:rsid w:val="003D02CB"/>
    <w:rsid w:val="003D0382"/>
    <w:rsid w:val="003D069C"/>
    <w:rsid w:val="003D18F6"/>
    <w:rsid w:val="003D191E"/>
    <w:rsid w:val="003D1A19"/>
    <w:rsid w:val="003D2027"/>
    <w:rsid w:val="003D22A5"/>
    <w:rsid w:val="003D2316"/>
    <w:rsid w:val="003D23A4"/>
    <w:rsid w:val="003D2B82"/>
    <w:rsid w:val="003D2DF6"/>
    <w:rsid w:val="003D2F93"/>
    <w:rsid w:val="003D3414"/>
    <w:rsid w:val="003D3426"/>
    <w:rsid w:val="003D3654"/>
    <w:rsid w:val="003D3721"/>
    <w:rsid w:val="003D413A"/>
    <w:rsid w:val="003D57F7"/>
    <w:rsid w:val="003D643B"/>
    <w:rsid w:val="003D6722"/>
    <w:rsid w:val="003D7428"/>
    <w:rsid w:val="003D77F2"/>
    <w:rsid w:val="003D78CC"/>
    <w:rsid w:val="003D7D01"/>
    <w:rsid w:val="003D7ED8"/>
    <w:rsid w:val="003E0003"/>
    <w:rsid w:val="003E0099"/>
    <w:rsid w:val="003E08C7"/>
    <w:rsid w:val="003E122B"/>
    <w:rsid w:val="003E1427"/>
    <w:rsid w:val="003E1A72"/>
    <w:rsid w:val="003E27B8"/>
    <w:rsid w:val="003E283C"/>
    <w:rsid w:val="003E2880"/>
    <w:rsid w:val="003E28FB"/>
    <w:rsid w:val="003E2A00"/>
    <w:rsid w:val="003E2ECC"/>
    <w:rsid w:val="003E382C"/>
    <w:rsid w:val="003E3B8C"/>
    <w:rsid w:val="003E3D00"/>
    <w:rsid w:val="003E4487"/>
    <w:rsid w:val="003E4531"/>
    <w:rsid w:val="003E4771"/>
    <w:rsid w:val="003E52E3"/>
    <w:rsid w:val="003E541C"/>
    <w:rsid w:val="003E54A8"/>
    <w:rsid w:val="003E5833"/>
    <w:rsid w:val="003E5DA8"/>
    <w:rsid w:val="003E7059"/>
    <w:rsid w:val="003E7109"/>
    <w:rsid w:val="003E77DC"/>
    <w:rsid w:val="003E7BC1"/>
    <w:rsid w:val="003F0453"/>
    <w:rsid w:val="003F0A07"/>
    <w:rsid w:val="003F0C9F"/>
    <w:rsid w:val="003F1359"/>
    <w:rsid w:val="003F144A"/>
    <w:rsid w:val="003F1B02"/>
    <w:rsid w:val="003F1EFE"/>
    <w:rsid w:val="003F221B"/>
    <w:rsid w:val="003F2240"/>
    <w:rsid w:val="003F2460"/>
    <w:rsid w:val="003F2E7B"/>
    <w:rsid w:val="003F3A1F"/>
    <w:rsid w:val="003F3CD5"/>
    <w:rsid w:val="003F3ED4"/>
    <w:rsid w:val="003F4473"/>
    <w:rsid w:val="003F4CF5"/>
    <w:rsid w:val="003F4E31"/>
    <w:rsid w:val="003F51EE"/>
    <w:rsid w:val="003F528F"/>
    <w:rsid w:val="003F574E"/>
    <w:rsid w:val="003F60D6"/>
    <w:rsid w:val="003F6244"/>
    <w:rsid w:val="003F68E9"/>
    <w:rsid w:val="003F728C"/>
    <w:rsid w:val="003F7704"/>
    <w:rsid w:val="003F7936"/>
    <w:rsid w:val="003F7E15"/>
    <w:rsid w:val="003F7FDA"/>
    <w:rsid w:val="004008BC"/>
    <w:rsid w:val="00400B19"/>
    <w:rsid w:val="00400E65"/>
    <w:rsid w:val="00400EED"/>
    <w:rsid w:val="004013AD"/>
    <w:rsid w:val="00401E20"/>
    <w:rsid w:val="004021C0"/>
    <w:rsid w:val="004024F9"/>
    <w:rsid w:val="004028CE"/>
    <w:rsid w:val="0040313D"/>
    <w:rsid w:val="004043FA"/>
    <w:rsid w:val="00404970"/>
    <w:rsid w:val="00405181"/>
    <w:rsid w:val="0040567F"/>
    <w:rsid w:val="00405727"/>
    <w:rsid w:val="00405873"/>
    <w:rsid w:val="00405F09"/>
    <w:rsid w:val="004066F4"/>
    <w:rsid w:val="00406A32"/>
    <w:rsid w:val="00406A35"/>
    <w:rsid w:val="0040760B"/>
    <w:rsid w:val="00410117"/>
    <w:rsid w:val="00410C32"/>
    <w:rsid w:val="0041108F"/>
    <w:rsid w:val="00411237"/>
    <w:rsid w:val="00411557"/>
    <w:rsid w:val="0041192A"/>
    <w:rsid w:val="00411994"/>
    <w:rsid w:val="00411D74"/>
    <w:rsid w:val="00411DDE"/>
    <w:rsid w:val="00411F84"/>
    <w:rsid w:val="00412069"/>
    <w:rsid w:val="004121A1"/>
    <w:rsid w:val="00412477"/>
    <w:rsid w:val="00412570"/>
    <w:rsid w:val="004127A2"/>
    <w:rsid w:val="0041280A"/>
    <w:rsid w:val="00412850"/>
    <w:rsid w:val="00412A9D"/>
    <w:rsid w:val="00412CB1"/>
    <w:rsid w:val="004133A5"/>
    <w:rsid w:val="00413D45"/>
    <w:rsid w:val="00414197"/>
    <w:rsid w:val="004144D7"/>
    <w:rsid w:val="00414D68"/>
    <w:rsid w:val="00414FD9"/>
    <w:rsid w:val="004150F8"/>
    <w:rsid w:val="004151D4"/>
    <w:rsid w:val="00415773"/>
    <w:rsid w:val="00415CAE"/>
    <w:rsid w:val="00415EE7"/>
    <w:rsid w:val="00415FD6"/>
    <w:rsid w:val="00415FE9"/>
    <w:rsid w:val="004160FA"/>
    <w:rsid w:val="0041669E"/>
    <w:rsid w:val="00416ACA"/>
    <w:rsid w:val="00416C56"/>
    <w:rsid w:val="00417294"/>
    <w:rsid w:val="00417416"/>
    <w:rsid w:val="004176B8"/>
    <w:rsid w:val="00417B99"/>
    <w:rsid w:val="00417CE0"/>
    <w:rsid w:val="004209D5"/>
    <w:rsid w:val="00420FAF"/>
    <w:rsid w:val="00421184"/>
    <w:rsid w:val="004212C1"/>
    <w:rsid w:val="004214B7"/>
    <w:rsid w:val="00421510"/>
    <w:rsid w:val="00421892"/>
    <w:rsid w:val="00421EA6"/>
    <w:rsid w:val="00421FB5"/>
    <w:rsid w:val="004226ED"/>
    <w:rsid w:val="00422AF4"/>
    <w:rsid w:val="00422F3B"/>
    <w:rsid w:val="004235F4"/>
    <w:rsid w:val="004236C9"/>
    <w:rsid w:val="00423CF3"/>
    <w:rsid w:val="00423E18"/>
    <w:rsid w:val="004245E4"/>
    <w:rsid w:val="00424B7C"/>
    <w:rsid w:val="0042500C"/>
    <w:rsid w:val="00425514"/>
    <w:rsid w:val="004256BD"/>
    <w:rsid w:val="004256E9"/>
    <w:rsid w:val="00425863"/>
    <w:rsid w:val="00425D02"/>
    <w:rsid w:val="00425EDC"/>
    <w:rsid w:val="00426C3E"/>
    <w:rsid w:val="00426CF3"/>
    <w:rsid w:val="00426E85"/>
    <w:rsid w:val="004275CD"/>
    <w:rsid w:val="00427CC6"/>
    <w:rsid w:val="00427E74"/>
    <w:rsid w:val="00427FEB"/>
    <w:rsid w:val="00427FF2"/>
    <w:rsid w:val="004305C0"/>
    <w:rsid w:val="00430B20"/>
    <w:rsid w:val="00430B6C"/>
    <w:rsid w:val="0043227C"/>
    <w:rsid w:val="00432E94"/>
    <w:rsid w:val="004330B1"/>
    <w:rsid w:val="004335C0"/>
    <w:rsid w:val="00433B34"/>
    <w:rsid w:val="00434B9D"/>
    <w:rsid w:val="00435121"/>
    <w:rsid w:val="00435715"/>
    <w:rsid w:val="0043571B"/>
    <w:rsid w:val="00435EE0"/>
    <w:rsid w:val="00435F29"/>
    <w:rsid w:val="0043610C"/>
    <w:rsid w:val="004366FF"/>
    <w:rsid w:val="00437D83"/>
    <w:rsid w:val="004401DD"/>
    <w:rsid w:val="00440344"/>
    <w:rsid w:val="00440790"/>
    <w:rsid w:val="0044083D"/>
    <w:rsid w:val="00441264"/>
    <w:rsid w:val="00441B0F"/>
    <w:rsid w:val="00441F06"/>
    <w:rsid w:val="004425C6"/>
    <w:rsid w:val="00443B33"/>
    <w:rsid w:val="00443D5D"/>
    <w:rsid w:val="004445C6"/>
    <w:rsid w:val="00445CBA"/>
    <w:rsid w:val="004463CB"/>
    <w:rsid w:val="004466F7"/>
    <w:rsid w:val="00446858"/>
    <w:rsid w:val="00447304"/>
    <w:rsid w:val="004476F6"/>
    <w:rsid w:val="00447CDD"/>
    <w:rsid w:val="00450127"/>
    <w:rsid w:val="0045075F"/>
    <w:rsid w:val="0045164B"/>
    <w:rsid w:val="004516AD"/>
    <w:rsid w:val="00451E84"/>
    <w:rsid w:val="00451EA3"/>
    <w:rsid w:val="00451F01"/>
    <w:rsid w:val="004533E2"/>
    <w:rsid w:val="00454660"/>
    <w:rsid w:val="004546A7"/>
    <w:rsid w:val="00454831"/>
    <w:rsid w:val="004548DF"/>
    <w:rsid w:val="00454937"/>
    <w:rsid w:val="00455407"/>
    <w:rsid w:val="00456CC0"/>
    <w:rsid w:val="00457933"/>
    <w:rsid w:val="00457C78"/>
    <w:rsid w:val="0046068D"/>
    <w:rsid w:val="00460735"/>
    <w:rsid w:val="00460AD5"/>
    <w:rsid w:val="00460E4C"/>
    <w:rsid w:val="00460EB8"/>
    <w:rsid w:val="00461090"/>
    <w:rsid w:val="0046112B"/>
    <w:rsid w:val="00461952"/>
    <w:rsid w:val="00461991"/>
    <w:rsid w:val="00461ACB"/>
    <w:rsid w:val="00461C43"/>
    <w:rsid w:val="00462125"/>
    <w:rsid w:val="004631BF"/>
    <w:rsid w:val="00463216"/>
    <w:rsid w:val="0046334D"/>
    <w:rsid w:val="00463911"/>
    <w:rsid w:val="00463C95"/>
    <w:rsid w:val="00463E1C"/>
    <w:rsid w:val="00463EA1"/>
    <w:rsid w:val="00464052"/>
    <w:rsid w:val="00465153"/>
    <w:rsid w:val="00465602"/>
    <w:rsid w:val="004656A4"/>
    <w:rsid w:val="0046616F"/>
    <w:rsid w:val="00466A4A"/>
    <w:rsid w:val="00466AFD"/>
    <w:rsid w:val="00466D18"/>
    <w:rsid w:val="004704DE"/>
    <w:rsid w:val="00470696"/>
    <w:rsid w:val="004713A5"/>
    <w:rsid w:val="0047162F"/>
    <w:rsid w:val="00472177"/>
    <w:rsid w:val="00472234"/>
    <w:rsid w:val="004724C9"/>
    <w:rsid w:val="00472515"/>
    <w:rsid w:val="00472585"/>
    <w:rsid w:val="00474130"/>
    <w:rsid w:val="004746D5"/>
    <w:rsid w:val="00474EDD"/>
    <w:rsid w:val="00475A6C"/>
    <w:rsid w:val="004761F5"/>
    <w:rsid w:val="004764AF"/>
    <w:rsid w:val="00476D04"/>
    <w:rsid w:val="00476F58"/>
    <w:rsid w:val="0047775E"/>
    <w:rsid w:val="00477AAE"/>
    <w:rsid w:val="00477AF6"/>
    <w:rsid w:val="00477B3B"/>
    <w:rsid w:val="00477BCB"/>
    <w:rsid w:val="004801A7"/>
    <w:rsid w:val="00480C45"/>
    <w:rsid w:val="00480E47"/>
    <w:rsid w:val="00481666"/>
    <w:rsid w:val="0048181B"/>
    <w:rsid w:val="00481F2B"/>
    <w:rsid w:val="004820C5"/>
    <w:rsid w:val="00482198"/>
    <w:rsid w:val="004823D8"/>
    <w:rsid w:val="0048252D"/>
    <w:rsid w:val="00482F20"/>
    <w:rsid w:val="00483086"/>
    <w:rsid w:val="00483196"/>
    <w:rsid w:val="0048340F"/>
    <w:rsid w:val="0048423C"/>
    <w:rsid w:val="00484449"/>
    <w:rsid w:val="004850BD"/>
    <w:rsid w:val="004852CE"/>
    <w:rsid w:val="0048540C"/>
    <w:rsid w:val="00485F92"/>
    <w:rsid w:val="004860BD"/>
    <w:rsid w:val="004866E1"/>
    <w:rsid w:val="00486C72"/>
    <w:rsid w:val="00486F9C"/>
    <w:rsid w:val="00487220"/>
    <w:rsid w:val="00487639"/>
    <w:rsid w:val="00487D3A"/>
    <w:rsid w:val="00487F7F"/>
    <w:rsid w:val="00490954"/>
    <w:rsid w:val="00490E7E"/>
    <w:rsid w:val="00490F94"/>
    <w:rsid w:val="0049102F"/>
    <w:rsid w:val="00491754"/>
    <w:rsid w:val="0049277A"/>
    <w:rsid w:val="00492B38"/>
    <w:rsid w:val="00492FE4"/>
    <w:rsid w:val="00493035"/>
    <w:rsid w:val="0049330F"/>
    <w:rsid w:val="00493321"/>
    <w:rsid w:val="004936DE"/>
    <w:rsid w:val="004949B0"/>
    <w:rsid w:val="00494A50"/>
    <w:rsid w:val="00494E6C"/>
    <w:rsid w:val="00494F03"/>
    <w:rsid w:val="0049544E"/>
    <w:rsid w:val="00495670"/>
    <w:rsid w:val="0049567B"/>
    <w:rsid w:val="0049604B"/>
    <w:rsid w:val="00496666"/>
    <w:rsid w:val="00496AC9"/>
    <w:rsid w:val="00496B28"/>
    <w:rsid w:val="00496D27"/>
    <w:rsid w:val="00496DC9"/>
    <w:rsid w:val="004A040E"/>
    <w:rsid w:val="004A042D"/>
    <w:rsid w:val="004A11E0"/>
    <w:rsid w:val="004A18B3"/>
    <w:rsid w:val="004A1953"/>
    <w:rsid w:val="004A1FC5"/>
    <w:rsid w:val="004A2158"/>
    <w:rsid w:val="004A29A5"/>
    <w:rsid w:val="004A3225"/>
    <w:rsid w:val="004A374A"/>
    <w:rsid w:val="004A395B"/>
    <w:rsid w:val="004A3C59"/>
    <w:rsid w:val="004A3FE2"/>
    <w:rsid w:val="004A4195"/>
    <w:rsid w:val="004A480D"/>
    <w:rsid w:val="004A48F4"/>
    <w:rsid w:val="004A4D76"/>
    <w:rsid w:val="004A5212"/>
    <w:rsid w:val="004A5851"/>
    <w:rsid w:val="004A5A91"/>
    <w:rsid w:val="004A5B0F"/>
    <w:rsid w:val="004A5CD2"/>
    <w:rsid w:val="004A5CF1"/>
    <w:rsid w:val="004A66E0"/>
    <w:rsid w:val="004A7AAE"/>
    <w:rsid w:val="004A7D49"/>
    <w:rsid w:val="004A7E52"/>
    <w:rsid w:val="004A7F21"/>
    <w:rsid w:val="004B08DB"/>
    <w:rsid w:val="004B0D73"/>
    <w:rsid w:val="004B1422"/>
    <w:rsid w:val="004B15C5"/>
    <w:rsid w:val="004B176D"/>
    <w:rsid w:val="004B1DF2"/>
    <w:rsid w:val="004B24EB"/>
    <w:rsid w:val="004B2999"/>
    <w:rsid w:val="004B29AC"/>
    <w:rsid w:val="004B322B"/>
    <w:rsid w:val="004B3C8B"/>
    <w:rsid w:val="004B44A9"/>
    <w:rsid w:val="004B4509"/>
    <w:rsid w:val="004B452A"/>
    <w:rsid w:val="004B4871"/>
    <w:rsid w:val="004B4ADF"/>
    <w:rsid w:val="004B4C00"/>
    <w:rsid w:val="004B4E06"/>
    <w:rsid w:val="004B5493"/>
    <w:rsid w:val="004B5914"/>
    <w:rsid w:val="004B6C77"/>
    <w:rsid w:val="004B6CA9"/>
    <w:rsid w:val="004B6D0A"/>
    <w:rsid w:val="004B6DA4"/>
    <w:rsid w:val="004B794C"/>
    <w:rsid w:val="004B7995"/>
    <w:rsid w:val="004C02B3"/>
    <w:rsid w:val="004C098E"/>
    <w:rsid w:val="004C0BBE"/>
    <w:rsid w:val="004C0E2F"/>
    <w:rsid w:val="004C1705"/>
    <w:rsid w:val="004C172A"/>
    <w:rsid w:val="004C222E"/>
    <w:rsid w:val="004C2561"/>
    <w:rsid w:val="004C25B4"/>
    <w:rsid w:val="004C2806"/>
    <w:rsid w:val="004C2F87"/>
    <w:rsid w:val="004C3386"/>
    <w:rsid w:val="004C3A7A"/>
    <w:rsid w:val="004C3ADD"/>
    <w:rsid w:val="004C3CB1"/>
    <w:rsid w:val="004C428E"/>
    <w:rsid w:val="004C441A"/>
    <w:rsid w:val="004C4775"/>
    <w:rsid w:val="004C483D"/>
    <w:rsid w:val="004C48A9"/>
    <w:rsid w:val="004C49B3"/>
    <w:rsid w:val="004C4D05"/>
    <w:rsid w:val="004C4FF6"/>
    <w:rsid w:val="004C590B"/>
    <w:rsid w:val="004C6017"/>
    <w:rsid w:val="004C63C7"/>
    <w:rsid w:val="004C6D39"/>
    <w:rsid w:val="004C6D98"/>
    <w:rsid w:val="004C7217"/>
    <w:rsid w:val="004C7743"/>
    <w:rsid w:val="004C77A7"/>
    <w:rsid w:val="004D039E"/>
    <w:rsid w:val="004D04A3"/>
    <w:rsid w:val="004D0C9F"/>
    <w:rsid w:val="004D15FD"/>
    <w:rsid w:val="004D1A0A"/>
    <w:rsid w:val="004D2369"/>
    <w:rsid w:val="004D2485"/>
    <w:rsid w:val="004D25D5"/>
    <w:rsid w:val="004D3A57"/>
    <w:rsid w:val="004D47FF"/>
    <w:rsid w:val="004D4D35"/>
    <w:rsid w:val="004D518F"/>
    <w:rsid w:val="004D54D7"/>
    <w:rsid w:val="004D5BB7"/>
    <w:rsid w:val="004D6053"/>
    <w:rsid w:val="004D68FE"/>
    <w:rsid w:val="004D6FA4"/>
    <w:rsid w:val="004D7C23"/>
    <w:rsid w:val="004E01C6"/>
    <w:rsid w:val="004E0212"/>
    <w:rsid w:val="004E0ADC"/>
    <w:rsid w:val="004E0C4E"/>
    <w:rsid w:val="004E0FB1"/>
    <w:rsid w:val="004E1043"/>
    <w:rsid w:val="004E14C8"/>
    <w:rsid w:val="004E1DCA"/>
    <w:rsid w:val="004E1E38"/>
    <w:rsid w:val="004E21B4"/>
    <w:rsid w:val="004E252B"/>
    <w:rsid w:val="004E2861"/>
    <w:rsid w:val="004E2A85"/>
    <w:rsid w:val="004E3F72"/>
    <w:rsid w:val="004E4A78"/>
    <w:rsid w:val="004E551E"/>
    <w:rsid w:val="004E584D"/>
    <w:rsid w:val="004E58F6"/>
    <w:rsid w:val="004E5E37"/>
    <w:rsid w:val="004E5E4C"/>
    <w:rsid w:val="004E5F79"/>
    <w:rsid w:val="004E623E"/>
    <w:rsid w:val="004E6589"/>
    <w:rsid w:val="004E6CF9"/>
    <w:rsid w:val="004E7152"/>
    <w:rsid w:val="004E734E"/>
    <w:rsid w:val="004E7EC0"/>
    <w:rsid w:val="004E7F48"/>
    <w:rsid w:val="004F014E"/>
    <w:rsid w:val="004F023B"/>
    <w:rsid w:val="004F042D"/>
    <w:rsid w:val="004F0BC6"/>
    <w:rsid w:val="004F1123"/>
    <w:rsid w:val="004F12D3"/>
    <w:rsid w:val="004F1715"/>
    <w:rsid w:val="004F17DA"/>
    <w:rsid w:val="004F2D3C"/>
    <w:rsid w:val="004F355B"/>
    <w:rsid w:val="004F3BD2"/>
    <w:rsid w:val="004F4372"/>
    <w:rsid w:val="004F43E0"/>
    <w:rsid w:val="004F45EB"/>
    <w:rsid w:val="004F5079"/>
    <w:rsid w:val="004F521B"/>
    <w:rsid w:val="004F52BB"/>
    <w:rsid w:val="004F5582"/>
    <w:rsid w:val="004F56B1"/>
    <w:rsid w:val="004F59B8"/>
    <w:rsid w:val="004F62A7"/>
    <w:rsid w:val="004F62F9"/>
    <w:rsid w:val="004F66B3"/>
    <w:rsid w:val="004F6A72"/>
    <w:rsid w:val="004F6FA7"/>
    <w:rsid w:val="004F72D2"/>
    <w:rsid w:val="004F72DA"/>
    <w:rsid w:val="004F7352"/>
    <w:rsid w:val="004F7889"/>
    <w:rsid w:val="0050015C"/>
    <w:rsid w:val="00500418"/>
    <w:rsid w:val="00500CCF"/>
    <w:rsid w:val="00500E62"/>
    <w:rsid w:val="005010DE"/>
    <w:rsid w:val="005011FD"/>
    <w:rsid w:val="0050164B"/>
    <w:rsid w:val="00501AA5"/>
    <w:rsid w:val="00502958"/>
    <w:rsid w:val="00502BD2"/>
    <w:rsid w:val="00502DA4"/>
    <w:rsid w:val="00503790"/>
    <w:rsid w:val="005038F3"/>
    <w:rsid w:val="00503F83"/>
    <w:rsid w:val="0050421C"/>
    <w:rsid w:val="005048FF"/>
    <w:rsid w:val="00504A9B"/>
    <w:rsid w:val="00504E9A"/>
    <w:rsid w:val="00504F83"/>
    <w:rsid w:val="0050518F"/>
    <w:rsid w:val="005059B9"/>
    <w:rsid w:val="00505F64"/>
    <w:rsid w:val="00506DCD"/>
    <w:rsid w:val="00507325"/>
    <w:rsid w:val="00507583"/>
    <w:rsid w:val="00507C56"/>
    <w:rsid w:val="00507F13"/>
    <w:rsid w:val="005109D4"/>
    <w:rsid w:val="00510CF4"/>
    <w:rsid w:val="0051160A"/>
    <w:rsid w:val="005118BA"/>
    <w:rsid w:val="00511C56"/>
    <w:rsid w:val="00512385"/>
    <w:rsid w:val="005128B7"/>
    <w:rsid w:val="00512A4D"/>
    <w:rsid w:val="00512D87"/>
    <w:rsid w:val="005130DA"/>
    <w:rsid w:val="00513DDA"/>
    <w:rsid w:val="00513E19"/>
    <w:rsid w:val="005148B4"/>
    <w:rsid w:val="00514B29"/>
    <w:rsid w:val="00514E8C"/>
    <w:rsid w:val="005152B1"/>
    <w:rsid w:val="005152F0"/>
    <w:rsid w:val="0051532D"/>
    <w:rsid w:val="00515856"/>
    <w:rsid w:val="00515FD2"/>
    <w:rsid w:val="005163E6"/>
    <w:rsid w:val="00516D23"/>
    <w:rsid w:val="005172EC"/>
    <w:rsid w:val="0051740D"/>
    <w:rsid w:val="005178CE"/>
    <w:rsid w:val="00517CA0"/>
    <w:rsid w:val="00521356"/>
    <w:rsid w:val="00521583"/>
    <w:rsid w:val="00521CAB"/>
    <w:rsid w:val="00521DFB"/>
    <w:rsid w:val="005224EF"/>
    <w:rsid w:val="00522654"/>
    <w:rsid w:val="00522835"/>
    <w:rsid w:val="0052293D"/>
    <w:rsid w:val="00522AF4"/>
    <w:rsid w:val="00523499"/>
    <w:rsid w:val="00523BC7"/>
    <w:rsid w:val="00523C08"/>
    <w:rsid w:val="00523C10"/>
    <w:rsid w:val="00523E23"/>
    <w:rsid w:val="005241C4"/>
    <w:rsid w:val="005242F0"/>
    <w:rsid w:val="005242FF"/>
    <w:rsid w:val="005245D5"/>
    <w:rsid w:val="005247FE"/>
    <w:rsid w:val="00524889"/>
    <w:rsid w:val="0052575D"/>
    <w:rsid w:val="0052582C"/>
    <w:rsid w:val="005259FC"/>
    <w:rsid w:val="00525A0E"/>
    <w:rsid w:val="00525A53"/>
    <w:rsid w:val="00525DDA"/>
    <w:rsid w:val="005260F1"/>
    <w:rsid w:val="00526569"/>
    <w:rsid w:val="00526726"/>
    <w:rsid w:val="00526DB5"/>
    <w:rsid w:val="00526F91"/>
    <w:rsid w:val="00527256"/>
    <w:rsid w:val="00527934"/>
    <w:rsid w:val="00527B57"/>
    <w:rsid w:val="00527C8D"/>
    <w:rsid w:val="00527C9C"/>
    <w:rsid w:val="00530217"/>
    <w:rsid w:val="00530AC4"/>
    <w:rsid w:val="00530B2C"/>
    <w:rsid w:val="00531F7B"/>
    <w:rsid w:val="00532064"/>
    <w:rsid w:val="0053268A"/>
    <w:rsid w:val="0053309E"/>
    <w:rsid w:val="00533169"/>
    <w:rsid w:val="00533194"/>
    <w:rsid w:val="005332C8"/>
    <w:rsid w:val="00534021"/>
    <w:rsid w:val="0053464E"/>
    <w:rsid w:val="00534CBD"/>
    <w:rsid w:val="005352C8"/>
    <w:rsid w:val="005354C1"/>
    <w:rsid w:val="00535CAE"/>
    <w:rsid w:val="00535F99"/>
    <w:rsid w:val="005361DE"/>
    <w:rsid w:val="005362E9"/>
    <w:rsid w:val="00536356"/>
    <w:rsid w:val="00536C03"/>
    <w:rsid w:val="00536CBB"/>
    <w:rsid w:val="00536DDD"/>
    <w:rsid w:val="00537033"/>
    <w:rsid w:val="00540A37"/>
    <w:rsid w:val="00540B49"/>
    <w:rsid w:val="005418DB"/>
    <w:rsid w:val="0054230B"/>
    <w:rsid w:val="005426B9"/>
    <w:rsid w:val="005434EA"/>
    <w:rsid w:val="00544ABA"/>
    <w:rsid w:val="00545D55"/>
    <w:rsid w:val="005461AB"/>
    <w:rsid w:val="00546C6A"/>
    <w:rsid w:val="00546FBA"/>
    <w:rsid w:val="00547F04"/>
    <w:rsid w:val="00550924"/>
    <w:rsid w:val="00550D63"/>
    <w:rsid w:val="00550EF1"/>
    <w:rsid w:val="00551075"/>
    <w:rsid w:val="005513C8"/>
    <w:rsid w:val="0055236E"/>
    <w:rsid w:val="0055352C"/>
    <w:rsid w:val="005538A6"/>
    <w:rsid w:val="00554F94"/>
    <w:rsid w:val="00555016"/>
    <w:rsid w:val="00555161"/>
    <w:rsid w:val="00555A59"/>
    <w:rsid w:val="00555DE6"/>
    <w:rsid w:val="00555EB3"/>
    <w:rsid w:val="005567F6"/>
    <w:rsid w:val="00556E29"/>
    <w:rsid w:val="00557474"/>
    <w:rsid w:val="00557C6F"/>
    <w:rsid w:val="00557DAA"/>
    <w:rsid w:val="00557DAD"/>
    <w:rsid w:val="005604AD"/>
    <w:rsid w:val="005607F0"/>
    <w:rsid w:val="00561138"/>
    <w:rsid w:val="00561699"/>
    <w:rsid w:val="0056194F"/>
    <w:rsid w:val="005619E1"/>
    <w:rsid w:val="00562629"/>
    <w:rsid w:val="005628FE"/>
    <w:rsid w:val="005629C4"/>
    <w:rsid w:val="0056364B"/>
    <w:rsid w:val="00563D49"/>
    <w:rsid w:val="00564191"/>
    <w:rsid w:val="00564557"/>
    <w:rsid w:val="0056458C"/>
    <w:rsid w:val="00564628"/>
    <w:rsid w:val="005648B9"/>
    <w:rsid w:val="00564A3C"/>
    <w:rsid w:val="00564F82"/>
    <w:rsid w:val="00564FF6"/>
    <w:rsid w:val="005653AF"/>
    <w:rsid w:val="00565501"/>
    <w:rsid w:val="00565755"/>
    <w:rsid w:val="0056601E"/>
    <w:rsid w:val="00566406"/>
    <w:rsid w:val="005664A6"/>
    <w:rsid w:val="00566538"/>
    <w:rsid w:val="005667CE"/>
    <w:rsid w:val="0056725A"/>
    <w:rsid w:val="005672D9"/>
    <w:rsid w:val="0056741F"/>
    <w:rsid w:val="00567647"/>
    <w:rsid w:val="0056781B"/>
    <w:rsid w:val="00567BE2"/>
    <w:rsid w:val="00570102"/>
    <w:rsid w:val="00570505"/>
    <w:rsid w:val="0057106A"/>
    <w:rsid w:val="005712E6"/>
    <w:rsid w:val="00571F80"/>
    <w:rsid w:val="00572942"/>
    <w:rsid w:val="005730DB"/>
    <w:rsid w:val="00573251"/>
    <w:rsid w:val="005733A8"/>
    <w:rsid w:val="005734F9"/>
    <w:rsid w:val="00573B5B"/>
    <w:rsid w:val="00573F55"/>
    <w:rsid w:val="00574070"/>
    <w:rsid w:val="00574FD2"/>
    <w:rsid w:val="00575148"/>
    <w:rsid w:val="0057540E"/>
    <w:rsid w:val="005757B6"/>
    <w:rsid w:val="005761E2"/>
    <w:rsid w:val="0058000F"/>
    <w:rsid w:val="00580557"/>
    <w:rsid w:val="0058074F"/>
    <w:rsid w:val="00580A76"/>
    <w:rsid w:val="00581042"/>
    <w:rsid w:val="005816AE"/>
    <w:rsid w:val="00581703"/>
    <w:rsid w:val="00581B15"/>
    <w:rsid w:val="005821DD"/>
    <w:rsid w:val="00583908"/>
    <w:rsid w:val="00583C9C"/>
    <w:rsid w:val="0058434A"/>
    <w:rsid w:val="00584757"/>
    <w:rsid w:val="00584E21"/>
    <w:rsid w:val="0058608B"/>
    <w:rsid w:val="005863C1"/>
    <w:rsid w:val="0058654D"/>
    <w:rsid w:val="00586786"/>
    <w:rsid w:val="00587729"/>
    <w:rsid w:val="00587886"/>
    <w:rsid w:val="00587A66"/>
    <w:rsid w:val="00590147"/>
    <w:rsid w:val="00590528"/>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3E3F"/>
    <w:rsid w:val="005941E1"/>
    <w:rsid w:val="005943E2"/>
    <w:rsid w:val="005946E1"/>
    <w:rsid w:val="00594B8A"/>
    <w:rsid w:val="00595009"/>
    <w:rsid w:val="005954B7"/>
    <w:rsid w:val="00595A05"/>
    <w:rsid w:val="00595F17"/>
    <w:rsid w:val="00595F3D"/>
    <w:rsid w:val="00595F89"/>
    <w:rsid w:val="005960C7"/>
    <w:rsid w:val="005963FB"/>
    <w:rsid w:val="00596873"/>
    <w:rsid w:val="00596B85"/>
    <w:rsid w:val="00596BB3"/>
    <w:rsid w:val="00596BD4"/>
    <w:rsid w:val="00596FA8"/>
    <w:rsid w:val="005971A7"/>
    <w:rsid w:val="00597310"/>
    <w:rsid w:val="005977AB"/>
    <w:rsid w:val="005A01C5"/>
    <w:rsid w:val="005A0532"/>
    <w:rsid w:val="005A071C"/>
    <w:rsid w:val="005A07E7"/>
    <w:rsid w:val="005A0A26"/>
    <w:rsid w:val="005A0A57"/>
    <w:rsid w:val="005A0B9F"/>
    <w:rsid w:val="005A0DBB"/>
    <w:rsid w:val="005A0EBD"/>
    <w:rsid w:val="005A1270"/>
    <w:rsid w:val="005A1295"/>
    <w:rsid w:val="005A1370"/>
    <w:rsid w:val="005A1711"/>
    <w:rsid w:val="005A1F08"/>
    <w:rsid w:val="005A1FBF"/>
    <w:rsid w:val="005A1FD5"/>
    <w:rsid w:val="005A24B2"/>
    <w:rsid w:val="005A29B1"/>
    <w:rsid w:val="005A2EBF"/>
    <w:rsid w:val="005A3750"/>
    <w:rsid w:val="005A380B"/>
    <w:rsid w:val="005A4890"/>
    <w:rsid w:val="005A49D4"/>
    <w:rsid w:val="005A4D7C"/>
    <w:rsid w:val="005A5132"/>
    <w:rsid w:val="005A51C9"/>
    <w:rsid w:val="005A5A96"/>
    <w:rsid w:val="005A5D78"/>
    <w:rsid w:val="005A5D7F"/>
    <w:rsid w:val="005A5DC0"/>
    <w:rsid w:val="005A65C3"/>
    <w:rsid w:val="005A6B6D"/>
    <w:rsid w:val="005A6ED5"/>
    <w:rsid w:val="005A6F0E"/>
    <w:rsid w:val="005A6F57"/>
    <w:rsid w:val="005A7213"/>
    <w:rsid w:val="005A7235"/>
    <w:rsid w:val="005A795B"/>
    <w:rsid w:val="005A7BAF"/>
    <w:rsid w:val="005B05FA"/>
    <w:rsid w:val="005B0652"/>
    <w:rsid w:val="005B1213"/>
    <w:rsid w:val="005B1B55"/>
    <w:rsid w:val="005B1DBD"/>
    <w:rsid w:val="005B26B0"/>
    <w:rsid w:val="005B3EBD"/>
    <w:rsid w:val="005B3F0C"/>
    <w:rsid w:val="005B48E8"/>
    <w:rsid w:val="005B4E38"/>
    <w:rsid w:val="005B564F"/>
    <w:rsid w:val="005B56D9"/>
    <w:rsid w:val="005B5BA3"/>
    <w:rsid w:val="005B5E62"/>
    <w:rsid w:val="005B6BE5"/>
    <w:rsid w:val="005B6DBE"/>
    <w:rsid w:val="005B746E"/>
    <w:rsid w:val="005B787D"/>
    <w:rsid w:val="005B7E97"/>
    <w:rsid w:val="005B7F46"/>
    <w:rsid w:val="005C059E"/>
    <w:rsid w:val="005C060F"/>
    <w:rsid w:val="005C07D2"/>
    <w:rsid w:val="005C09A7"/>
    <w:rsid w:val="005C0EA8"/>
    <w:rsid w:val="005C0FE5"/>
    <w:rsid w:val="005C102D"/>
    <w:rsid w:val="005C132C"/>
    <w:rsid w:val="005C17FB"/>
    <w:rsid w:val="005C1833"/>
    <w:rsid w:val="005C1838"/>
    <w:rsid w:val="005C18C2"/>
    <w:rsid w:val="005C1E72"/>
    <w:rsid w:val="005C2063"/>
    <w:rsid w:val="005C2384"/>
    <w:rsid w:val="005C244F"/>
    <w:rsid w:val="005C2767"/>
    <w:rsid w:val="005C2922"/>
    <w:rsid w:val="005C2C01"/>
    <w:rsid w:val="005C2F60"/>
    <w:rsid w:val="005C323D"/>
    <w:rsid w:val="005C3772"/>
    <w:rsid w:val="005C39C3"/>
    <w:rsid w:val="005C4229"/>
    <w:rsid w:val="005C4580"/>
    <w:rsid w:val="005C5065"/>
    <w:rsid w:val="005C52F3"/>
    <w:rsid w:val="005C564C"/>
    <w:rsid w:val="005C6234"/>
    <w:rsid w:val="005C64DC"/>
    <w:rsid w:val="005C6605"/>
    <w:rsid w:val="005C6CCB"/>
    <w:rsid w:val="005C71A0"/>
    <w:rsid w:val="005C7461"/>
    <w:rsid w:val="005C7802"/>
    <w:rsid w:val="005C7B50"/>
    <w:rsid w:val="005D029E"/>
    <w:rsid w:val="005D0427"/>
    <w:rsid w:val="005D0776"/>
    <w:rsid w:val="005D07AE"/>
    <w:rsid w:val="005D08FD"/>
    <w:rsid w:val="005D0C83"/>
    <w:rsid w:val="005D113B"/>
    <w:rsid w:val="005D1732"/>
    <w:rsid w:val="005D19C7"/>
    <w:rsid w:val="005D2D9A"/>
    <w:rsid w:val="005D31C2"/>
    <w:rsid w:val="005D3A6E"/>
    <w:rsid w:val="005D3B21"/>
    <w:rsid w:val="005D4019"/>
    <w:rsid w:val="005D4050"/>
    <w:rsid w:val="005D41DC"/>
    <w:rsid w:val="005D460F"/>
    <w:rsid w:val="005D4DC5"/>
    <w:rsid w:val="005D5442"/>
    <w:rsid w:val="005D5C22"/>
    <w:rsid w:val="005D5E6C"/>
    <w:rsid w:val="005D63A9"/>
    <w:rsid w:val="005D65AF"/>
    <w:rsid w:val="005D65D5"/>
    <w:rsid w:val="005D6AD4"/>
    <w:rsid w:val="005D6C56"/>
    <w:rsid w:val="005D6CED"/>
    <w:rsid w:val="005D6F49"/>
    <w:rsid w:val="005D7E8A"/>
    <w:rsid w:val="005E0687"/>
    <w:rsid w:val="005E06FA"/>
    <w:rsid w:val="005E07F6"/>
    <w:rsid w:val="005E11A5"/>
    <w:rsid w:val="005E13D4"/>
    <w:rsid w:val="005E1435"/>
    <w:rsid w:val="005E21F3"/>
    <w:rsid w:val="005E235C"/>
    <w:rsid w:val="005E2703"/>
    <w:rsid w:val="005E2DA0"/>
    <w:rsid w:val="005E3078"/>
    <w:rsid w:val="005E34C0"/>
    <w:rsid w:val="005E45F3"/>
    <w:rsid w:val="005E4757"/>
    <w:rsid w:val="005E4785"/>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A62"/>
    <w:rsid w:val="005F0FA8"/>
    <w:rsid w:val="005F1C5D"/>
    <w:rsid w:val="005F2317"/>
    <w:rsid w:val="005F2550"/>
    <w:rsid w:val="005F2B2D"/>
    <w:rsid w:val="005F2FD5"/>
    <w:rsid w:val="005F340A"/>
    <w:rsid w:val="005F359B"/>
    <w:rsid w:val="005F3869"/>
    <w:rsid w:val="005F3AE8"/>
    <w:rsid w:val="005F3B09"/>
    <w:rsid w:val="005F3B47"/>
    <w:rsid w:val="005F3E80"/>
    <w:rsid w:val="005F42B2"/>
    <w:rsid w:val="005F47C1"/>
    <w:rsid w:val="005F4926"/>
    <w:rsid w:val="005F4B6F"/>
    <w:rsid w:val="005F5009"/>
    <w:rsid w:val="005F5054"/>
    <w:rsid w:val="005F530F"/>
    <w:rsid w:val="005F5D2A"/>
    <w:rsid w:val="005F5FE6"/>
    <w:rsid w:val="005F65D9"/>
    <w:rsid w:val="005F6768"/>
    <w:rsid w:val="005F69CF"/>
    <w:rsid w:val="005F6E39"/>
    <w:rsid w:val="005F6E58"/>
    <w:rsid w:val="005F7031"/>
    <w:rsid w:val="005F704C"/>
    <w:rsid w:val="005F7A22"/>
    <w:rsid w:val="005F7B9D"/>
    <w:rsid w:val="00600501"/>
    <w:rsid w:val="00600B0C"/>
    <w:rsid w:val="00602DFA"/>
    <w:rsid w:val="006031D1"/>
    <w:rsid w:val="006033BF"/>
    <w:rsid w:val="00603702"/>
    <w:rsid w:val="00603B4B"/>
    <w:rsid w:val="00603F20"/>
    <w:rsid w:val="006046A9"/>
    <w:rsid w:val="0060471B"/>
    <w:rsid w:val="00604F37"/>
    <w:rsid w:val="0060508A"/>
    <w:rsid w:val="006055AF"/>
    <w:rsid w:val="00605942"/>
    <w:rsid w:val="00605C9F"/>
    <w:rsid w:val="00605F43"/>
    <w:rsid w:val="00605F95"/>
    <w:rsid w:val="006068E8"/>
    <w:rsid w:val="00606ADB"/>
    <w:rsid w:val="006072DE"/>
    <w:rsid w:val="006075F4"/>
    <w:rsid w:val="006078A8"/>
    <w:rsid w:val="00607A07"/>
    <w:rsid w:val="00607BAD"/>
    <w:rsid w:val="00607EC7"/>
    <w:rsid w:val="006102BC"/>
    <w:rsid w:val="0061048A"/>
    <w:rsid w:val="00610AE7"/>
    <w:rsid w:val="00611178"/>
    <w:rsid w:val="0061148D"/>
    <w:rsid w:val="00611D01"/>
    <w:rsid w:val="006122EC"/>
    <w:rsid w:val="006124B3"/>
    <w:rsid w:val="00612611"/>
    <w:rsid w:val="0061279A"/>
    <w:rsid w:val="00612A10"/>
    <w:rsid w:val="00613009"/>
    <w:rsid w:val="006132EA"/>
    <w:rsid w:val="00613481"/>
    <w:rsid w:val="006134F0"/>
    <w:rsid w:val="00613BB0"/>
    <w:rsid w:val="00613CA5"/>
    <w:rsid w:val="0061401C"/>
    <w:rsid w:val="0061420B"/>
    <w:rsid w:val="00614A59"/>
    <w:rsid w:val="00614BD4"/>
    <w:rsid w:val="00614D33"/>
    <w:rsid w:val="00614E7E"/>
    <w:rsid w:val="0061537D"/>
    <w:rsid w:val="0061537F"/>
    <w:rsid w:val="006156D7"/>
    <w:rsid w:val="00615CF1"/>
    <w:rsid w:val="00615DEA"/>
    <w:rsid w:val="006165A4"/>
    <w:rsid w:val="00616A60"/>
    <w:rsid w:val="00616D0C"/>
    <w:rsid w:val="00616D43"/>
    <w:rsid w:val="00616EE6"/>
    <w:rsid w:val="006171FB"/>
    <w:rsid w:val="00617283"/>
    <w:rsid w:val="0061747F"/>
    <w:rsid w:val="00617A2A"/>
    <w:rsid w:val="006206F3"/>
    <w:rsid w:val="006207F4"/>
    <w:rsid w:val="00620C67"/>
    <w:rsid w:val="00620CD9"/>
    <w:rsid w:val="006214E3"/>
    <w:rsid w:val="00621646"/>
    <w:rsid w:val="00621803"/>
    <w:rsid w:val="00621A34"/>
    <w:rsid w:val="006220F1"/>
    <w:rsid w:val="006222C3"/>
    <w:rsid w:val="00623E46"/>
    <w:rsid w:val="00624604"/>
    <w:rsid w:val="00624A9E"/>
    <w:rsid w:val="00624D2C"/>
    <w:rsid w:val="00624F7F"/>
    <w:rsid w:val="00625142"/>
    <w:rsid w:val="00625145"/>
    <w:rsid w:val="00626768"/>
    <w:rsid w:val="00626F9D"/>
    <w:rsid w:val="00627402"/>
    <w:rsid w:val="00627403"/>
    <w:rsid w:val="00627474"/>
    <w:rsid w:val="00627CEA"/>
    <w:rsid w:val="00627E37"/>
    <w:rsid w:val="00630480"/>
    <w:rsid w:val="0063058E"/>
    <w:rsid w:val="006305F8"/>
    <w:rsid w:val="0063197B"/>
    <w:rsid w:val="006319D0"/>
    <w:rsid w:val="00631DA7"/>
    <w:rsid w:val="006327BB"/>
    <w:rsid w:val="00632B9C"/>
    <w:rsid w:val="00632F18"/>
    <w:rsid w:val="006332D7"/>
    <w:rsid w:val="0063333D"/>
    <w:rsid w:val="00634225"/>
    <w:rsid w:val="00635003"/>
    <w:rsid w:val="006351CE"/>
    <w:rsid w:val="006352FD"/>
    <w:rsid w:val="00635B15"/>
    <w:rsid w:val="00636037"/>
    <w:rsid w:val="00636269"/>
    <w:rsid w:val="006362E1"/>
    <w:rsid w:val="006367DA"/>
    <w:rsid w:val="00636F62"/>
    <w:rsid w:val="006370E1"/>
    <w:rsid w:val="00637382"/>
    <w:rsid w:val="006375B2"/>
    <w:rsid w:val="006375BB"/>
    <w:rsid w:val="006409EE"/>
    <w:rsid w:val="00640BF7"/>
    <w:rsid w:val="00640C5F"/>
    <w:rsid w:val="00640FFF"/>
    <w:rsid w:val="00641761"/>
    <w:rsid w:val="006419AF"/>
    <w:rsid w:val="006425FC"/>
    <w:rsid w:val="00642631"/>
    <w:rsid w:val="00642856"/>
    <w:rsid w:val="00642DF5"/>
    <w:rsid w:val="0064304A"/>
    <w:rsid w:val="0064380B"/>
    <w:rsid w:val="00643A4F"/>
    <w:rsid w:val="00643FF5"/>
    <w:rsid w:val="006441FD"/>
    <w:rsid w:val="00644E5A"/>
    <w:rsid w:val="00644F2C"/>
    <w:rsid w:val="00645065"/>
    <w:rsid w:val="006450DD"/>
    <w:rsid w:val="00645141"/>
    <w:rsid w:val="0064573A"/>
    <w:rsid w:val="00645AEE"/>
    <w:rsid w:val="00645F2F"/>
    <w:rsid w:val="00646428"/>
    <w:rsid w:val="00646AFD"/>
    <w:rsid w:val="0064707F"/>
    <w:rsid w:val="006471E8"/>
    <w:rsid w:val="00647E90"/>
    <w:rsid w:val="00647FA3"/>
    <w:rsid w:val="006500F7"/>
    <w:rsid w:val="00650769"/>
    <w:rsid w:val="0065106D"/>
    <w:rsid w:val="006516B7"/>
    <w:rsid w:val="006518E4"/>
    <w:rsid w:val="006519F4"/>
    <w:rsid w:val="00651FB8"/>
    <w:rsid w:val="00652036"/>
    <w:rsid w:val="0065203F"/>
    <w:rsid w:val="006520D5"/>
    <w:rsid w:val="0065239B"/>
    <w:rsid w:val="00652BA0"/>
    <w:rsid w:val="00653045"/>
    <w:rsid w:val="0065349A"/>
    <w:rsid w:val="00653A25"/>
    <w:rsid w:val="00653D93"/>
    <w:rsid w:val="00653FDA"/>
    <w:rsid w:val="00654079"/>
    <w:rsid w:val="006541A0"/>
    <w:rsid w:val="00654E99"/>
    <w:rsid w:val="00655104"/>
    <w:rsid w:val="0065548F"/>
    <w:rsid w:val="0065552E"/>
    <w:rsid w:val="00655633"/>
    <w:rsid w:val="006557BB"/>
    <w:rsid w:val="006559BB"/>
    <w:rsid w:val="00655D93"/>
    <w:rsid w:val="00655E86"/>
    <w:rsid w:val="00656614"/>
    <w:rsid w:val="00656C4D"/>
    <w:rsid w:val="006577CD"/>
    <w:rsid w:val="00657C69"/>
    <w:rsid w:val="00657CCC"/>
    <w:rsid w:val="00660162"/>
    <w:rsid w:val="0066036D"/>
    <w:rsid w:val="006604FA"/>
    <w:rsid w:val="00660879"/>
    <w:rsid w:val="00660B3F"/>
    <w:rsid w:val="006610B1"/>
    <w:rsid w:val="00661639"/>
    <w:rsid w:val="00661655"/>
    <w:rsid w:val="0066174D"/>
    <w:rsid w:val="006618D9"/>
    <w:rsid w:val="00661E36"/>
    <w:rsid w:val="0066263D"/>
    <w:rsid w:val="0066288A"/>
    <w:rsid w:val="0066318A"/>
    <w:rsid w:val="006631D3"/>
    <w:rsid w:val="00663D0F"/>
    <w:rsid w:val="00664525"/>
    <w:rsid w:val="0066465B"/>
    <w:rsid w:val="00664C81"/>
    <w:rsid w:val="0066521A"/>
    <w:rsid w:val="0066540C"/>
    <w:rsid w:val="006656E2"/>
    <w:rsid w:val="00665877"/>
    <w:rsid w:val="00665EAE"/>
    <w:rsid w:val="00666123"/>
    <w:rsid w:val="006661EA"/>
    <w:rsid w:val="0066655C"/>
    <w:rsid w:val="00666909"/>
    <w:rsid w:val="00666EBC"/>
    <w:rsid w:val="00667189"/>
    <w:rsid w:val="0066749E"/>
    <w:rsid w:val="00667C98"/>
    <w:rsid w:val="00667CCB"/>
    <w:rsid w:val="00667EFD"/>
    <w:rsid w:val="00670475"/>
    <w:rsid w:val="00670725"/>
    <w:rsid w:val="00670B8C"/>
    <w:rsid w:val="00670C4A"/>
    <w:rsid w:val="006712FE"/>
    <w:rsid w:val="00671F3E"/>
    <w:rsid w:val="00672482"/>
    <w:rsid w:val="00672A18"/>
    <w:rsid w:val="006735D0"/>
    <w:rsid w:val="006739E9"/>
    <w:rsid w:val="00674D52"/>
    <w:rsid w:val="00674F93"/>
    <w:rsid w:val="0067546F"/>
    <w:rsid w:val="00676287"/>
    <w:rsid w:val="00676CE4"/>
    <w:rsid w:val="00676EC2"/>
    <w:rsid w:val="00676F61"/>
    <w:rsid w:val="00676FA5"/>
    <w:rsid w:val="006771A4"/>
    <w:rsid w:val="006771AD"/>
    <w:rsid w:val="006774A8"/>
    <w:rsid w:val="00677572"/>
    <w:rsid w:val="00677885"/>
    <w:rsid w:val="00677F2E"/>
    <w:rsid w:val="00681156"/>
    <w:rsid w:val="00681229"/>
    <w:rsid w:val="0068122F"/>
    <w:rsid w:val="00681514"/>
    <w:rsid w:val="0068185E"/>
    <w:rsid w:val="00681BE5"/>
    <w:rsid w:val="00681E30"/>
    <w:rsid w:val="0068379B"/>
    <w:rsid w:val="00683D98"/>
    <w:rsid w:val="00683D99"/>
    <w:rsid w:val="00684079"/>
    <w:rsid w:val="006848EE"/>
    <w:rsid w:val="006860E2"/>
    <w:rsid w:val="0068629B"/>
    <w:rsid w:val="00686425"/>
    <w:rsid w:val="006866F6"/>
    <w:rsid w:val="00686C12"/>
    <w:rsid w:val="00686D75"/>
    <w:rsid w:val="0068736A"/>
    <w:rsid w:val="00687D17"/>
    <w:rsid w:val="00690024"/>
    <w:rsid w:val="006903A4"/>
    <w:rsid w:val="00690CAA"/>
    <w:rsid w:val="00690EFB"/>
    <w:rsid w:val="00690F28"/>
    <w:rsid w:val="0069137B"/>
    <w:rsid w:val="006913EC"/>
    <w:rsid w:val="006914B7"/>
    <w:rsid w:val="00691742"/>
    <w:rsid w:val="00691DEE"/>
    <w:rsid w:val="00692242"/>
    <w:rsid w:val="0069236E"/>
    <w:rsid w:val="00692704"/>
    <w:rsid w:val="00692755"/>
    <w:rsid w:val="00692E67"/>
    <w:rsid w:val="0069381A"/>
    <w:rsid w:val="00693ACF"/>
    <w:rsid w:val="00693EE5"/>
    <w:rsid w:val="00694314"/>
    <w:rsid w:val="006944C5"/>
    <w:rsid w:val="00694B8D"/>
    <w:rsid w:val="00694DC1"/>
    <w:rsid w:val="0069532F"/>
    <w:rsid w:val="0069561C"/>
    <w:rsid w:val="00695634"/>
    <w:rsid w:val="0069600D"/>
    <w:rsid w:val="00696016"/>
    <w:rsid w:val="006963AE"/>
    <w:rsid w:val="0069689C"/>
    <w:rsid w:val="00697053"/>
    <w:rsid w:val="00697CBE"/>
    <w:rsid w:val="006A066A"/>
    <w:rsid w:val="006A06CA"/>
    <w:rsid w:val="006A083E"/>
    <w:rsid w:val="006A0FFD"/>
    <w:rsid w:val="006A1170"/>
    <w:rsid w:val="006A12CA"/>
    <w:rsid w:val="006A14A3"/>
    <w:rsid w:val="006A159D"/>
    <w:rsid w:val="006A18BF"/>
    <w:rsid w:val="006A1F58"/>
    <w:rsid w:val="006A242E"/>
    <w:rsid w:val="006A26AB"/>
    <w:rsid w:val="006A298D"/>
    <w:rsid w:val="006A2F80"/>
    <w:rsid w:val="006A347A"/>
    <w:rsid w:val="006A3A48"/>
    <w:rsid w:val="006A3FD6"/>
    <w:rsid w:val="006A4076"/>
    <w:rsid w:val="006A436F"/>
    <w:rsid w:val="006A4E5B"/>
    <w:rsid w:val="006A5675"/>
    <w:rsid w:val="006A59D8"/>
    <w:rsid w:val="006A6B7B"/>
    <w:rsid w:val="006A78F8"/>
    <w:rsid w:val="006A7C26"/>
    <w:rsid w:val="006A7E27"/>
    <w:rsid w:val="006B010E"/>
    <w:rsid w:val="006B03CA"/>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144"/>
    <w:rsid w:val="006B53DC"/>
    <w:rsid w:val="006B5423"/>
    <w:rsid w:val="006B5855"/>
    <w:rsid w:val="006B5AB2"/>
    <w:rsid w:val="006B5C67"/>
    <w:rsid w:val="006B6B5D"/>
    <w:rsid w:val="006B6BF6"/>
    <w:rsid w:val="006B6C0D"/>
    <w:rsid w:val="006B7657"/>
    <w:rsid w:val="006C11D4"/>
    <w:rsid w:val="006C166D"/>
    <w:rsid w:val="006C1818"/>
    <w:rsid w:val="006C1C4F"/>
    <w:rsid w:val="006C1F8B"/>
    <w:rsid w:val="006C2633"/>
    <w:rsid w:val="006C2721"/>
    <w:rsid w:val="006C2BE5"/>
    <w:rsid w:val="006C377A"/>
    <w:rsid w:val="006C3868"/>
    <w:rsid w:val="006C38FF"/>
    <w:rsid w:val="006C3E6E"/>
    <w:rsid w:val="006C3EEA"/>
    <w:rsid w:val="006C3F92"/>
    <w:rsid w:val="006C43A6"/>
    <w:rsid w:val="006C4A4A"/>
    <w:rsid w:val="006C4E89"/>
    <w:rsid w:val="006C53EB"/>
    <w:rsid w:val="006C5434"/>
    <w:rsid w:val="006C5848"/>
    <w:rsid w:val="006C5D29"/>
    <w:rsid w:val="006C650D"/>
    <w:rsid w:val="006C69A5"/>
    <w:rsid w:val="006C7740"/>
    <w:rsid w:val="006D0389"/>
    <w:rsid w:val="006D0848"/>
    <w:rsid w:val="006D0BA5"/>
    <w:rsid w:val="006D0C15"/>
    <w:rsid w:val="006D0D8B"/>
    <w:rsid w:val="006D0FBF"/>
    <w:rsid w:val="006D10DC"/>
    <w:rsid w:val="006D1586"/>
    <w:rsid w:val="006D19C1"/>
    <w:rsid w:val="006D222C"/>
    <w:rsid w:val="006D2538"/>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AA0"/>
    <w:rsid w:val="006D7F72"/>
    <w:rsid w:val="006E00B7"/>
    <w:rsid w:val="006E0767"/>
    <w:rsid w:val="006E0DCF"/>
    <w:rsid w:val="006E0E5B"/>
    <w:rsid w:val="006E1976"/>
    <w:rsid w:val="006E2562"/>
    <w:rsid w:val="006E3023"/>
    <w:rsid w:val="006E3369"/>
    <w:rsid w:val="006E3C34"/>
    <w:rsid w:val="006E3D12"/>
    <w:rsid w:val="006E449C"/>
    <w:rsid w:val="006E4726"/>
    <w:rsid w:val="006E4E72"/>
    <w:rsid w:val="006E50D0"/>
    <w:rsid w:val="006E5EDA"/>
    <w:rsid w:val="006E663E"/>
    <w:rsid w:val="006E6994"/>
    <w:rsid w:val="006E6EDF"/>
    <w:rsid w:val="006E7A77"/>
    <w:rsid w:val="006E7BA5"/>
    <w:rsid w:val="006E7E85"/>
    <w:rsid w:val="006F01E8"/>
    <w:rsid w:val="006F02D7"/>
    <w:rsid w:val="006F03EC"/>
    <w:rsid w:val="006F059F"/>
    <w:rsid w:val="006F086A"/>
    <w:rsid w:val="006F0EBB"/>
    <w:rsid w:val="006F1E96"/>
    <w:rsid w:val="006F1F7D"/>
    <w:rsid w:val="006F2D24"/>
    <w:rsid w:val="006F3117"/>
    <w:rsid w:val="006F352A"/>
    <w:rsid w:val="006F37A7"/>
    <w:rsid w:val="006F37F7"/>
    <w:rsid w:val="006F3909"/>
    <w:rsid w:val="006F4036"/>
    <w:rsid w:val="006F428E"/>
    <w:rsid w:val="006F48E1"/>
    <w:rsid w:val="006F4FA0"/>
    <w:rsid w:val="006F5096"/>
    <w:rsid w:val="006F5160"/>
    <w:rsid w:val="006F5374"/>
    <w:rsid w:val="006F57D7"/>
    <w:rsid w:val="006F5C15"/>
    <w:rsid w:val="006F60DF"/>
    <w:rsid w:val="006F64DE"/>
    <w:rsid w:val="006F6766"/>
    <w:rsid w:val="006F68C1"/>
    <w:rsid w:val="006F6CE2"/>
    <w:rsid w:val="006F6E10"/>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495F"/>
    <w:rsid w:val="00704B6E"/>
    <w:rsid w:val="00704F73"/>
    <w:rsid w:val="0070508D"/>
    <w:rsid w:val="007050C6"/>
    <w:rsid w:val="0070542E"/>
    <w:rsid w:val="0070604A"/>
    <w:rsid w:val="007060D4"/>
    <w:rsid w:val="0070624C"/>
    <w:rsid w:val="00706451"/>
    <w:rsid w:val="00707E0F"/>
    <w:rsid w:val="0071068A"/>
    <w:rsid w:val="00710E19"/>
    <w:rsid w:val="00710E52"/>
    <w:rsid w:val="0071154B"/>
    <w:rsid w:val="0071174F"/>
    <w:rsid w:val="0071196A"/>
    <w:rsid w:val="00711B11"/>
    <w:rsid w:val="0071219C"/>
    <w:rsid w:val="0071277C"/>
    <w:rsid w:val="007131CF"/>
    <w:rsid w:val="007133C0"/>
    <w:rsid w:val="0071342C"/>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25B"/>
    <w:rsid w:val="00717880"/>
    <w:rsid w:val="00717CA8"/>
    <w:rsid w:val="007202CB"/>
    <w:rsid w:val="007205E7"/>
    <w:rsid w:val="007209C4"/>
    <w:rsid w:val="00720A9F"/>
    <w:rsid w:val="00720E9D"/>
    <w:rsid w:val="007217C8"/>
    <w:rsid w:val="00721E9E"/>
    <w:rsid w:val="007227FE"/>
    <w:rsid w:val="007233C3"/>
    <w:rsid w:val="00723C95"/>
    <w:rsid w:val="00723E9E"/>
    <w:rsid w:val="007244E7"/>
    <w:rsid w:val="00724F31"/>
    <w:rsid w:val="00725034"/>
    <w:rsid w:val="0072505F"/>
    <w:rsid w:val="00725B00"/>
    <w:rsid w:val="0072680C"/>
    <w:rsid w:val="00726B3D"/>
    <w:rsid w:val="00726C64"/>
    <w:rsid w:val="0072733B"/>
    <w:rsid w:val="00727499"/>
    <w:rsid w:val="00730E71"/>
    <w:rsid w:val="0073108F"/>
    <w:rsid w:val="007310B7"/>
    <w:rsid w:val="00731237"/>
    <w:rsid w:val="00731642"/>
    <w:rsid w:val="00731A22"/>
    <w:rsid w:val="0073207E"/>
    <w:rsid w:val="00732523"/>
    <w:rsid w:val="0073254B"/>
    <w:rsid w:val="00732664"/>
    <w:rsid w:val="00732B9E"/>
    <w:rsid w:val="00732BA7"/>
    <w:rsid w:val="0073318D"/>
    <w:rsid w:val="007333EA"/>
    <w:rsid w:val="00733601"/>
    <w:rsid w:val="00733A57"/>
    <w:rsid w:val="00733F36"/>
    <w:rsid w:val="007340CE"/>
    <w:rsid w:val="00734781"/>
    <w:rsid w:val="007349FC"/>
    <w:rsid w:val="00734B6F"/>
    <w:rsid w:val="007351A5"/>
    <w:rsid w:val="00735293"/>
    <w:rsid w:val="00735376"/>
    <w:rsid w:val="00735D05"/>
    <w:rsid w:val="007363EA"/>
    <w:rsid w:val="007363FF"/>
    <w:rsid w:val="0073668E"/>
    <w:rsid w:val="00736A02"/>
    <w:rsid w:val="00736E06"/>
    <w:rsid w:val="00736E37"/>
    <w:rsid w:val="00737286"/>
    <w:rsid w:val="007373DB"/>
    <w:rsid w:val="00737847"/>
    <w:rsid w:val="00737F27"/>
    <w:rsid w:val="00737FD3"/>
    <w:rsid w:val="00740240"/>
    <w:rsid w:val="007407DB"/>
    <w:rsid w:val="00740BFC"/>
    <w:rsid w:val="00740F76"/>
    <w:rsid w:val="00741032"/>
    <w:rsid w:val="00741037"/>
    <w:rsid w:val="00741D3F"/>
    <w:rsid w:val="007422B3"/>
    <w:rsid w:val="007424BF"/>
    <w:rsid w:val="00742FFB"/>
    <w:rsid w:val="007435F1"/>
    <w:rsid w:val="00743BC1"/>
    <w:rsid w:val="00743DDD"/>
    <w:rsid w:val="00744625"/>
    <w:rsid w:val="007446BB"/>
    <w:rsid w:val="00744AF1"/>
    <w:rsid w:val="007454F1"/>
    <w:rsid w:val="00745882"/>
    <w:rsid w:val="007459BC"/>
    <w:rsid w:val="00745A04"/>
    <w:rsid w:val="00745A0F"/>
    <w:rsid w:val="00745DFD"/>
    <w:rsid w:val="00745F2E"/>
    <w:rsid w:val="00745F88"/>
    <w:rsid w:val="00746197"/>
    <w:rsid w:val="0074689C"/>
    <w:rsid w:val="00746AC3"/>
    <w:rsid w:val="00746B3F"/>
    <w:rsid w:val="00747117"/>
    <w:rsid w:val="007479C2"/>
    <w:rsid w:val="00747B0D"/>
    <w:rsid w:val="00751452"/>
    <w:rsid w:val="007521A5"/>
    <w:rsid w:val="00752B03"/>
    <w:rsid w:val="00752E99"/>
    <w:rsid w:val="00753959"/>
    <w:rsid w:val="00753DD6"/>
    <w:rsid w:val="00754A4A"/>
    <w:rsid w:val="00755BCF"/>
    <w:rsid w:val="00755F9F"/>
    <w:rsid w:val="007566FB"/>
    <w:rsid w:val="007567A8"/>
    <w:rsid w:val="00756D6A"/>
    <w:rsid w:val="00757054"/>
    <w:rsid w:val="00757EE2"/>
    <w:rsid w:val="0076043F"/>
    <w:rsid w:val="00760F66"/>
    <w:rsid w:val="007611F8"/>
    <w:rsid w:val="00761200"/>
    <w:rsid w:val="00761931"/>
    <w:rsid w:val="00761BD1"/>
    <w:rsid w:val="007627BA"/>
    <w:rsid w:val="0076291E"/>
    <w:rsid w:val="00762C76"/>
    <w:rsid w:val="00762D81"/>
    <w:rsid w:val="0076317B"/>
    <w:rsid w:val="007643D5"/>
    <w:rsid w:val="00764F2A"/>
    <w:rsid w:val="00765366"/>
    <w:rsid w:val="00765914"/>
    <w:rsid w:val="00765AC2"/>
    <w:rsid w:val="0076614D"/>
    <w:rsid w:val="0076624C"/>
    <w:rsid w:val="0076627D"/>
    <w:rsid w:val="00766304"/>
    <w:rsid w:val="0076691C"/>
    <w:rsid w:val="00767A28"/>
    <w:rsid w:val="00767DD2"/>
    <w:rsid w:val="00770264"/>
    <w:rsid w:val="0077082B"/>
    <w:rsid w:val="00770E60"/>
    <w:rsid w:val="007710CB"/>
    <w:rsid w:val="00771324"/>
    <w:rsid w:val="00771C8F"/>
    <w:rsid w:val="0077266E"/>
    <w:rsid w:val="0077292E"/>
    <w:rsid w:val="007737D4"/>
    <w:rsid w:val="007737D8"/>
    <w:rsid w:val="0077391C"/>
    <w:rsid w:val="00773D24"/>
    <w:rsid w:val="00774387"/>
    <w:rsid w:val="00774576"/>
    <w:rsid w:val="007745DA"/>
    <w:rsid w:val="0077508A"/>
    <w:rsid w:val="00775475"/>
    <w:rsid w:val="00775526"/>
    <w:rsid w:val="00775567"/>
    <w:rsid w:val="00775E0D"/>
    <w:rsid w:val="00776343"/>
    <w:rsid w:val="00776416"/>
    <w:rsid w:val="00776C7B"/>
    <w:rsid w:val="00776CEF"/>
    <w:rsid w:val="007774AE"/>
    <w:rsid w:val="00777E7E"/>
    <w:rsid w:val="00777EFA"/>
    <w:rsid w:val="007804DD"/>
    <w:rsid w:val="00780EC1"/>
    <w:rsid w:val="00780F3B"/>
    <w:rsid w:val="0078115B"/>
    <w:rsid w:val="007816EE"/>
    <w:rsid w:val="0078180C"/>
    <w:rsid w:val="00782071"/>
    <w:rsid w:val="00782783"/>
    <w:rsid w:val="00782946"/>
    <w:rsid w:val="00782E6F"/>
    <w:rsid w:val="00782ECD"/>
    <w:rsid w:val="00782F44"/>
    <w:rsid w:val="007830C6"/>
    <w:rsid w:val="0078363B"/>
    <w:rsid w:val="00783CCF"/>
    <w:rsid w:val="00783F5B"/>
    <w:rsid w:val="007842AE"/>
    <w:rsid w:val="00784609"/>
    <w:rsid w:val="00784720"/>
    <w:rsid w:val="0078481D"/>
    <w:rsid w:val="007859FC"/>
    <w:rsid w:val="00785F1E"/>
    <w:rsid w:val="00785F4C"/>
    <w:rsid w:val="0078609C"/>
    <w:rsid w:val="00786355"/>
    <w:rsid w:val="00786932"/>
    <w:rsid w:val="007872D5"/>
    <w:rsid w:val="00787370"/>
    <w:rsid w:val="007874AE"/>
    <w:rsid w:val="0078750B"/>
    <w:rsid w:val="00787F5E"/>
    <w:rsid w:val="0079024D"/>
    <w:rsid w:val="00790925"/>
    <w:rsid w:val="00790EB4"/>
    <w:rsid w:val="00791069"/>
    <w:rsid w:val="007911B8"/>
    <w:rsid w:val="0079129C"/>
    <w:rsid w:val="007917FF"/>
    <w:rsid w:val="00791DAE"/>
    <w:rsid w:val="007930E8"/>
    <w:rsid w:val="00793A57"/>
    <w:rsid w:val="00793A9C"/>
    <w:rsid w:val="00793F28"/>
    <w:rsid w:val="007944D2"/>
    <w:rsid w:val="00794B19"/>
    <w:rsid w:val="00794FFA"/>
    <w:rsid w:val="00795B8D"/>
    <w:rsid w:val="00795E34"/>
    <w:rsid w:val="00795F0E"/>
    <w:rsid w:val="00796168"/>
    <w:rsid w:val="00796495"/>
    <w:rsid w:val="00797063"/>
    <w:rsid w:val="00797D8F"/>
    <w:rsid w:val="007A0AB7"/>
    <w:rsid w:val="007A0C00"/>
    <w:rsid w:val="007A0E15"/>
    <w:rsid w:val="007A176E"/>
    <w:rsid w:val="007A19BF"/>
    <w:rsid w:val="007A2A69"/>
    <w:rsid w:val="007A2CF1"/>
    <w:rsid w:val="007A384E"/>
    <w:rsid w:val="007A41B5"/>
    <w:rsid w:val="007A4486"/>
    <w:rsid w:val="007A4682"/>
    <w:rsid w:val="007A4F27"/>
    <w:rsid w:val="007A5879"/>
    <w:rsid w:val="007A58A8"/>
    <w:rsid w:val="007A5BDC"/>
    <w:rsid w:val="007A6047"/>
    <w:rsid w:val="007A629D"/>
    <w:rsid w:val="007A6610"/>
    <w:rsid w:val="007A6D51"/>
    <w:rsid w:val="007A6DD3"/>
    <w:rsid w:val="007A6FF3"/>
    <w:rsid w:val="007A7169"/>
    <w:rsid w:val="007A71DC"/>
    <w:rsid w:val="007A7A04"/>
    <w:rsid w:val="007B04FF"/>
    <w:rsid w:val="007B0976"/>
    <w:rsid w:val="007B0CAC"/>
    <w:rsid w:val="007B15F3"/>
    <w:rsid w:val="007B1701"/>
    <w:rsid w:val="007B1C32"/>
    <w:rsid w:val="007B1DBB"/>
    <w:rsid w:val="007B2319"/>
    <w:rsid w:val="007B2FBF"/>
    <w:rsid w:val="007B35FE"/>
    <w:rsid w:val="007B3E13"/>
    <w:rsid w:val="007B4044"/>
    <w:rsid w:val="007B4046"/>
    <w:rsid w:val="007B4300"/>
    <w:rsid w:val="007B4FED"/>
    <w:rsid w:val="007B565C"/>
    <w:rsid w:val="007B595F"/>
    <w:rsid w:val="007B5B7E"/>
    <w:rsid w:val="007B5D75"/>
    <w:rsid w:val="007B5EA7"/>
    <w:rsid w:val="007B6D5E"/>
    <w:rsid w:val="007B7115"/>
    <w:rsid w:val="007B736B"/>
    <w:rsid w:val="007B78AD"/>
    <w:rsid w:val="007B79BE"/>
    <w:rsid w:val="007B7AE1"/>
    <w:rsid w:val="007C012E"/>
    <w:rsid w:val="007C055A"/>
    <w:rsid w:val="007C0853"/>
    <w:rsid w:val="007C0C90"/>
    <w:rsid w:val="007C0E07"/>
    <w:rsid w:val="007C0E86"/>
    <w:rsid w:val="007C192C"/>
    <w:rsid w:val="007C249E"/>
    <w:rsid w:val="007C26CF"/>
    <w:rsid w:val="007C271B"/>
    <w:rsid w:val="007C2C14"/>
    <w:rsid w:val="007C39F1"/>
    <w:rsid w:val="007C3A55"/>
    <w:rsid w:val="007C404B"/>
    <w:rsid w:val="007C4166"/>
    <w:rsid w:val="007C44E1"/>
    <w:rsid w:val="007C48DD"/>
    <w:rsid w:val="007C4A05"/>
    <w:rsid w:val="007C5711"/>
    <w:rsid w:val="007C57B9"/>
    <w:rsid w:val="007C6325"/>
    <w:rsid w:val="007C73A3"/>
    <w:rsid w:val="007C7975"/>
    <w:rsid w:val="007C7EF5"/>
    <w:rsid w:val="007D06AC"/>
    <w:rsid w:val="007D0741"/>
    <w:rsid w:val="007D0997"/>
    <w:rsid w:val="007D0A53"/>
    <w:rsid w:val="007D0FFC"/>
    <w:rsid w:val="007D1013"/>
    <w:rsid w:val="007D1933"/>
    <w:rsid w:val="007D19EC"/>
    <w:rsid w:val="007D2608"/>
    <w:rsid w:val="007D30C3"/>
    <w:rsid w:val="007D316C"/>
    <w:rsid w:val="007D35AC"/>
    <w:rsid w:val="007D36B1"/>
    <w:rsid w:val="007D36D7"/>
    <w:rsid w:val="007D3BA1"/>
    <w:rsid w:val="007D3EC8"/>
    <w:rsid w:val="007D40AC"/>
    <w:rsid w:val="007D4317"/>
    <w:rsid w:val="007D4C12"/>
    <w:rsid w:val="007D555C"/>
    <w:rsid w:val="007D57E0"/>
    <w:rsid w:val="007D5946"/>
    <w:rsid w:val="007D5962"/>
    <w:rsid w:val="007D5A2B"/>
    <w:rsid w:val="007D6213"/>
    <w:rsid w:val="007D63B2"/>
    <w:rsid w:val="007D651D"/>
    <w:rsid w:val="007D69E5"/>
    <w:rsid w:val="007D6F49"/>
    <w:rsid w:val="007D71B7"/>
    <w:rsid w:val="007D7C66"/>
    <w:rsid w:val="007D7CF3"/>
    <w:rsid w:val="007E0274"/>
    <w:rsid w:val="007E02A7"/>
    <w:rsid w:val="007E0415"/>
    <w:rsid w:val="007E0991"/>
    <w:rsid w:val="007E0AFE"/>
    <w:rsid w:val="007E0B2C"/>
    <w:rsid w:val="007E0BD1"/>
    <w:rsid w:val="007E107F"/>
    <w:rsid w:val="007E2FD7"/>
    <w:rsid w:val="007E310B"/>
    <w:rsid w:val="007E32A5"/>
    <w:rsid w:val="007E38DA"/>
    <w:rsid w:val="007E3D65"/>
    <w:rsid w:val="007E3EE2"/>
    <w:rsid w:val="007E47E7"/>
    <w:rsid w:val="007E4A68"/>
    <w:rsid w:val="007E4A98"/>
    <w:rsid w:val="007E4EB6"/>
    <w:rsid w:val="007E5912"/>
    <w:rsid w:val="007E5DD7"/>
    <w:rsid w:val="007E6FB9"/>
    <w:rsid w:val="007E7139"/>
    <w:rsid w:val="007E7366"/>
    <w:rsid w:val="007E7EA1"/>
    <w:rsid w:val="007E7EA4"/>
    <w:rsid w:val="007E7EBC"/>
    <w:rsid w:val="007F03CE"/>
    <w:rsid w:val="007F04D3"/>
    <w:rsid w:val="007F0DEE"/>
    <w:rsid w:val="007F137D"/>
    <w:rsid w:val="007F165A"/>
    <w:rsid w:val="007F17B5"/>
    <w:rsid w:val="007F20E8"/>
    <w:rsid w:val="007F245F"/>
    <w:rsid w:val="007F2569"/>
    <w:rsid w:val="007F25D5"/>
    <w:rsid w:val="007F2D8D"/>
    <w:rsid w:val="007F2EBF"/>
    <w:rsid w:val="007F2F23"/>
    <w:rsid w:val="007F3044"/>
    <w:rsid w:val="007F3249"/>
    <w:rsid w:val="007F3448"/>
    <w:rsid w:val="007F3704"/>
    <w:rsid w:val="007F4464"/>
    <w:rsid w:val="007F4657"/>
    <w:rsid w:val="007F482E"/>
    <w:rsid w:val="007F5609"/>
    <w:rsid w:val="007F5625"/>
    <w:rsid w:val="007F568A"/>
    <w:rsid w:val="007F59F7"/>
    <w:rsid w:val="007F5E21"/>
    <w:rsid w:val="007F6413"/>
    <w:rsid w:val="007F6519"/>
    <w:rsid w:val="007F6761"/>
    <w:rsid w:val="007F676E"/>
    <w:rsid w:val="007F6B11"/>
    <w:rsid w:val="007F6E2B"/>
    <w:rsid w:val="007F786F"/>
    <w:rsid w:val="007F7B6C"/>
    <w:rsid w:val="007F7D12"/>
    <w:rsid w:val="007F7EDC"/>
    <w:rsid w:val="007F7F02"/>
    <w:rsid w:val="00800258"/>
    <w:rsid w:val="00800C97"/>
    <w:rsid w:val="0080153D"/>
    <w:rsid w:val="0080220F"/>
    <w:rsid w:val="008026A7"/>
    <w:rsid w:val="00802735"/>
    <w:rsid w:val="008028C2"/>
    <w:rsid w:val="00802DDB"/>
    <w:rsid w:val="0080379D"/>
    <w:rsid w:val="008037D8"/>
    <w:rsid w:val="00803B7E"/>
    <w:rsid w:val="00803DA6"/>
    <w:rsid w:val="008040D9"/>
    <w:rsid w:val="0080436E"/>
    <w:rsid w:val="00804937"/>
    <w:rsid w:val="00804E1E"/>
    <w:rsid w:val="00804E43"/>
    <w:rsid w:val="008050F5"/>
    <w:rsid w:val="0080519C"/>
    <w:rsid w:val="0080553F"/>
    <w:rsid w:val="008059C3"/>
    <w:rsid w:val="00805E48"/>
    <w:rsid w:val="00806E84"/>
    <w:rsid w:val="00807ADD"/>
    <w:rsid w:val="00810BC2"/>
    <w:rsid w:val="00811683"/>
    <w:rsid w:val="00811AFF"/>
    <w:rsid w:val="00812024"/>
    <w:rsid w:val="00812373"/>
    <w:rsid w:val="00812D30"/>
    <w:rsid w:val="00813A4F"/>
    <w:rsid w:val="00813F3A"/>
    <w:rsid w:val="008140E8"/>
    <w:rsid w:val="008146D8"/>
    <w:rsid w:val="008148D4"/>
    <w:rsid w:val="0081491F"/>
    <w:rsid w:val="00814941"/>
    <w:rsid w:val="00814A65"/>
    <w:rsid w:val="00814BD9"/>
    <w:rsid w:val="00814D72"/>
    <w:rsid w:val="008158AC"/>
    <w:rsid w:val="00815D3A"/>
    <w:rsid w:val="00815E41"/>
    <w:rsid w:val="008160DF"/>
    <w:rsid w:val="0081612D"/>
    <w:rsid w:val="00816805"/>
    <w:rsid w:val="00816BE8"/>
    <w:rsid w:val="00816CD5"/>
    <w:rsid w:val="00816DBD"/>
    <w:rsid w:val="00816FE2"/>
    <w:rsid w:val="00817062"/>
    <w:rsid w:val="00817991"/>
    <w:rsid w:val="00817F58"/>
    <w:rsid w:val="008203C5"/>
    <w:rsid w:val="0082045D"/>
    <w:rsid w:val="0082046A"/>
    <w:rsid w:val="00820B20"/>
    <w:rsid w:val="00820B84"/>
    <w:rsid w:val="00820D84"/>
    <w:rsid w:val="0082199B"/>
    <w:rsid w:val="00821C2A"/>
    <w:rsid w:val="008227B7"/>
    <w:rsid w:val="008232F6"/>
    <w:rsid w:val="00823D9C"/>
    <w:rsid w:val="008243A8"/>
    <w:rsid w:val="00824925"/>
    <w:rsid w:val="00824C8B"/>
    <w:rsid w:val="008252E8"/>
    <w:rsid w:val="00825BA8"/>
    <w:rsid w:val="00825C14"/>
    <w:rsid w:val="0082641D"/>
    <w:rsid w:val="008266D7"/>
    <w:rsid w:val="008267CA"/>
    <w:rsid w:val="00826E45"/>
    <w:rsid w:val="008270EE"/>
    <w:rsid w:val="0082722B"/>
    <w:rsid w:val="0082745B"/>
    <w:rsid w:val="00827C1B"/>
    <w:rsid w:val="0083016B"/>
    <w:rsid w:val="008301F1"/>
    <w:rsid w:val="00830C0E"/>
    <w:rsid w:val="008313E0"/>
    <w:rsid w:val="008317EC"/>
    <w:rsid w:val="00831805"/>
    <w:rsid w:val="0083195D"/>
    <w:rsid w:val="00831B7B"/>
    <w:rsid w:val="00831D90"/>
    <w:rsid w:val="008324F3"/>
    <w:rsid w:val="00832691"/>
    <w:rsid w:val="0083296B"/>
    <w:rsid w:val="00832B8A"/>
    <w:rsid w:val="0083300F"/>
    <w:rsid w:val="008331D4"/>
    <w:rsid w:val="00833547"/>
    <w:rsid w:val="008337D3"/>
    <w:rsid w:val="00833852"/>
    <w:rsid w:val="00833AB9"/>
    <w:rsid w:val="00833B62"/>
    <w:rsid w:val="008341FB"/>
    <w:rsid w:val="00834820"/>
    <w:rsid w:val="00834C82"/>
    <w:rsid w:val="00834DB6"/>
    <w:rsid w:val="00834F93"/>
    <w:rsid w:val="00834FA5"/>
    <w:rsid w:val="00835F6D"/>
    <w:rsid w:val="008375DA"/>
    <w:rsid w:val="00840C4A"/>
    <w:rsid w:val="008411B9"/>
    <w:rsid w:val="0084122F"/>
    <w:rsid w:val="00841325"/>
    <w:rsid w:val="00841573"/>
    <w:rsid w:val="00841D08"/>
    <w:rsid w:val="00842606"/>
    <w:rsid w:val="00842D43"/>
    <w:rsid w:val="00842F64"/>
    <w:rsid w:val="00843108"/>
    <w:rsid w:val="0084323E"/>
    <w:rsid w:val="008432A5"/>
    <w:rsid w:val="0084399E"/>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CFF"/>
    <w:rsid w:val="00850DFA"/>
    <w:rsid w:val="00851331"/>
    <w:rsid w:val="008516D1"/>
    <w:rsid w:val="00852003"/>
    <w:rsid w:val="0085212C"/>
    <w:rsid w:val="00852988"/>
    <w:rsid w:val="00852F9E"/>
    <w:rsid w:val="00854053"/>
    <w:rsid w:val="008543AC"/>
    <w:rsid w:val="008548B8"/>
    <w:rsid w:val="00854965"/>
    <w:rsid w:val="00855298"/>
    <w:rsid w:val="008554D1"/>
    <w:rsid w:val="008558E0"/>
    <w:rsid w:val="008569E0"/>
    <w:rsid w:val="008572BA"/>
    <w:rsid w:val="00857AF7"/>
    <w:rsid w:val="00857BE5"/>
    <w:rsid w:val="00860109"/>
    <w:rsid w:val="008601BD"/>
    <w:rsid w:val="00860359"/>
    <w:rsid w:val="00860E43"/>
    <w:rsid w:val="00861252"/>
    <w:rsid w:val="0086171A"/>
    <w:rsid w:val="0086226C"/>
    <w:rsid w:val="00862553"/>
    <w:rsid w:val="00863237"/>
    <w:rsid w:val="00863C07"/>
    <w:rsid w:val="00863E55"/>
    <w:rsid w:val="008640B7"/>
    <w:rsid w:val="008644A4"/>
    <w:rsid w:val="00864A6C"/>
    <w:rsid w:val="00864BB1"/>
    <w:rsid w:val="00864DF7"/>
    <w:rsid w:val="00865278"/>
    <w:rsid w:val="008654F9"/>
    <w:rsid w:val="008658C0"/>
    <w:rsid w:val="008660F7"/>
    <w:rsid w:val="00866388"/>
    <w:rsid w:val="0086644B"/>
    <w:rsid w:val="008664EB"/>
    <w:rsid w:val="0086659D"/>
    <w:rsid w:val="00866FE3"/>
    <w:rsid w:val="0086722D"/>
    <w:rsid w:val="008677FB"/>
    <w:rsid w:val="00867AD8"/>
    <w:rsid w:val="00867D56"/>
    <w:rsid w:val="00867D70"/>
    <w:rsid w:val="00870646"/>
    <w:rsid w:val="008706C3"/>
    <w:rsid w:val="00870BAA"/>
    <w:rsid w:val="00870D91"/>
    <w:rsid w:val="008716D1"/>
    <w:rsid w:val="008716ED"/>
    <w:rsid w:val="008717C8"/>
    <w:rsid w:val="008718AD"/>
    <w:rsid w:val="0087193F"/>
    <w:rsid w:val="00871DFB"/>
    <w:rsid w:val="008724E6"/>
    <w:rsid w:val="008728C8"/>
    <w:rsid w:val="0087313D"/>
    <w:rsid w:val="00873205"/>
    <w:rsid w:val="00873301"/>
    <w:rsid w:val="008735E8"/>
    <w:rsid w:val="0087377E"/>
    <w:rsid w:val="00874594"/>
    <w:rsid w:val="00874776"/>
    <w:rsid w:val="0087485D"/>
    <w:rsid w:val="0087487C"/>
    <w:rsid w:val="00874A07"/>
    <w:rsid w:val="00874B75"/>
    <w:rsid w:val="00875007"/>
    <w:rsid w:val="008750DB"/>
    <w:rsid w:val="008751B4"/>
    <w:rsid w:val="0087527F"/>
    <w:rsid w:val="0087535E"/>
    <w:rsid w:val="00875370"/>
    <w:rsid w:val="008754B5"/>
    <w:rsid w:val="00875AF3"/>
    <w:rsid w:val="0087646D"/>
    <w:rsid w:val="008765E9"/>
    <w:rsid w:val="00876605"/>
    <w:rsid w:val="00876B13"/>
    <w:rsid w:val="008774FF"/>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3CBF"/>
    <w:rsid w:val="00883FA9"/>
    <w:rsid w:val="008848E9"/>
    <w:rsid w:val="00884FD8"/>
    <w:rsid w:val="00885209"/>
    <w:rsid w:val="00885244"/>
    <w:rsid w:val="00885282"/>
    <w:rsid w:val="008857C7"/>
    <w:rsid w:val="008858B3"/>
    <w:rsid w:val="00885BF6"/>
    <w:rsid w:val="008866CF"/>
    <w:rsid w:val="00886782"/>
    <w:rsid w:val="0088682A"/>
    <w:rsid w:val="008869A1"/>
    <w:rsid w:val="00886B3F"/>
    <w:rsid w:val="0088727A"/>
    <w:rsid w:val="00887964"/>
    <w:rsid w:val="00887B10"/>
    <w:rsid w:val="0089015D"/>
    <w:rsid w:val="0089021A"/>
    <w:rsid w:val="0089022E"/>
    <w:rsid w:val="00890475"/>
    <w:rsid w:val="00890A7C"/>
    <w:rsid w:val="00890D11"/>
    <w:rsid w:val="008910EE"/>
    <w:rsid w:val="00891A26"/>
    <w:rsid w:val="008923F8"/>
    <w:rsid w:val="008928F1"/>
    <w:rsid w:val="00892BBF"/>
    <w:rsid w:val="00892DB5"/>
    <w:rsid w:val="008930AF"/>
    <w:rsid w:val="00893F27"/>
    <w:rsid w:val="008942BD"/>
    <w:rsid w:val="0089478A"/>
    <w:rsid w:val="0089480A"/>
    <w:rsid w:val="00894FE5"/>
    <w:rsid w:val="00895658"/>
    <w:rsid w:val="008956DA"/>
    <w:rsid w:val="00895BA9"/>
    <w:rsid w:val="00895D79"/>
    <w:rsid w:val="0089601B"/>
    <w:rsid w:val="00896348"/>
    <w:rsid w:val="0089647F"/>
    <w:rsid w:val="0089655D"/>
    <w:rsid w:val="00896784"/>
    <w:rsid w:val="00896C56"/>
    <w:rsid w:val="00897051"/>
    <w:rsid w:val="00897824"/>
    <w:rsid w:val="00897BCB"/>
    <w:rsid w:val="00897C07"/>
    <w:rsid w:val="00897DBA"/>
    <w:rsid w:val="008A016F"/>
    <w:rsid w:val="008A0219"/>
    <w:rsid w:val="008A02FA"/>
    <w:rsid w:val="008A06A8"/>
    <w:rsid w:val="008A0E81"/>
    <w:rsid w:val="008A1AAC"/>
    <w:rsid w:val="008A20CA"/>
    <w:rsid w:val="008A239B"/>
    <w:rsid w:val="008A2505"/>
    <w:rsid w:val="008A2956"/>
    <w:rsid w:val="008A2EA1"/>
    <w:rsid w:val="008A2EF6"/>
    <w:rsid w:val="008A3480"/>
    <w:rsid w:val="008A3642"/>
    <w:rsid w:val="008A4F3C"/>
    <w:rsid w:val="008A51AD"/>
    <w:rsid w:val="008A53BA"/>
    <w:rsid w:val="008A551D"/>
    <w:rsid w:val="008A56BA"/>
    <w:rsid w:val="008A570A"/>
    <w:rsid w:val="008A58E4"/>
    <w:rsid w:val="008A58E7"/>
    <w:rsid w:val="008A5C1D"/>
    <w:rsid w:val="008A615A"/>
    <w:rsid w:val="008A6357"/>
    <w:rsid w:val="008A637B"/>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8D"/>
    <w:rsid w:val="008B198D"/>
    <w:rsid w:val="008B2269"/>
    <w:rsid w:val="008B23A8"/>
    <w:rsid w:val="008B29A4"/>
    <w:rsid w:val="008B2BB4"/>
    <w:rsid w:val="008B2C30"/>
    <w:rsid w:val="008B3A74"/>
    <w:rsid w:val="008B3C2B"/>
    <w:rsid w:val="008B3EFE"/>
    <w:rsid w:val="008B4679"/>
    <w:rsid w:val="008B4D00"/>
    <w:rsid w:val="008B4D13"/>
    <w:rsid w:val="008B4E78"/>
    <w:rsid w:val="008B4FE2"/>
    <w:rsid w:val="008B503D"/>
    <w:rsid w:val="008B5179"/>
    <w:rsid w:val="008B61A1"/>
    <w:rsid w:val="008B66D8"/>
    <w:rsid w:val="008B66EE"/>
    <w:rsid w:val="008B6793"/>
    <w:rsid w:val="008B6868"/>
    <w:rsid w:val="008B6E62"/>
    <w:rsid w:val="008B6E87"/>
    <w:rsid w:val="008B75C2"/>
    <w:rsid w:val="008B787A"/>
    <w:rsid w:val="008C0A89"/>
    <w:rsid w:val="008C0AA9"/>
    <w:rsid w:val="008C0E71"/>
    <w:rsid w:val="008C1852"/>
    <w:rsid w:val="008C2CFF"/>
    <w:rsid w:val="008C2E1E"/>
    <w:rsid w:val="008C2E22"/>
    <w:rsid w:val="008C2ED2"/>
    <w:rsid w:val="008C3612"/>
    <w:rsid w:val="008C38FE"/>
    <w:rsid w:val="008C3D4D"/>
    <w:rsid w:val="008C3DB0"/>
    <w:rsid w:val="008C4026"/>
    <w:rsid w:val="008C417E"/>
    <w:rsid w:val="008C4E31"/>
    <w:rsid w:val="008C5B51"/>
    <w:rsid w:val="008C5F0A"/>
    <w:rsid w:val="008C6105"/>
    <w:rsid w:val="008C6124"/>
    <w:rsid w:val="008C6334"/>
    <w:rsid w:val="008C66BD"/>
    <w:rsid w:val="008C68D6"/>
    <w:rsid w:val="008C6968"/>
    <w:rsid w:val="008C742A"/>
    <w:rsid w:val="008C74C7"/>
    <w:rsid w:val="008C7714"/>
    <w:rsid w:val="008C7F4F"/>
    <w:rsid w:val="008D00F3"/>
    <w:rsid w:val="008D0241"/>
    <w:rsid w:val="008D0B34"/>
    <w:rsid w:val="008D0F27"/>
    <w:rsid w:val="008D11A2"/>
    <w:rsid w:val="008D11F0"/>
    <w:rsid w:val="008D15A2"/>
    <w:rsid w:val="008D18CD"/>
    <w:rsid w:val="008D1A16"/>
    <w:rsid w:val="008D1F86"/>
    <w:rsid w:val="008D20E0"/>
    <w:rsid w:val="008D2B6E"/>
    <w:rsid w:val="008D335C"/>
    <w:rsid w:val="008D35B7"/>
    <w:rsid w:val="008D4007"/>
    <w:rsid w:val="008D436A"/>
    <w:rsid w:val="008D49AB"/>
    <w:rsid w:val="008D4C72"/>
    <w:rsid w:val="008D4CF8"/>
    <w:rsid w:val="008D4D6B"/>
    <w:rsid w:val="008D5246"/>
    <w:rsid w:val="008D5291"/>
    <w:rsid w:val="008D5368"/>
    <w:rsid w:val="008D561B"/>
    <w:rsid w:val="008D582B"/>
    <w:rsid w:val="008D5CF9"/>
    <w:rsid w:val="008D5D0A"/>
    <w:rsid w:val="008D6199"/>
    <w:rsid w:val="008D64B9"/>
    <w:rsid w:val="008D6794"/>
    <w:rsid w:val="008D77A6"/>
    <w:rsid w:val="008D7F65"/>
    <w:rsid w:val="008E0178"/>
    <w:rsid w:val="008E02F8"/>
    <w:rsid w:val="008E0557"/>
    <w:rsid w:val="008E12AF"/>
    <w:rsid w:val="008E1311"/>
    <w:rsid w:val="008E1342"/>
    <w:rsid w:val="008E1A49"/>
    <w:rsid w:val="008E1C73"/>
    <w:rsid w:val="008E1DC9"/>
    <w:rsid w:val="008E211C"/>
    <w:rsid w:val="008E23F9"/>
    <w:rsid w:val="008E28EC"/>
    <w:rsid w:val="008E2BB3"/>
    <w:rsid w:val="008E2BC5"/>
    <w:rsid w:val="008E2C79"/>
    <w:rsid w:val="008E3176"/>
    <w:rsid w:val="008E3564"/>
    <w:rsid w:val="008E378C"/>
    <w:rsid w:val="008E3A0B"/>
    <w:rsid w:val="008E3A90"/>
    <w:rsid w:val="008E3AAB"/>
    <w:rsid w:val="008E3F34"/>
    <w:rsid w:val="008E4043"/>
    <w:rsid w:val="008E4520"/>
    <w:rsid w:val="008E4D3D"/>
    <w:rsid w:val="008E54E8"/>
    <w:rsid w:val="008E5740"/>
    <w:rsid w:val="008E5868"/>
    <w:rsid w:val="008E5ADB"/>
    <w:rsid w:val="008E5DC8"/>
    <w:rsid w:val="008E5EAD"/>
    <w:rsid w:val="008E6465"/>
    <w:rsid w:val="008E6AB8"/>
    <w:rsid w:val="008E6C57"/>
    <w:rsid w:val="008E7082"/>
    <w:rsid w:val="008E72AF"/>
    <w:rsid w:val="008F0952"/>
    <w:rsid w:val="008F1154"/>
    <w:rsid w:val="008F1B84"/>
    <w:rsid w:val="008F1B9D"/>
    <w:rsid w:val="008F1DB6"/>
    <w:rsid w:val="008F337C"/>
    <w:rsid w:val="008F33FB"/>
    <w:rsid w:val="008F39C0"/>
    <w:rsid w:val="008F39E4"/>
    <w:rsid w:val="008F3A94"/>
    <w:rsid w:val="008F44F4"/>
    <w:rsid w:val="008F51F0"/>
    <w:rsid w:val="008F57CD"/>
    <w:rsid w:val="008F5960"/>
    <w:rsid w:val="008F5CD0"/>
    <w:rsid w:val="008F629A"/>
    <w:rsid w:val="008F62B4"/>
    <w:rsid w:val="008F667F"/>
    <w:rsid w:val="008F6A9B"/>
    <w:rsid w:val="008F6F03"/>
    <w:rsid w:val="008F7603"/>
    <w:rsid w:val="008F769D"/>
    <w:rsid w:val="008F76B7"/>
    <w:rsid w:val="008F76DC"/>
    <w:rsid w:val="008F793D"/>
    <w:rsid w:val="008F7D2F"/>
    <w:rsid w:val="008F7E68"/>
    <w:rsid w:val="009013C5"/>
    <w:rsid w:val="0090147B"/>
    <w:rsid w:val="00901649"/>
    <w:rsid w:val="00901CBA"/>
    <w:rsid w:val="00901CF1"/>
    <w:rsid w:val="00901DC6"/>
    <w:rsid w:val="009021DC"/>
    <w:rsid w:val="00902240"/>
    <w:rsid w:val="009025E1"/>
    <w:rsid w:val="00902EFD"/>
    <w:rsid w:val="00903026"/>
    <w:rsid w:val="0090357B"/>
    <w:rsid w:val="00903832"/>
    <w:rsid w:val="00903905"/>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68"/>
    <w:rsid w:val="009078BA"/>
    <w:rsid w:val="009079C7"/>
    <w:rsid w:val="009079F7"/>
    <w:rsid w:val="00907B44"/>
    <w:rsid w:val="00907C33"/>
    <w:rsid w:val="00907C8A"/>
    <w:rsid w:val="009108D2"/>
    <w:rsid w:val="00910C20"/>
    <w:rsid w:val="00910FE1"/>
    <w:rsid w:val="0091106A"/>
    <w:rsid w:val="00911C09"/>
    <w:rsid w:val="00911D1C"/>
    <w:rsid w:val="00912F38"/>
    <w:rsid w:val="0091340D"/>
    <w:rsid w:val="00913C58"/>
    <w:rsid w:val="009140B4"/>
    <w:rsid w:val="00914174"/>
    <w:rsid w:val="0091428A"/>
    <w:rsid w:val="009143AF"/>
    <w:rsid w:val="00914733"/>
    <w:rsid w:val="0091495E"/>
    <w:rsid w:val="00914AA5"/>
    <w:rsid w:val="00914EAF"/>
    <w:rsid w:val="00915428"/>
    <w:rsid w:val="00915E20"/>
    <w:rsid w:val="009162DD"/>
    <w:rsid w:val="009163E7"/>
    <w:rsid w:val="0091670A"/>
    <w:rsid w:val="0091671A"/>
    <w:rsid w:val="009169F6"/>
    <w:rsid w:val="0091719D"/>
    <w:rsid w:val="00917903"/>
    <w:rsid w:val="00917BEA"/>
    <w:rsid w:val="00920189"/>
    <w:rsid w:val="00920203"/>
    <w:rsid w:val="00920997"/>
    <w:rsid w:val="00920B1E"/>
    <w:rsid w:val="00920DD5"/>
    <w:rsid w:val="00921161"/>
    <w:rsid w:val="00921228"/>
    <w:rsid w:val="00922492"/>
    <w:rsid w:val="009224EB"/>
    <w:rsid w:val="0092272F"/>
    <w:rsid w:val="00922BE2"/>
    <w:rsid w:val="00922EDE"/>
    <w:rsid w:val="009237D9"/>
    <w:rsid w:val="0092406C"/>
    <w:rsid w:val="00924096"/>
    <w:rsid w:val="009242B9"/>
    <w:rsid w:val="009243BC"/>
    <w:rsid w:val="009244D5"/>
    <w:rsid w:val="00924503"/>
    <w:rsid w:val="00924FFC"/>
    <w:rsid w:val="0092523A"/>
    <w:rsid w:val="009252F1"/>
    <w:rsid w:val="00925588"/>
    <w:rsid w:val="00925733"/>
    <w:rsid w:val="00925AF5"/>
    <w:rsid w:val="00926268"/>
    <w:rsid w:val="009264A2"/>
    <w:rsid w:val="0092715D"/>
    <w:rsid w:val="00927299"/>
    <w:rsid w:val="0092755B"/>
    <w:rsid w:val="009302E9"/>
    <w:rsid w:val="00930632"/>
    <w:rsid w:val="00930850"/>
    <w:rsid w:val="00930AD7"/>
    <w:rsid w:val="009310BC"/>
    <w:rsid w:val="00931AB7"/>
    <w:rsid w:val="00931D3F"/>
    <w:rsid w:val="00931FEE"/>
    <w:rsid w:val="009324C4"/>
    <w:rsid w:val="00932671"/>
    <w:rsid w:val="00932A7A"/>
    <w:rsid w:val="00932BFC"/>
    <w:rsid w:val="00932D26"/>
    <w:rsid w:val="009330BF"/>
    <w:rsid w:val="009333ED"/>
    <w:rsid w:val="00933817"/>
    <w:rsid w:val="009340EB"/>
    <w:rsid w:val="00934510"/>
    <w:rsid w:val="0093476C"/>
    <w:rsid w:val="00935A1E"/>
    <w:rsid w:val="00935AA3"/>
    <w:rsid w:val="00935B7C"/>
    <w:rsid w:val="00935CBC"/>
    <w:rsid w:val="00935E3A"/>
    <w:rsid w:val="00936005"/>
    <w:rsid w:val="0093607C"/>
    <w:rsid w:val="00936164"/>
    <w:rsid w:val="009366EC"/>
    <w:rsid w:val="00940008"/>
    <w:rsid w:val="009401CC"/>
    <w:rsid w:val="00940FFA"/>
    <w:rsid w:val="00941010"/>
    <w:rsid w:val="00941503"/>
    <w:rsid w:val="0094187D"/>
    <w:rsid w:val="009423ED"/>
    <w:rsid w:val="009425E1"/>
    <w:rsid w:val="0094263C"/>
    <w:rsid w:val="00942C90"/>
    <w:rsid w:val="00942F29"/>
    <w:rsid w:val="00942FB6"/>
    <w:rsid w:val="009430E1"/>
    <w:rsid w:val="009434EB"/>
    <w:rsid w:val="00943EA6"/>
    <w:rsid w:val="009443F2"/>
    <w:rsid w:val="009448F2"/>
    <w:rsid w:val="009451E0"/>
    <w:rsid w:val="0094524B"/>
    <w:rsid w:val="009456E3"/>
    <w:rsid w:val="00945759"/>
    <w:rsid w:val="00945925"/>
    <w:rsid w:val="00945A90"/>
    <w:rsid w:val="009466E9"/>
    <w:rsid w:val="00946CB3"/>
    <w:rsid w:val="00946D20"/>
    <w:rsid w:val="00946E51"/>
    <w:rsid w:val="009473F4"/>
    <w:rsid w:val="0094767D"/>
    <w:rsid w:val="00950231"/>
    <w:rsid w:val="00950794"/>
    <w:rsid w:val="009507AA"/>
    <w:rsid w:val="009509EF"/>
    <w:rsid w:val="009511AE"/>
    <w:rsid w:val="009513F5"/>
    <w:rsid w:val="009515CA"/>
    <w:rsid w:val="00951691"/>
    <w:rsid w:val="00951ABF"/>
    <w:rsid w:val="00951FCE"/>
    <w:rsid w:val="009521CC"/>
    <w:rsid w:val="0095226C"/>
    <w:rsid w:val="00952373"/>
    <w:rsid w:val="0095269B"/>
    <w:rsid w:val="00952C05"/>
    <w:rsid w:val="00952D52"/>
    <w:rsid w:val="00954000"/>
    <w:rsid w:val="009540B7"/>
    <w:rsid w:val="009543D0"/>
    <w:rsid w:val="00954AF9"/>
    <w:rsid w:val="00954DAE"/>
    <w:rsid w:val="00955410"/>
    <w:rsid w:val="009558EE"/>
    <w:rsid w:val="009559D5"/>
    <w:rsid w:val="00955C17"/>
    <w:rsid w:val="00955FFA"/>
    <w:rsid w:val="00956170"/>
    <w:rsid w:val="009561F8"/>
    <w:rsid w:val="00956BA1"/>
    <w:rsid w:val="00956D42"/>
    <w:rsid w:val="00956F0F"/>
    <w:rsid w:val="0095727F"/>
    <w:rsid w:val="009572AF"/>
    <w:rsid w:val="00957E41"/>
    <w:rsid w:val="0096016E"/>
    <w:rsid w:val="0096023A"/>
    <w:rsid w:val="009607AB"/>
    <w:rsid w:val="00961154"/>
    <w:rsid w:val="009615DB"/>
    <w:rsid w:val="0096163F"/>
    <w:rsid w:val="00962683"/>
    <w:rsid w:val="00962ADC"/>
    <w:rsid w:val="00962E23"/>
    <w:rsid w:val="009644A8"/>
    <w:rsid w:val="0096487C"/>
    <w:rsid w:val="00964BC2"/>
    <w:rsid w:val="00964D4A"/>
    <w:rsid w:val="00964EAE"/>
    <w:rsid w:val="00965023"/>
    <w:rsid w:val="009650B7"/>
    <w:rsid w:val="0096515D"/>
    <w:rsid w:val="0096554B"/>
    <w:rsid w:val="00965841"/>
    <w:rsid w:val="00966623"/>
    <w:rsid w:val="00966E78"/>
    <w:rsid w:val="00967182"/>
    <w:rsid w:val="009671A1"/>
    <w:rsid w:val="009678DB"/>
    <w:rsid w:val="00967D5F"/>
    <w:rsid w:val="00970728"/>
    <w:rsid w:val="009707C9"/>
    <w:rsid w:val="00971303"/>
    <w:rsid w:val="00971E0B"/>
    <w:rsid w:val="00972101"/>
    <w:rsid w:val="00972285"/>
    <w:rsid w:val="00972FB5"/>
    <w:rsid w:val="00973607"/>
    <w:rsid w:val="009736FE"/>
    <w:rsid w:val="00973988"/>
    <w:rsid w:val="00973B96"/>
    <w:rsid w:val="00973E3C"/>
    <w:rsid w:val="0097401A"/>
    <w:rsid w:val="00974763"/>
    <w:rsid w:val="009757CA"/>
    <w:rsid w:val="00975EAA"/>
    <w:rsid w:val="00976E76"/>
    <w:rsid w:val="00977A14"/>
    <w:rsid w:val="00977E9B"/>
    <w:rsid w:val="009807BF"/>
    <w:rsid w:val="009809CE"/>
    <w:rsid w:val="0098131F"/>
    <w:rsid w:val="00981479"/>
    <w:rsid w:val="00981F74"/>
    <w:rsid w:val="009821E8"/>
    <w:rsid w:val="0098237C"/>
    <w:rsid w:val="009829B3"/>
    <w:rsid w:val="00982C31"/>
    <w:rsid w:val="00982D45"/>
    <w:rsid w:val="00983165"/>
    <w:rsid w:val="00983343"/>
    <w:rsid w:val="009833C4"/>
    <w:rsid w:val="009834E0"/>
    <w:rsid w:val="009838FF"/>
    <w:rsid w:val="00984149"/>
    <w:rsid w:val="00984788"/>
    <w:rsid w:val="00984909"/>
    <w:rsid w:val="00984FF3"/>
    <w:rsid w:val="00984FF9"/>
    <w:rsid w:val="009850C5"/>
    <w:rsid w:val="0098516C"/>
    <w:rsid w:val="00986326"/>
    <w:rsid w:val="00986849"/>
    <w:rsid w:val="00986BB7"/>
    <w:rsid w:val="00986D4B"/>
    <w:rsid w:val="00986ED2"/>
    <w:rsid w:val="00986F6D"/>
    <w:rsid w:val="0098727C"/>
    <w:rsid w:val="00987708"/>
    <w:rsid w:val="009877BF"/>
    <w:rsid w:val="00987DF0"/>
    <w:rsid w:val="00987E2E"/>
    <w:rsid w:val="0099008B"/>
    <w:rsid w:val="00990387"/>
    <w:rsid w:val="0099177B"/>
    <w:rsid w:val="00991B8C"/>
    <w:rsid w:val="0099367E"/>
    <w:rsid w:val="00993DDA"/>
    <w:rsid w:val="00993FE4"/>
    <w:rsid w:val="0099425E"/>
    <w:rsid w:val="00994CDC"/>
    <w:rsid w:val="00995A48"/>
    <w:rsid w:val="009969CD"/>
    <w:rsid w:val="0099770A"/>
    <w:rsid w:val="00997769"/>
    <w:rsid w:val="00997A15"/>
    <w:rsid w:val="00997A2E"/>
    <w:rsid w:val="00997B3C"/>
    <w:rsid w:val="009A048E"/>
    <w:rsid w:val="009A0736"/>
    <w:rsid w:val="009A119F"/>
    <w:rsid w:val="009A1609"/>
    <w:rsid w:val="009A16A3"/>
    <w:rsid w:val="009A18E7"/>
    <w:rsid w:val="009A1A7E"/>
    <w:rsid w:val="009A1EB5"/>
    <w:rsid w:val="009A3480"/>
    <w:rsid w:val="009A3DB8"/>
    <w:rsid w:val="009A3DCC"/>
    <w:rsid w:val="009A43B3"/>
    <w:rsid w:val="009A464D"/>
    <w:rsid w:val="009A496F"/>
    <w:rsid w:val="009A4AE9"/>
    <w:rsid w:val="009A4B78"/>
    <w:rsid w:val="009A4D28"/>
    <w:rsid w:val="009A4D73"/>
    <w:rsid w:val="009A4E41"/>
    <w:rsid w:val="009A5297"/>
    <w:rsid w:val="009A5851"/>
    <w:rsid w:val="009A5C0C"/>
    <w:rsid w:val="009A5D40"/>
    <w:rsid w:val="009A5E10"/>
    <w:rsid w:val="009A6665"/>
    <w:rsid w:val="009A66B3"/>
    <w:rsid w:val="009A743F"/>
    <w:rsid w:val="009A74F7"/>
    <w:rsid w:val="009B00F2"/>
    <w:rsid w:val="009B0E67"/>
    <w:rsid w:val="009B0FB2"/>
    <w:rsid w:val="009B1113"/>
    <w:rsid w:val="009B1761"/>
    <w:rsid w:val="009B1C34"/>
    <w:rsid w:val="009B1D22"/>
    <w:rsid w:val="009B1D4B"/>
    <w:rsid w:val="009B1E86"/>
    <w:rsid w:val="009B2222"/>
    <w:rsid w:val="009B2356"/>
    <w:rsid w:val="009B27C4"/>
    <w:rsid w:val="009B2BE6"/>
    <w:rsid w:val="009B2D92"/>
    <w:rsid w:val="009B31DE"/>
    <w:rsid w:val="009B3250"/>
    <w:rsid w:val="009B35A6"/>
    <w:rsid w:val="009B3A5F"/>
    <w:rsid w:val="009B42A4"/>
    <w:rsid w:val="009B42D2"/>
    <w:rsid w:val="009B44D0"/>
    <w:rsid w:val="009B4A06"/>
    <w:rsid w:val="009B60EA"/>
    <w:rsid w:val="009B63AE"/>
    <w:rsid w:val="009B70C8"/>
    <w:rsid w:val="009B737C"/>
    <w:rsid w:val="009B742E"/>
    <w:rsid w:val="009C0AC6"/>
    <w:rsid w:val="009C11B2"/>
    <w:rsid w:val="009C1456"/>
    <w:rsid w:val="009C1577"/>
    <w:rsid w:val="009C164F"/>
    <w:rsid w:val="009C1C30"/>
    <w:rsid w:val="009C22DD"/>
    <w:rsid w:val="009C29D5"/>
    <w:rsid w:val="009C30A0"/>
    <w:rsid w:val="009C3182"/>
    <w:rsid w:val="009C359E"/>
    <w:rsid w:val="009C37FE"/>
    <w:rsid w:val="009C4082"/>
    <w:rsid w:val="009C4A38"/>
    <w:rsid w:val="009C4A72"/>
    <w:rsid w:val="009C4AD8"/>
    <w:rsid w:val="009C4C29"/>
    <w:rsid w:val="009C4D3D"/>
    <w:rsid w:val="009C5111"/>
    <w:rsid w:val="009C55E2"/>
    <w:rsid w:val="009C5918"/>
    <w:rsid w:val="009C5A4E"/>
    <w:rsid w:val="009C5EE5"/>
    <w:rsid w:val="009C61E3"/>
    <w:rsid w:val="009C6B56"/>
    <w:rsid w:val="009C7DB8"/>
    <w:rsid w:val="009C7FF0"/>
    <w:rsid w:val="009D010D"/>
    <w:rsid w:val="009D0244"/>
    <w:rsid w:val="009D08F9"/>
    <w:rsid w:val="009D0F71"/>
    <w:rsid w:val="009D111C"/>
    <w:rsid w:val="009D137D"/>
    <w:rsid w:val="009D17A0"/>
    <w:rsid w:val="009D1F7A"/>
    <w:rsid w:val="009D2873"/>
    <w:rsid w:val="009D2942"/>
    <w:rsid w:val="009D2BB8"/>
    <w:rsid w:val="009D3562"/>
    <w:rsid w:val="009D3A1A"/>
    <w:rsid w:val="009D426A"/>
    <w:rsid w:val="009D5B2E"/>
    <w:rsid w:val="009D5BDB"/>
    <w:rsid w:val="009D6B03"/>
    <w:rsid w:val="009D6B3D"/>
    <w:rsid w:val="009D7422"/>
    <w:rsid w:val="009D78E7"/>
    <w:rsid w:val="009E022E"/>
    <w:rsid w:val="009E0742"/>
    <w:rsid w:val="009E0B29"/>
    <w:rsid w:val="009E1291"/>
    <w:rsid w:val="009E12BC"/>
    <w:rsid w:val="009E139D"/>
    <w:rsid w:val="009E1A9E"/>
    <w:rsid w:val="009E224D"/>
    <w:rsid w:val="009E26D5"/>
    <w:rsid w:val="009E2A07"/>
    <w:rsid w:val="009E3398"/>
    <w:rsid w:val="009E3577"/>
    <w:rsid w:val="009E37A5"/>
    <w:rsid w:val="009E395B"/>
    <w:rsid w:val="009E3D2B"/>
    <w:rsid w:val="009E3DC2"/>
    <w:rsid w:val="009E3E84"/>
    <w:rsid w:val="009E4053"/>
    <w:rsid w:val="009E4097"/>
    <w:rsid w:val="009E4664"/>
    <w:rsid w:val="009E4D8E"/>
    <w:rsid w:val="009E4E60"/>
    <w:rsid w:val="009E4E90"/>
    <w:rsid w:val="009E4EB7"/>
    <w:rsid w:val="009E57C1"/>
    <w:rsid w:val="009E624A"/>
    <w:rsid w:val="009E6B32"/>
    <w:rsid w:val="009E7039"/>
    <w:rsid w:val="009E70F3"/>
    <w:rsid w:val="009E7AC7"/>
    <w:rsid w:val="009E7E98"/>
    <w:rsid w:val="009F00EE"/>
    <w:rsid w:val="009F0827"/>
    <w:rsid w:val="009F0BED"/>
    <w:rsid w:val="009F1673"/>
    <w:rsid w:val="009F23E6"/>
    <w:rsid w:val="009F3255"/>
    <w:rsid w:val="009F341D"/>
    <w:rsid w:val="009F34AA"/>
    <w:rsid w:val="009F3942"/>
    <w:rsid w:val="009F3D86"/>
    <w:rsid w:val="009F3DCE"/>
    <w:rsid w:val="009F44FF"/>
    <w:rsid w:val="009F46E8"/>
    <w:rsid w:val="009F472D"/>
    <w:rsid w:val="009F4CF0"/>
    <w:rsid w:val="009F4E88"/>
    <w:rsid w:val="009F50D1"/>
    <w:rsid w:val="009F573B"/>
    <w:rsid w:val="009F5918"/>
    <w:rsid w:val="009F596D"/>
    <w:rsid w:val="009F6A91"/>
    <w:rsid w:val="009F71A6"/>
    <w:rsid w:val="009F71AA"/>
    <w:rsid w:val="009F754A"/>
    <w:rsid w:val="009F791F"/>
    <w:rsid w:val="009F7C19"/>
    <w:rsid w:val="009F7F86"/>
    <w:rsid w:val="00A0034D"/>
    <w:rsid w:val="00A00BFB"/>
    <w:rsid w:val="00A00DCF"/>
    <w:rsid w:val="00A01002"/>
    <w:rsid w:val="00A0126C"/>
    <w:rsid w:val="00A012DA"/>
    <w:rsid w:val="00A016E9"/>
    <w:rsid w:val="00A0187E"/>
    <w:rsid w:val="00A023AB"/>
    <w:rsid w:val="00A026F0"/>
    <w:rsid w:val="00A02F2D"/>
    <w:rsid w:val="00A02F61"/>
    <w:rsid w:val="00A03529"/>
    <w:rsid w:val="00A03E0E"/>
    <w:rsid w:val="00A040D1"/>
    <w:rsid w:val="00A044B7"/>
    <w:rsid w:val="00A04A0A"/>
    <w:rsid w:val="00A050A8"/>
    <w:rsid w:val="00A056A3"/>
    <w:rsid w:val="00A059AF"/>
    <w:rsid w:val="00A05B51"/>
    <w:rsid w:val="00A06286"/>
    <w:rsid w:val="00A06318"/>
    <w:rsid w:val="00A063BC"/>
    <w:rsid w:val="00A068E1"/>
    <w:rsid w:val="00A0699F"/>
    <w:rsid w:val="00A06A80"/>
    <w:rsid w:val="00A06D8A"/>
    <w:rsid w:val="00A0711F"/>
    <w:rsid w:val="00A07B0B"/>
    <w:rsid w:val="00A1015D"/>
    <w:rsid w:val="00A102A0"/>
    <w:rsid w:val="00A10860"/>
    <w:rsid w:val="00A114FA"/>
    <w:rsid w:val="00A11867"/>
    <w:rsid w:val="00A11AF3"/>
    <w:rsid w:val="00A12ACF"/>
    <w:rsid w:val="00A12B42"/>
    <w:rsid w:val="00A12B8A"/>
    <w:rsid w:val="00A12BD4"/>
    <w:rsid w:val="00A12C09"/>
    <w:rsid w:val="00A13084"/>
    <w:rsid w:val="00A1327F"/>
    <w:rsid w:val="00A136D0"/>
    <w:rsid w:val="00A13817"/>
    <w:rsid w:val="00A138D3"/>
    <w:rsid w:val="00A139F6"/>
    <w:rsid w:val="00A13E0F"/>
    <w:rsid w:val="00A144B7"/>
    <w:rsid w:val="00A149B4"/>
    <w:rsid w:val="00A152D3"/>
    <w:rsid w:val="00A15F4F"/>
    <w:rsid w:val="00A160AB"/>
    <w:rsid w:val="00A16745"/>
    <w:rsid w:val="00A16747"/>
    <w:rsid w:val="00A17E93"/>
    <w:rsid w:val="00A20013"/>
    <w:rsid w:val="00A2056F"/>
    <w:rsid w:val="00A20582"/>
    <w:rsid w:val="00A20C65"/>
    <w:rsid w:val="00A212A6"/>
    <w:rsid w:val="00A21767"/>
    <w:rsid w:val="00A21826"/>
    <w:rsid w:val="00A21C55"/>
    <w:rsid w:val="00A21FD5"/>
    <w:rsid w:val="00A22729"/>
    <w:rsid w:val="00A22751"/>
    <w:rsid w:val="00A22940"/>
    <w:rsid w:val="00A23102"/>
    <w:rsid w:val="00A233D8"/>
    <w:rsid w:val="00A2343F"/>
    <w:rsid w:val="00A23505"/>
    <w:rsid w:val="00A2389F"/>
    <w:rsid w:val="00A2428B"/>
    <w:rsid w:val="00A247E5"/>
    <w:rsid w:val="00A248BD"/>
    <w:rsid w:val="00A24D81"/>
    <w:rsid w:val="00A24EA5"/>
    <w:rsid w:val="00A25173"/>
    <w:rsid w:val="00A252F0"/>
    <w:rsid w:val="00A2530C"/>
    <w:rsid w:val="00A259F2"/>
    <w:rsid w:val="00A26463"/>
    <w:rsid w:val="00A2660E"/>
    <w:rsid w:val="00A26916"/>
    <w:rsid w:val="00A26B47"/>
    <w:rsid w:val="00A26B5D"/>
    <w:rsid w:val="00A26FF1"/>
    <w:rsid w:val="00A27547"/>
    <w:rsid w:val="00A2770B"/>
    <w:rsid w:val="00A27806"/>
    <w:rsid w:val="00A3068C"/>
    <w:rsid w:val="00A3127F"/>
    <w:rsid w:val="00A315BC"/>
    <w:rsid w:val="00A31922"/>
    <w:rsid w:val="00A31A86"/>
    <w:rsid w:val="00A31BCC"/>
    <w:rsid w:val="00A31C70"/>
    <w:rsid w:val="00A31C87"/>
    <w:rsid w:val="00A325BB"/>
    <w:rsid w:val="00A3297A"/>
    <w:rsid w:val="00A32A58"/>
    <w:rsid w:val="00A32EEC"/>
    <w:rsid w:val="00A336C5"/>
    <w:rsid w:val="00A339D9"/>
    <w:rsid w:val="00A33BD6"/>
    <w:rsid w:val="00A3510A"/>
    <w:rsid w:val="00A3515F"/>
    <w:rsid w:val="00A35751"/>
    <w:rsid w:val="00A3577F"/>
    <w:rsid w:val="00A35BBC"/>
    <w:rsid w:val="00A35DAB"/>
    <w:rsid w:val="00A36696"/>
    <w:rsid w:val="00A36724"/>
    <w:rsid w:val="00A367AF"/>
    <w:rsid w:val="00A36977"/>
    <w:rsid w:val="00A36C13"/>
    <w:rsid w:val="00A377C2"/>
    <w:rsid w:val="00A37A31"/>
    <w:rsid w:val="00A401F1"/>
    <w:rsid w:val="00A40B1F"/>
    <w:rsid w:val="00A40B4D"/>
    <w:rsid w:val="00A40BB0"/>
    <w:rsid w:val="00A411E2"/>
    <w:rsid w:val="00A41373"/>
    <w:rsid w:val="00A41638"/>
    <w:rsid w:val="00A41B15"/>
    <w:rsid w:val="00A41B25"/>
    <w:rsid w:val="00A41C78"/>
    <w:rsid w:val="00A4224E"/>
    <w:rsid w:val="00A4229F"/>
    <w:rsid w:val="00A428A9"/>
    <w:rsid w:val="00A42ACA"/>
    <w:rsid w:val="00A42D18"/>
    <w:rsid w:val="00A4327C"/>
    <w:rsid w:val="00A43496"/>
    <w:rsid w:val="00A43665"/>
    <w:rsid w:val="00A43AAB"/>
    <w:rsid w:val="00A43AFE"/>
    <w:rsid w:val="00A43F6A"/>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9D7"/>
    <w:rsid w:val="00A47E44"/>
    <w:rsid w:val="00A47F91"/>
    <w:rsid w:val="00A507D7"/>
    <w:rsid w:val="00A50A5C"/>
    <w:rsid w:val="00A50B75"/>
    <w:rsid w:val="00A50BE2"/>
    <w:rsid w:val="00A50CC6"/>
    <w:rsid w:val="00A50CCD"/>
    <w:rsid w:val="00A50E40"/>
    <w:rsid w:val="00A51462"/>
    <w:rsid w:val="00A51946"/>
    <w:rsid w:val="00A51FF7"/>
    <w:rsid w:val="00A52079"/>
    <w:rsid w:val="00A52143"/>
    <w:rsid w:val="00A521E9"/>
    <w:rsid w:val="00A526E5"/>
    <w:rsid w:val="00A5298E"/>
    <w:rsid w:val="00A52B3E"/>
    <w:rsid w:val="00A5313B"/>
    <w:rsid w:val="00A5320E"/>
    <w:rsid w:val="00A53F7B"/>
    <w:rsid w:val="00A54090"/>
    <w:rsid w:val="00A541F3"/>
    <w:rsid w:val="00A54282"/>
    <w:rsid w:val="00A549D3"/>
    <w:rsid w:val="00A54C5D"/>
    <w:rsid w:val="00A54DF0"/>
    <w:rsid w:val="00A556BE"/>
    <w:rsid w:val="00A55785"/>
    <w:rsid w:val="00A55C36"/>
    <w:rsid w:val="00A55E02"/>
    <w:rsid w:val="00A57745"/>
    <w:rsid w:val="00A57E98"/>
    <w:rsid w:val="00A60017"/>
    <w:rsid w:val="00A60849"/>
    <w:rsid w:val="00A6105B"/>
    <w:rsid w:val="00A61355"/>
    <w:rsid w:val="00A61668"/>
    <w:rsid w:val="00A621D3"/>
    <w:rsid w:val="00A621F6"/>
    <w:rsid w:val="00A624B3"/>
    <w:rsid w:val="00A628F8"/>
    <w:rsid w:val="00A62B7A"/>
    <w:rsid w:val="00A62CC0"/>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B8B"/>
    <w:rsid w:val="00A66E37"/>
    <w:rsid w:val="00A66ECF"/>
    <w:rsid w:val="00A67681"/>
    <w:rsid w:val="00A67E38"/>
    <w:rsid w:val="00A703E4"/>
    <w:rsid w:val="00A704C9"/>
    <w:rsid w:val="00A707AF"/>
    <w:rsid w:val="00A70DC6"/>
    <w:rsid w:val="00A71080"/>
    <w:rsid w:val="00A71986"/>
    <w:rsid w:val="00A71E3D"/>
    <w:rsid w:val="00A71E73"/>
    <w:rsid w:val="00A72740"/>
    <w:rsid w:val="00A73581"/>
    <w:rsid w:val="00A73A64"/>
    <w:rsid w:val="00A741AA"/>
    <w:rsid w:val="00A742AD"/>
    <w:rsid w:val="00A74425"/>
    <w:rsid w:val="00A746D7"/>
    <w:rsid w:val="00A74AB2"/>
    <w:rsid w:val="00A75A27"/>
    <w:rsid w:val="00A75A46"/>
    <w:rsid w:val="00A75B36"/>
    <w:rsid w:val="00A7623B"/>
    <w:rsid w:val="00A7660A"/>
    <w:rsid w:val="00A7663A"/>
    <w:rsid w:val="00A7696B"/>
    <w:rsid w:val="00A769D4"/>
    <w:rsid w:val="00A8008F"/>
    <w:rsid w:val="00A804C7"/>
    <w:rsid w:val="00A80857"/>
    <w:rsid w:val="00A80A39"/>
    <w:rsid w:val="00A80DF0"/>
    <w:rsid w:val="00A80E64"/>
    <w:rsid w:val="00A81A15"/>
    <w:rsid w:val="00A81A16"/>
    <w:rsid w:val="00A823A7"/>
    <w:rsid w:val="00A824D4"/>
    <w:rsid w:val="00A825C8"/>
    <w:rsid w:val="00A82742"/>
    <w:rsid w:val="00A82A29"/>
    <w:rsid w:val="00A83340"/>
    <w:rsid w:val="00A83984"/>
    <w:rsid w:val="00A83A1E"/>
    <w:rsid w:val="00A84198"/>
    <w:rsid w:val="00A841AB"/>
    <w:rsid w:val="00A84FFD"/>
    <w:rsid w:val="00A86104"/>
    <w:rsid w:val="00A8655A"/>
    <w:rsid w:val="00A87203"/>
    <w:rsid w:val="00A87744"/>
    <w:rsid w:val="00A87AE6"/>
    <w:rsid w:val="00A87B09"/>
    <w:rsid w:val="00A87C22"/>
    <w:rsid w:val="00A90590"/>
    <w:rsid w:val="00A90A97"/>
    <w:rsid w:val="00A90CB4"/>
    <w:rsid w:val="00A910DA"/>
    <w:rsid w:val="00A9162B"/>
    <w:rsid w:val="00A920E1"/>
    <w:rsid w:val="00A92998"/>
    <w:rsid w:val="00A933AE"/>
    <w:rsid w:val="00A93861"/>
    <w:rsid w:val="00A93863"/>
    <w:rsid w:val="00A93928"/>
    <w:rsid w:val="00A93A14"/>
    <w:rsid w:val="00A93F73"/>
    <w:rsid w:val="00A9415E"/>
    <w:rsid w:val="00A9423F"/>
    <w:rsid w:val="00A94EBD"/>
    <w:rsid w:val="00A9510D"/>
    <w:rsid w:val="00A95117"/>
    <w:rsid w:val="00A95580"/>
    <w:rsid w:val="00A956AC"/>
    <w:rsid w:val="00A95D2A"/>
    <w:rsid w:val="00A961D6"/>
    <w:rsid w:val="00A96214"/>
    <w:rsid w:val="00A967E8"/>
    <w:rsid w:val="00A97CAB"/>
    <w:rsid w:val="00A97F4B"/>
    <w:rsid w:val="00AA04C5"/>
    <w:rsid w:val="00AA1002"/>
    <w:rsid w:val="00AA10B1"/>
    <w:rsid w:val="00AA143B"/>
    <w:rsid w:val="00AA2803"/>
    <w:rsid w:val="00AA2BF2"/>
    <w:rsid w:val="00AA2D68"/>
    <w:rsid w:val="00AA2D6F"/>
    <w:rsid w:val="00AA2E92"/>
    <w:rsid w:val="00AA3987"/>
    <w:rsid w:val="00AA3B68"/>
    <w:rsid w:val="00AA3E79"/>
    <w:rsid w:val="00AA4FB4"/>
    <w:rsid w:val="00AA51C3"/>
    <w:rsid w:val="00AA56E5"/>
    <w:rsid w:val="00AA5C0B"/>
    <w:rsid w:val="00AA5E3B"/>
    <w:rsid w:val="00AA63AD"/>
    <w:rsid w:val="00AA64D1"/>
    <w:rsid w:val="00AA65B4"/>
    <w:rsid w:val="00AA6604"/>
    <w:rsid w:val="00AA6A75"/>
    <w:rsid w:val="00AA745E"/>
    <w:rsid w:val="00AB04AB"/>
    <w:rsid w:val="00AB05A3"/>
    <w:rsid w:val="00AB0636"/>
    <w:rsid w:val="00AB0733"/>
    <w:rsid w:val="00AB09D2"/>
    <w:rsid w:val="00AB0B64"/>
    <w:rsid w:val="00AB0C30"/>
    <w:rsid w:val="00AB176B"/>
    <w:rsid w:val="00AB2C5F"/>
    <w:rsid w:val="00AB37E6"/>
    <w:rsid w:val="00AB3DBA"/>
    <w:rsid w:val="00AB431C"/>
    <w:rsid w:val="00AB470E"/>
    <w:rsid w:val="00AB473C"/>
    <w:rsid w:val="00AB4C80"/>
    <w:rsid w:val="00AB506B"/>
    <w:rsid w:val="00AB5467"/>
    <w:rsid w:val="00AB5720"/>
    <w:rsid w:val="00AB5883"/>
    <w:rsid w:val="00AB5A7E"/>
    <w:rsid w:val="00AB7538"/>
    <w:rsid w:val="00AB77F3"/>
    <w:rsid w:val="00AC0256"/>
    <w:rsid w:val="00AC0AAD"/>
    <w:rsid w:val="00AC1231"/>
    <w:rsid w:val="00AC1992"/>
    <w:rsid w:val="00AC1E14"/>
    <w:rsid w:val="00AC2CFA"/>
    <w:rsid w:val="00AC3263"/>
    <w:rsid w:val="00AC337E"/>
    <w:rsid w:val="00AC3A13"/>
    <w:rsid w:val="00AC3E12"/>
    <w:rsid w:val="00AC406E"/>
    <w:rsid w:val="00AC417C"/>
    <w:rsid w:val="00AC430C"/>
    <w:rsid w:val="00AC43DF"/>
    <w:rsid w:val="00AC4951"/>
    <w:rsid w:val="00AC49C9"/>
    <w:rsid w:val="00AC4A6B"/>
    <w:rsid w:val="00AC5C19"/>
    <w:rsid w:val="00AC60F0"/>
    <w:rsid w:val="00AC63C7"/>
    <w:rsid w:val="00AC6657"/>
    <w:rsid w:val="00AC6B43"/>
    <w:rsid w:val="00AC6D7A"/>
    <w:rsid w:val="00AC7363"/>
    <w:rsid w:val="00AC7401"/>
    <w:rsid w:val="00AC7901"/>
    <w:rsid w:val="00AC79F3"/>
    <w:rsid w:val="00AC7FDD"/>
    <w:rsid w:val="00AC7FFA"/>
    <w:rsid w:val="00AD05BF"/>
    <w:rsid w:val="00AD0949"/>
    <w:rsid w:val="00AD0F1D"/>
    <w:rsid w:val="00AD1179"/>
    <w:rsid w:val="00AD1359"/>
    <w:rsid w:val="00AD19F0"/>
    <w:rsid w:val="00AD1FCE"/>
    <w:rsid w:val="00AD26E1"/>
    <w:rsid w:val="00AD29CC"/>
    <w:rsid w:val="00AD3268"/>
    <w:rsid w:val="00AD341B"/>
    <w:rsid w:val="00AD3652"/>
    <w:rsid w:val="00AD3DE2"/>
    <w:rsid w:val="00AD4261"/>
    <w:rsid w:val="00AD44B2"/>
    <w:rsid w:val="00AD46F5"/>
    <w:rsid w:val="00AD490A"/>
    <w:rsid w:val="00AD504C"/>
    <w:rsid w:val="00AD51A3"/>
    <w:rsid w:val="00AD5502"/>
    <w:rsid w:val="00AD598B"/>
    <w:rsid w:val="00AD5D76"/>
    <w:rsid w:val="00AD60B6"/>
    <w:rsid w:val="00AD66EC"/>
    <w:rsid w:val="00AD7154"/>
    <w:rsid w:val="00AD797D"/>
    <w:rsid w:val="00AD7E02"/>
    <w:rsid w:val="00AE0034"/>
    <w:rsid w:val="00AE0085"/>
    <w:rsid w:val="00AE0483"/>
    <w:rsid w:val="00AE08DD"/>
    <w:rsid w:val="00AE13BD"/>
    <w:rsid w:val="00AE158F"/>
    <w:rsid w:val="00AE1ABF"/>
    <w:rsid w:val="00AE1AF9"/>
    <w:rsid w:val="00AE1E60"/>
    <w:rsid w:val="00AE2068"/>
    <w:rsid w:val="00AE2258"/>
    <w:rsid w:val="00AE277E"/>
    <w:rsid w:val="00AE2A36"/>
    <w:rsid w:val="00AE2AC6"/>
    <w:rsid w:val="00AE2BC6"/>
    <w:rsid w:val="00AE3251"/>
    <w:rsid w:val="00AE33DA"/>
    <w:rsid w:val="00AE3FE0"/>
    <w:rsid w:val="00AE5058"/>
    <w:rsid w:val="00AE51CD"/>
    <w:rsid w:val="00AE5268"/>
    <w:rsid w:val="00AE5471"/>
    <w:rsid w:val="00AE54AA"/>
    <w:rsid w:val="00AE5C58"/>
    <w:rsid w:val="00AE5CA5"/>
    <w:rsid w:val="00AE60E4"/>
    <w:rsid w:val="00AE6872"/>
    <w:rsid w:val="00AE6C58"/>
    <w:rsid w:val="00AE72C4"/>
    <w:rsid w:val="00AE75AB"/>
    <w:rsid w:val="00AE7F05"/>
    <w:rsid w:val="00AE7F38"/>
    <w:rsid w:val="00AF054D"/>
    <w:rsid w:val="00AF0939"/>
    <w:rsid w:val="00AF0981"/>
    <w:rsid w:val="00AF0F9C"/>
    <w:rsid w:val="00AF10F0"/>
    <w:rsid w:val="00AF18E2"/>
    <w:rsid w:val="00AF24E7"/>
    <w:rsid w:val="00AF272B"/>
    <w:rsid w:val="00AF291B"/>
    <w:rsid w:val="00AF2DAA"/>
    <w:rsid w:val="00AF2EBD"/>
    <w:rsid w:val="00AF33AE"/>
    <w:rsid w:val="00AF3CDC"/>
    <w:rsid w:val="00AF44B1"/>
    <w:rsid w:val="00AF49C2"/>
    <w:rsid w:val="00AF5800"/>
    <w:rsid w:val="00AF6986"/>
    <w:rsid w:val="00AF69FE"/>
    <w:rsid w:val="00AF6A77"/>
    <w:rsid w:val="00AF6D1B"/>
    <w:rsid w:val="00AF73ED"/>
    <w:rsid w:val="00AF77E3"/>
    <w:rsid w:val="00AF7D69"/>
    <w:rsid w:val="00AF7ED2"/>
    <w:rsid w:val="00B004D8"/>
    <w:rsid w:val="00B00830"/>
    <w:rsid w:val="00B00CC5"/>
    <w:rsid w:val="00B016D2"/>
    <w:rsid w:val="00B02091"/>
    <w:rsid w:val="00B0250E"/>
    <w:rsid w:val="00B02B43"/>
    <w:rsid w:val="00B03697"/>
    <w:rsid w:val="00B03D36"/>
    <w:rsid w:val="00B04540"/>
    <w:rsid w:val="00B046F1"/>
    <w:rsid w:val="00B05116"/>
    <w:rsid w:val="00B051A7"/>
    <w:rsid w:val="00B05F1A"/>
    <w:rsid w:val="00B07662"/>
    <w:rsid w:val="00B07B33"/>
    <w:rsid w:val="00B07FA2"/>
    <w:rsid w:val="00B100CF"/>
    <w:rsid w:val="00B1074F"/>
    <w:rsid w:val="00B10999"/>
    <w:rsid w:val="00B10E82"/>
    <w:rsid w:val="00B11050"/>
    <w:rsid w:val="00B111A6"/>
    <w:rsid w:val="00B113A4"/>
    <w:rsid w:val="00B11512"/>
    <w:rsid w:val="00B115E5"/>
    <w:rsid w:val="00B118EE"/>
    <w:rsid w:val="00B11B03"/>
    <w:rsid w:val="00B11C5B"/>
    <w:rsid w:val="00B11F2B"/>
    <w:rsid w:val="00B121CD"/>
    <w:rsid w:val="00B12343"/>
    <w:rsid w:val="00B12529"/>
    <w:rsid w:val="00B128C5"/>
    <w:rsid w:val="00B129A4"/>
    <w:rsid w:val="00B12B11"/>
    <w:rsid w:val="00B12C94"/>
    <w:rsid w:val="00B135AB"/>
    <w:rsid w:val="00B13797"/>
    <w:rsid w:val="00B137BF"/>
    <w:rsid w:val="00B13A1B"/>
    <w:rsid w:val="00B13A76"/>
    <w:rsid w:val="00B142D9"/>
    <w:rsid w:val="00B145D5"/>
    <w:rsid w:val="00B14BC4"/>
    <w:rsid w:val="00B158A3"/>
    <w:rsid w:val="00B15B25"/>
    <w:rsid w:val="00B15C36"/>
    <w:rsid w:val="00B15EA0"/>
    <w:rsid w:val="00B16069"/>
    <w:rsid w:val="00B1628C"/>
    <w:rsid w:val="00B1745A"/>
    <w:rsid w:val="00B17785"/>
    <w:rsid w:val="00B17A4E"/>
    <w:rsid w:val="00B17B30"/>
    <w:rsid w:val="00B17C2F"/>
    <w:rsid w:val="00B20CA8"/>
    <w:rsid w:val="00B2153E"/>
    <w:rsid w:val="00B218CB"/>
    <w:rsid w:val="00B21FA7"/>
    <w:rsid w:val="00B22022"/>
    <w:rsid w:val="00B225E4"/>
    <w:rsid w:val="00B22C88"/>
    <w:rsid w:val="00B23223"/>
    <w:rsid w:val="00B2373E"/>
    <w:rsid w:val="00B23F7A"/>
    <w:rsid w:val="00B240B1"/>
    <w:rsid w:val="00B24208"/>
    <w:rsid w:val="00B24374"/>
    <w:rsid w:val="00B24699"/>
    <w:rsid w:val="00B24728"/>
    <w:rsid w:val="00B248A9"/>
    <w:rsid w:val="00B2490A"/>
    <w:rsid w:val="00B24BE3"/>
    <w:rsid w:val="00B24D28"/>
    <w:rsid w:val="00B24F1C"/>
    <w:rsid w:val="00B25B7A"/>
    <w:rsid w:val="00B25D76"/>
    <w:rsid w:val="00B27032"/>
    <w:rsid w:val="00B27085"/>
    <w:rsid w:val="00B27583"/>
    <w:rsid w:val="00B30003"/>
    <w:rsid w:val="00B3015C"/>
    <w:rsid w:val="00B30642"/>
    <w:rsid w:val="00B31201"/>
    <w:rsid w:val="00B31B4B"/>
    <w:rsid w:val="00B31E36"/>
    <w:rsid w:val="00B32132"/>
    <w:rsid w:val="00B32CD7"/>
    <w:rsid w:val="00B32DC3"/>
    <w:rsid w:val="00B32E26"/>
    <w:rsid w:val="00B338B7"/>
    <w:rsid w:val="00B34061"/>
    <w:rsid w:val="00B34376"/>
    <w:rsid w:val="00B3440A"/>
    <w:rsid w:val="00B34441"/>
    <w:rsid w:val="00B35533"/>
    <w:rsid w:val="00B35534"/>
    <w:rsid w:val="00B35A87"/>
    <w:rsid w:val="00B35AFD"/>
    <w:rsid w:val="00B35DAB"/>
    <w:rsid w:val="00B35F9A"/>
    <w:rsid w:val="00B3609C"/>
    <w:rsid w:val="00B36236"/>
    <w:rsid w:val="00B3662E"/>
    <w:rsid w:val="00B36645"/>
    <w:rsid w:val="00B366D2"/>
    <w:rsid w:val="00B366FA"/>
    <w:rsid w:val="00B36E86"/>
    <w:rsid w:val="00B379BA"/>
    <w:rsid w:val="00B37D00"/>
    <w:rsid w:val="00B40B30"/>
    <w:rsid w:val="00B40E47"/>
    <w:rsid w:val="00B412FD"/>
    <w:rsid w:val="00B41BA2"/>
    <w:rsid w:val="00B41E1C"/>
    <w:rsid w:val="00B422BE"/>
    <w:rsid w:val="00B4241D"/>
    <w:rsid w:val="00B426BB"/>
    <w:rsid w:val="00B42EB9"/>
    <w:rsid w:val="00B430B5"/>
    <w:rsid w:val="00B436F0"/>
    <w:rsid w:val="00B441FE"/>
    <w:rsid w:val="00B44821"/>
    <w:rsid w:val="00B44AD3"/>
    <w:rsid w:val="00B450EB"/>
    <w:rsid w:val="00B45152"/>
    <w:rsid w:val="00B454DD"/>
    <w:rsid w:val="00B45DDF"/>
    <w:rsid w:val="00B45E54"/>
    <w:rsid w:val="00B460B8"/>
    <w:rsid w:val="00B464E4"/>
    <w:rsid w:val="00B4689A"/>
    <w:rsid w:val="00B46D5F"/>
    <w:rsid w:val="00B46E7B"/>
    <w:rsid w:val="00B47DC5"/>
    <w:rsid w:val="00B50395"/>
    <w:rsid w:val="00B505B3"/>
    <w:rsid w:val="00B50882"/>
    <w:rsid w:val="00B50A74"/>
    <w:rsid w:val="00B510D2"/>
    <w:rsid w:val="00B5199C"/>
    <w:rsid w:val="00B520A0"/>
    <w:rsid w:val="00B5257E"/>
    <w:rsid w:val="00B525CE"/>
    <w:rsid w:val="00B52CFD"/>
    <w:rsid w:val="00B545A8"/>
    <w:rsid w:val="00B54F1F"/>
    <w:rsid w:val="00B56527"/>
    <w:rsid w:val="00B56706"/>
    <w:rsid w:val="00B57019"/>
    <w:rsid w:val="00B576DA"/>
    <w:rsid w:val="00B57710"/>
    <w:rsid w:val="00B601C9"/>
    <w:rsid w:val="00B60639"/>
    <w:rsid w:val="00B60D04"/>
    <w:rsid w:val="00B6158F"/>
    <w:rsid w:val="00B61EE8"/>
    <w:rsid w:val="00B633A3"/>
    <w:rsid w:val="00B634A6"/>
    <w:rsid w:val="00B63533"/>
    <w:rsid w:val="00B63BDB"/>
    <w:rsid w:val="00B64A0E"/>
    <w:rsid w:val="00B64DDF"/>
    <w:rsid w:val="00B65633"/>
    <w:rsid w:val="00B6601E"/>
    <w:rsid w:val="00B663AA"/>
    <w:rsid w:val="00B66DD5"/>
    <w:rsid w:val="00B67722"/>
    <w:rsid w:val="00B67A6C"/>
    <w:rsid w:val="00B67B97"/>
    <w:rsid w:val="00B67F01"/>
    <w:rsid w:val="00B70166"/>
    <w:rsid w:val="00B70329"/>
    <w:rsid w:val="00B70A02"/>
    <w:rsid w:val="00B710E9"/>
    <w:rsid w:val="00B711AB"/>
    <w:rsid w:val="00B714F0"/>
    <w:rsid w:val="00B71A40"/>
    <w:rsid w:val="00B71BCA"/>
    <w:rsid w:val="00B71C8C"/>
    <w:rsid w:val="00B71CB4"/>
    <w:rsid w:val="00B71FD7"/>
    <w:rsid w:val="00B725E7"/>
    <w:rsid w:val="00B7278D"/>
    <w:rsid w:val="00B72C07"/>
    <w:rsid w:val="00B72DF7"/>
    <w:rsid w:val="00B72F42"/>
    <w:rsid w:val="00B73E44"/>
    <w:rsid w:val="00B74290"/>
    <w:rsid w:val="00B74510"/>
    <w:rsid w:val="00B74BD4"/>
    <w:rsid w:val="00B74BF7"/>
    <w:rsid w:val="00B760FD"/>
    <w:rsid w:val="00B76185"/>
    <w:rsid w:val="00B76BCD"/>
    <w:rsid w:val="00B76D04"/>
    <w:rsid w:val="00B779E6"/>
    <w:rsid w:val="00B77D72"/>
    <w:rsid w:val="00B804E2"/>
    <w:rsid w:val="00B811B2"/>
    <w:rsid w:val="00B81213"/>
    <w:rsid w:val="00B81700"/>
    <w:rsid w:val="00B81BA3"/>
    <w:rsid w:val="00B82213"/>
    <w:rsid w:val="00B8276E"/>
    <w:rsid w:val="00B82912"/>
    <w:rsid w:val="00B82E33"/>
    <w:rsid w:val="00B82FF3"/>
    <w:rsid w:val="00B839A9"/>
    <w:rsid w:val="00B83A62"/>
    <w:rsid w:val="00B83B59"/>
    <w:rsid w:val="00B84252"/>
    <w:rsid w:val="00B8468F"/>
    <w:rsid w:val="00B849F1"/>
    <w:rsid w:val="00B84FC6"/>
    <w:rsid w:val="00B857F5"/>
    <w:rsid w:val="00B862EF"/>
    <w:rsid w:val="00B86D6C"/>
    <w:rsid w:val="00B86EB5"/>
    <w:rsid w:val="00B86F47"/>
    <w:rsid w:val="00B874B4"/>
    <w:rsid w:val="00B876E8"/>
    <w:rsid w:val="00B8787A"/>
    <w:rsid w:val="00B87887"/>
    <w:rsid w:val="00B90123"/>
    <w:rsid w:val="00B90196"/>
    <w:rsid w:val="00B90A0B"/>
    <w:rsid w:val="00B911C1"/>
    <w:rsid w:val="00B91374"/>
    <w:rsid w:val="00B9216A"/>
    <w:rsid w:val="00B922C3"/>
    <w:rsid w:val="00B926F4"/>
    <w:rsid w:val="00B9272E"/>
    <w:rsid w:val="00B927A7"/>
    <w:rsid w:val="00B92B9E"/>
    <w:rsid w:val="00B93315"/>
    <w:rsid w:val="00B93519"/>
    <w:rsid w:val="00B9372A"/>
    <w:rsid w:val="00B9425C"/>
    <w:rsid w:val="00B94AAF"/>
    <w:rsid w:val="00B953FF"/>
    <w:rsid w:val="00B956EA"/>
    <w:rsid w:val="00B958BD"/>
    <w:rsid w:val="00B9622D"/>
    <w:rsid w:val="00B96263"/>
    <w:rsid w:val="00B968A5"/>
    <w:rsid w:val="00B97188"/>
    <w:rsid w:val="00B972CD"/>
    <w:rsid w:val="00B97D02"/>
    <w:rsid w:val="00BA0296"/>
    <w:rsid w:val="00BA0304"/>
    <w:rsid w:val="00BA0557"/>
    <w:rsid w:val="00BA079E"/>
    <w:rsid w:val="00BA19C4"/>
    <w:rsid w:val="00BA3038"/>
    <w:rsid w:val="00BA3248"/>
    <w:rsid w:val="00BA3443"/>
    <w:rsid w:val="00BA370A"/>
    <w:rsid w:val="00BA48BC"/>
    <w:rsid w:val="00BA4A29"/>
    <w:rsid w:val="00BA4BE7"/>
    <w:rsid w:val="00BA5F20"/>
    <w:rsid w:val="00BA5F44"/>
    <w:rsid w:val="00BA679F"/>
    <w:rsid w:val="00BA68D9"/>
    <w:rsid w:val="00BA695F"/>
    <w:rsid w:val="00BA6FD8"/>
    <w:rsid w:val="00BA7172"/>
    <w:rsid w:val="00BA7B01"/>
    <w:rsid w:val="00BA7C18"/>
    <w:rsid w:val="00BB02D7"/>
    <w:rsid w:val="00BB0D9F"/>
    <w:rsid w:val="00BB0DEE"/>
    <w:rsid w:val="00BB0F93"/>
    <w:rsid w:val="00BB1031"/>
    <w:rsid w:val="00BB1B33"/>
    <w:rsid w:val="00BB2480"/>
    <w:rsid w:val="00BB27FD"/>
    <w:rsid w:val="00BB2C4E"/>
    <w:rsid w:val="00BB2E29"/>
    <w:rsid w:val="00BB2F74"/>
    <w:rsid w:val="00BB3206"/>
    <w:rsid w:val="00BB3277"/>
    <w:rsid w:val="00BB32C2"/>
    <w:rsid w:val="00BB39BF"/>
    <w:rsid w:val="00BB3B0D"/>
    <w:rsid w:val="00BB524C"/>
    <w:rsid w:val="00BB57D2"/>
    <w:rsid w:val="00BB5DAB"/>
    <w:rsid w:val="00BB6195"/>
    <w:rsid w:val="00BB61A3"/>
    <w:rsid w:val="00BB67EA"/>
    <w:rsid w:val="00BB707E"/>
    <w:rsid w:val="00BB7568"/>
    <w:rsid w:val="00BC007C"/>
    <w:rsid w:val="00BC0986"/>
    <w:rsid w:val="00BC0AB2"/>
    <w:rsid w:val="00BC0F8E"/>
    <w:rsid w:val="00BC1308"/>
    <w:rsid w:val="00BC1BF4"/>
    <w:rsid w:val="00BC2600"/>
    <w:rsid w:val="00BC2F24"/>
    <w:rsid w:val="00BC33BE"/>
    <w:rsid w:val="00BC3A47"/>
    <w:rsid w:val="00BC3EEB"/>
    <w:rsid w:val="00BC4780"/>
    <w:rsid w:val="00BC51FB"/>
    <w:rsid w:val="00BC52C8"/>
    <w:rsid w:val="00BC5485"/>
    <w:rsid w:val="00BC549C"/>
    <w:rsid w:val="00BC570E"/>
    <w:rsid w:val="00BC5A6C"/>
    <w:rsid w:val="00BC5AF6"/>
    <w:rsid w:val="00BC5B4B"/>
    <w:rsid w:val="00BC5E93"/>
    <w:rsid w:val="00BC5EDB"/>
    <w:rsid w:val="00BC69A2"/>
    <w:rsid w:val="00BC6A47"/>
    <w:rsid w:val="00BC6ED6"/>
    <w:rsid w:val="00BC6F03"/>
    <w:rsid w:val="00BC6FA1"/>
    <w:rsid w:val="00BC7487"/>
    <w:rsid w:val="00BD0570"/>
    <w:rsid w:val="00BD0853"/>
    <w:rsid w:val="00BD0EAD"/>
    <w:rsid w:val="00BD112D"/>
    <w:rsid w:val="00BD214E"/>
    <w:rsid w:val="00BD2395"/>
    <w:rsid w:val="00BD25B8"/>
    <w:rsid w:val="00BD2842"/>
    <w:rsid w:val="00BD28C3"/>
    <w:rsid w:val="00BD2DEB"/>
    <w:rsid w:val="00BD2E40"/>
    <w:rsid w:val="00BD3120"/>
    <w:rsid w:val="00BD3354"/>
    <w:rsid w:val="00BD384E"/>
    <w:rsid w:val="00BD3BC1"/>
    <w:rsid w:val="00BD3E76"/>
    <w:rsid w:val="00BD3EE2"/>
    <w:rsid w:val="00BD3FCF"/>
    <w:rsid w:val="00BD42D2"/>
    <w:rsid w:val="00BD47D7"/>
    <w:rsid w:val="00BD4EFB"/>
    <w:rsid w:val="00BD5076"/>
    <w:rsid w:val="00BD5551"/>
    <w:rsid w:val="00BD690D"/>
    <w:rsid w:val="00BD6D43"/>
    <w:rsid w:val="00BD7090"/>
    <w:rsid w:val="00BD7490"/>
    <w:rsid w:val="00BD767F"/>
    <w:rsid w:val="00BD7DA0"/>
    <w:rsid w:val="00BE096B"/>
    <w:rsid w:val="00BE09C3"/>
    <w:rsid w:val="00BE0C27"/>
    <w:rsid w:val="00BE0F9B"/>
    <w:rsid w:val="00BE1534"/>
    <w:rsid w:val="00BE15BB"/>
    <w:rsid w:val="00BE198F"/>
    <w:rsid w:val="00BE4875"/>
    <w:rsid w:val="00BE4CCF"/>
    <w:rsid w:val="00BE5913"/>
    <w:rsid w:val="00BE5964"/>
    <w:rsid w:val="00BE660B"/>
    <w:rsid w:val="00BE67F3"/>
    <w:rsid w:val="00BE6AFE"/>
    <w:rsid w:val="00BE6BBE"/>
    <w:rsid w:val="00BE7021"/>
    <w:rsid w:val="00BE7300"/>
    <w:rsid w:val="00BE76F7"/>
    <w:rsid w:val="00BE784F"/>
    <w:rsid w:val="00BE79C6"/>
    <w:rsid w:val="00BF0238"/>
    <w:rsid w:val="00BF0717"/>
    <w:rsid w:val="00BF1750"/>
    <w:rsid w:val="00BF178E"/>
    <w:rsid w:val="00BF189F"/>
    <w:rsid w:val="00BF1B44"/>
    <w:rsid w:val="00BF1D88"/>
    <w:rsid w:val="00BF1F01"/>
    <w:rsid w:val="00BF1FC2"/>
    <w:rsid w:val="00BF23CC"/>
    <w:rsid w:val="00BF243F"/>
    <w:rsid w:val="00BF2708"/>
    <w:rsid w:val="00BF3284"/>
    <w:rsid w:val="00BF4C2B"/>
    <w:rsid w:val="00BF507A"/>
    <w:rsid w:val="00BF52D8"/>
    <w:rsid w:val="00BF53F1"/>
    <w:rsid w:val="00BF5717"/>
    <w:rsid w:val="00BF5B9D"/>
    <w:rsid w:val="00BF5C45"/>
    <w:rsid w:val="00BF5FA3"/>
    <w:rsid w:val="00BF62F2"/>
    <w:rsid w:val="00BF63A5"/>
    <w:rsid w:val="00BF72A7"/>
    <w:rsid w:val="00BF7558"/>
    <w:rsid w:val="00BF7C6B"/>
    <w:rsid w:val="00BF7D51"/>
    <w:rsid w:val="00BF7DD2"/>
    <w:rsid w:val="00C0111E"/>
    <w:rsid w:val="00C01C34"/>
    <w:rsid w:val="00C02676"/>
    <w:rsid w:val="00C029AB"/>
    <w:rsid w:val="00C02D74"/>
    <w:rsid w:val="00C03BD5"/>
    <w:rsid w:val="00C03C8B"/>
    <w:rsid w:val="00C03F3C"/>
    <w:rsid w:val="00C0422C"/>
    <w:rsid w:val="00C0425C"/>
    <w:rsid w:val="00C049BE"/>
    <w:rsid w:val="00C04A71"/>
    <w:rsid w:val="00C04DF0"/>
    <w:rsid w:val="00C050CF"/>
    <w:rsid w:val="00C05A4C"/>
    <w:rsid w:val="00C05A67"/>
    <w:rsid w:val="00C0632D"/>
    <w:rsid w:val="00C0641F"/>
    <w:rsid w:val="00C06C9A"/>
    <w:rsid w:val="00C06E1B"/>
    <w:rsid w:val="00C06E6F"/>
    <w:rsid w:val="00C075DB"/>
    <w:rsid w:val="00C07EBA"/>
    <w:rsid w:val="00C07FBC"/>
    <w:rsid w:val="00C100E2"/>
    <w:rsid w:val="00C100E7"/>
    <w:rsid w:val="00C11113"/>
    <w:rsid w:val="00C114BF"/>
    <w:rsid w:val="00C11687"/>
    <w:rsid w:val="00C11D41"/>
    <w:rsid w:val="00C11E28"/>
    <w:rsid w:val="00C11F66"/>
    <w:rsid w:val="00C1225B"/>
    <w:rsid w:val="00C122F9"/>
    <w:rsid w:val="00C1253A"/>
    <w:rsid w:val="00C128C9"/>
    <w:rsid w:val="00C12CF3"/>
    <w:rsid w:val="00C12F88"/>
    <w:rsid w:val="00C131A8"/>
    <w:rsid w:val="00C1322D"/>
    <w:rsid w:val="00C135A3"/>
    <w:rsid w:val="00C13655"/>
    <w:rsid w:val="00C13806"/>
    <w:rsid w:val="00C14730"/>
    <w:rsid w:val="00C1477A"/>
    <w:rsid w:val="00C14A62"/>
    <w:rsid w:val="00C158EB"/>
    <w:rsid w:val="00C159B1"/>
    <w:rsid w:val="00C15B67"/>
    <w:rsid w:val="00C15C04"/>
    <w:rsid w:val="00C15D51"/>
    <w:rsid w:val="00C161F5"/>
    <w:rsid w:val="00C16C92"/>
    <w:rsid w:val="00C16ED6"/>
    <w:rsid w:val="00C1706B"/>
    <w:rsid w:val="00C17AE8"/>
    <w:rsid w:val="00C17DB0"/>
    <w:rsid w:val="00C17DB7"/>
    <w:rsid w:val="00C17E48"/>
    <w:rsid w:val="00C17E9C"/>
    <w:rsid w:val="00C17F0B"/>
    <w:rsid w:val="00C201E7"/>
    <w:rsid w:val="00C20506"/>
    <w:rsid w:val="00C20AA2"/>
    <w:rsid w:val="00C20B91"/>
    <w:rsid w:val="00C21155"/>
    <w:rsid w:val="00C2146C"/>
    <w:rsid w:val="00C214D7"/>
    <w:rsid w:val="00C21561"/>
    <w:rsid w:val="00C217EE"/>
    <w:rsid w:val="00C2220F"/>
    <w:rsid w:val="00C22784"/>
    <w:rsid w:val="00C22FAA"/>
    <w:rsid w:val="00C23A4C"/>
    <w:rsid w:val="00C24068"/>
    <w:rsid w:val="00C2419D"/>
    <w:rsid w:val="00C243A4"/>
    <w:rsid w:val="00C24416"/>
    <w:rsid w:val="00C24511"/>
    <w:rsid w:val="00C248DB"/>
    <w:rsid w:val="00C26170"/>
    <w:rsid w:val="00C26B5A"/>
    <w:rsid w:val="00C26BB1"/>
    <w:rsid w:val="00C26D52"/>
    <w:rsid w:val="00C303E4"/>
    <w:rsid w:val="00C30775"/>
    <w:rsid w:val="00C30B8D"/>
    <w:rsid w:val="00C30DBE"/>
    <w:rsid w:val="00C30E2F"/>
    <w:rsid w:val="00C3134E"/>
    <w:rsid w:val="00C315D8"/>
    <w:rsid w:val="00C31C4A"/>
    <w:rsid w:val="00C31D2D"/>
    <w:rsid w:val="00C3209A"/>
    <w:rsid w:val="00C32639"/>
    <w:rsid w:val="00C32808"/>
    <w:rsid w:val="00C32AD2"/>
    <w:rsid w:val="00C33114"/>
    <w:rsid w:val="00C33E5C"/>
    <w:rsid w:val="00C3415E"/>
    <w:rsid w:val="00C34193"/>
    <w:rsid w:val="00C34610"/>
    <w:rsid w:val="00C347FD"/>
    <w:rsid w:val="00C34DAD"/>
    <w:rsid w:val="00C34DAE"/>
    <w:rsid w:val="00C34E1E"/>
    <w:rsid w:val="00C34E5A"/>
    <w:rsid w:val="00C35553"/>
    <w:rsid w:val="00C35D9C"/>
    <w:rsid w:val="00C360E5"/>
    <w:rsid w:val="00C36219"/>
    <w:rsid w:val="00C36656"/>
    <w:rsid w:val="00C36965"/>
    <w:rsid w:val="00C3698E"/>
    <w:rsid w:val="00C36CCA"/>
    <w:rsid w:val="00C36E1C"/>
    <w:rsid w:val="00C36F42"/>
    <w:rsid w:val="00C3718A"/>
    <w:rsid w:val="00C379C5"/>
    <w:rsid w:val="00C37EEE"/>
    <w:rsid w:val="00C40453"/>
    <w:rsid w:val="00C404A7"/>
    <w:rsid w:val="00C40E71"/>
    <w:rsid w:val="00C41879"/>
    <w:rsid w:val="00C41A7C"/>
    <w:rsid w:val="00C42CEF"/>
    <w:rsid w:val="00C42D55"/>
    <w:rsid w:val="00C43080"/>
    <w:rsid w:val="00C4370E"/>
    <w:rsid w:val="00C43823"/>
    <w:rsid w:val="00C4384B"/>
    <w:rsid w:val="00C4393C"/>
    <w:rsid w:val="00C43F2D"/>
    <w:rsid w:val="00C44068"/>
    <w:rsid w:val="00C442AE"/>
    <w:rsid w:val="00C44C2B"/>
    <w:rsid w:val="00C4518B"/>
    <w:rsid w:val="00C4556C"/>
    <w:rsid w:val="00C45780"/>
    <w:rsid w:val="00C458D6"/>
    <w:rsid w:val="00C45919"/>
    <w:rsid w:val="00C4655A"/>
    <w:rsid w:val="00C466BF"/>
    <w:rsid w:val="00C47385"/>
    <w:rsid w:val="00C47555"/>
    <w:rsid w:val="00C476AC"/>
    <w:rsid w:val="00C47E67"/>
    <w:rsid w:val="00C47FD9"/>
    <w:rsid w:val="00C50C1A"/>
    <w:rsid w:val="00C50E1E"/>
    <w:rsid w:val="00C51132"/>
    <w:rsid w:val="00C51508"/>
    <w:rsid w:val="00C51BD1"/>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929"/>
    <w:rsid w:val="00C550B6"/>
    <w:rsid w:val="00C556B1"/>
    <w:rsid w:val="00C55A05"/>
    <w:rsid w:val="00C55F8D"/>
    <w:rsid w:val="00C56101"/>
    <w:rsid w:val="00C565F2"/>
    <w:rsid w:val="00C567E3"/>
    <w:rsid w:val="00C56BD1"/>
    <w:rsid w:val="00C56C45"/>
    <w:rsid w:val="00C573CC"/>
    <w:rsid w:val="00C57B81"/>
    <w:rsid w:val="00C57FB9"/>
    <w:rsid w:val="00C6077B"/>
    <w:rsid w:val="00C60950"/>
    <w:rsid w:val="00C60DD1"/>
    <w:rsid w:val="00C61565"/>
    <w:rsid w:val="00C61574"/>
    <w:rsid w:val="00C615B4"/>
    <w:rsid w:val="00C6184A"/>
    <w:rsid w:val="00C61AC6"/>
    <w:rsid w:val="00C61ACF"/>
    <w:rsid w:val="00C6211D"/>
    <w:rsid w:val="00C62B32"/>
    <w:rsid w:val="00C63DED"/>
    <w:rsid w:val="00C63E88"/>
    <w:rsid w:val="00C6436D"/>
    <w:rsid w:val="00C64F97"/>
    <w:rsid w:val="00C65585"/>
    <w:rsid w:val="00C656EB"/>
    <w:rsid w:val="00C65DF4"/>
    <w:rsid w:val="00C667F0"/>
    <w:rsid w:val="00C66AC8"/>
    <w:rsid w:val="00C67B49"/>
    <w:rsid w:val="00C711F5"/>
    <w:rsid w:val="00C713A1"/>
    <w:rsid w:val="00C71828"/>
    <w:rsid w:val="00C72105"/>
    <w:rsid w:val="00C73A1F"/>
    <w:rsid w:val="00C74310"/>
    <w:rsid w:val="00C744E9"/>
    <w:rsid w:val="00C74520"/>
    <w:rsid w:val="00C74954"/>
    <w:rsid w:val="00C7516F"/>
    <w:rsid w:val="00C75765"/>
    <w:rsid w:val="00C75EEE"/>
    <w:rsid w:val="00C76028"/>
    <w:rsid w:val="00C76184"/>
    <w:rsid w:val="00C76462"/>
    <w:rsid w:val="00C7673D"/>
    <w:rsid w:val="00C76A80"/>
    <w:rsid w:val="00C76C27"/>
    <w:rsid w:val="00C76E09"/>
    <w:rsid w:val="00C76F07"/>
    <w:rsid w:val="00C77EF6"/>
    <w:rsid w:val="00C80B4B"/>
    <w:rsid w:val="00C80D63"/>
    <w:rsid w:val="00C80E85"/>
    <w:rsid w:val="00C811D6"/>
    <w:rsid w:val="00C8129D"/>
    <w:rsid w:val="00C812D5"/>
    <w:rsid w:val="00C81536"/>
    <w:rsid w:val="00C81565"/>
    <w:rsid w:val="00C81BEA"/>
    <w:rsid w:val="00C81DF5"/>
    <w:rsid w:val="00C82188"/>
    <w:rsid w:val="00C8242B"/>
    <w:rsid w:val="00C82A50"/>
    <w:rsid w:val="00C83240"/>
    <w:rsid w:val="00C83381"/>
    <w:rsid w:val="00C83607"/>
    <w:rsid w:val="00C83768"/>
    <w:rsid w:val="00C83A38"/>
    <w:rsid w:val="00C83B18"/>
    <w:rsid w:val="00C84032"/>
    <w:rsid w:val="00C840C3"/>
    <w:rsid w:val="00C841B4"/>
    <w:rsid w:val="00C84266"/>
    <w:rsid w:val="00C8466F"/>
    <w:rsid w:val="00C8489E"/>
    <w:rsid w:val="00C849E0"/>
    <w:rsid w:val="00C84B74"/>
    <w:rsid w:val="00C8512A"/>
    <w:rsid w:val="00C85378"/>
    <w:rsid w:val="00C85970"/>
    <w:rsid w:val="00C85E9B"/>
    <w:rsid w:val="00C86788"/>
    <w:rsid w:val="00C86BDC"/>
    <w:rsid w:val="00C874C8"/>
    <w:rsid w:val="00C90165"/>
    <w:rsid w:val="00C902DA"/>
    <w:rsid w:val="00C90733"/>
    <w:rsid w:val="00C921C4"/>
    <w:rsid w:val="00C9235F"/>
    <w:rsid w:val="00C9257F"/>
    <w:rsid w:val="00C9319C"/>
    <w:rsid w:val="00C9330C"/>
    <w:rsid w:val="00C934F6"/>
    <w:rsid w:val="00C936C8"/>
    <w:rsid w:val="00C93874"/>
    <w:rsid w:val="00C93A4C"/>
    <w:rsid w:val="00C944EB"/>
    <w:rsid w:val="00C94DE5"/>
    <w:rsid w:val="00C94FD2"/>
    <w:rsid w:val="00C95341"/>
    <w:rsid w:val="00C95B76"/>
    <w:rsid w:val="00C95F94"/>
    <w:rsid w:val="00C964C3"/>
    <w:rsid w:val="00C964D6"/>
    <w:rsid w:val="00C96635"/>
    <w:rsid w:val="00C966B7"/>
    <w:rsid w:val="00C969DB"/>
    <w:rsid w:val="00C96A6E"/>
    <w:rsid w:val="00C97A4A"/>
    <w:rsid w:val="00C97DC9"/>
    <w:rsid w:val="00C97EE3"/>
    <w:rsid w:val="00CA042A"/>
    <w:rsid w:val="00CA12BA"/>
    <w:rsid w:val="00CA165C"/>
    <w:rsid w:val="00CA1994"/>
    <w:rsid w:val="00CA1C0D"/>
    <w:rsid w:val="00CA1DAE"/>
    <w:rsid w:val="00CA1E62"/>
    <w:rsid w:val="00CA2267"/>
    <w:rsid w:val="00CA38AD"/>
    <w:rsid w:val="00CA39B5"/>
    <w:rsid w:val="00CA3EEE"/>
    <w:rsid w:val="00CA4223"/>
    <w:rsid w:val="00CA5098"/>
    <w:rsid w:val="00CA5503"/>
    <w:rsid w:val="00CA612D"/>
    <w:rsid w:val="00CA66C3"/>
    <w:rsid w:val="00CA6CAD"/>
    <w:rsid w:val="00CA70A8"/>
    <w:rsid w:val="00CA70D0"/>
    <w:rsid w:val="00CA74A4"/>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4728"/>
    <w:rsid w:val="00CB5592"/>
    <w:rsid w:val="00CB59E7"/>
    <w:rsid w:val="00CB5D27"/>
    <w:rsid w:val="00CB5E4A"/>
    <w:rsid w:val="00CB6FCA"/>
    <w:rsid w:val="00CB724D"/>
    <w:rsid w:val="00CB7340"/>
    <w:rsid w:val="00CB73EA"/>
    <w:rsid w:val="00CB76E3"/>
    <w:rsid w:val="00CB7D4E"/>
    <w:rsid w:val="00CB7F1F"/>
    <w:rsid w:val="00CC002B"/>
    <w:rsid w:val="00CC07E5"/>
    <w:rsid w:val="00CC09F0"/>
    <w:rsid w:val="00CC0C11"/>
    <w:rsid w:val="00CC18EB"/>
    <w:rsid w:val="00CC1F52"/>
    <w:rsid w:val="00CC233F"/>
    <w:rsid w:val="00CC27FD"/>
    <w:rsid w:val="00CC29A4"/>
    <w:rsid w:val="00CC31E8"/>
    <w:rsid w:val="00CC3AB9"/>
    <w:rsid w:val="00CC3C9E"/>
    <w:rsid w:val="00CC3F1C"/>
    <w:rsid w:val="00CC45E0"/>
    <w:rsid w:val="00CC4BBE"/>
    <w:rsid w:val="00CC4BC3"/>
    <w:rsid w:val="00CC4D5D"/>
    <w:rsid w:val="00CC4F5A"/>
    <w:rsid w:val="00CC50C7"/>
    <w:rsid w:val="00CC55AC"/>
    <w:rsid w:val="00CC5859"/>
    <w:rsid w:val="00CC649E"/>
    <w:rsid w:val="00CC66CB"/>
    <w:rsid w:val="00CC6D1C"/>
    <w:rsid w:val="00CC71DD"/>
    <w:rsid w:val="00CC71F3"/>
    <w:rsid w:val="00CC72C0"/>
    <w:rsid w:val="00CC757D"/>
    <w:rsid w:val="00CC7C74"/>
    <w:rsid w:val="00CD00DB"/>
    <w:rsid w:val="00CD0119"/>
    <w:rsid w:val="00CD02C5"/>
    <w:rsid w:val="00CD07FD"/>
    <w:rsid w:val="00CD0866"/>
    <w:rsid w:val="00CD0B09"/>
    <w:rsid w:val="00CD1169"/>
    <w:rsid w:val="00CD15F1"/>
    <w:rsid w:val="00CD16C7"/>
    <w:rsid w:val="00CD1788"/>
    <w:rsid w:val="00CD1A40"/>
    <w:rsid w:val="00CD1AA8"/>
    <w:rsid w:val="00CD1B33"/>
    <w:rsid w:val="00CD24A8"/>
    <w:rsid w:val="00CD25F3"/>
    <w:rsid w:val="00CD2796"/>
    <w:rsid w:val="00CD27FF"/>
    <w:rsid w:val="00CD2875"/>
    <w:rsid w:val="00CD2C93"/>
    <w:rsid w:val="00CD2DF3"/>
    <w:rsid w:val="00CD2E7E"/>
    <w:rsid w:val="00CD305C"/>
    <w:rsid w:val="00CD3A6D"/>
    <w:rsid w:val="00CD3DB2"/>
    <w:rsid w:val="00CD3E5A"/>
    <w:rsid w:val="00CD3E63"/>
    <w:rsid w:val="00CD40A3"/>
    <w:rsid w:val="00CD457E"/>
    <w:rsid w:val="00CD461B"/>
    <w:rsid w:val="00CD4CD3"/>
    <w:rsid w:val="00CD5608"/>
    <w:rsid w:val="00CD589F"/>
    <w:rsid w:val="00CD60C9"/>
    <w:rsid w:val="00CD6345"/>
    <w:rsid w:val="00CD6835"/>
    <w:rsid w:val="00CD6BBB"/>
    <w:rsid w:val="00CD7482"/>
    <w:rsid w:val="00CD74BE"/>
    <w:rsid w:val="00CD75C1"/>
    <w:rsid w:val="00CD7D25"/>
    <w:rsid w:val="00CE05BD"/>
    <w:rsid w:val="00CE07C1"/>
    <w:rsid w:val="00CE0D7B"/>
    <w:rsid w:val="00CE1567"/>
    <w:rsid w:val="00CE1859"/>
    <w:rsid w:val="00CE186F"/>
    <w:rsid w:val="00CE20E3"/>
    <w:rsid w:val="00CE273A"/>
    <w:rsid w:val="00CE321C"/>
    <w:rsid w:val="00CE32E8"/>
    <w:rsid w:val="00CE353C"/>
    <w:rsid w:val="00CE3700"/>
    <w:rsid w:val="00CE3B69"/>
    <w:rsid w:val="00CE3D1A"/>
    <w:rsid w:val="00CE4559"/>
    <w:rsid w:val="00CE4B49"/>
    <w:rsid w:val="00CE5118"/>
    <w:rsid w:val="00CE5487"/>
    <w:rsid w:val="00CE59B5"/>
    <w:rsid w:val="00CE59DB"/>
    <w:rsid w:val="00CE5D3A"/>
    <w:rsid w:val="00CE67D8"/>
    <w:rsid w:val="00CE68EA"/>
    <w:rsid w:val="00CE7381"/>
    <w:rsid w:val="00CE7447"/>
    <w:rsid w:val="00CE74CE"/>
    <w:rsid w:val="00CE7510"/>
    <w:rsid w:val="00CF07CB"/>
    <w:rsid w:val="00CF0829"/>
    <w:rsid w:val="00CF0E74"/>
    <w:rsid w:val="00CF1833"/>
    <w:rsid w:val="00CF1AEA"/>
    <w:rsid w:val="00CF1E3B"/>
    <w:rsid w:val="00CF2091"/>
    <w:rsid w:val="00CF21F6"/>
    <w:rsid w:val="00CF2278"/>
    <w:rsid w:val="00CF267C"/>
    <w:rsid w:val="00CF2C62"/>
    <w:rsid w:val="00CF2F66"/>
    <w:rsid w:val="00CF337B"/>
    <w:rsid w:val="00CF36DE"/>
    <w:rsid w:val="00CF3FE7"/>
    <w:rsid w:val="00CF40BE"/>
    <w:rsid w:val="00CF4416"/>
    <w:rsid w:val="00CF4740"/>
    <w:rsid w:val="00CF4A57"/>
    <w:rsid w:val="00CF5221"/>
    <w:rsid w:val="00CF530E"/>
    <w:rsid w:val="00CF5762"/>
    <w:rsid w:val="00CF65B4"/>
    <w:rsid w:val="00CF6806"/>
    <w:rsid w:val="00CF69B0"/>
    <w:rsid w:val="00CF6C05"/>
    <w:rsid w:val="00CF709F"/>
    <w:rsid w:val="00CF7485"/>
    <w:rsid w:val="00CF7E56"/>
    <w:rsid w:val="00CF7E87"/>
    <w:rsid w:val="00D0080E"/>
    <w:rsid w:val="00D0115E"/>
    <w:rsid w:val="00D01744"/>
    <w:rsid w:val="00D01C03"/>
    <w:rsid w:val="00D01C43"/>
    <w:rsid w:val="00D020B5"/>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332"/>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2C29"/>
    <w:rsid w:val="00D131BF"/>
    <w:rsid w:val="00D13A90"/>
    <w:rsid w:val="00D1404F"/>
    <w:rsid w:val="00D140E6"/>
    <w:rsid w:val="00D147E0"/>
    <w:rsid w:val="00D149C9"/>
    <w:rsid w:val="00D14C7E"/>
    <w:rsid w:val="00D1505E"/>
    <w:rsid w:val="00D1529E"/>
    <w:rsid w:val="00D158E6"/>
    <w:rsid w:val="00D158EF"/>
    <w:rsid w:val="00D15BA0"/>
    <w:rsid w:val="00D15C14"/>
    <w:rsid w:val="00D15E74"/>
    <w:rsid w:val="00D15FAA"/>
    <w:rsid w:val="00D16A14"/>
    <w:rsid w:val="00D16ECB"/>
    <w:rsid w:val="00D16EEE"/>
    <w:rsid w:val="00D17167"/>
    <w:rsid w:val="00D17BA5"/>
    <w:rsid w:val="00D2058D"/>
    <w:rsid w:val="00D2117E"/>
    <w:rsid w:val="00D2143A"/>
    <w:rsid w:val="00D2176E"/>
    <w:rsid w:val="00D2182A"/>
    <w:rsid w:val="00D218BC"/>
    <w:rsid w:val="00D2193D"/>
    <w:rsid w:val="00D21D28"/>
    <w:rsid w:val="00D21F25"/>
    <w:rsid w:val="00D22105"/>
    <w:rsid w:val="00D2211C"/>
    <w:rsid w:val="00D22564"/>
    <w:rsid w:val="00D22B55"/>
    <w:rsid w:val="00D22BDD"/>
    <w:rsid w:val="00D22C81"/>
    <w:rsid w:val="00D23055"/>
    <w:rsid w:val="00D230AD"/>
    <w:rsid w:val="00D2320E"/>
    <w:rsid w:val="00D2327A"/>
    <w:rsid w:val="00D23506"/>
    <w:rsid w:val="00D251AB"/>
    <w:rsid w:val="00D25240"/>
    <w:rsid w:val="00D25AC6"/>
    <w:rsid w:val="00D25BF1"/>
    <w:rsid w:val="00D261D3"/>
    <w:rsid w:val="00D2693B"/>
    <w:rsid w:val="00D27086"/>
    <w:rsid w:val="00D27D4F"/>
    <w:rsid w:val="00D305BE"/>
    <w:rsid w:val="00D319DF"/>
    <w:rsid w:val="00D31C02"/>
    <w:rsid w:val="00D3225E"/>
    <w:rsid w:val="00D324BC"/>
    <w:rsid w:val="00D32B9F"/>
    <w:rsid w:val="00D331A5"/>
    <w:rsid w:val="00D33565"/>
    <w:rsid w:val="00D33761"/>
    <w:rsid w:val="00D33762"/>
    <w:rsid w:val="00D34BD1"/>
    <w:rsid w:val="00D35177"/>
    <w:rsid w:val="00D356E1"/>
    <w:rsid w:val="00D40609"/>
    <w:rsid w:val="00D40983"/>
    <w:rsid w:val="00D40B3B"/>
    <w:rsid w:val="00D40DD8"/>
    <w:rsid w:val="00D41188"/>
    <w:rsid w:val="00D41576"/>
    <w:rsid w:val="00D417D3"/>
    <w:rsid w:val="00D418D5"/>
    <w:rsid w:val="00D41DB1"/>
    <w:rsid w:val="00D4276D"/>
    <w:rsid w:val="00D42798"/>
    <w:rsid w:val="00D42970"/>
    <w:rsid w:val="00D42A21"/>
    <w:rsid w:val="00D43047"/>
    <w:rsid w:val="00D43468"/>
    <w:rsid w:val="00D43AED"/>
    <w:rsid w:val="00D43F3E"/>
    <w:rsid w:val="00D44261"/>
    <w:rsid w:val="00D44916"/>
    <w:rsid w:val="00D458BD"/>
    <w:rsid w:val="00D45AE4"/>
    <w:rsid w:val="00D45CA4"/>
    <w:rsid w:val="00D45EA7"/>
    <w:rsid w:val="00D45F22"/>
    <w:rsid w:val="00D47178"/>
    <w:rsid w:val="00D4752E"/>
    <w:rsid w:val="00D47842"/>
    <w:rsid w:val="00D47BEF"/>
    <w:rsid w:val="00D47C0D"/>
    <w:rsid w:val="00D47E67"/>
    <w:rsid w:val="00D50826"/>
    <w:rsid w:val="00D51675"/>
    <w:rsid w:val="00D51F73"/>
    <w:rsid w:val="00D52181"/>
    <w:rsid w:val="00D52827"/>
    <w:rsid w:val="00D529BE"/>
    <w:rsid w:val="00D52CF6"/>
    <w:rsid w:val="00D53D3E"/>
    <w:rsid w:val="00D547E0"/>
    <w:rsid w:val="00D54992"/>
    <w:rsid w:val="00D55291"/>
    <w:rsid w:val="00D55C48"/>
    <w:rsid w:val="00D55E47"/>
    <w:rsid w:val="00D56180"/>
    <w:rsid w:val="00D56392"/>
    <w:rsid w:val="00D56997"/>
    <w:rsid w:val="00D569A3"/>
    <w:rsid w:val="00D56BF7"/>
    <w:rsid w:val="00D570E6"/>
    <w:rsid w:val="00D5730F"/>
    <w:rsid w:val="00D5774F"/>
    <w:rsid w:val="00D60809"/>
    <w:rsid w:val="00D60D7F"/>
    <w:rsid w:val="00D61066"/>
    <w:rsid w:val="00D61458"/>
    <w:rsid w:val="00D61C9C"/>
    <w:rsid w:val="00D61E7B"/>
    <w:rsid w:val="00D62111"/>
    <w:rsid w:val="00D62229"/>
    <w:rsid w:val="00D625B8"/>
    <w:rsid w:val="00D626F8"/>
    <w:rsid w:val="00D636C2"/>
    <w:rsid w:val="00D636DC"/>
    <w:rsid w:val="00D63CC7"/>
    <w:rsid w:val="00D63F4C"/>
    <w:rsid w:val="00D64613"/>
    <w:rsid w:val="00D64702"/>
    <w:rsid w:val="00D649DC"/>
    <w:rsid w:val="00D65A6A"/>
    <w:rsid w:val="00D65D66"/>
    <w:rsid w:val="00D65ED5"/>
    <w:rsid w:val="00D65EDA"/>
    <w:rsid w:val="00D66BFD"/>
    <w:rsid w:val="00D66C91"/>
    <w:rsid w:val="00D66D46"/>
    <w:rsid w:val="00D66D70"/>
    <w:rsid w:val="00D674EE"/>
    <w:rsid w:val="00D67535"/>
    <w:rsid w:val="00D67BC9"/>
    <w:rsid w:val="00D67DBC"/>
    <w:rsid w:val="00D704D9"/>
    <w:rsid w:val="00D70612"/>
    <w:rsid w:val="00D70934"/>
    <w:rsid w:val="00D70BD2"/>
    <w:rsid w:val="00D713F2"/>
    <w:rsid w:val="00D71DC6"/>
    <w:rsid w:val="00D721A0"/>
    <w:rsid w:val="00D721B1"/>
    <w:rsid w:val="00D72705"/>
    <w:rsid w:val="00D738BF"/>
    <w:rsid w:val="00D73B93"/>
    <w:rsid w:val="00D73C95"/>
    <w:rsid w:val="00D7400F"/>
    <w:rsid w:val="00D745C1"/>
    <w:rsid w:val="00D74784"/>
    <w:rsid w:val="00D74C0D"/>
    <w:rsid w:val="00D75053"/>
    <w:rsid w:val="00D756F6"/>
    <w:rsid w:val="00D75731"/>
    <w:rsid w:val="00D75B45"/>
    <w:rsid w:val="00D75B5C"/>
    <w:rsid w:val="00D75F8C"/>
    <w:rsid w:val="00D76050"/>
    <w:rsid w:val="00D76210"/>
    <w:rsid w:val="00D76309"/>
    <w:rsid w:val="00D76423"/>
    <w:rsid w:val="00D767BF"/>
    <w:rsid w:val="00D77278"/>
    <w:rsid w:val="00D775B5"/>
    <w:rsid w:val="00D7782E"/>
    <w:rsid w:val="00D77961"/>
    <w:rsid w:val="00D77A47"/>
    <w:rsid w:val="00D77B20"/>
    <w:rsid w:val="00D77B3B"/>
    <w:rsid w:val="00D8007C"/>
    <w:rsid w:val="00D8079F"/>
    <w:rsid w:val="00D8103B"/>
    <w:rsid w:val="00D8111B"/>
    <w:rsid w:val="00D81242"/>
    <w:rsid w:val="00D812D2"/>
    <w:rsid w:val="00D81A8E"/>
    <w:rsid w:val="00D822E5"/>
    <w:rsid w:val="00D828E6"/>
    <w:rsid w:val="00D82C80"/>
    <w:rsid w:val="00D82D02"/>
    <w:rsid w:val="00D82D0F"/>
    <w:rsid w:val="00D83250"/>
    <w:rsid w:val="00D8336C"/>
    <w:rsid w:val="00D83A5A"/>
    <w:rsid w:val="00D84157"/>
    <w:rsid w:val="00D84AB8"/>
    <w:rsid w:val="00D84BD7"/>
    <w:rsid w:val="00D84DCA"/>
    <w:rsid w:val="00D85114"/>
    <w:rsid w:val="00D857BC"/>
    <w:rsid w:val="00D85CC6"/>
    <w:rsid w:val="00D866CC"/>
    <w:rsid w:val="00D86A92"/>
    <w:rsid w:val="00D871B6"/>
    <w:rsid w:val="00D875E1"/>
    <w:rsid w:val="00D90052"/>
    <w:rsid w:val="00D90275"/>
    <w:rsid w:val="00D902F5"/>
    <w:rsid w:val="00D9075D"/>
    <w:rsid w:val="00D90959"/>
    <w:rsid w:val="00D91410"/>
    <w:rsid w:val="00D91438"/>
    <w:rsid w:val="00D91594"/>
    <w:rsid w:val="00D91ABE"/>
    <w:rsid w:val="00D91DFB"/>
    <w:rsid w:val="00D921DA"/>
    <w:rsid w:val="00D929A2"/>
    <w:rsid w:val="00D92A4A"/>
    <w:rsid w:val="00D92C2F"/>
    <w:rsid w:val="00D92DE4"/>
    <w:rsid w:val="00D92F7F"/>
    <w:rsid w:val="00D930AC"/>
    <w:rsid w:val="00D9459D"/>
    <w:rsid w:val="00D94730"/>
    <w:rsid w:val="00D94858"/>
    <w:rsid w:val="00D9487D"/>
    <w:rsid w:val="00D94972"/>
    <w:rsid w:val="00D9535B"/>
    <w:rsid w:val="00D954A1"/>
    <w:rsid w:val="00D95519"/>
    <w:rsid w:val="00D95744"/>
    <w:rsid w:val="00D958FC"/>
    <w:rsid w:val="00D959AE"/>
    <w:rsid w:val="00D95DC2"/>
    <w:rsid w:val="00D96678"/>
    <w:rsid w:val="00D9673A"/>
    <w:rsid w:val="00D96816"/>
    <w:rsid w:val="00D96A3F"/>
    <w:rsid w:val="00D96C73"/>
    <w:rsid w:val="00D96D46"/>
    <w:rsid w:val="00D97A3A"/>
    <w:rsid w:val="00D97C27"/>
    <w:rsid w:val="00DA032C"/>
    <w:rsid w:val="00DA0526"/>
    <w:rsid w:val="00DA0639"/>
    <w:rsid w:val="00DA0B8C"/>
    <w:rsid w:val="00DA0CF7"/>
    <w:rsid w:val="00DA0E96"/>
    <w:rsid w:val="00DA1203"/>
    <w:rsid w:val="00DA14A0"/>
    <w:rsid w:val="00DA15AC"/>
    <w:rsid w:val="00DA18DA"/>
    <w:rsid w:val="00DA1F0C"/>
    <w:rsid w:val="00DA24E9"/>
    <w:rsid w:val="00DA25E6"/>
    <w:rsid w:val="00DA2935"/>
    <w:rsid w:val="00DA2B06"/>
    <w:rsid w:val="00DA2B20"/>
    <w:rsid w:val="00DA2D97"/>
    <w:rsid w:val="00DA3565"/>
    <w:rsid w:val="00DA359C"/>
    <w:rsid w:val="00DA36A9"/>
    <w:rsid w:val="00DA3A5B"/>
    <w:rsid w:val="00DA3D0B"/>
    <w:rsid w:val="00DA3F51"/>
    <w:rsid w:val="00DA41AA"/>
    <w:rsid w:val="00DA45A0"/>
    <w:rsid w:val="00DA45DB"/>
    <w:rsid w:val="00DA48D9"/>
    <w:rsid w:val="00DA49F8"/>
    <w:rsid w:val="00DA4AAE"/>
    <w:rsid w:val="00DA5572"/>
    <w:rsid w:val="00DA5BFE"/>
    <w:rsid w:val="00DA5D5D"/>
    <w:rsid w:val="00DA6A15"/>
    <w:rsid w:val="00DA6B3A"/>
    <w:rsid w:val="00DA6CC2"/>
    <w:rsid w:val="00DA7029"/>
    <w:rsid w:val="00DA70B9"/>
    <w:rsid w:val="00DA77A0"/>
    <w:rsid w:val="00DB09A2"/>
    <w:rsid w:val="00DB103D"/>
    <w:rsid w:val="00DB1420"/>
    <w:rsid w:val="00DB1448"/>
    <w:rsid w:val="00DB1907"/>
    <w:rsid w:val="00DB1998"/>
    <w:rsid w:val="00DB1FC4"/>
    <w:rsid w:val="00DB21F0"/>
    <w:rsid w:val="00DB25DB"/>
    <w:rsid w:val="00DB2C5F"/>
    <w:rsid w:val="00DB3A58"/>
    <w:rsid w:val="00DB3BDF"/>
    <w:rsid w:val="00DB3C58"/>
    <w:rsid w:val="00DB3D46"/>
    <w:rsid w:val="00DB401C"/>
    <w:rsid w:val="00DB46C8"/>
    <w:rsid w:val="00DB52F0"/>
    <w:rsid w:val="00DB540E"/>
    <w:rsid w:val="00DB5A63"/>
    <w:rsid w:val="00DB6166"/>
    <w:rsid w:val="00DB6520"/>
    <w:rsid w:val="00DB656B"/>
    <w:rsid w:val="00DB6803"/>
    <w:rsid w:val="00DB691E"/>
    <w:rsid w:val="00DB6C99"/>
    <w:rsid w:val="00DB6EB1"/>
    <w:rsid w:val="00DB75A3"/>
    <w:rsid w:val="00DC02F5"/>
    <w:rsid w:val="00DC0574"/>
    <w:rsid w:val="00DC0C65"/>
    <w:rsid w:val="00DC10E5"/>
    <w:rsid w:val="00DC16BF"/>
    <w:rsid w:val="00DC16E1"/>
    <w:rsid w:val="00DC16FC"/>
    <w:rsid w:val="00DC1881"/>
    <w:rsid w:val="00DC19CB"/>
    <w:rsid w:val="00DC1ED7"/>
    <w:rsid w:val="00DC209D"/>
    <w:rsid w:val="00DC294E"/>
    <w:rsid w:val="00DC37B9"/>
    <w:rsid w:val="00DC3954"/>
    <w:rsid w:val="00DC3A6F"/>
    <w:rsid w:val="00DC3D1C"/>
    <w:rsid w:val="00DC43E1"/>
    <w:rsid w:val="00DC50E9"/>
    <w:rsid w:val="00DC5199"/>
    <w:rsid w:val="00DC5A32"/>
    <w:rsid w:val="00DC5E4E"/>
    <w:rsid w:val="00DC651B"/>
    <w:rsid w:val="00DC662F"/>
    <w:rsid w:val="00DC6961"/>
    <w:rsid w:val="00DC6E78"/>
    <w:rsid w:val="00DC707F"/>
    <w:rsid w:val="00DC729A"/>
    <w:rsid w:val="00DC73B1"/>
    <w:rsid w:val="00DC7519"/>
    <w:rsid w:val="00DC7630"/>
    <w:rsid w:val="00DC7EB5"/>
    <w:rsid w:val="00DD04AC"/>
    <w:rsid w:val="00DD04DD"/>
    <w:rsid w:val="00DD0891"/>
    <w:rsid w:val="00DD0AB4"/>
    <w:rsid w:val="00DD0B35"/>
    <w:rsid w:val="00DD0C4D"/>
    <w:rsid w:val="00DD0F9F"/>
    <w:rsid w:val="00DD11A7"/>
    <w:rsid w:val="00DD1298"/>
    <w:rsid w:val="00DD2300"/>
    <w:rsid w:val="00DD2309"/>
    <w:rsid w:val="00DD28B3"/>
    <w:rsid w:val="00DD2DE3"/>
    <w:rsid w:val="00DD2DE8"/>
    <w:rsid w:val="00DD316F"/>
    <w:rsid w:val="00DD357C"/>
    <w:rsid w:val="00DD370C"/>
    <w:rsid w:val="00DD37CA"/>
    <w:rsid w:val="00DD3D55"/>
    <w:rsid w:val="00DD3DF7"/>
    <w:rsid w:val="00DD3E58"/>
    <w:rsid w:val="00DD4AE2"/>
    <w:rsid w:val="00DD4BFA"/>
    <w:rsid w:val="00DD51F8"/>
    <w:rsid w:val="00DD6388"/>
    <w:rsid w:val="00DD6C53"/>
    <w:rsid w:val="00DD7198"/>
    <w:rsid w:val="00DD7752"/>
    <w:rsid w:val="00DD7CB6"/>
    <w:rsid w:val="00DE0077"/>
    <w:rsid w:val="00DE0137"/>
    <w:rsid w:val="00DE01BA"/>
    <w:rsid w:val="00DE061F"/>
    <w:rsid w:val="00DE0DCF"/>
    <w:rsid w:val="00DE137B"/>
    <w:rsid w:val="00DE19D9"/>
    <w:rsid w:val="00DE1DC6"/>
    <w:rsid w:val="00DE1F77"/>
    <w:rsid w:val="00DE21C6"/>
    <w:rsid w:val="00DE22AA"/>
    <w:rsid w:val="00DE288F"/>
    <w:rsid w:val="00DE2BDD"/>
    <w:rsid w:val="00DE2C45"/>
    <w:rsid w:val="00DE2D49"/>
    <w:rsid w:val="00DE2ED5"/>
    <w:rsid w:val="00DE2F4E"/>
    <w:rsid w:val="00DE3E66"/>
    <w:rsid w:val="00DE3F75"/>
    <w:rsid w:val="00DE41FC"/>
    <w:rsid w:val="00DE45F5"/>
    <w:rsid w:val="00DE4AAD"/>
    <w:rsid w:val="00DE4C0C"/>
    <w:rsid w:val="00DE4C85"/>
    <w:rsid w:val="00DE4D46"/>
    <w:rsid w:val="00DE4FC8"/>
    <w:rsid w:val="00DE53B5"/>
    <w:rsid w:val="00DE5A50"/>
    <w:rsid w:val="00DE5AFF"/>
    <w:rsid w:val="00DE60C5"/>
    <w:rsid w:val="00DE7323"/>
    <w:rsid w:val="00DE75F0"/>
    <w:rsid w:val="00DE77CB"/>
    <w:rsid w:val="00DE7EBA"/>
    <w:rsid w:val="00DE7EF8"/>
    <w:rsid w:val="00DF04BD"/>
    <w:rsid w:val="00DF050A"/>
    <w:rsid w:val="00DF068D"/>
    <w:rsid w:val="00DF0D3A"/>
    <w:rsid w:val="00DF140A"/>
    <w:rsid w:val="00DF1A9A"/>
    <w:rsid w:val="00DF1C2D"/>
    <w:rsid w:val="00DF1F8A"/>
    <w:rsid w:val="00DF2209"/>
    <w:rsid w:val="00DF248E"/>
    <w:rsid w:val="00DF2715"/>
    <w:rsid w:val="00DF3577"/>
    <w:rsid w:val="00DF4063"/>
    <w:rsid w:val="00DF58A3"/>
    <w:rsid w:val="00DF5965"/>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453"/>
    <w:rsid w:val="00E039D9"/>
    <w:rsid w:val="00E03D3F"/>
    <w:rsid w:val="00E03DED"/>
    <w:rsid w:val="00E03F32"/>
    <w:rsid w:val="00E0437C"/>
    <w:rsid w:val="00E0452C"/>
    <w:rsid w:val="00E04D61"/>
    <w:rsid w:val="00E0504C"/>
    <w:rsid w:val="00E05074"/>
    <w:rsid w:val="00E052DA"/>
    <w:rsid w:val="00E05489"/>
    <w:rsid w:val="00E05741"/>
    <w:rsid w:val="00E05F7F"/>
    <w:rsid w:val="00E06549"/>
    <w:rsid w:val="00E06930"/>
    <w:rsid w:val="00E06971"/>
    <w:rsid w:val="00E075FA"/>
    <w:rsid w:val="00E07B27"/>
    <w:rsid w:val="00E07CAF"/>
    <w:rsid w:val="00E07D90"/>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61E6"/>
    <w:rsid w:val="00E167C9"/>
    <w:rsid w:val="00E1698C"/>
    <w:rsid w:val="00E16BDB"/>
    <w:rsid w:val="00E16CE4"/>
    <w:rsid w:val="00E172BE"/>
    <w:rsid w:val="00E17CF7"/>
    <w:rsid w:val="00E205D6"/>
    <w:rsid w:val="00E20829"/>
    <w:rsid w:val="00E209AB"/>
    <w:rsid w:val="00E216EC"/>
    <w:rsid w:val="00E2189A"/>
    <w:rsid w:val="00E21A60"/>
    <w:rsid w:val="00E224CE"/>
    <w:rsid w:val="00E22B5A"/>
    <w:rsid w:val="00E22B68"/>
    <w:rsid w:val="00E231C9"/>
    <w:rsid w:val="00E237CA"/>
    <w:rsid w:val="00E23EBF"/>
    <w:rsid w:val="00E23FA1"/>
    <w:rsid w:val="00E23FD5"/>
    <w:rsid w:val="00E24669"/>
    <w:rsid w:val="00E24A70"/>
    <w:rsid w:val="00E24C0D"/>
    <w:rsid w:val="00E24C48"/>
    <w:rsid w:val="00E24EE4"/>
    <w:rsid w:val="00E2586C"/>
    <w:rsid w:val="00E25981"/>
    <w:rsid w:val="00E26056"/>
    <w:rsid w:val="00E26141"/>
    <w:rsid w:val="00E266F5"/>
    <w:rsid w:val="00E2673E"/>
    <w:rsid w:val="00E270D3"/>
    <w:rsid w:val="00E27FC7"/>
    <w:rsid w:val="00E3050B"/>
    <w:rsid w:val="00E30700"/>
    <w:rsid w:val="00E31115"/>
    <w:rsid w:val="00E31360"/>
    <w:rsid w:val="00E31D28"/>
    <w:rsid w:val="00E32425"/>
    <w:rsid w:val="00E32443"/>
    <w:rsid w:val="00E3252C"/>
    <w:rsid w:val="00E325FF"/>
    <w:rsid w:val="00E32A93"/>
    <w:rsid w:val="00E32CB8"/>
    <w:rsid w:val="00E32F67"/>
    <w:rsid w:val="00E33B78"/>
    <w:rsid w:val="00E3440F"/>
    <w:rsid w:val="00E34F3A"/>
    <w:rsid w:val="00E356B3"/>
    <w:rsid w:val="00E35F99"/>
    <w:rsid w:val="00E35F9A"/>
    <w:rsid w:val="00E3637F"/>
    <w:rsid w:val="00E364B6"/>
    <w:rsid w:val="00E36723"/>
    <w:rsid w:val="00E36BC3"/>
    <w:rsid w:val="00E3713C"/>
    <w:rsid w:val="00E3767B"/>
    <w:rsid w:val="00E37E1C"/>
    <w:rsid w:val="00E40079"/>
    <w:rsid w:val="00E40126"/>
    <w:rsid w:val="00E4013B"/>
    <w:rsid w:val="00E40C85"/>
    <w:rsid w:val="00E40CBF"/>
    <w:rsid w:val="00E40E7D"/>
    <w:rsid w:val="00E40EE4"/>
    <w:rsid w:val="00E413C6"/>
    <w:rsid w:val="00E420D5"/>
    <w:rsid w:val="00E42517"/>
    <w:rsid w:val="00E42948"/>
    <w:rsid w:val="00E42B77"/>
    <w:rsid w:val="00E42D55"/>
    <w:rsid w:val="00E42FFE"/>
    <w:rsid w:val="00E4316E"/>
    <w:rsid w:val="00E435AB"/>
    <w:rsid w:val="00E44275"/>
    <w:rsid w:val="00E445B6"/>
    <w:rsid w:val="00E44705"/>
    <w:rsid w:val="00E44777"/>
    <w:rsid w:val="00E44B88"/>
    <w:rsid w:val="00E44F67"/>
    <w:rsid w:val="00E4535F"/>
    <w:rsid w:val="00E455E3"/>
    <w:rsid w:val="00E45F9D"/>
    <w:rsid w:val="00E466BC"/>
    <w:rsid w:val="00E4686A"/>
    <w:rsid w:val="00E46F02"/>
    <w:rsid w:val="00E4791C"/>
    <w:rsid w:val="00E479FD"/>
    <w:rsid w:val="00E47A76"/>
    <w:rsid w:val="00E504D6"/>
    <w:rsid w:val="00E50B6F"/>
    <w:rsid w:val="00E50EBE"/>
    <w:rsid w:val="00E50F69"/>
    <w:rsid w:val="00E50FC6"/>
    <w:rsid w:val="00E510AC"/>
    <w:rsid w:val="00E52372"/>
    <w:rsid w:val="00E5272D"/>
    <w:rsid w:val="00E52786"/>
    <w:rsid w:val="00E52F05"/>
    <w:rsid w:val="00E53844"/>
    <w:rsid w:val="00E53EF7"/>
    <w:rsid w:val="00E540CA"/>
    <w:rsid w:val="00E54C83"/>
    <w:rsid w:val="00E55460"/>
    <w:rsid w:val="00E55851"/>
    <w:rsid w:val="00E558BA"/>
    <w:rsid w:val="00E55B28"/>
    <w:rsid w:val="00E56D4A"/>
    <w:rsid w:val="00E57119"/>
    <w:rsid w:val="00E5719E"/>
    <w:rsid w:val="00E57D7B"/>
    <w:rsid w:val="00E57F4B"/>
    <w:rsid w:val="00E602E5"/>
    <w:rsid w:val="00E602F8"/>
    <w:rsid w:val="00E6085B"/>
    <w:rsid w:val="00E60FBA"/>
    <w:rsid w:val="00E60FBF"/>
    <w:rsid w:val="00E60FC9"/>
    <w:rsid w:val="00E611AE"/>
    <w:rsid w:val="00E616F9"/>
    <w:rsid w:val="00E61852"/>
    <w:rsid w:val="00E61A0C"/>
    <w:rsid w:val="00E61D22"/>
    <w:rsid w:val="00E61D96"/>
    <w:rsid w:val="00E61E4B"/>
    <w:rsid w:val="00E61E57"/>
    <w:rsid w:val="00E625B6"/>
    <w:rsid w:val="00E62F6E"/>
    <w:rsid w:val="00E630F3"/>
    <w:rsid w:val="00E63DA2"/>
    <w:rsid w:val="00E641E8"/>
    <w:rsid w:val="00E642AF"/>
    <w:rsid w:val="00E644C6"/>
    <w:rsid w:val="00E64555"/>
    <w:rsid w:val="00E64595"/>
    <w:rsid w:val="00E646BB"/>
    <w:rsid w:val="00E64B83"/>
    <w:rsid w:val="00E64D24"/>
    <w:rsid w:val="00E64FAF"/>
    <w:rsid w:val="00E6532C"/>
    <w:rsid w:val="00E653A6"/>
    <w:rsid w:val="00E6549C"/>
    <w:rsid w:val="00E654B9"/>
    <w:rsid w:val="00E6589D"/>
    <w:rsid w:val="00E65E8C"/>
    <w:rsid w:val="00E665E7"/>
    <w:rsid w:val="00E6661C"/>
    <w:rsid w:val="00E66795"/>
    <w:rsid w:val="00E66C96"/>
    <w:rsid w:val="00E67D37"/>
    <w:rsid w:val="00E70130"/>
    <w:rsid w:val="00E706DE"/>
    <w:rsid w:val="00E70875"/>
    <w:rsid w:val="00E71063"/>
    <w:rsid w:val="00E715FC"/>
    <w:rsid w:val="00E71A45"/>
    <w:rsid w:val="00E71C21"/>
    <w:rsid w:val="00E72F23"/>
    <w:rsid w:val="00E72F38"/>
    <w:rsid w:val="00E730FC"/>
    <w:rsid w:val="00E73481"/>
    <w:rsid w:val="00E7385A"/>
    <w:rsid w:val="00E7391F"/>
    <w:rsid w:val="00E73CE6"/>
    <w:rsid w:val="00E74780"/>
    <w:rsid w:val="00E74956"/>
    <w:rsid w:val="00E752F7"/>
    <w:rsid w:val="00E75848"/>
    <w:rsid w:val="00E759D4"/>
    <w:rsid w:val="00E75FF5"/>
    <w:rsid w:val="00E76A3C"/>
    <w:rsid w:val="00E76F9B"/>
    <w:rsid w:val="00E77031"/>
    <w:rsid w:val="00E771FC"/>
    <w:rsid w:val="00E773E5"/>
    <w:rsid w:val="00E77BDD"/>
    <w:rsid w:val="00E80112"/>
    <w:rsid w:val="00E806D3"/>
    <w:rsid w:val="00E80FD4"/>
    <w:rsid w:val="00E8104D"/>
    <w:rsid w:val="00E81C34"/>
    <w:rsid w:val="00E81D83"/>
    <w:rsid w:val="00E821BB"/>
    <w:rsid w:val="00E822E9"/>
    <w:rsid w:val="00E826FE"/>
    <w:rsid w:val="00E8275E"/>
    <w:rsid w:val="00E827AF"/>
    <w:rsid w:val="00E82CA0"/>
    <w:rsid w:val="00E82DE9"/>
    <w:rsid w:val="00E83253"/>
    <w:rsid w:val="00E83714"/>
    <w:rsid w:val="00E83831"/>
    <w:rsid w:val="00E83C91"/>
    <w:rsid w:val="00E83D91"/>
    <w:rsid w:val="00E844AB"/>
    <w:rsid w:val="00E84C97"/>
    <w:rsid w:val="00E84C98"/>
    <w:rsid w:val="00E85005"/>
    <w:rsid w:val="00E85296"/>
    <w:rsid w:val="00E8533B"/>
    <w:rsid w:val="00E85BD0"/>
    <w:rsid w:val="00E85E4E"/>
    <w:rsid w:val="00E86327"/>
    <w:rsid w:val="00E86DF0"/>
    <w:rsid w:val="00E87BD2"/>
    <w:rsid w:val="00E87CDC"/>
    <w:rsid w:val="00E90A2A"/>
    <w:rsid w:val="00E90B33"/>
    <w:rsid w:val="00E90D2E"/>
    <w:rsid w:val="00E910E4"/>
    <w:rsid w:val="00E911E0"/>
    <w:rsid w:val="00E92115"/>
    <w:rsid w:val="00E921F9"/>
    <w:rsid w:val="00E92938"/>
    <w:rsid w:val="00E931A3"/>
    <w:rsid w:val="00E93407"/>
    <w:rsid w:val="00E93572"/>
    <w:rsid w:val="00E940A8"/>
    <w:rsid w:val="00E94307"/>
    <w:rsid w:val="00E947E8"/>
    <w:rsid w:val="00E94B0F"/>
    <w:rsid w:val="00E94EF6"/>
    <w:rsid w:val="00E9503F"/>
    <w:rsid w:val="00E956F3"/>
    <w:rsid w:val="00E95AA7"/>
    <w:rsid w:val="00E96375"/>
    <w:rsid w:val="00E967C0"/>
    <w:rsid w:val="00E96E68"/>
    <w:rsid w:val="00E97013"/>
    <w:rsid w:val="00E97EA1"/>
    <w:rsid w:val="00EA0BBE"/>
    <w:rsid w:val="00EA18B9"/>
    <w:rsid w:val="00EA193E"/>
    <w:rsid w:val="00EA1D70"/>
    <w:rsid w:val="00EA1FBC"/>
    <w:rsid w:val="00EA20A1"/>
    <w:rsid w:val="00EA212B"/>
    <w:rsid w:val="00EA24B5"/>
    <w:rsid w:val="00EA2522"/>
    <w:rsid w:val="00EA2AAA"/>
    <w:rsid w:val="00EA2D41"/>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5BD"/>
    <w:rsid w:val="00EA7C47"/>
    <w:rsid w:val="00EB02F9"/>
    <w:rsid w:val="00EB0F0F"/>
    <w:rsid w:val="00EB12A5"/>
    <w:rsid w:val="00EB2143"/>
    <w:rsid w:val="00EB24D8"/>
    <w:rsid w:val="00EB277B"/>
    <w:rsid w:val="00EB2F20"/>
    <w:rsid w:val="00EB2F35"/>
    <w:rsid w:val="00EB31DB"/>
    <w:rsid w:val="00EB3422"/>
    <w:rsid w:val="00EB3A31"/>
    <w:rsid w:val="00EB4EAF"/>
    <w:rsid w:val="00EB5056"/>
    <w:rsid w:val="00EB548E"/>
    <w:rsid w:val="00EB584B"/>
    <w:rsid w:val="00EB5C41"/>
    <w:rsid w:val="00EB5F5A"/>
    <w:rsid w:val="00EB647F"/>
    <w:rsid w:val="00EB656C"/>
    <w:rsid w:val="00EB657E"/>
    <w:rsid w:val="00EB695E"/>
    <w:rsid w:val="00EB69D1"/>
    <w:rsid w:val="00EB69D4"/>
    <w:rsid w:val="00EB6FE9"/>
    <w:rsid w:val="00EB72FF"/>
    <w:rsid w:val="00EB756F"/>
    <w:rsid w:val="00EB79C8"/>
    <w:rsid w:val="00EB7E3F"/>
    <w:rsid w:val="00EB7E78"/>
    <w:rsid w:val="00EC013A"/>
    <w:rsid w:val="00EC0301"/>
    <w:rsid w:val="00EC08B5"/>
    <w:rsid w:val="00EC09C6"/>
    <w:rsid w:val="00EC0EA5"/>
    <w:rsid w:val="00EC1056"/>
    <w:rsid w:val="00EC1470"/>
    <w:rsid w:val="00EC164F"/>
    <w:rsid w:val="00EC222E"/>
    <w:rsid w:val="00EC2716"/>
    <w:rsid w:val="00EC2DBB"/>
    <w:rsid w:val="00EC343A"/>
    <w:rsid w:val="00EC3517"/>
    <w:rsid w:val="00EC358E"/>
    <w:rsid w:val="00EC3FD2"/>
    <w:rsid w:val="00EC4095"/>
    <w:rsid w:val="00EC43B5"/>
    <w:rsid w:val="00EC4537"/>
    <w:rsid w:val="00EC4960"/>
    <w:rsid w:val="00EC4AE3"/>
    <w:rsid w:val="00EC5414"/>
    <w:rsid w:val="00EC54EE"/>
    <w:rsid w:val="00EC59B2"/>
    <w:rsid w:val="00EC5A3B"/>
    <w:rsid w:val="00EC6424"/>
    <w:rsid w:val="00EC786C"/>
    <w:rsid w:val="00EC7ADD"/>
    <w:rsid w:val="00EC7C26"/>
    <w:rsid w:val="00ED04FE"/>
    <w:rsid w:val="00ED0DD0"/>
    <w:rsid w:val="00ED1122"/>
    <w:rsid w:val="00ED1989"/>
    <w:rsid w:val="00ED28F2"/>
    <w:rsid w:val="00ED2F3E"/>
    <w:rsid w:val="00ED3145"/>
    <w:rsid w:val="00ED3309"/>
    <w:rsid w:val="00ED356E"/>
    <w:rsid w:val="00ED3792"/>
    <w:rsid w:val="00ED3B83"/>
    <w:rsid w:val="00ED3BDA"/>
    <w:rsid w:val="00ED56F9"/>
    <w:rsid w:val="00ED5A3B"/>
    <w:rsid w:val="00ED5C30"/>
    <w:rsid w:val="00ED5E02"/>
    <w:rsid w:val="00ED5EED"/>
    <w:rsid w:val="00ED612A"/>
    <w:rsid w:val="00ED6B1C"/>
    <w:rsid w:val="00ED6CF7"/>
    <w:rsid w:val="00ED6F33"/>
    <w:rsid w:val="00ED70A5"/>
    <w:rsid w:val="00ED7716"/>
    <w:rsid w:val="00ED7737"/>
    <w:rsid w:val="00ED7747"/>
    <w:rsid w:val="00ED7CF4"/>
    <w:rsid w:val="00ED7FA2"/>
    <w:rsid w:val="00EE01E6"/>
    <w:rsid w:val="00EE0786"/>
    <w:rsid w:val="00EE1B0E"/>
    <w:rsid w:val="00EE22FB"/>
    <w:rsid w:val="00EE2407"/>
    <w:rsid w:val="00EE26AE"/>
    <w:rsid w:val="00EE29C8"/>
    <w:rsid w:val="00EE2A54"/>
    <w:rsid w:val="00EE2FC2"/>
    <w:rsid w:val="00EE310D"/>
    <w:rsid w:val="00EE3AAF"/>
    <w:rsid w:val="00EE3B6B"/>
    <w:rsid w:val="00EE3B88"/>
    <w:rsid w:val="00EE4550"/>
    <w:rsid w:val="00EE4635"/>
    <w:rsid w:val="00EE4B75"/>
    <w:rsid w:val="00EE4D34"/>
    <w:rsid w:val="00EE4DBD"/>
    <w:rsid w:val="00EE649F"/>
    <w:rsid w:val="00EE6AC6"/>
    <w:rsid w:val="00EE6E26"/>
    <w:rsid w:val="00EE784F"/>
    <w:rsid w:val="00EE7A1D"/>
    <w:rsid w:val="00EE7DBD"/>
    <w:rsid w:val="00EF0500"/>
    <w:rsid w:val="00EF0808"/>
    <w:rsid w:val="00EF0A68"/>
    <w:rsid w:val="00EF1002"/>
    <w:rsid w:val="00EF143F"/>
    <w:rsid w:val="00EF1710"/>
    <w:rsid w:val="00EF1D3B"/>
    <w:rsid w:val="00EF23D8"/>
    <w:rsid w:val="00EF2A5A"/>
    <w:rsid w:val="00EF2A87"/>
    <w:rsid w:val="00EF3A74"/>
    <w:rsid w:val="00EF3AE9"/>
    <w:rsid w:val="00EF3EA5"/>
    <w:rsid w:val="00EF49FB"/>
    <w:rsid w:val="00EF55D6"/>
    <w:rsid w:val="00EF5788"/>
    <w:rsid w:val="00EF644D"/>
    <w:rsid w:val="00EF64D4"/>
    <w:rsid w:val="00EF6BAD"/>
    <w:rsid w:val="00EF6D29"/>
    <w:rsid w:val="00EF6E79"/>
    <w:rsid w:val="00EF7138"/>
    <w:rsid w:val="00EF7E0B"/>
    <w:rsid w:val="00F00881"/>
    <w:rsid w:val="00F00917"/>
    <w:rsid w:val="00F00B65"/>
    <w:rsid w:val="00F010BB"/>
    <w:rsid w:val="00F012C1"/>
    <w:rsid w:val="00F0175F"/>
    <w:rsid w:val="00F01A41"/>
    <w:rsid w:val="00F02CB5"/>
    <w:rsid w:val="00F03280"/>
    <w:rsid w:val="00F0362A"/>
    <w:rsid w:val="00F0385C"/>
    <w:rsid w:val="00F03ABE"/>
    <w:rsid w:val="00F03B69"/>
    <w:rsid w:val="00F04345"/>
    <w:rsid w:val="00F047A4"/>
    <w:rsid w:val="00F04DDA"/>
    <w:rsid w:val="00F04F52"/>
    <w:rsid w:val="00F0510F"/>
    <w:rsid w:val="00F0563F"/>
    <w:rsid w:val="00F05973"/>
    <w:rsid w:val="00F064EF"/>
    <w:rsid w:val="00F06558"/>
    <w:rsid w:val="00F06817"/>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91B"/>
    <w:rsid w:val="00F11D9F"/>
    <w:rsid w:val="00F11E31"/>
    <w:rsid w:val="00F12C53"/>
    <w:rsid w:val="00F1360C"/>
    <w:rsid w:val="00F13AA1"/>
    <w:rsid w:val="00F13F2A"/>
    <w:rsid w:val="00F148E4"/>
    <w:rsid w:val="00F14D9E"/>
    <w:rsid w:val="00F15097"/>
    <w:rsid w:val="00F153F8"/>
    <w:rsid w:val="00F15671"/>
    <w:rsid w:val="00F157AE"/>
    <w:rsid w:val="00F161E6"/>
    <w:rsid w:val="00F1643E"/>
    <w:rsid w:val="00F16695"/>
    <w:rsid w:val="00F16CDE"/>
    <w:rsid w:val="00F17159"/>
    <w:rsid w:val="00F1733F"/>
    <w:rsid w:val="00F202E3"/>
    <w:rsid w:val="00F20C6E"/>
    <w:rsid w:val="00F20D6C"/>
    <w:rsid w:val="00F20F03"/>
    <w:rsid w:val="00F2255F"/>
    <w:rsid w:val="00F225CF"/>
    <w:rsid w:val="00F22882"/>
    <w:rsid w:val="00F22985"/>
    <w:rsid w:val="00F22AEF"/>
    <w:rsid w:val="00F22F7A"/>
    <w:rsid w:val="00F2343C"/>
    <w:rsid w:val="00F234DC"/>
    <w:rsid w:val="00F23A0A"/>
    <w:rsid w:val="00F23CFC"/>
    <w:rsid w:val="00F24076"/>
    <w:rsid w:val="00F240CB"/>
    <w:rsid w:val="00F2492F"/>
    <w:rsid w:val="00F24AC0"/>
    <w:rsid w:val="00F24B29"/>
    <w:rsid w:val="00F2500D"/>
    <w:rsid w:val="00F251B2"/>
    <w:rsid w:val="00F2596D"/>
    <w:rsid w:val="00F25A3E"/>
    <w:rsid w:val="00F25CAA"/>
    <w:rsid w:val="00F26148"/>
    <w:rsid w:val="00F26AD6"/>
    <w:rsid w:val="00F26DD8"/>
    <w:rsid w:val="00F2711C"/>
    <w:rsid w:val="00F2720E"/>
    <w:rsid w:val="00F27253"/>
    <w:rsid w:val="00F277E8"/>
    <w:rsid w:val="00F27B04"/>
    <w:rsid w:val="00F27E3D"/>
    <w:rsid w:val="00F27EB2"/>
    <w:rsid w:val="00F301D0"/>
    <w:rsid w:val="00F3069F"/>
    <w:rsid w:val="00F30A02"/>
    <w:rsid w:val="00F30C3F"/>
    <w:rsid w:val="00F30C60"/>
    <w:rsid w:val="00F30F38"/>
    <w:rsid w:val="00F31082"/>
    <w:rsid w:val="00F311D1"/>
    <w:rsid w:val="00F3158A"/>
    <w:rsid w:val="00F318DB"/>
    <w:rsid w:val="00F3199C"/>
    <w:rsid w:val="00F31F7D"/>
    <w:rsid w:val="00F31FB9"/>
    <w:rsid w:val="00F326F6"/>
    <w:rsid w:val="00F32AFF"/>
    <w:rsid w:val="00F33825"/>
    <w:rsid w:val="00F33A5E"/>
    <w:rsid w:val="00F33A8B"/>
    <w:rsid w:val="00F33D3B"/>
    <w:rsid w:val="00F34A96"/>
    <w:rsid w:val="00F34EBF"/>
    <w:rsid w:val="00F34F05"/>
    <w:rsid w:val="00F34F94"/>
    <w:rsid w:val="00F356D5"/>
    <w:rsid w:val="00F35734"/>
    <w:rsid w:val="00F359A5"/>
    <w:rsid w:val="00F35DD2"/>
    <w:rsid w:val="00F361AE"/>
    <w:rsid w:val="00F36240"/>
    <w:rsid w:val="00F363EB"/>
    <w:rsid w:val="00F365DE"/>
    <w:rsid w:val="00F366DA"/>
    <w:rsid w:val="00F367CF"/>
    <w:rsid w:val="00F36CCC"/>
    <w:rsid w:val="00F36D37"/>
    <w:rsid w:val="00F3719A"/>
    <w:rsid w:val="00F3791E"/>
    <w:rsid w:val="00F379BF"/>
    <w:rsid w:val="00F37EA7"/>
    <w:rsid w:val="00F37ECC"/>
    <w:rsid w:val="00F40805"/>
    <w:rsid w:val="00F40908"/>
    <w:rsid w:val="00F40B93"/>
    <w:rsid w:val="00F40C5E"/>
    <w:rsid w:val="00F40E3E"/>
    <w:rsid w:val="00F4163A"/>
    <w:rsid w:val="00F41873"/>
    <w:rsid w:val="00F419C3"/>
    <w:rsid w:val="00F41D91"/>
    <w:rsid w:val="00F41E2B"/>
    <w:rsid w:val="00F423BE"/>
    <w:rsid w:val="00F424A5"/>
    <w:rsid w:val="00F4253F"/>
    <w:rsid w:val="00F425EF"/>
    <w:rsid w:val="00F428AC"/>
    <w:rsid w:val="00F42AAD"/>
    <w:rsid w:val="00F42EE3"/>
    <w:rsid w:val="00F43149"/>
    <w:rsid w:val="00F43660"/>
    <w:rsid w:val="00F43B91"/>
    <w:rsid w:val="00F44542"/>
    <w:rsid w:val="00F448DD"/>
    <w:rsid w:val="00F44D6A"/>
    <w:rsid w:val="00F44DB8"/>
    <w:rsid w:val="00F45760"/>
    <w:rsid w:val="00F45847"/>
    <w:rsid w:val="00F45925"/>
    <w:rsid w:val="00F46BA6"/>
    <w:rsid w:val="00F46C97"/>
    <w:rsid w:val="00F4703E"/>
    <w:rsid w:val="00F4775F"/>
    <w:rsid w:val="00F478E7"/>
    <w:rsid w:val="00F4797D"/>
    <w:rsid w:val="00F47E6C"/>
    <w:rsid w:val="00F50781"/>
    <w:rsid w:val="00F50CA3"/>
    <w:rsid w:val="00F517ED"/>
    <w:rsid w:val="00F51F3F"/>
    <w:rsid w:val="00F528B5"/>
    <w:rsid w:val="00F528E7"/>
    <w:rsid w:val="00F52C8A"/>
    <w:rsid w:val="00F5352D"/>
    <w:rsid w:val="00F53615"/>
    <w:rsid w:val="00F53696"/>
    <w:rsid w:val="00F53A91"/>
    <w:rsid w:val="00F53D6E"/>
    <w:rsid w:val="00F54466"/>
    <w:rsid w:val="00F54783"/>
    <w:rsid w:val="00F547E9"/>
    <w:rsid w:val="00F5494E"/>
    <w:rsid w:val="00F54ABE"/>
    <w:rsid w:val="00F54DF3"/>
    <w:rsid w:val="00F55804"/>
    <w:rsid w:val="00F55F1A"/>
    <w:rsid w:val="00F56310"/>
    <w:rsid w:val="00F5684C"/>
    <w:rsid w:val="00F57210"/>
    <w:rsid w:val="00F572EB"/>
    <w:rsid w:val="00F577FC"/>
    <w:rsid w:val="00F602F0"/>
    <w:rsid w:val="00F60AF2"/>
    <w:rsid w:val="00F60C90"/>
    <w:rsid w:val="00F619EE"/>
    <w:rsid w:val="00F61CF5"/>
    <w:rsid w:val="00F61FF9"/>
    <w:rsid w:val="00F62069"/>
    <w:rsid w:val="00F62159"/>
    <w:rsid w:val="00F62A7C"/>
    <w:rsid w:val="00F62B93"/>
    <w:rsid w:val="00F633E5"/>
    <w:rsid w:val="00F63C89"/>
    <w:rsid w:val="00F647EC"/>
    <w:rsid w:val="00F64FAB"/>
    <w:rsid w:val="00F654F8"/>
    <w:rsid w:val="00F6583B"/>
    <w:rsid w:val="00F65AC8"/>
    <w:rsid w:val="00F65CEA"/>
    <w:rsid w:val="00F65F15"/>
    <w:rsid w:val="00F66443"/>
    <w:rsid w:val="00F675EA"/>
    <w:rsid w:val="00F678E0"/>
    <w:rsid w:val="00F7073B"/>
    <w:rsid w:val="00F7074A"/>
    <w:rsid w:val="00F70AD6"/>
    <w:rsid w:val="00F71687"/>
    <w:rsid w:val="00F71708"/>
    <w:rsid w:val="00F717C1"/>
    <w:rsid w:val="00F71AAE"/>
    <w:rsid w:val="00F71CDB"/>
    <w:rsid w:val="00F725D3"/>
    <w:rsid w:val="00F7281E"/>
    <w:rsid w:val="00F72C1A"/>
    <w:rsid w:val="00F72C3D"/>
    <w:rsid w:val="00F72CEE"/>
    <w:rsid w:val="00F737AB"/>
    <w:rsid w:val="00F74216"/>
    <w:rsid w:val="00F74F0F"/>
    <w:rsid w:val="00F75731"/>
    <w:rsid w:val="00F75841"/>
    <w:rsid w:val="00F7587E"/>
    <w:rsid w:val="00F75D7D"/>
    <w:rsid w:val="00F76333"/>
    <w:rsid w:val="00F770C6"/>
    <w:rsid w:val="00F77100"/>
    <w:rsid w:val="00F8090F"/>
    <w:rsid w:val="00F80A8A"/>
    <w:rsid w:val="00F80CF4"/>
    <w:rsid w:val="00F8139A"/>
    <w:rsid w:val="00F82AAE"/>
    <w:rsid w:val="00F834BE"/>
    <w:rsid w:val="00F838A9"/>
    <w:rsid w:val="00F849E3"/>
    <w:rsid w:val="00F84AD6"/>
    <w:rsid w:val="00F84B4E"/>
    <w:rsid w:val="00F84C44"/>
    <w:rsid w:val="00F84F30"/>
    <w:rsid w:val="00F851B7"/>
    <w:rsid w:val="00F8566C"/>
    <w:rsid w:val="00F858D4"/>
    <w:rsid w:val="00F85C65"/>
    <w:rsid w:val="00F860EB"/>
    <w:rsid w:val="00F8615F"/>
    <w:rsid w:val="00F868B6"/>
    <w:rsid w:val="00F86968"/>
    <w:rsid w:val="00F86E42"/>
    <w:rsid w:val="00F876E2"/>
    <w:rsid w:val="00F876E6"/>
    <w:rsid w:val="00F87825"/>
    <w:rsid w:val="00F87838"/>
    <w:rsid w:val="00F879E8"/>
    <w:rsid w:val="00F87B16"/>
    <w:rsid w:val="00F87FCE"/>
    <w:rsid w:val="00F9008B"/>
    <w:rsid w:val="00F909C7"/>
    <w:rsid w:val="00F90BA5"/>
    <w:rsid w:val="00F911B1"/>
    <w:rsid w:val="00F91669"/>
    <w:rsid w:val="00F916DE"/>
    <w:rsid w:val="00F9184F"/>
    <w:rsid w:val="00F91943"/>
    <w:rsid w:val="00F9219B"/>
    <w:rsid w:val="00F9231D"/>
    <w:rsid w:val="00F92A66"/>
    <w:rsid w:val="00F92C3E"/>
    <w:rsid w:val="00F931CF"/>
    <w:rsid w:val="00F936C4"/>
    <w:rsid w:val="00F93A31"/>
    <w:rsid w:val="00F93D6E"/>
    <w:rsid w:val="00F94046"/>
    <w:rsid w:val="00F9423D"/>
    <w:rsid w:val="00F942C2"/>
    <w:rsid w:val="00F94609"/>
    <w:rsid w:val="00F94F16"/>
    <w:rsid w:val="00F95182"/>
    <w:rsid w:val="00F956E1"/>
    <w:rsid w:val="00F957D2"/>
    <w:rsid w:val="00F95D94"/>
    <w:rsid w:val="00F96F86"/>
    <w:rsid w:val="00F976DD"/>
    <w:rsid w:val="00FA0210"/>
    <w:rsid w:val="00FA02B8"/>
    <w:rsid w:val="00FA0980"/>
    <w:rsid w:val="00FA1028"/>
    <w:rsid w:val="00FA157E"/>
    <w:rsid w:val="00FA181F"/>
    <w:rsid w:val="00FA1C1F"/>
    <w:rsid w:val="00FA1DB0"/>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157"/>
    <w:rsid w:val="00FA73A6"/>
    <w:rsid w:val="00FA7698"/>
    <w:rsid w:val="00FA78C2"/>
    <w:rsid w:val="00FA7A2D"/>
    <w:rsid w:val="00FA7B4F"/>
    <w:rsid w:val="00FA7DA6"/>
    <w:rsid w:val="00FB02F8"/>
    <w:rsid w:val="00FB030F"/>
    <w:rsid w:val="00FB06E7"/>
    <w:rsid w:val="00FB0822"/>
    <w:rsid w:val="00FB0AC3"/>
    <w:rsid w:val="00FB1050"/>
    <w:rsid w:val="00FB1093"/>
    <w:rsid w:val="00FB13A0"/>
    <w:rsid w:val="00FB2142"/>
    <w:rsid w:val="00FB227E"/>
    <w:rsid w:val="00FB25DA"/>
    <w:rsid w:val="00FB267D"/>
    <w:rsid w:val="00FB2A18"/>
    <w:rsid w:val="00FB2BF4"/>
    <w:rsid w:val="00FB2C8D"/>
    <w:rsid w:val="00FB2DC6"/>
    <w:rsid w:val="00FB3868"/>
    <w:rsid w:val="00FB4267"/>
    <w:rsid w:val="00FB45CC"/>
    <w:rsid w:val="00FB4C40"/>
    <w:rsid w:val="00FB59D4"/>
    <w:rsid w:val="00FB5E81"/>
    <w:rsid w:val="00FB6E6C"/>
    <w:rsid w:val="00FB71B0"/>
    <w:rsid w:val="00FB773D"/>
    <w:rsid w:val="00FB7ABA"/>
    <w:rsid w:val="00FB7C21"/>
    <w:rsid w:val="00FB7C46"/>
    <w:rsid w:val="00FC04E0"/>
    <w:rsid w:val="00FC06CE"/>
    <w:rsid w:val="00FC0D98"/>
    <w:rsid w:val="00FC0E2F"/>
    <w:rsid w:val="00FC1042"/>
    <w:rsid w:val="00FC11C6"/>
    <w:rsid w:val="00FC17D8"/>
    <w:rsid w:val="00FC279A"/>
    <w:rsid w:val="00FC324D"/>
    <w:rsid w:val="00FC39A1"/>
    <w:rsid w:val="00FC3BC3"/>
    <w:rsid w:val="00FC3E47"/>
    <w:rsid w:val="00FC41A0"/>
    <w:rsid w:val="00FC4B53"/>
    <w:rsid w:val="00FC4BAE"/>
    <w:rsid w:val="00FC4F75"/>
    <w:rsid w:val="00FC5160"/>
    <w:rsid w:val="00FC5A36"/>
    <w:rsid w:val="00FC6353"/>
    <w:rsid w:val="00FC69CF"/>
    <w:rsid w:val="00FC6B0B"/>
    <w:rsid w:val="00FC713B"/>
    <w:rsid w:val="00FC7862"/>
    <w:rsid w:val="00FC790D"/>
    <w:rsid w:val="00FC79D5"/>
    <w:rsid w:val="00FC7B35"/>
    <w:rsid w:val="00FC7B53"/>
    <w:rsid w:val="00FC7BD8"/>
    <w:rsid w:val="00FC7D9B"/>
    <w:rsid w:val="00FD0177"/>
    <w:rsid w:val="00FD031B"/>
    <w:rsid w:val="00FD0AE7"/>
    <w:rsid w:val="00FD0B44"/>
    <w:rsid w:val="00FD0F70"/>
    <w:rsid w:val="00FD2315"/>
    <w:rsid w:val="00FD29A7"/>
    <w:rsid w:val="00FD2B15"/>
    <w:rsid w:val="00FD2B37"/>
    <w:rsid w:val="00FD3092"/>
    <w:rsid w:val="00FD3D48"/>
    <w:rsid w:val="00FD412E"/>
    <w:rsid w:val="00FD420F"/>
    <w:rsid w:val="00FD4339"/>
    <w:rsid w:val="00FD4B0C"/>
    <w:rsid w:val="00FD4F2F"/>
    <w:rsid w:val="00FD51F7"/>
    <w:rsid w:val="00FD5258"/>
    <w:rsid w:val="00FD52D7"/>
    <w:rsid w:val="00FD5602"/>
    <w:rsid w:val="00FD5661"/>
    <w:rsid w:val="00FD5A2A"/>
    <w:rsid w:val="00FD5AE2"/>
    <w:rsid w:val="00FD62B4"/>
    <w:rsid w:val="00FD7142"/>
    <w:rsid w:val="00FD750F"/>
    <w:rsid w:val="00FD7548"/>
    <w:rsid w:val="00FD7BA8"/>
    <w:rsid w:val="00FD7DCA"/>
    <w:rsid w:val="00FE011C"/>
    <w:rsid w:val="00FE0458"/>
    <w:rsid w:val="00FE07DC"/>
    <w:rsid w:val="00FE08FB"/>
    <w:rsid w:val="00FE1116"/>
    <w:rsid w:val="00FE2075"/>
    <w:rsid w:val="00FE2080"/>
    <w:rsid w:val="00FE27B9"/>
    <w:rsid w:val="00FE2E37"/>
    <w:rsid w:val="00FE30EF"/>
    <w:rsid w:val="00FE3640"/>
    <w:rsid w:val="00FE36B6"/>
    <w:rsid w:val="00FE3780"/>
    <w:rsid w:val="00FE3954"/>
    <w:rsid w:val="00FE3AE5"/>
    <w:rsid w:val="00FE3CF7"/>
    <w:rsid w:val="00FE4071"/>
    <w:rsid w:val="00FE42E3"/>
    <w:rsid w:val="00FE46DB"/>
    <w:rsid w:val="00FE48FF"/>
    <w:rsid w:val="00FE4ECD"/>
    <w:rsid w:val="00FE52B7"/>
    <w:rsid w:val="00FE53C5"/>
    <w:rsid w:val="00FE56A8"/>
    <w:rsid w:val="00FE57B8"/>
    <w:rsid w:val="00FE5807"/>
    <w:rsid w:val="00FE5C39"/>
    <w:rsid w:val="00FE5C57"/>
    <w:rsid w:val="00FE624E"/>
    <w:rsid w:val="00FE6415"/>
    <w:rsid w:val="00FE69E7"/>
    <w:rsid w:val="00FE6BB8"/>
    <w:rsid w:val="00FE6E76"/>
    <w:rsid w:val="00FF027B"/>
    <w:rsid w:val="00FF0A67"/>
    <w:rsid w:val="00FF1174"/>
    <w:rsid w:val="00FF165A"/>
    <w:rsid w:val="00FF1B72"/>
    <w:rsid w:val="00FF1CF1"/>
    <w:rsid w:val="00FF1F4C"/>
    <w:rsid w:val="00FF1F90"/>
    <w:rsid w:val="00FF228F"/>
    <w:rsid w:val="00FF23EE"/>
    <w:rsid w:val="00FF35DC"/>
    <w:rsid w:val="00FF390D"/>
    <w:rsid w:val="00FF3A6A"/>
    <w:rsid w:val="00FF3C7A"/>
    <w:rsid w:val="00FF3E09"/>
    <w:rsid w:val="00FF411C"/>
    <w:rsid w:val="00FF44C6"/>
    <w:rsid w:val="00FF4B2E"/>
    <w:rsid w:val="00FF4E4B"/>
    <w:rsid w:val="00FF4E4E"/>
    <w:rsid w:val="00FF5049"/>
    <w:rsid w:val="00FF5114"/>
    <w:rsid w:val="00FF519C"/>
    <w:rsid w:val="00FF59A6"/>
    <w:rsid w:val="00FF5D1F"/>
    <w:rsid w:val="00FF5F95"/>
    <w:rsid w:val="00FF6126"/>
    <w:rsid w:val="00FF61F5"/>
    <w:rsid w:val="00FF62AA"/>
    <w:rsid w:val="00FF64D7"/>
    <w:rsid w:val="00FF6B6C"/>
    <w:rsid w:val="00FF6DD4"/>
    <w:rsid w:val="011078C7"/>
    <w:rsid w:val="011E3D92"/>
    <w:rsid w:val="012A067A"/>
    <w:rsid w:val="013413A9"/>
    <w:rsid w:val="01510592"/>
    <w:rsid w:val="015E2FC2"/>
    <w:rsid w:val="015E6884"/>
    <w:rsid w:val="016C48A1"/>
    <w:rsid w:val="01787946"/>
    <w:rsid w:val="01853E11"/>
    <w:rsid w:val="019E4F83"/>
    <w:rsid w:val="01AA2C10"/>
    <w:rsid w:val="01B446F6"/>
    <w:rsid w:val="01CF7782"/>
    <w:rsid w:val="02182ED7"/>
    <w:rsid w:val="02223D56"/>
    <w:rsid w:val="022C5744"/>
    <w:rsid w:val="022F0983"/>
    <w:rsid w:val="02467A44"/>
    <w:rsid w:val="0247556A"/>
    <w:rsid w:val="02571C51"/>
    <w:rsid w:val="0270686F"/>
    <w:rsid w:val="02714974"/>
    <w:rsid w:val="02775E4F"/>
    <w:rsid w:val="0288005D"/>
    <w:rsid w:val="028E13EB"/>
    <w:rsid w:val="02994018"/>
    <w:rsid w:val="02A76009"/>
    <w:rsid w:val="02AB5AF9"/>
    <w:rsid w:val="02BC7D06"/>
    <w:rsid w:val="02BE582C"/>
    <w:rsid w:val="02DF39F5"/>
    <w:rsid w:val="02F41DB4"/>
    <w:rsid w:val="02FB6B16"/>
    <w:rsid w:val="02FE031F"/>
    <w:rsid w:val="030B2604"/>
    <w:rsid w:val="03144708"/>
    <w:rsid w:val="031D766C"/>
    <w:rsid w:val="03253AFD"/>
    <w:rsid w:val="033F6241"/>
    <w:rsid w:val="034D095E"/>
    <w:rsid w:val="037738D8"/>
    <w:rsid w:val="039F1D79"/>
    <w:rsid w:val="03F54123"/>
    <w:rsid w:val="041651F4"/>
    <w:rsid w:val="04272850"/>
    <w:rsid w:val="04510922"/>
    <w:rsid w:val="048B7990"/>
    <w:rsid w:val="05031C1C"/>
    <w:rsid w:val="051536FE"/>
    <w:rsid w:val="05687CD1"/>
    <w:rsid w:val="05746676"/>
    <w:rsid w:val="05A84572"/>
    <w:rsid w:val="05B9677F"/>
    <w:rsid w:val="05C96278"/>
    <w:rsid w:val="05F15805"/>
    <w:rsid w:val="0600615C"/>
    <w:rsid w:val="060C4B01"/>
    <w:rsid w:val="062A31D9"/>
    <w:rsid w:val="063D2F0C"/>
    <w:rsid w:val="065B7836"/>
    <w:rsid w:val="066B5CCB"/>
    <w:rsid w:val="06734B80"/>
    <w:rsid w:val="06862B05"/>
    <w:rsid w:val="068955F4"/>
    <w:rsid w:val="06991648"/>
    <w:rsid w:val="06BF1B73"/>
    <w:rsid w:val="06E521B8"/>
    <w:rsid w:val="07091040"/>
    <w:rsid w:val="07391925"/>
    <w:rsid w:val="075F0692"/>
    <w:rsid w:val="07726BE5"/>
    <w:rsid w:val="078828AD"/>
    <w:rsid w:val="07CD7F98"/>
    <w:rsid w:val="07D93108"/>
    <w:rsid w:val="07DB054A"/>
    <w:rsid w:val="08053C42"/>
    <w:rsid w:val="08145EEF"/>
    <w:rsid w:val="08377606"/>
    <w:rsid w:val="083D2AF4"/>
    <w:rsid w:val="08485B98"/>
    <w:rsid w:val="08493DEA"/>
    <w:rsid w:val="08602EE2"/>
    <w:rsid w:val="08670714"/>
    <w:rsid w:val="087D1CE6"/>
    <w:rsid w:val="08874912"/>
    <w:rsid w:val="089C3D38"/>
    <w:rsid w:val="08AC25CB"/>
    <w:rsid w:val="08B31D4F"/>
    <w:rsid w:val="08E51639"/>
    <w:rsid w:val="08F53B23"/>
    <w:rsid w:val="08F875BE"/>
    <w:rsid w:val="09095C15"/>
    <w:rsid w:val="091B60CD"/>
    <w:rsid w:val="091D0DD3"/>
    <w:rsid w:val="091E5277"/>
    <w:rsid w:val="09AF4121"/>
    <w:rsid w:val="09B434E5"/>
    <w:rsid w:val="09C0632E"/>
    <w:rsid w:val="09C3197A"/>
    <w:rsid w:val="09C474A0"/>
    <w:rsid w:val="09E304D1"/>
    <w:rsid w:val="09E55D95"/>
    <w:rsid w:val="0A0124A3"/>
    <w:rsid w:val="0A053C89"/>
    <w:rsid w:val="0A070656"/>
    <w:rsid w:val="0A206DCD"/>
    <w:rsid w:val="0A2166A1"/>
    <w:rsid w:val="0A27015B"/>
    <w:rsid w:val="0A283ED3"/>
    <w:rsid w:val="0A297444"/>
    <w:rsid w:val="0A2D4C39"/>
    <w:rsid w:val="0A3463D4"/>
    <w:rsid w:val="0A424F95"/>
    <w:rsid w:val="0A4B7B0B"/>
    <w:rsid w:val="0A592595"/>
    <w:rsid w:val="0A670558"/>
    <w:rsid w:val="0A8235E3"/>
    <w:rsid w:val="0A913ED8"/>
    <w:rsid w:val="0AAE5B55"/>
    <w:rsid w:val="0AB120A5"/>
    <w:rsid w:val="0AEB55DC"/>
    <w:rsid w:val="0B0A5387"/>
    <w:rsid w:val="0B0E30C9"/>
    <w:rsid w:val="0B13248D"/>
    <w:rsid w:val="0B1D330C"/>
    <w:rsid w:val="0B24171E"/>
    <w:rsid w:val="0B347187"/>
    <w:rsid w:val="0B3F7726"/>
    <w:rsid w:val="0B41349E"/>
    <w:rsid w:val="0B416FFB"/>
    <w:rsid w:val="0B512FB6"/>
    <w:rsid w:val="0B574F31"/>
    <w:rsid w:val="0B5C3243"/>
    <w:rsid w:val="0B5E59FA"/>
    <w:rsid w:val="0BAD59A4"/>
    <w:rsid w:val="0BBE4019"/>
    <w:rsid w:val="0C006EB6"/>
    <w:rsid w:val="0C2801BA"/>
    <w:rsid w:val="0C357211"/>
    <w:rsid w:val="0C3C0FE2"/>
    <w:rsid w:val="0C466B45"/>
    <w:rsid w:val="0C6D3E1F"/>
    <w:rsid w:val="0C727688"/>
    <w:rsid w:val="0C924779"/>
    <w:rsid w:val="0C985340"/>
    <w:rsid w:val="0CAD246E"/>
    <w:rsid w:val="0CC41D6A"/>
    <w:rsid w:val="0CC779D3"/>
    <w:rsid w:val="0CD56444"/>
    <w:rsid w:val="0CDE6ACB"/>
    <w:rsid w:val="0CE41365"/>
    <w:rsid w:val="0CE47624"/>
    <w:rsid w:val="0CEC568C"/>
    <w:rsid w:val="0D122CD5"/>
    <w:rsid w:val="0D1644B7"/>
    <w:rsid w:val="0D1B1ACD"/>
    <w:rsid w:val="0D523741"/>
    <w:rsid w:val="0D573276"/>
    <w:rsid w:val="0D576FA9"/>
    <w:rsid w:val="0D584403"/>
    <w:rsid w:val="0D6D5D30"/>
    <w:rsid w:val="0D815DD4"/>
    <w:rsid w:val="0DA74E51"/>
    <w:rsid w:val="0DAD4E1B"/>
    <w:rsid w:val="0DB00467"/>
    <w:rsid w:val="0DB5782C"/>
    <w:rsid w:val="0DD759F4"/>
    <w:rsid w:val="0DED5218"/>
    <w:rsid w:val="0DEE7765"/>
    <w:rsid w:val="0E296B84"/>
    <w:rsid w:val="0E4868F2"/>
    <w:rsid w:val="0E6179B4"/>
    <w:rsid w:val="0E924011"/>
    <w:rsid w:val="0E9733D5"/>
    <w:rsid w:val="0EB118A2"/>
    <w:rsid w:val="0EB2020F"/>
    <w:rsid w:val="0EBD2E3C"/>
    <w:rsid w:val="0EC71E62"/>
    <w:rsid w:val="0F113188"/>
    <w:rsid w:val="0F204221"/>
    <w:rsid w:val="0F2B5D1F"/>
    <w:rsid w:val="0F3E3C48"/>
    <w:rsid w:val="0F5A4B2F"/>
    <w:rsid w:val="0F6C4862"/>
    <w:rsid w:val="0F7200CA"/>
    <w:rsid w:val="0F946F1E"/>
    <w:rsid w:val="0F9F2542"/>
    <w:rsid w:val="0FD0094D"/>
    <w:rsid w:val="0FD77F2D"/>
    <w:rsid w:val="0FFF1232"/>
    <w:rsid w:val="100827DD"/>
    <w:rsid w:val="101C0A97"/>
    <w:rsid w:val="10321608"/>
    <w:rsid w:val="108E223A"/>
    <w:rsid w:val="10A122E9"/>
    <w:rsid w:val="10AA3894"/>
    <w:rsid w:val="10B71B0D"/>
    <w:rsid w:val="10B95885"/>
    <w:rsid w:val="10C5247C"/>
    <w:rsid w:val="10CC380A"/>
    <w:rsid w:val="10E24DDC"/>
    <w:rsid w:val="10F67974"/>
    <w:rsid w:val="1109680C"/>
    <w:rsid w:val="11532670"/>
    <w:rsid w:val="11836198"/>
    <w:rsid w:val="11851C0B"/>
    <w:rsid w:val="118C6B2A"/>
    <w:rsid w:val="11A93139"/>
    <w:rsid w:val="11AD363C"/>
    <w:rsid w:val="11BA18B5"/>
    <w:rsid w:val="11C664AC"/>
    <w:rsid w:val="11E9219A"/>
    <w:rsid w:val="11FB4122"/>
    <w:rsid w:val="12096398"/>
    <w:rsid w:val="1211524D"/>
    <w:rsid w:val="121D0BF1"/>
    <w:rsid w:val="125A6BF4"/>
    <w:rsid w:val="12685FCD"/>
    <w:rsid w:val="12816876"/>
    <w:rsid w:val="12A460C1"/>
    <w:rsid w:val="12B74672"/>
    <w:rsid w:val="12D30948"/>
    <w:rsid w:val="12E0145C"/>
    <w:rsid w:val="12EC3EED"/>
    <w:rsid w:val="12F232D0"/>
    <w:rsid w:val="13135EB3"/>
    <w:rsid w:val="13182014"/>
    <w:rsid w:val="136A10B9"/>
    <w:rsid w:val="138137F3"/>
    <w:rsid w:val="138E06DF"/>
    <w:rsid w:val="13C46448"/>
    <w:rsid w:val="13C82EA6"/>
    <w:rsid w:val="13EF0479"/>
    <w:rsid w:val="13FF7A53"/>
    <w:rsid w:val="140822FE"/>
    <w:rsid w:val="14095D3A"/>
    <w:rsid w:val="142D5F04"/>
    <w:rsid w:val="143363D6"/>
    <w:rsid w:val="143D4D2B"/>
    <w:rsid w:val="143E404F"/>
    <w:rsid w:val="1461426A"/>
    <w:rsid w:val="146F2C7A"/>
    <w:rsid w:val="14762D3D"/>
    <w:rsid w:val="148D505F"/>
    <w:rsid w:val="14977C8B"/>
    <w:rsid w:val="149D101A"/>
    <w:rsid w:val="149E4992"/>
    <w:rsid w:val="14AB1989"/>
    <w:rsid w:val="14B7032D"/>
    <w:rsid w:val="14B82F17"/>
    <w:rsid w:val="15063063"/>
    <w:rsid w:val="155F468B"/>
    <w:rsid w:val="157306F8"/>
    <w:rsid w:val="158226E9"/>
    <w:rsid w:val="159D4B97"/>
    <w:rsid w:val="15A563D8"/>
    <w:rsid w:val="15B14D7D"/>
    <w:rsid w:val="15BE749A"/>
    <w:rsid w:val="15BF393E"/>
    <w:rsid w:val="15EA64E1"/>
    <w:rsid w:val="160E6673"/>
    <w:rsid w:val="16196349"/>
    <w:rsid w:val="16273291"/>
    <w:rsid w:val="162E461F"/>
    <w:rsid w:val="16482AEA"/>
    <w:rsid w:val="165A18B8"/>
    <w:rsid w:val="16730284"/>
    <w:rsid w:val="167C538B"/>
    <w:rsid w:val="16B34B25"/>
    <w:rsid w:val="16D927DD"/>
    <w:rsid w:val="16DC22CD"/>
    <w:rsid w:val="170E5D26"/>
    <w:rsid w:val="17285513"/>
    <w:rsid w:val="17451DB0"/>
    <w:rsid w:val="17514A69"/>
    <w:rsid w:val="17562080"/>
    <w:rsid w:val="17650515"/>
    <w:rsid w:val="17694B12"/>
    <w:rsid w:val="1791130A"/>
    <w:rsid w:val="179670F4"/>
    <w:rsid w:val="179B1650"/>
    <w:rsid w:val="179B7A92"/>
    <w:rsid w:val="179E3336"/>
    <w:rsid w:val="17B15508"/>
    <w:rsid w:val="17BB6387"/>
    <w:rsid w:val="17BE59A2"/>
    <w:rsid w:val="17C77185"/>
    <w:rsid w:val="17D912A0"/>
    <w:rsid w:val="17DE3E23"/>
    <w:rsid w:val="17FB6783"/>
    <w:rsid w:val="18137F71"/>
    <w:rsid w:val="18185849"/>
    <w:rsid w:val="18245CDA"/>
    <w:rsid w:val="18E92A80"/>
    <w:rsid w:val="19267830"/>
    <w:rsid w:val="19526877"/>
    <w:rsid w:val="195E521C"/>
    <w:rsid w:val="19940C3D"/>
    <w:rsid w:val="19C332D1"/>
    <w:rsid w:val="19C534ED"/>
    <w:rsid w:val="19CA28B1"/>
    <w:rsid w:val="19CF6119"/>
    <w:rsid w:val="1A365439"/>
    <w:rsid w:val="1A442DE9"/>
    <w:rsid w:val="1A6007B8"/>
    <w:rsid w:val="1AB0025A"/>
    <w:rsid w:val="1AB35163"/>
    <w:rsid w:val="1AB62E35"/>
    <w:rsid w:val="1ABC4611"/>
    <w:rsid w:val="1ABF1CEA"/>
    <w:rsid w:val="1AD12A8C"/>
    <w:rsid w:val="1AF75334"/>
    <w:rsid w:val="1AF75928"/>
    <w:rsid w:val="1AFB2E83"/>
    <w:rsid w:val="1B23671D"/>
    <w:rsid w:val="1B4560C7"/>
    <w:rsid w:val="1B5B5A5C"/>
    <w:rsid w:val="1B5F527B"/>
    <w:rsid w:val="1B7E1BA5"/>
    <w:rsid w:val="1B9C4411"/>
    <w:rsid w:val="1BC021BE"/>
    <w:rsid w:val="1BC305D3"/>
    <w:rsid w:val="1BEF65FF"/>
    <w:rsid w:val="1C42303D"/>
    <w:rsid w:val="1C645E03"/>
    <w:rsid w:val="1C6F7740"/>
    <w:rsid w:val="1C7F5BD5"/>
    <w:rsid w:val="1C8031AA"/>
    <w:rsid w:val="1C8925AF"/>
    <w:rsid w:val="1C901B90"/>
    <w:rsid w:val="1CC92887"/>
    <w:rsid w:val="1CD55680"/>
    <w:rsid w:val="1CDA105D"/>
    <w:rsid w:val="1CF10155"/>
    <w:rsid w:val="1D321E13"/>
    <w:rsid w:val="1D350989"/>
    <w:rsid w:val="1D5737D9"/>
    <w:rsid w:val="1D666D95"/>
    <w:rsid w:val="1D880AB9"/>
    <w:rsid w:val="1D882867"/>
    <w:rsid w:val="1D8A5B33"/>
    <w:rsid w:val="1D9531D6"/>
    <w:rsid w:val="1DA11B7B"/>
    <w:rsid w:val="1DBC044E"/>
    <w:rsid w:val="1DE5415D"/>
    <w:rsid w:val="1DE55F0B"/>
    <w:rsid w:val="1E032835"/>
    <w:rsid w:val="1E0D5462"/>
    <w:rsid w:val="1E1265D5"/>
    <w:rsid w:val="1E164317"/>
    <w:rsid w:val="1E2A7DC2"/>
    <w:rsid w:val="1E2B4B2D"/>
    <w:rsid w:val="1E650DFA"/>
    <w:rsid w:val="1E7C6117"/>
    <w:rsid w:val="1E831280"/>
    <w:rsid w:val="1E9B0CC0"/>
    <w:rsid w:val="1EEA12FF"/>
    <w:rsid w:val="1F111A8D"/>
    <w:rsid w:val="1F120F82"/>
    <w:rsid w:val="1F15637C"/>
    <w:rsid w:val="1F264A2D"/>
    <w:rsid w:val="1F2C422B"/>
    <w:rsid w:val="1F4849CA"/>
    <w:rsid w:val="1F691F02"/>
    <w:rsid w:val="1F873477"/>
    <w:rsid w:val="1F896D6A"/>
    <w:rsid w:val="1F974FE3"/>
    <w:rsid w:val="1FBE4C66"/>
    <w:rsid w:val="200308CB"/>
    <w:rsid w:val="201900EE"/>
    <w:rsid w:val="20364395"/>
    <w:rsid w:val="203D202F"/>
    <w:rsid w:val="2040730C"/>
    <w:rsid w:val="209B370E"/>
    <w:rsid w:val="209E05F3"/>
    <w:rsid w:val="20B00655"/>
    <w:rsid w:val="20B61DE1"/>
    <w:rsid w:val="20D63E58"/>
    <w:rsid w:val="20F63F8C"/>
    <w:rsid w:val="20F85F56"/>
    <w:rsid w:val="21072C86"/>
    <w:rsid w:val="21455F84"/>
    <w:rsid w:val="219D08AB"/>
    <w:rsid w:val="21B55BF5"/>
    <w:rsid w:val="21DC1B00"/>
    <w:rsid w:val="21E12E8E"/>
    <w:rsid w:val="22162B37"/>
    <w:rsid w:val="223F57F7"/>
    <w:rsid w:val="22EC1AEA"/>
    <w:rsid w:val="22EE7610"/>
    <w:rsid w:val="23076924"/>
    <w:rsid w:val="232653E3"/>
    <w:rsid w:val="233314C7"/>
    <w:rsid w:val="23377209"/>
    <w:rsid w:val="234B4A63"/>
    <w:rsid w:val="23585FFE"/>
    <w:rsid w:val="235A6A54"/>
    <w:rsid w:val="23665133"/>
    <w:rsid w:val="238166D6"/>
    <w:rsid w:val="23846E58"/>
    <w:rsid w:val="238F638A"/>
    <w:rsid w:val="23CE7442"/>
    <w:rsid w:val="23EB7FF4"/>
    <w:rsid w:val="23F76998"/>
    <w:rsid w:val="2437529F"/>
    <w:rsid w:val="244250D8"/>
    <w:rsid w:val="244C2000"/>
    <w:rsid w:val="244C515E"/>
    <w:rsid w:val="246102B6"/>
    <w:rsid w:val="246444F3"/>
    <w:rsid w:val="248875F1"/>
    <w:rsid w:val="248B0E8F"/>
    <w:rsid w:val="24977600"/>
    <w:rsid w:val="24B14D99"/>
    <w:rsid w:val="24B831E2"/>
    <w:rsid w:val="24BB3B05"/>
    <w:rsid w:val="24CF3471"/>
    <w:rsid w:val="24FB7DC2"/>
    <w:rsid w:val="250B120F"/>
    <w:rsid w:val="25162E4E"/>
    <w:rsid w:val="251A293E"/>
    <w:rsid w:val="252C7220"/>
    <w:rsid w:val="25337C48"/>
    <w:rsid w:val="255E3530"/>
    <w:rsid w:val="256C2A6E"/>
    <w:rsid w:val="25805BA9"/>
    <w:rsid w:val="258B7398"/>
    <w:rsid w:val="258C4EBE"/>
    <w:rsid w:val="25951FC5"/>
    <w:rsid w:val="259D70CC"/>
    <w:rsid w:val="25A57AD2"/>
    <w:rsid w:val="25B05051"/>
    <w:rsid w:val="25B34B41"/>
    <w:rsid w:val="25C74149"/>
    <w:rsid w:val="25CC175F"/>
    <w:rsid w:val="25D328A4"/>
    <w:rsid w:val="2604714B"/>
    <w:rsid w:val="26070462"/>
    <w:rsid w:val="26137B37"/>
    <w:rsid w:val="261750D0"/>
    <w:rsid w:val="263E440B"/>
    <w:rsid w:val="26720558"/>
    <w:rsid w:val="267772F8"/>
    <w:rsid w:val="26A50560"/>
    <w:rsid w:val="26A526DC"/>
    <w:rsid w:val="26B270EC"/>
    <w:rsid w:val="26BF2049"/>
    <w:rsid w:val="26E12386"/>
    <w:rsid w:val="26FE3B9A"/>
    <w:rsid w:val="270F55EE"/>
    <w:rsid w:val="272F1A96"/>
    <w:rsid w:val="273B3040"/>
    <w:rsid w:val="274C0DA9"/>
    <w:rsid w:val="276A7D1D"/>
    <w:rsid w:val="27702CEA"/>
    <w:rsid w:val="2781161A"/>
    <w:rsid w:val="278B0993"/>
    <w:rsid w:val="278C2DE6"/>
    <w:rsid w:val="27A2676A"/>
    <w:rsid w:val="27A72484"/>
    <w:rsid w:val="27C070A1"/>
    <w:rsid w:val="27C26A1C"/>
    <w:rsid w:val="27C9064C"/>
    <w:rsid w:val="27EB2370"/>
    <w:rsid w:val="27F52753"/>
    <w:rsid w:val="28060F58"/>
    <w:rsid w:val="281401A9"/>
    <w:rsid w:val="28481571"/>
    <w:rsid w:val="286B525F"/>
    <w:rsid w:val="286E4D4F"/>
    <w:rsid w:val="289A78F2"/>
    <w:rsid w:val="28A54C15"/>
    <w:rsid w:val="28AD1D1C"/>
    <w:rsid w:val="28CA642A"/>
    <w:rsid w:val="28CF3A40"/>
    <w:rsid w:val="28DC08CB"/>
    <w:rsid w:val="28DE0127"/>
    <w:rsid w:val="28E62B38"/>
    <w:rsid w:val="29192E1E"/>
    <w:rsid w:val="292A6196"/>
    <w:rsid w:val="29377EB3"/>
    <w:rsid w:val="294F4B81"/>
    <w:rsid w:val="296B1DBE"/>
    <w:rsid w:val="297367C9"/>
    <w:rsid w:val="297B0CF7"/>
    <w:rsid w:val="2984482A"/>
    <w:rsid w:val="29862181"/>
    <w:rsid w:val="29A273A6"/>
    <w:rsid w:val="29AC6EB1"/>
    <w:rsid w:val="29BA78FC"/>
    <w:rsid w:val="29C769E3"/>
    <w:rsid w:val="29D638CD"/>
    <w:rsid w:val="29E057D9"/>
    <w:rsid w:val="2A0C65CE"/>
    <w:rsid w:val="2A303607"/>
    <w:rsid w:val="2A44045E"/>
    <w:rsid w:val="2A5E151F"/>
    <w:rsid w:val="2A5F2DBB"/>
    <w:rsid w:val="2A720B27"/>
    <w:rsid w:val="2A835621"/>
    <w:rsid w:val="2AA27121"/>
    <w:rsid w:val="2AA902C1"/>
    <w:rsid w:val="2ACD0453"/>
    <w:rsid w:val="2ADB7F2F"/>
    <w:rsid w:val="2B0C0F7B"/>
    <w:rsid w:val="2B1B2F6C"/>
    <w:rsid w:val="2B3B53BD"/>
    <w:rsid w:val="2B3C7946"/>
    <w:rsid w:val="2B520958"/>
    <w:rsid w:val="2B5E72FD"/>
    <w:rsid w:val="2B6C7C6C"/>
    <w:rsid w:val="2B82123D"/>
    <w:rsid w:val="2B822DA1"/>
    <w:rsid w:val="2B886128"/>
    <w:rsid w:val="2B9D6077"/>
    <w:rsid w:val="2BD902A0"/>
    <w:rsid w:val="2BD91045"/>
    <w:rsid w:val="2BEA0B91"/>
    <w:rsid w:val="2BF5720F"/>
    <w:rsid w:val="2C1300E8"/>
    <w:rsid w:val="2C335742"/>
    <w:rsid w:val="2C362090"/>
    <w:rsid w:val="2C3B13EC"/>
    <w:rsid w:val="2C4B162F"/>
    <w:rsid w:val="2C532973"/>
    <w:rsid w:val="2C7A3CC3"/>
    <w:rsid w:val="2C815051"/>
    <w:rsid w:val="2C9C00DD"/>
    <w:rsid w:val="2CAE64AB"/>
    <w:rsid w:val="2CE675AA"/>
    <w:rsid w:val="2CF2792E"/>
    <w:rsid w:val="2D3619B4"/>
    <w:rsid w:val="2D377E06"/>
    <w:rsid w:val="2D76092E"/>
    <w:rsid w:val="2D7B4196"/>
    <w:rsid w:val="2D7D7F0E"/>
    <w:rsid w:val="2DEC5D5C"/>
    <w:rsid w:val="2DEE3725"/>
    <w:rsid w:val="2DF61A6F"/>
    <w:rsid w:val="2DFF6B75"/>
    <w:rsid w:val="2E1B7727"/>
    <w:rsid w:val="2E1F2D74"/>
    <w:rsid w:val="2E2C686E"/>
    <w:rsid w:val="2E36630F"/>
    <w:rsid w:val="2E374561"/>
    <w:rsid w:val="2E497DF1"/>
    <w:rsid w:val="2E5C5D76"/>
    <w:rsid w:val="2E7B1F74"/>
    <w:rsid w:val="2E7E3412"/>
    <w:rsid w:val="2E813A2E"/>
    <w:rsid w:val="2E960B5C"/>
    <w:rsid w:val="2EA133AF"/>
    <w:rsid w:val="2EA339A5"/>
    <w:rsid w:val="2EA36628"/>
    <w:rsid w:val="2EDC0415"/>
    <w:rsid w:val="2EDD2DD9"/>
    <w:rsid w:val="2F087CAC"/>
    <w:rsid w:val="2F0D52C2"/>
    <w:rsid w:val="2F2D7712"/>
    <w:rsid w:val="2F300FB0"/>
    <w:rsid w:val="2F4800A8"/>
    <w:rsid w:val="2F723467"/>
    <w:rsid w:val="2F815419"/>
    <w:rsid w:val="2F922149"/>
    <w:rsid w:val="2FA72ADC"/>
    <w:rsid w:val="2FC8743B"/>
    <w:rsid w:val="300852DE"/>
    <w:rsid w:val="30134377"/>
    <w:rsid w:val="30590E83"/>
    <w:rsid w:val="30640C78"/>
    <w:rsid w:val="306835D0"/>
    <w:rsid w:val="306E3B3E"/>
    <w:rsid w:val="30782BAF"/>
    <w:rsid w:val="3082583C"/>
    <w:rsid w:val="309C4B4F"/>
    <w:rsid w:val="30A657B3"/>
    <w:rsid w:val="30BA09FB"/>
    <w:rsid w:val="30DF2746"/>
    <w:rsid w:val="311F308B"/>
    <w:rsid w:val="31244E01"/>
    <w:rsid w:val="31755829"/>
    <w:rsid w:val="317D7B05"/>
    <w:rsid w:val="31880C30"/>
    <w:rsid w:val="318C4BC4"/>
    <w:rsid w:val="318D6246"/>
    <w:rsid w:val="319C2593"/>
    <w:rsid w:val="31B9528D"/>
    <w:rsid w:val="31DC0F7C"/>
    <w:rsid w:val="31E83DC4"/>
    <w:rsid w:val="31F369F1"/>
    <w:rsid w:val="32153FA4"/>
    <w:rsid w:val="32297E49"/>
    <w:rsid w:val="324575EB"/>
    <w:rsid w:val="32494863"/>
    <w:rsid w:val="325A081E"/>
    <w:rsid w:val="325B4596"/>
    <w:rsid w:val="3268280F"/>
    <w:rsid w:val="326E7E26"/>
    <w:rsid w:val="32700042"/>
    <w:rsid w:val="328F5FEE"/>
    <w:rsid w:val="32A0292F"/>
    <w:rsid w:val="32A02B99"/>
    <w:rsid w:val="32BC6D05"/>
    <w:rsid w:val="32C569CF"/>
    <w:rsid w:val="32CE6B16"/>
    <w:rsid w:val="32ED1692"/>
    <w:rsid w:val="32F01183"/>
    <w:rsid w:val="32FB4A31"/>
    <w:rsid w:val="330F2BAA"/>
    <w:rsid w:val="33154745"/>
    <w:rsid w:val="331F7372"/>
    <w:rsid w:val="333252F7"/>
    <w:rsid w:val="333F0BDD"/>
    <w:rsid w:val="33437504"/>
    <w:rsid w:val="33513ACD"/>
    <w:rsid w:val="335A65FC"/>
    <w:rsid w:val="336631F3"/>
    <w:rsid w:val="337D5F7B"/>
    <w:rsid w:val="3381627F"/>
    <w:rsid w:val="33833DA5"/>
    <w:rsid w:val="33941B0E"/>
    <w:rsid w:val="33D414D0"/>
    <w:rsid w:val="33F04662"/>
    <w:rsid w:val="33F94067"/>
    <w:rsid w:val="3411197D"/>
    <w:rsid w:val="34324DB1"/>
    <w:rsid w:val="344F1ED9"/>
    <w:rsid w:val="345C31CC"/>
    <w:rsid w:val="34603E67"/>
    <w:rsid w:val="34692F9B"/>
    <w:rsid w:val="34737FC2"/>
    <w:rsid w:val="3491429F"/>
    <w:rsid w:val="34981816"/>
    <w:rsid w:val="349873DC"/>
    <w:rsid w:val="34AE30A3"/>
    <w:rsid w:val="34C04B85"/>
    <w:rsid w:val="34E15227"/>
    <w:rsid w:val="34EE16F2"/>
    <w:rsid w:val="34FB796B"/>
    <w:rsid w:val="35260E8C"/>
    <w:rsid w:val="353C06AF"/>
    <w:rsid w:val="354B444E"/>
    <w:rsid w:val="358142E1"/>
    <w:rsid w:val="35944047"/>
    <w:rsid w:val="35CD358A"/>
    <w:rsid w:val="360A6B9A"/>
    <w:rsid w:val="36232DB0"/>
    <w:rsid w:val="362C0724"/>
    <w:rsid w:val="362C24D2"/>
    <w:rsid w:val="366559E4"/>
    <w:rsid w:val="368340BC"/>
    <w:rsid w:val="36856574"/>
    <w:rsid w:val="368B560A"/>
    <w:rsid w:val="36C94F33"/>
    <w:rsid w:val="36E96615"/>
    <w:rsid w:val="370C2303"/>
    <w:rsid w:val="37192419"/>
    <w:rsid w:val="372633C5"/>
    <w:rsid w:val="372E4027"/>
    <w:rsid w:val="374C0952"/>
    <w:rsid w:val="374E0226"/>
    <w:rsid w:val="375B2943"/>
    <w:rsid w:val="37702892"/>
    <w:rsid w:val="3793032E"/>
    <w:rsid w:val="37B409D1"/>
    <w:rsid w:val="37B7226F"/>
    <w:rsid w:val="37BE14E1"/>
    <w:rsid w:val="37EA2644"/>
    <w:rsid w:val="37F007A1"/>
    <w:rsid w:val="37F34BF4"/>
    <w:rsid w:val="37FC5ED4"/>
    <w:rsid w:val="380A05F1"/>
    <w:rsid w:val="380A6843"/>
    <w:rsid w:val="380D6333"/>
    <w:rsid w:val="38163439"/>
    <w:rsid w:val="38367638"/>
    <w:rsid w:val="383C09C6"/>
    <w:rsid w:val="38451629"/>
    <w:rsid w:val="385F359C"/>
    <w:rsid w:val="38637D01"/>
    <w:rsid w:val="386F2B4A"/>
    <w:rsid w:val="387B329C"/>
    <w:rsid w:val="3885411B"/>
    <w:rsid w:val="389820A0"/>
    <w:rsid w:val="38B7004D"/>
    <w:rsid w:val="38C34C43"/>
    <w:rsid w:val="390C65EA"/>
    <w:rsid w:val="39137979"/>
    <w:rsid w:val="39203E44"/>
    <w:rsid w:val="397F0B6A"/>
    <w:rsid w:val="399565E0"/>
    <w:rsid w:val="39967186"/>
    <w:rsid w:val="39A22AAB"/>
    <w:rsid w:val="39B065A9"/>
    <w:rsid w:val="39C542C3"/>
    <w:rsid w:val="39D4535A"/>
    <w:rsid w:val="39EB26A4"/>
    <w:rsid w:val="39F33306"/>
    <w:rsid w:val="39F72DF7"/>
    <w:rsid w:val="39FC21BB"/>
    <w:rsid w:val="3A064DE8"/>
    <w:rsid w:val="3A1F234D"/>
    <w:rsid w:val="3A371445"/>
    <w:rsid w:val="3A411C9C"/>
    <w:rsid w:val="3A7461F5"/>
    <w:rsid w:val="3A894EF6"/>
    <w:rsid w:val="3A8B353F"/>
    <w:rsid w:val="3AA12D62"/>
    <w:rsid w:val="3AAF0DDB"/>
    <w:rsid w:val="3AB5065F"/>
    <w:rsid w:val="3ACD1DA9"/>
    <w:rsid w:val="3ACF63CB"/>
    <w:rsid w:val="3AEC0481"/>
    <w:rsid w:val="3B0A6B5A"/>
    <w:rsid w:val="3B281408"/>
    <w:rsid w:val="3B5216FD"/>
    <w:rsid w:val="3B556027"/>
    <w:rsid w:val="3BA66882"/>
    <w:rsid w:val="3BA80B19"/>
    <w:rsid w:val="3BEC16E5"/>
    <w:rsid w:val="3C306D0A"/>
    <w:rsid w:val="3C4240EC"/>
    <w:rsid w:val="3C44609B"/>
    <w:rsid w:val="3C506CDE"/>
    <w:rsid w:val="3C544530"/>
    <w:rsid w:val="3C83505F"/>
    <w:rsid w:val="3CB856B8"/>
    <w:rsid w:val="3CC176EC"/>
    <w:rsid w:val="3CE51F80"/>
    <w:rsid w:val="3CF950D8"/>
    <w:rsid w:val="3D167E35"/>
    <w:rsid w:val="3D332398"/>
    <w:rsid w:val="3D3F0480"/>
    <w:rsid w:val="3D412692"/>
    <w:rsid w:val="3D5F396D"/>
    <w:rsid w:val="3D711B40"/>
    <w:rsid w:val="3D7B3D3F"/>
    <w:rsid w:val="3D9D3CB5"/>
    <w:rsid w:val="3DA35311"/>
    <w:rsid w:val="3DB64D77"/>
    <w:rsid w:val="3DBB413B"/>
    <w:rsid w:val="3DBF1E7D"/>
    <w:rsid w:val="3DD33817"/>
    <w:rsid w:val="3E1321C9"/>
    <w:rsid w:val="3E246184"/>
    <w:rsid w:val="3E524A9F"/>
    <w:rsid w:val="3E800AA6"/>
    <w:rsid w:val="3E970704"/>
    <w:rsid w:val="3EA3354D"/>
    <w:rsid w:val="3ECA0ADA"/>
    <w:rsid w:val="3ED96F6F"/>
    <w:rsid w:val="3EDE4585"/>
    <w:rsid w:val="3EE651E8"/>
    <w:rsid w:val="3F041198"/>
    <w:rsid w:val="3F165ACD"/>
    <w:rsid w:val="3F190A5E"/>
    <w:rsid w:val="3F3A1FEB"/>
    <w:rsid w:val="3F5749D4"/>
    <w:rsid w:val="3FA330D9"/>
    <w:rsid w:val="3FB13A48"/>
    <w:rsid w:val="3FC1012F"/>
    <w:rsid w:val="3FCF5524"/>
    <w:rsid w:val="3FE47979"/>
    <w:rsid w:val="404C03EA"/>
    <w:rsid w:val="40621663"/>
    <w:rsid w:val="407A02DD"/>
    <w:rsid w:val="407F76A2"/>
    <w:rsid w:val="40860A30"/>
    <w:rsid w:val="408E7C49"/>
    <w:rsid w:val="40A67243"/>
    <w:rsid w:val="40C779CD"/>
    <w:rsid w:val="40D479EE"/>
    <w:rsid w:val="40D55514"/>
    <w:rsid w:val="40D66E70"/>
    <w:rsid w:val="40D95004"/>
    <w:rsid w:val="40E340D5"/>
    <w:rsid w:val="40EB2F55"/>
    <w:rsid w:val="40F736DC"/>
    <w:rsid w:val="40FE050B"/>
    <w:rsid w:val="41456B3D"/>
    <w:rsid w:val="4151103E"/>
    <w:rsid w:val="418331C2"/>
    <w:rsid w:val="41AE46E3"/>
    <w:rsid w:val="41B24CC0"/>
    <w:rsid w:val="41D34BA9"/>
    <w:rsid w:val="41F52C3A"/>
    <w:rsid w:val="41F8770C"/>
    <w:rsid w:val="42240501"/>
    <w:rsid w:val="42253D73"/>
    <w:rsid w:val="422C7D41"/>
    <w:rsid w:val="4235270E"/>
    <w:rsid w:val="4263645E"/>
    <w:rsid w:val="42755200"/>
    <w:rsid w:val="42982C9D"/>
    <w:rsid w:val="42A56252"/>
    <w:rsid w:val="42DD10F2"/>
    <w:rsid w:val="42E67EAC"/>
    <w:rsid w:val="42E9773B"/>
    <w:rsid w:val="43087E22"/>
    <w:rsid w:val="43116751"/>
    <w:rsid w:val="4359242C"/>
    <w:rsid w:val="435E3EE6"/>
    <w:rsid w:val="43A062AD"/>
    <w:rsid w:val="43A86F10"/>
    <w:rsid w:val="43B104BA"/>
    <w:rsid w:val="43C27FD1"/>
    <w:rsid w:val="43DD305D"/>
    <w:rsid w:val="43E202FE"/>
    <w:rsid w:val="43E53CC0"/>
    <w:rsid w:val="43EE7018"/>
    <w:rsid w:val="440B5E1C"/>
    <w:rsid w:val="4427252A"/>
    <w:rsid w:val="4441183E"/>
    <w:rsid w:val="445552E9"/>
    <w:rsid w:val="445D7CFA"/>
    <w:rsid w:val="44654E01"/>
    <w:rsid w:val="44A45CB0"/>
    <w:rsid w:val="44A82426"/>
    <w:rsid w:val="44E4602A"/>
    <w:rsid w:val="44EF1C01"/>
    <w:rsid w:val="450978B4"/>
    <w:rsid w:val="452F5B3A"/>
    <w:rsid w:val="454315E6"/>
    <w:rsid w:val="454A1453"/>
    <w:rsid w:val="45505AB1"/>
    <w:rsid w:val="4597723C"/>
    <w:rsid w:val="45A831F7"/>
    <w:rsid w:val="45B47DEE"/>
    <w:rsid w:val="45B54088"/>
    <w:rsid w:val="45B80788"/>
    <w:rsid w:val="46162856"/>
    <w:rsid w:val="464A2500"/>
    <w:rsid w:val="46545D00"/>
    <w:rsid w:val="469043B7"/>
    <w:rsid w:val="46956D93"/>
    <w:rsid w:val="46A2058E"/>
    <w:rsid w:val="46B75DE7"/>
    <w:rsid w:val="46BD2CD2"/>
    <w:rsid w:val="46C329DE"/>
    <w:rsid w:val="46C56CD4"/>
    <w:rsid w:val="46DC2BC3"/>
    <w:rsid w:val="46DE3DA2"/>
    <w:rsid w:val="47022DDB"/>
    <w:rsid w:val="47143CE0"/>
    <w:rsid w:val="47152B0E"/>
    <w:rsid w:val="47373CCA"/>
    <w:rsid w:val="473C009B"/>
    <w:rsid w:val="475A49C5"/>
    <w:rsid w:val="47631ACB"/>
    <w:rsid w:val="47863A0C"/>
    <w:rsid w:val="479152E5"/>
    <w:rsid w:val="479C6D8B"/>
    <w:rsid w:val="47B916EB"/>
    <w:rsid w:val="47BD3387"/>
    <w:rsid w:val="47E9061B"/>
    <w:rsid w:val="47EF335F"/>
    <w:rsid w:val="47EF3A41"/>
    <w:rsid w:val="47F70466"/>
    <w:rsid w:val="47F93301"/>
    <w:rsid w:val="48010AA9"/>
    <w:rsid w:val="48052B82"/>
    <w:rsid w:val="483C0B1B"/>
    <w:rsid w:val="48401E0D"/>
    <w:rsid w:val="484245C7"/>
    <w:rsid w:val="484C6A03"/>
    <w:rsid w:val="48580F04"/>
    <w:rsid w:val="486A0C38"/>
    <w:rsid w:val="487321E2"/>
    <w:rsid w:val="487D096B"/>
    <w:rsid w:val="488D7CFE"/>
    <w:rsid w:val="48A57EC2"/>
    <w:rsid w:val="48B60321"/>
    <w:rsid w:val="48D82045"/>
    <w:rsid w:val="48E00EFA"/>
    <w:rsid w:val="48F21359"/>
    <w:rsid w:val="49184B37"/>
    <w:rsid w:val="491B12EC"/>
    <w:rsid w:val="49323FD7"/>
    <w:rsid w:val="493C25D4"/>
    <w:rsid w:val="496658A3"/>
    <w:rsid w:val="49667651"/>
    <w:rsid w:val="498875C7"/>
    <w:rsid w:val="49C5081B"/>
    <w:rsid w:val="49D40A5E"/>
    <w:rsid w:val="49D6108D"/>
    <w:rsid w:val="49D92519"/>
    <w:rsid w:val="49E031D3"/>
    <w:rsid w:val="49F11610"/>
    <w:rsid w:val="4A1470AD"/>
    <w:rsid w:val="4A1A306E"/>
    <w:rsid w:val="4A282B58"/>
    <w:rsid w:val="4A510301"/>
    <w:rsid w:val="4A5F3DBA"/>
    <w:rsid w:val="4A7D314E"/>
    <w:rsid w:val="4A8835F7"/>
    <w:rsid w:val="4AA743C5"/>
    <w:rsid w:val="4ABF5254"/>
    <w:rsid w:val="4ACA3C0F"/>
    <w:rsid w:val="4ACD6DF4"/>
    <w:rsid w:val="4AD51C77"/>
    <w:rsid w:val="4B272E10"/>
    <w:rsid w:val="4B3A2B43"/>
    <w:rsid w:val="4B69167A"/>
    <w:rsid w:val="4B6E6C91"/>
    <w:rsid w:val="4B865D88"/>
    <w:rsid w:val="4B904E59"/>
    <w:rsid w:val="4B9C1A50"/>
    <w:rsid w:val="4B9C55AC"/>
    <w:rsid w:val="4BB24DCF"/>
    <w:rsid w:val="4BBA0128"/>
    <w:rsid w:val="4BBC4FD7"/>
    <w:rsid w:val="4BBC79FC"/>
    <w:rsid w:val="4BCB5E91"/>
    <w:rsid w:val="4BD016F9"/>
    <w:rsid w:val="4BDF36EB"/>
    <w:rsid w:val="4C03387D"/>
    <w:rsid w:val="4C12409B"/>
    <w:rsid w:val="4C2A705C"/>
    <w:rsid w:val="4C38427F"/>
    <w:rsid w:val="4C545E87"/>
    <w:rsid w:val="4C6065D9"/>
    <w:rsid w:val="4C65665F"/>
    <w:rsid w:val="4C7622A1"/>
    <w:rsid w:val="4C76404F"/>
    <w:rsid w:val="4C811ECE"/>
    <w:rsid w:val="4CBD494A"/>
    <w:rsid w:val="4CC34DBA"/>
    <w:rsid w:val="4CE552E6"/>
    <w:rsid w:val="4CEE0089"/>
    <w:rsid w:val="4D0478AD"/>
    <w:rsid w:val="4D07739D"/>
    <w:rsid w:val="4D341814"/>
    <w:rsid w:val="4D3A507C"/>
    <w:rsid w:val="4D5601C7"/>
    <w:rsid w:val="4D7560B4"/>
    <w:rsid w:val="4DD76D6F"/>
    <w:rsid w:val="4DDA685F"/>
    <w:rsid w:val="4DE33966"/>
    <w:rsid w:val="4DFC0584"/>
    <w:rsid w:val="4E191136"/>
    <w:rsid w:val="4E28581D"/>
    <w:rsid w:val="4E3221F7"/>
    <w:rsid w:val="4E8C5DAC"/>
    <w:rsid w:val="4EAC5711"/>
    <w:rsid w:val="4EB26BFC"/>
    <w:rsid w:val="4ED164C7"/>
    <w:rsid w:val="4ED1689E"/>
    <w:rsid w:val="4EE259CC"/>
    <w:rsid w:val="4F0A0A7E"/>
    <w:rsid w:val="4F1B1237"/>
    <w:rsid w:val="4F275AD4"/>
    <w:rsid w:val="4F2F5141"/>
    <w:rsid w:val="4F4915A7"/>
    <w:rsid w:val="4F6C1739"/>
    <w:rsid w:val="4F806F93"/>
    <w:rsid w:val="4F895E47"/>
    <w:rsid w:val="4FC926E8"/>
    <w:rsid w:val="500876B4"/>
    <w:rsid w:val="5019366F"/>
    <w:rsid w:val="501D6327"/>
    <w:rsid w:val="503C110B"/>
    <w:rsid w:val="50564637"/>
    <w:rsid w:val="506D7517"/>
    <w:rsid w:val="50972065"/>
    <w:rsid w:val="50AC1958"/>
    <w:rsid w:val="50E61077"/>
    <w:rsid w:val="50F11EF6"/>
    <w:rsid w:val="51071719"/>
    <w:rsid w:val="510E2892"/>
    <w:rsid w:val="511A58F1"/>
    <w:rsid w:val="51271DBC"/>
    <w:rsid w:val="512A18AC"/>
    <w:rsid w:val="512F0C70"/>
    <w:rsid w:val="51316796"/>
    <w:rsid w:val="51401706"/>
    <w:rsid w:val="514C51DC"/>
    <w:rsid w:val="51517903"/>
    <w:rsid w:val="51820DD5"/>
    <w:rsid w:val="51887260"/>
    <w:rsid w:val="518F170F"/>
    <w:rsid w:val="51A21442"/>
    <w:rsid w:val="51AC0513"/>
    <w:rsid w:val="51AF374E"/>
    <w:rsid w:val="51B2004B"/>
    <w:rsid w:val="51D35A9F"/>
    <w:rsid w:val="52350508"/>
    <w:rsid w:val="52741030"/>
    <w:rsid w:val="527F1FE1"/>
    <w:rsid w:val="529E1C09"/>
    <w:rsid w:val="52D25D57"/>
    <w:rsid w:val="52DC0984"/>
    <w:rsid w:val="52E16D3B"/>
    <w:rsid w:val="53057EDB"/>
    <w:rsid w:val="53102A0A"/>
    <w:rsid w:val="53230361"/>
    <w:rsid w:val="532A16EF"/>
    <w:rsid w:val="532D11DF"/>
    <w:rsid w:val="53476745"/>
    <w:rsid w:val="53672943"/>
    <w:rsid w:val="536E5A80"/>
    <w:rsid w:val="537868FE"/>
    <w:rsid w:val="53803A05"/>
    <w:rsid w:val="5386726D"/>
    <w:rsid w:val="538E1C7E"/>
    <w:rsid w:val="539453CB"/>
    <w:rsid w:val="539B083F"/>
    <w:rsid w:val="53A32941"/>
    <w:rsid w:val="53C102A5"/>
    <w:rsid w:val="53D64FC0"/>
    <w:rsid w:val="54237C60"/>
    <w:rsid w:val="54556AEA"/>
    <w:rsid w:val="546B3C3F"/>
    <w:rsid w:val="546B6463"/>
    <w:rsid w:val="546E7D01"/>
    <w:rsid w:val="54AA610A"/>
    <w:rsid w:val="54BA4CF5"/>
    <w:rsid w:val="54BE6593"/>
    <w:rsid w:val="54C16083"/>
    <w:rsid w:val="54D1276A"/>
    <w:rsid w:val="54D20290"/>
    <w:rsid w:val="54D47B64"/>
    <w:rsid w:val="54D538DD"/>
    <w:rsid w:val="54E67898"/>
    <w:rsid w:val="54F55D2D"/>
    <w:rsid w:val="54F621D1"/>
    <w:rsid w:val="550545A1"/>
    <w:rsid w:val="55131A57"/>
    <w:rsid w:val="55191A1B"/>
    <w:rsid w:val="551A6815"/>
    <w:rsid w:val="55622629"/>
    <w:rsid w:val="557B0928"/>
    <w:rsid w:val="5587107B"/>
    <w:rsid w:val="5596490A"/>
    <w:rsid w:val="55AC5016"/>
    <w:rsid w:val="55B31E70"/>
    <w:rsid w:val="55B87486"/>
    <w:rsid w:val="55CA71B9"/>
    <w:rsid w:val="560E354A"/>
    <w:rsid w:val="56242D6E"/>
    <w:rsid w:val="56424FA2"/>
    <w:rsid w:val="564927D4"/>
    <w:rsid w:val="564A367B"/>
    <w:rsid w:val="568A7075"/>
    <w:rsid w:val="56C94C51"/>
    <w:rsid w:val="56E524FD"/>
    <w:rsid w:val="56FB3ACE"/>
    <w:rsid w:val="57182F86"/>
    <w:rsid w:val="5738327B"/>
    <w:rsid w:val="57421747"/>
    <w:rsid w:val="574B719F"/>
    <w:rsid w:val="577D71D5"/>
    <w:rsid w:val="578810DA"/>
    <w:rsid w:val="57947A7F"/>
    <w:rsid w:val="57AC301B"/>
    <w:rsid w:val="57AF48B9"/>
    <w:rsid w:val="57BB500C"/>
    <w:rsid w:val="57CA34A1"/>
    <w:rsid w:val="57CE2F91"/>
    <w:rsid w:val="57D7204A"/>
    <w:rsid w:val="57D85BBE"/>
    <w:rsid w:val="57E91B79"/>
    <w:rsid w:val="57F84A4C"/>
    <w:rsid w:val="57FD3876"/>
    <w:rsid w:val="580469B3"/>
    <w:rsid w:val="581A4428"/>
    <w:rsid w:val="583E3D03"/>
    <w:rsid w:val="584C2108"/>
    <w:rsid w:val="58550FBC"/>
    <w:rsid w:val="58555460"/>
    <w:rsid w:val="585D2567"/>
    <w:rsid w:val="586236D9"/>
    <w:rsid w:val="58A9755A"/>
    <w:rsid w:val="58B21E57"/>
    <w:rsid w:val="58E65A10"/>
    <w:rsid w:val="58F9403E"/>
    <w:rsid w:val="59103135"/>
    <w:rsid w:val="59162E41"/>
    <w:rsid w:val="591E3AA4"/>
    <w:rsid w:val="59276BDD"/>
    <w:rsid w:val="592D018B"/>
    <w:rsid w:val="5960230F"/>
    <w:rsid w:val="59623982"/>
    <w:rsid w:val="5967369D"/>
    <w:rsid w:val="59927FEE"/>
    <w:rsid w:val="59A9072D"/>
    <w:rsid w:val="59B166C6"/>
    <w:rsid w:val="59B63CDD"/>
    <w:rsid w:val="59BE0892"/>
    <w:rsid w:val="5A235F34"/>
    <w:rsid w:val="5A2A0227"/>
    <w:rsid w:val="5A2E5F69"/>
    <w:rsid w:val="5A3A2DDD"/>
    <w:rsid w:val="5A5F4374"/>
    <w:rsid w:val="5A623E64"/>
    <w:rsid w:val="5A762E3E"/>
    <w:rsid w:val="5A8B6F17"/>
    <w:rsid w:val="5AB02E22"/>
    <w:rsid w:val="5AD92379"/>
    <w:rsid w:val="5AF11F13"/>
    <w:rsid w:val="5AF90502"/>
    <w:rsid w:val="5AFE3B8D"/>
    <w:rsid w:val="5B025E57"/>
    <w:rsid w:val="5B152C85"/>
    <w:rsid w:val="5B417F1E"/>
    <w:rsid w:val="5B514F34"/>
    <w:rsid w:val="5B667984"/>
    <w:rsid w:val="5B6A2FD1"/>
    <w:rsid w:val="5B6B4996"/>
    <w:rsid w:val="5B70610D"/>
    <w:rsid w:val="5B914A01"/>
    <w:rsid w:val="5BAD55B3"/>
    <w:rsid w:val="5BB57FC4"/>
    <w:rsid w:val="5BC052E6"/>
    <w:rsid w:val="5BC50F5A"/>
    <w:rsid w:val="5BE2700B"/>
    <w:rsid w:val="5BF918A2"/>
    <w:rsid w:val="5C0974B1"/>
    <w:rsid w:val="5C2238AB"/>
    <w:rsid w:val="5C390BF5"/>
    <w:rsid w:val="5C742217"/>
    <w:rsid w:val="5C761E49"/>
    <w:rsid w:val="5C965957"/>
    <w:rsid w:val="5C9D1184"/>
    <w:rsid w:val="5CA93FCD"/>
    <w:rsid w:val="5CBC3D00"/>
    <w:rsid w:val="5CFB5EAA"/>
    <w:rsid w:val="5D0631CD"/>
    <w:rsid w:val="5D096819"/>
    <w:rsid w:val="5D2618E7"/>
    <w:rsid w:val="5D2E002E"/>
    <w:rsid w:val="5D336228"/>
    <w:rsid w:val="5D3A2E77"/>
    <w:rsid w:val="5D3A7D6A"/>
    <w:rsid w:val="5D5A52C7"/>
    <w:rsid w:val="5D5E50B6"/>
    <w:rsid w:val="5D5F468B"/>
    <w:rsid w:val="5D7F339F"/>
    <w:rsid w:val="5D90057C"/>
    <w:rsid w:val="5DA36C6E"/>
    <w:rsid w:val="5DC664B8"/>
    <w:rsid w:val="5DD9443E"/>
    <w:rsid w:val="5DE11544"/>
    <w:rsid w:val="5E033269"/>
    <w:rsid w:val="5E0C1DC3"/>
    <w:rsid w:val="5E1D07CE"/>
    <w:rsid w:val="5E421FE3"/>
    <w:rsid w:val="5E9D546B"/>
    <w:rsid w:val="5EB408CA"/>
    <w:rsid w:val="5EB84053"/>
    <w:rsid w:val="5EC21376"/>
    <w:rsid w:val="5ED913D9"/>
    <w:rsid w:val="5EE36F43"/>
    <w:rsid w:val="5EFF1C82"/>
    <w:rsid w:val="5F36141C"/>
    <w:rsid w:val="5F385194"/>
    <w:rsid w:val="5F4B03E2"/>
    <w:rsid w:val="5F555D46"/>
    <w:rsid w:val="5F622211"/>
    <w:rsid w:val="5F681F1D"/>
    <w:rsid w:val="5F685A79"/>
    <w:rsid w:val="5F802EF2"/>
    <w:rsid w:val="5F825F08"/>
    <w:rsid w:val="5F8A1E93"/>
    <w:rsid w:val="5FA97E40"/>
    <w:rsid w:val="5FCF5AF8"/>
    <w:rsid w:val="5FEC48FC"/>
    <w:rsid w:val="5FFC4413"/>
    <w:rsid w:val="6008100A"/>
    <w:rsid w:val="602E780A"/>
    <w:rsid w:val="602F47E9"/>
    <w:rsid w:val="606A5821"/>
    <w:rsid w:val="609805E0"/>
    <w:rsid w:val="60F82E2D"/>
    <w:rsid w:val="60FF6129"/>
    <w:rsid w:val="61251748"/>
    <w:rsid w:val="61273712"/>
    <w:rsid w:val="613B06D7"/>
    <w:rsid w:val="61447E20"/>
    <w:rsid w:val="617B1EE0"/>
    <w:rsid w:val="618B1EF3"/>
    <w:rsid w:val="61932B55"/>
    <w:rsid w:val="61A46B11"/>
    <w:rsid w:val="61AC2A92"/>
    <w:rsid w:val="61B31169"/>
    <w:rsid w:val="61C45941"/>
    <w:rsid w:val="61E24795"/>
    <w:rsid w:val="61F01D56"/>
    <w:rsid w:val="61FC694D"/>
    <w:rsid w:val="62093465"/>
    <w:rsid w:val="62141EE8"/>
    <w:rsid w:val="62315204"/>
    <w:rsid w:val="624C34E5"/>
    <w:rsid w:val="62A52B40"/>
    <w:rsid w:val="62B8336A"/>
    <w:rsid w:val="62BC609E"/>
    <w:rsid w:val="62E573E1"/>
    <w:rsid w:val="635A12B4"/>
    <w:rsid w:val="63696264"/>
    <w:rsid w:val="63AB4186"/>
    <w:rsid w:val="63AF06CE"/>
    <w:rsid w:val="63D95197"/>
    <w:rsid w:val="63DC6A36"/>
    <w:rsid w:val="64056E8A"/>
    <w:rsid w:val="64337579"/>
    <w:rsid w:val="64441196"/>
    <w:rsid w:val="64540922"/>
    <w:rsid w:val="646F3406"/>
    <w:rsid w:val="64750536"/>
    <w:rsid w:val="64852BFC"/>
    <w:rsid w:val="648A46E4"/>
    <w:rsid w:val="649015CE"/>
    <w:rsid w:val="64947310"/>
    <w:rsid w:val="64A86918"/>
    <w:rsid w:val="64AA2690"/>
    <w:rsid w:val="64AF7CA6"/>
    <w:rsid w:val="64CF0348"/>
    <w:rsid w:val="64D67929"/>
    <w:rsid w:val="64E02555"/>
    <w:rsid w:val="65030E60"/>
    <w:rsid w:val="65041B65"/>
    <w:rsid w:val="65091B75"/>
    <w:rsid w:val="651D10B4"/>
    <w:rsid w:val="655A5E64"/>
    <w:rsid w:val="65735178"/>
    <w:rsid w:val="658E5B0E"/>
    <w:rsid w:val="65902654"/>
    <w:rsid w:val="65AE59DE"/>
    <w:rsid w:val="65BC6440"/>
    <w:rsid w:val="65C36E7F"/>
    <w:rsid w:val="65C9165A"/>
    <w:rsid w:val="65D21A26"/>
    <w:rsid w:val="65D4319C"/>
    <w:rsid w:val="65DA6FA5"/>
    <w:rsid w:val="65E107A1"/>
    <w:rsid w:val="65EB4424"/>
    <w:rsid w:val="65F04A1A"/>
    <w:rsid w:val="662B5726"/>
    <w:rsid w:val="663568D1"/>
    <w:rsid w:val="663B7430"/>
    <w:rsid w:val="66415276"/>
    <w:rsid w:val="666351EC"/>
    <w:rsid w:val="66706FE1"/>
    <w:rsid w:val="66756922"/>
    <w:rsid w:val="668A5502"/>
    <w:rsid w:val="66D41C46"/>
    <w:rsid w:val="66E87063"/>
    <w:rsid w:val="66EB65F8"/>
    <w:rsid w:val="670C5884"/>
    <w:rsid w:val="67193AFD"/>
    <w:rsid w:val="671E7365"/>
    <w:rsid w:val="67242BCD"/>
    <w:rsid w:val="672A0BC3"/>
    <w:rsid w:val="672E75A8"/>
    <w:rsid w:val="675118BA"/>
    <w:rsid w:val="67580AC9"/>
    <w:rsid w:val="676A25AA"/>
    <w:rsid w:val="67990800"/>
    <w:rsid w:val="67A61834"/>
    <w:rsid w:val="67FE2A02"/>
    <w:rsid w:val="6819125D"/>
    <w:rsid w:val="681D0278"/>
    <w:rsid w:val="682B1D3A"/>
    <w:rsid w:val="682B3AE8"/>
    <w:rsid w:val="68324E76"/>
    <w:rsid w:val="685335CE"/>
    <w:rsid w:val="685C6397"/>
    <w:rsid w:val="687775B2"/>
    <w:rsid w:val="687C4343"/>
    <w:rsid w:val="6897475F"/>
    <w:rsid w:val="68A1024E"/>
    <w:rsid w:val="68BC6E36"/>
    <w:rsid w:val="68C83A2C"/>
    <w:rsid w:val="68CF0917"/>
    <w:rsid w:val="68D761A0"/>
    <w:rsid w:val="68FE634A"/>
    <w:rsid w:val="69036813"/>
    <w:rsid w:val="6908207B"/>
    <w:rsid w:val="691602F4"/>
    <w:rsid w:val="69161412"/>
    <w:rsid w:val="69164798"/>
    <w:rsid w:val="69777577"/>
    <w:rsid w:val="698711F2"/>
    <w:rsid w:val="699456BD"/>
    <w:rsid w:val="69A200AE"/>
    <w:rsid w:val="69A41DA4"/>
    <w:rsid w:val="69D411E9"/>
    <w:rsid w:val="69D8084E"/>
    <w:rsid w:val="69FD7706"/>
    <w:rsid w:val="69FF347E"/>
    <w:rsid w:val="6A1B14A7"/>
    <w:rsid w:val="6A3C022E"/>
    <w:rsid w:val="6A4E1D0F"/>
    <w:rsid w:val="6AA50336"/>
    <w:rsid w:val="6AAC73D4"/>
    <w:rsid w:val="6AB03093"/>
    <w:rsid w:val="6ABC136F"/>
    <w:rsid w:val="6ADF0BB9"/>
    <w:rsid w:val="6AE5012B"/>
    <w:rsid w:val="6B064398"/>
    <w:rsid w:val="6B080110"/>
    <w:rsid w:val="6B241A17"/>
    <w:rsid w:val="6B3E66B1"/>
    <w:rsid w:val="6B715CB5"/>
    <w:rsid w:val="6B721A2E"/>
    <w:rsid w:val="6B7636D8"/>
    <w:rsid w:val="6B797260"/>
    <w:rsid w:val="6BA31452"/>
    <w:rsid w:val="6BA37E39"/>
    <w:rsid w:val="6BC56001"/>
    <w:rsid w:val="6BD91AAD"/>
    <w:rsid w:val="6BDB5825"/>
    <w:rsid w:val="6BE02E3B"/>
    <w:rsid w:val="6BEC17E0"/>
    <w:rsid w:val="6C0E025D"/>
    <w:rsid w:val="6C225202"/>
    <w:rsid w:val="6C256AA0"/>
    <w:rsid w:val="6C381FEE"/>
    <w:rsid w:val="6C3C2767"/>
    <w:rsid w:val="6C4F04B2"/>
    <w:rsid w:val="6C5818C7"/>
    <w:rsid w:val="6C643A6C"/>
    <w:rsid w:val="6C7C2B64"/>
    <w:rsid w:val="6C8D4D71"/>
    <w:rsid w:val="6CCE28A2"/>
    <w:rsid w:val="6CDD06CC"/>
    <w:rsid w:val="6CEF1CA7"/>
    <w:rsid w:val="6D1014FE"/>
    <w:rsid w:val="6D1A4FAB"/>
    <w:rsid w:val="6D4E36AD"/>
    <w:rsid w:val="6D6F26C8"/>
    <w:rsid w:val="6D7B72BF"/>
    <w:rsid w:val="6D7D1E3C"/>
    <w:rsid w:val="6D9673F7"/>
    <w:rsid w:val="6D99255B"/>
    <w:rsid w:val="6D9B34BE"/>
    <w:rsid w:val="6DF8446C"/>
    <w:rsid w:val="6E1148C4"/>
    <w:rsid w:val="6E3B07FD"/>
    <w:rsid w:val="6E437584"/>
    <w:rsid w:val="6E733BEC"/>
    <w:rsid w:val="6E761835"/>
    <w:rsid w:val="6E914282"/>
    <w:rsid w:val="6E9C0F6F"/>
    <w:rsid w:val="6EB15EC5"/>
    <w:rsid w:val="6EC16F54"/>
    <w:rsid w:val="6EDA0016"/>
    <w:rsid w:val="6F0E4EC3"/>
    <w:rsid w:val="6F125A01"/>
    <w:rsid w:val="6F481423"/>
    <w:rsid w:val="6FE86762"/>
    <w:rsid w:val="6FFE6EBD"/>
    <w:rsid w:val="70076BE8"/>
    <w:rsid w:val="70366B8A"/>
    <w:rsid w:val="703B0F88"/>
    <w:rsid w:val="70545BA6"/>
    <w:rsid w:val="70557737"/>
    <w:rsid w:val="705F4C76"/>
    <w:rsid w:val="70967F6C"/>
    <w:rsid w:val="70981F36"/>
    <w:rsid w:val="70AA672B"/>
    <w:rsid w:val="70B12FF8"/>
    <w:rsid w:val="70BB4803"/>
    <w:rsid w:val="70BC5C25"/>
    <w:rsid w:val="70DE203F"/>
    <w:rsid w:val="70E60EF4"/>
    <w:rsid w:val="70F03B20"/>
    <w:rsid w:val="70F058CE"/>
    <w:rsid w:val="711A6DEF"/>
    <w:rsid w:val="71235F0D"/>
    <w:rsid w:val="71496FE8"/>
    <w:rsid w:val="71597917"/>
    <w:rsid w:val="7164006A"/>
    <w:rsid w:val="716A38D3"/>
    <w:rsid w:val="716A5681"/>
    <w:rsid w:val="71752277"/>
    <w:rsid w:val="71997D14"/>
    <w:rsid w:val="719A16AE"/>
    <w:rsid w:val="71AD7318"/>
    <w:rsid w:val="71C37A53"/>
    <w:rsid w:val="71C774DC"/>
    <w:rsid w:val="71C823A7"/>
    <w:rsid w:val="71CC1CC1"/>
    <w:rsid w:val="71E5444A"/>
    <w:rsid w:val="71E625CD"/>
    <w:rsid w:val="71E82A49"/>
    <w:rsid w:val="71F4319C"/>
    <w:rsid w:val="72021D5D"/>
    <w:rsid w:val="72127AC6"/>
    <w:rsid w:val="72442376"/>
    <w:rsid w:val="72553376"/>
    <w:rsid w:val="725956F5"/>
    <w:rsid w:val="725974A3"/>
    <w:rsid w:val="726D70E7"/>
    <w:rsid w:val="728B1D53"/>
    <w:rsid w:val="729055BB"/>
    <w:rsid w:val="729A3D44"/>
    <w:rsid w:val="72A63D8F"/>
    <w:rsid w:val="72AD68BE"/>
    <w:rsid w:val="72B03567"/>
    <w:rsid w:val="72B62B48"/>
    <w:rsid w:val="72BC63B0"/>
    <w:rsid w:val="72C963D7"/>
    <w:rsid w:val="72D57472"/>
    <w:rsid w:val="72E256EB"/>
    <w:rsid w:val="72E476B5"/>
    <w:rsid w:val="72EB0A43"/>
    <w:rsid w:val="72EB459F"/>
    <w:rsid w:val="72FF004B"/>
    <w:rsid w:val="73030DDC"/>
    <w:rsid w:val="73051CF2"/>
    <w:rsid w:val="731D4975"/>
    <w:rsid w:val="737C169B"/>
    <w:rsid w:val="73806F2C"/>
    <w:rsid w:val="739832BA"/>
    <w:rsid w:val="73B13A3B"/>
    <w:rsid w:val="73DC038C"/>
    <w:rsid w:val="73F76F74"/>
    <w:rsid w:val="73FC458A"/>
    <w:rsid w:val="74000587"/>
    <w:rsid w:val="7423420D"/>
    <w:rsid w:val="74237D69"/>
    <w:rsid w:val="744D4DE6"/>
    <w:rsid w:val="745A0D15"/>
    <w:rsid w:val="747D74F0"/>
    <w:rsid w:val="748A06F1"/>
    <w:rsid w:val="74C31ECB"/>
    <w:rsid w:val="74CE4179"/>
    <w:rsid w:val="74EE0377"/>
    <w:rsid w:val="74EE481B"/>
    <w:rsid w:val="74FFC3F2"/>
    <w:rsid w:val="751853F4"/>
    <w:rsid w:val="75265D63"/>
    <w:rsid w:val="75377F70"/>
    <w:rsid w:val="753C37D8"/>
    <w:rsid w:val="754B495E"/>
    <w:rsid w:val="755A5A0C"/>
    <w:rsid w:val="75610B49"/>
    <w:rsid w:val="756920F3"/>
    <w:rsid w:val="75936E3D"/>
    <w:rsid w:val="75942919"/>
    <w:rsid w:val="75B275F6"/>
    <w:rsid w:val="75D94B83"/>
    <w:rsid w:val="75E43528"/>
    <w:rsid w:val="75ED6706"/>
    <w:rsid w:val="75F96FD3"/>
    <w:rsid w:val="760F4A49"/>
    <w:rsid w:val="763017A6"/>
    <w:rsid w:val="766D79C1"/>
    <w:rsid w:val="76760624"/>
    <w:rsid w:val="767C19B2"/>
    <w:rsid w:val="768A2321"/>
    <w:rsid w:val="76B136C6"/>
    <w:rsid w:val="76BC2F72"/>
    <w:rsid w:val="76CC293A"/>
    <w:rsid w:val="76D17F50"/>
    <w:rsid w:val="76F679B7"/>
    <w:rsid w:val="77016E10"/>
    <w:rsid w:val="77106CCA"/>
    <w:rsid w:val="77112A42"/>
    <w:rsid w:val="77132317"/>
    <w:rsid w:val="77163BB5"/>
    <w:rsid w:val="7729243B"/>
    <w:rsid w:val="77440722"/>
    <w:rsid w:val="777C610E"/>
    <w:rsid w:val="77807964"/>
    <w:rsid w:val="77925931"/>
    <w:rsid w:val="77AA57AB"/>
    <w:rsid w:val="77E02514"/>
    <w:rsid w:val="77E141C3"/>
    <w:rsid w:val="780103C1"/>
    <w:rsid w:val="780659D7"/>
    <w:rsid w:val="781C169F"/>
    <w:rsid w:val="784D1858"/>
    <w:rsid w:val="78685D92"/>
    <w:rsid w:val="788259A6"/>
    <w:rsid w:val="78992CEF"/>
    <w:rsid w:val="78C30BD1"/>
    <w:rsid w:val="78C92CD0"/>
    <w:rsid w:val="7908577F"/>
    <w:rsid w:val="791B3704"/>
    <w:rsid w:val="7929565A"/>
    <w:rsid w:val="798553D8"/>
    <w:rsid w:val="799A6103"/>
    <w:rsid w:val="79B3393D"/>
    <w:rsid w:val="79D05643"/>
    <w:rsid w:val="79E24E87"/>
    <w:rsid w:val="79FA156C"/>
    <w:rsid w:val="7A150154"/>
    <w:rsid w:val="7A230AC3"/>
    <w:rsid w:val="7A480529"/>
    <w:rsid w:val="7A4B0019"/>
    <w:rsid w:val="7A4D1FE3"/>
    <w:rsid w:val="7A4F18B8"/>
    <w:rsid w:val="7A682979"/>
    <w:rsid w:val="7A756E44"/>
    <w:rsid w:val="7A807CC3"/>
    <w:rsid w:val="7A8377B3"/>
    <w:rsid w:val="7A9B4AFD"/>
    <w:rsid w:val="7A9E45ED"/>
    <w:rsid w:val="7AA02113"/>
    <w:rsid w:val="7AA8721A"/>
    <w:rsid w:val="7AAA36FF"/>
    <w:rsid w:val="7AFBE766"/>
    <w:rsid w:val="7B1F572E"/>
    <w:rsid w:val="7B276391"/>
    <w:rsid w:val="7B4E68F8"/>
    <w:rsid w:val="7B690757"/>
    <w:rsid w:val="7BB87930"/>
    <w:rsid w:val="7BBF481B"/>
    <w:rsid w:val="7BCC0CE6"/>
    <w:rsid w:val="7BE20509"/>
    <w:rsid w:val="7C06244A"/>
    <w:rsid w:val="7C1903CF"/>
    <w:rsid w:val="7C23124E"/>
    <w:rsid w:val="7C4800B3"/>
    <w:rsid w:val="7C4D40ED"/>
    <w:rsid w:val="7C5533D1"/>
    <w:rsid w:val="7C920181"/>
    <w:rsid w:val="7C985CAF"/>
    <w:rsid w:val="7C9C4E59"/>
    <w:rsid w:val="7CE107C1"/>
    <w:rsid w:val="7CE93667"/>
    <w:rsid w:val="7CEF1130"/>
    <w:rsid w:val="7CF229CE"/>
    <w:rsid w:val="7D0A7D18"/>
    <w:rsid w:val="7D124E1E"/>
    <w:rsid w:val="7D1E37C3"/>
    <w:rsid w:val="7D384885"/>
    <w:rsid w:val="7D690EE2"/>
    <w:rsid w:val="7D8950E1"/>
    <w:rsid w:val="7DAE0FEB"/>
    <w:rsid w:val="7DB3215D"/>
    <w:rsid w:val="7DC0487A"/>
    <w:rsid w:val="7DC720AD"/>
    <w:rsid w:val="7DCB56F9"/>
    <w:rsid w:val="7DD50326"/>
    <w:rsid w:val="7DE70059"/>
    <w:rsid w:val="7DF804B8"/>
    <w:rsid w:val="7DFA4230"/>
    <w:rsid w:val="7DFC3B04"/>
    <w:rsid w:val="7E2F1D63"/>
    <w:rsid w:val="7E3C2153"/>
    <w:rsid w:val="7E423B38"/>
    <w:rsid w:val="7E431733"/>
    <w:rsid w:val="7E4D576F"/>
    <w:rsid w:val="7E6B6EDC"/>
    <w:rsid w:val="7E7C69F3"/>
    <w:rsid w:val="7E941FD6"/>
    <w:rsid w:val="7E9445AA"/>
    <w:rsid w:val="7E9C7095"/>
    <w:rsid w:val="7EAA7A04"/>
    <w:rsid w:val="7EDA163C"/>
    <w:rsid w:val="7EFC18E2"/>
    <w:rsid w:val="7F030EC3"/>
    <w:rsid w:val="7F076C05"/>
    <w:rsid w:val="7F183EFE"/>
    <w:rsid w:val="7F2111AE"/>
    <w:rsid w:val="7F2F3A66"/>
    <w:rsid w:val="7F314308"/>
    <w:rsid w:val="7F637BB3"/>
    <w:rsid w:val="7F651B7D"/>
    <w:rsid w:val="7F6A7194"/>
    <w:rsid w:val="7F945FBF"/>
    <w:rsid w:val="7F9E7628"/>
    <w:rsid w:val="7FC05006"/>
    <w:rsid w:val="7FC95C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0"/>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61"/>
    <w:qFormat/>
    <w:uiPriority w:val="99"/>
    <w:pPr>
      <w:keepNext/>
      <w:keepLines/>
      <w:spacing w:before="260" w:after="260" w:line="416" w:lineRule="auto"/>
      <w:outlineLvl w:val="2"/>
    </w:pPr>
    <w:rPr>
      <w:b/>
      <w:bCs/>
      <w:kern w:val="0"/>
      <w:sz w:val="32"/>
      <w:szCs w:val="32"/>
    </w:rPr>
  </w:style>
  <w:style w:type="paragraph" w:styleId="7">
    <w:name w:val="heading 4"/>
    <w:basedOn w:val="1"/>
    <w:next w:val="1"/>
    <w:qFormat/>
    <w:uiPriority w:val="99"/>
    <w:pPr>
      <w:keepNext/>
      <w:keepLines/>
      <w:numPr>
        <w:ilvl w:val="3"/>
        <w:numId w:val="1"/>
      </w:numPr>
      <w:tabs>
        <w:tab w:val="left" w:pos="360"/>
        <w:tab w:val="clear" w:pos="864"/>
      </w:tabs>
      <w:spacing w:before="280" w:after="290" w:line="376" w:lineRule="auto"/>
      <w:ind w:left="0" w:firstLine="0"/>
      <w:outlineLvl w:val="3"/>
    </w:pPr>
    <w:rPr>
      <w:rFonts w:eastAsia="黑体"/>
      <w:b/>
      <w:bCs/>
      <w:sz w:val="28"/>
      <w:szCs w:val="28"/>
    </w:rPr>
  </w:style>
  <w:style w:type="paragraph" w:styleId="8">
    <w:name w:val="heading 5"/>
    <w:basedOn w:val="1"/>
    <w:next w:val="9"/>
    <w:link w:val="62"/>
    <w:qFormat/>
    <w:uiPriority w:val="0"/>
    <w:pPr>
      <w:keepNext/>
      <w:keepLines/>
      <w:numPr>
        <w:ilvl w:val="4"/>
        <w:numId w:val="2"/>
      </w:numPr>
      <w:spacing w:before="280" w:after="290" w:line="376" w:lineRule="auto"/>
      <w:outlineLvl w:val="4"/>
    </w:pPr>
    <w:rPr>
      <w:b/>
      <w:sz w:val="28"/>
    </w:rPr>
  </w:style>
  <w:style w:type="paragraph" w:styleId="10">
    <w:name w:val="heading 6"/>
    <w:basedOn w:val="1"/>
    <w:next w:val="9"/>
    <w:link w:val="63"/>
    <w:qFormat/>
    <w:uiPriority w:val="0"/>
    <w:pPr>
      <w:keepNext/>
      <w:keepLines/>
      <w:numPr>
        <w:ilvl w:val="5"/>
        <w:numId w:val="2"/>
      </w:numPr>
      <w:spacing w:before="240" w:after="64" w:line="320" w:lineRule="auto"/>
      <w:outlineLvl w:val="5"/>
    </w:pPr>
    <w:rPr>
      <w:rFonts w:ascii="Arial" w:hAnsi="Arial" w:eastAsia="黑体"/>
      <w:b/>
      <w:sz w:val="24"/>
    </w:rPr>
  </w:style>
  <w:style w:type="paragraph" w:styleId="11">
    <w:name w:val="heading 7"/>
    <w:basedOn w:val="1"/>
    <w:next w:val="9"/>
    <w:link w:val="64"/>
    <w:qFormat/>
    <w:uiPriority w:val="0"/>
    <w:pPr>
      <w:keepNext/>
      <w:keepLines/>
      <w:numPr>
        <w:ilvl w:val="6"/>
        <w:numId w:val="2"/>
      </w:numPr>
      <w:spacing w:before="240" w:after="64" w:line="320" w:lineRule="auto"/>
      <w:outlineLvl w:val="6"/>
    </w:pPr>
    <w:rPr>
      <w:b/>
      <w:sz w:val="24"/>
    </w:rPr>
  </w:style>
  <w:style w:type="paragraph" w:styleId="12">
    <w:name w:val="heading 8"/>
    <w:basedOn w:val="1"/>
    <w:next w:val="9"/>
    <w:link w:val="65"/>
    <w:qFormat/>
    <w:uiPriority w:val="0"/>
    <w:pPr>
      <w:keepNext/>
      <w:keepLines/>
      <w:numPr>
        <w:ilvl w:val="7"/>
        <w:numId w:val="2"/>
      </w:numPr>
      <w:spacing w:before="240" w:after="64" w:line="320" w:lineRule="auto"/>
      <w:outlineLvl w:val="7"/>
    </w:pPr>
    <w:rPr>
      <w:rFonts w:ascii="Arial" w:hAnsi="Arial" w:eastAsia="黑体"/>
      <w:sz w:val="24"/>
    </w:rPr>
  </w:style>
  <w:style w:type="paragraph" w:styleId="13">
    <w:name w:val="heading 9"/>
    <w:basedOn w:val="1"/>
    <w:next w:val="9"/>
    <w:link w:val="66"/>
    <w:qFormat/>
    <w:uiPriority w:val="0"/>
    <w:pPr>
      <w:keepNext/>
      <w:keepLines/>
      <w:numPr>
        <w:ilvl w:val="8"/>
        <w:numId w:val="2"/>
      </w:numPr>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54">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3"/>
    <w:link w:val="58"/>
    <w:qFormat/>
    <w:uiPriority w:val="99"/>
    <w:pPr>
      <w:spacing w:line="380" w:lineRule="exact"/>
    </w:pPr>
    <w:rPr>
      <w:kern w:val="0"/>
      <w:sz w:val="24"/>
    </w:rPr>
  </w:style>
  <w:style w:type="paragraph" w:styleId="3">
    <w:name w:val="Date"/>
    <w:basedOn w:val="1"/>
    <w:next w:val="1"/>
    <w:link w:val="72"/>
    <w:qFormat/>
    <w:uiPriority w:val="0"/>
    <w:pPr>
      <w:ind w:left="100" w:leftChars="2500"/>
    </w:pPr>
    <w:rPr>
      <w:rFonts w:ascii="宋体" w:hAnsi="Courier New"/>
      <w:kern w:val="0"/>
      <w:sz w:val="20"/>
      <w:szCs w:val="21"/>
    </w:rPr>
  </w:style>
  <w:style w:type="paragraph" w:styleId="9">
    <w:name w:val="Normal Indent"/>
    <w:basedOn w:val="1"/>
    <w:qFormat/>
    <w:uiPriority w:val="99"/>
    <w:pPr>
      <w:ind w:firstLine="420"/>
    </w:pPr>
    <w:rPr>
      <w:szCs w:val="20"/>
    </w:rPr>
  </w:style>
  <w:style w:type="paragraph" w:styleId="14">
    <w:name w:val="annotation subject"/>
    <w:basedOn w:val="15"/>
    <w:next w:val="15"/>
    <w:link w:val="82"/>
    <w:unhideWhenUsed/>
    <w:qFormat/>
    <w:uiPriority w:val="99"/>
    <w:rPr>
      <w:b/>
      <w:bCs/>
    </w:rPr>
  </w:style>
  <w:style w:type="paragraph" w:styleId="15">
    <w:name w:val="annotation text"/>
    <w:basedOn w:val="1"/>
    <w:link w:val="68"/>
    <w:unhideWhenUsed/>
    <w:qFormat/>
    <w:uiPriority w:val="99"/>
    <w:pPr>
      <w:jc w:val="left"/>
    </w:pPr>
  </w:style>
  <w:style w:type="paragraph" w:styleId="16">
    <w:name w:val="toc 7"/>
    <w:basedOn w:val="1"/>
    <w:next w:val="1"/>
    <w:unhideWhenUsed/>
    <w:qFormat/>
    <w:uiPriority w:val="39"/>
    <w:pPr>
      <w:ind w:left="2520" w:leftChars="1200"/>
    </w:pPr>
    <w:rPr>
      <w:rFonts w:ascii="Calibri" w:hAnsi="Calibri"/>
      <w:szCs w:val="22"/>
    </w:rPr>
  </w:style>
  <w:style w:type="paragraph" w:styleId="17">
    <w:name w:val="index 8"/>
    <w:basedOn w:val="1"/>
    <w:next w:val="1"/>
    <w:semiHidden/>
    <w:unhideWhenUsed/>
    <w:qFormat/>
    <w:uiPriority w:val="99"/>
    <w:pPr>
      <w:ind w:left="1400" w:leftChars="1400"/>
    </w:pPr>
  </w:style>
  <w:style w:type="paragraph" w:styleId="18">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9">
    <w:name w:val="caption"/>
    <w:basedOn w:val="1"/>
    <w:next w:val="1"/>
    <w:qFormat/>
    <w:uiPriority w:val="0"/>
    <w:pPr>
      <w:spacing w:before="152"/>
    </w:pPr>
    <w:rPr>
      <w:rFonts w:ascii="Arial" w:hAnsi="Arial" w:eastAsia="黑体" w:cs="Arial"/>
      <w:sz w:val="20"/>
      <w:szCs w:val="20"/>
    </w:rPr>
  </w:style>
  <w:style w:type="paragraph" w:styleId="20">
    <w:name w:val="Document Map"/>
    <w:basedOn w:val="1"/>
    <w:link w:val="67"/>
    <w:unhideWhenUsed/>
    <w:qFormat/>
    <w:uiPriority w:val="0"/>
    <w:pPr>
      <w:shd w:val="clear" w:color="auto" w:fill="000080"/>
    </w:pPr>
    <w:rPr>
      <w:rFonts w:hint="eastAsia" w:ascii="宋体" w:hAnsi="宋体"/>
      <w:kern w:val="0"/>
      <w:sz w:val="20"/>
      <w:szCs w:val="20"/>
    </w:rPr>
  </w:style>
  <w:style w:type="paragraph" w:styleId="21">
    <w:name w:val="Body Text 3"/>
    <w:basedOn w:val="1"/>
    <w:link w:val="69"/>
    <w:qFormat/>
    <w:uiPriority w:val="0"/>
    <w:pPr>
      <w:spacing w:line="500" w:lineRule="exact"/>
    </w:pPr>
    <w:rPr>
      <w:b/>
      <w:bCs/>
      <w:kern w:val="0"/>
      <w:sz w:val="24"/>
    </w:rPr>
  </w:style>
  <w:style w:type="paragraph" w:styleId="22">
    <w:name w:val="Body Text Indent"/>
    <w:basedOn w:val="1"/>
    <w:next w:val="23"/>
    <w:link w:val="70"/>
    <w:qFormat/>
    <w:uiPriority w:val="0"/>
    <w:pPr>
      <w:ind w:firstLine="830" w:firstLineChars="352"/>
    </w:pPr>
    <w:rPr>
      <w:rFonts w:ascii="仿宋_GB2312" w:eastAsia="仿宋_GB2312"/>
      <w:kern w:val="0"/>
      <w:sz w:val="32"/>
      <w:szCs w:val="20"/>
    </w:rPr>
  </w:style>
  <w:style w:type="paragraph" w:styleId="23">
    <w:name w:val="envelope return"/>
    <w:basedOn w:val="1"/>
    <w:qFormat/>
    <w:uiPriority w:val="99"/>
    <w:pPr>
      <w:snapToGrid w:val="0"/>
    </w:pPr>
    <w:rPr>
      <w:rFonts w:ascii="Arial" w:hAnsi="Arial"/>
    </w:rPr>
  </w:style>
  <w:style w:type="paragraph" w:styleId="24">
    <w:name w:val="List Number 3"/>
    <w:basedOn w:val="1"/>
    <w:qFormat/>
    <w:uiPriority w:val="0"/>
    <w:pPr>
      <w:numPr>
        <w:ilvl w:val="0"/>
        <w:numId w:val="3"/>
      </w:numPr>
    </w:pPr>
  </w:style>
  <w:style w:type="paragraph" w:styleId="25">
    <w:name w:val="List 2"/>
    <w:basedOn w:val="1"/>
    <w:qFormat/>
    <w:uiPriority w:val="0"/>
    <w:pPr>
      <w:ind w:left="100" w:leftChars="200" w:hanging="200" w:hangingChars="200"/>
    </w:pPr>
    <w:rPr>
      <w:sz w:val="28"/>
    </w:rPr>
  </w:style>
  <w:style w:type="paragraph" w:styleId="26">
    <w:name w:val="toc 5"/>
    <w:basedOn w:val="1"/>
    <w:next w:val="1"/>
    <w:unhideWhenUsed/>
    <w:qFormat/>
    <w:uiPriority w:val="39"/>
    <w:pPr>
      <w:ind w:left="1680" w:leftChars="800"/>
    </w:pPr>
    <w:rPr>
      <w:rFonts w:ascii="Calibri" w:hAnsi="Calibri"/>
      <w:szCs w:val="22"/>
    </w:rPr>
  </w:style>
  <w:style w:type="paragraph" w:styleId="27">
    <w:name w:val="toc 3"/>
    <w:basedOn w:val="1"/>
    <w:next w:val="1"/>
    <w:unhideWhenUsed/>
    <w:qFormat/>
    <w:uiPriority w:val="39"/>
    <w:pPr>
      <w:ind w:left="840" w:leftChars="400"/>
    </w:pPr>
    <w:rPr>
      <w:rFonts w:ascii="Calibri" w:hAnsi="Calibri"/>
      <w:szCs w:val="22"/>
    </w:rPr>
  </w:style>
  <w:style w:type="paragraph" w:styleId="28">
    <w:name w:val="Plain Text"/>
    <w:basedOn w:val="1"/>
    <w:next w:val="17"/>
    <w:link w:val="71"/>
    <w:qFormat/>
    <w:uiPriority w:val="0"/>
    <w:rPr>
      <w:rFonts w:ascii="宋体" w:hAnsi="Courier New"/>
      <w:kern w:val="0"/>
      <w:sz w:val="20"/>
      <w:szCs w:val="21"/>
    </w:rPr>
  </w:style>
  <w:style w:type="paragraph" w:styleId="29">
    <w:name w:val="toc 8"/>
    <w:basedOn w:val="1"/>
    <w:next w:val="1"/>
    <w:unhideWhenUsed/>
    <w:qFormat/>
    <w:uiPriority w:val="39"/>
    <w:pPr>
      <w:ind w:left="2940" w:leftChars="1400"/>
    </w:pPr>
    <w:rPr>
      <w:rFonts w:ascii="Calibri" w:hAnsi="Calibri"/>
      <w:szCs w:val="22"/>
    </w:rPr>
  </w:style>
  <w:style w:type="paragraph" w:styleId="30">
    <w:name w:val="Body Text Indent 2"/>
    <w:basedOn w:val="1"/>
    <w:link w:val="73"/>
    <w:qFormat/>
    <w:uiPriority w:val="0"/>
    <w:pPr>
      <w:ind w:firstLine="630"/>
    </w:pPr>
    <w:rPr>
      <w:kern w:val="0"/>
      <w:sz w:val="32"/>
      <w:szCs w:val="20"/>
    </w:rPr>
  </w:style>
  <w:style w:type="paragraph" w:styleId="31">
    <w:name w:val="endnote text"/>
    <w:basedOn w:val="1"/>
    <w:link w:val="74"/>
    <w:unhideWhenUsed/>
    <w:qFormat/>
    <w:uiPriority w:val="99"/>
    <w:pPr>
      <w:snapToGrid w:val="0"/>
      <w:jc w:val="left"/>
    </w:pPr>
  </w:style>
  <w:style w:type="paragraph" w:styleId="32">
    <w:name w:val="Balloon Text"/>
    <w:basedOn w:val="1"/>
    <w:link w:val="75"/>
    <w:semiHidden/>
    <w:qFormat/>
    <w:uiPriority w:val="0"/>
    <w:rPr>
      <w:kern w:val="0"/>
      <w:sz w:val="18"/>
      <w:szCs w:val="18"/>
    </w:rPr>
  </w:style>
  <w:style w:type="paragraph" w:styleId="33">
    <w:name w:val="footer"/>
    <w:basedOn w:val="1"/>
    <w:link w:val="76"/>
    <w:unhideWhenUsed/>
    <w:qFormat/>
    <w:uiPriority w:val="99"/>
    <w:pPr>
      <w:tabs>
        <w:tab w:val="center" w:pos="4153"/>
        <w:tab w:val="right" w:pos="8306"/>
      </w:tabs>
      <w:snapToGrid w:val="0"/>
      <w:jc w:val="left"/>
    </w:pPr>
    <w:rPr>
      <w:kern w:val="0"/>
      <w:sz w:val="18"/>
      <w:szCs w:val="18"/>
    </w:rPr>
  </w:style>
  <w:style w:type="paragraph" w:styleId="34">
    <w:name w:val="header"/>
    <w:basedOn w:val="1"/>
    <w:link w:val="77"/>
    <w:unhideWhenUsed/>
    <w:qFormat/>
    <w:uiPriority w:val="99"/>
    <w:pPr>
      <w:pBdr>
        <w:bottom w:val="single" w:color="auto" w:sz="6" w:space="1"/>
      </w:pBdr>
      <w:tabs>
        <w:tab w:val="center" w:pos="0"/>
        <w:tab w:val="left" w:pos="8306"/>
      </w:tabs>
      <w:snapToGrid w:val="0"/>
      <w:jc w:val="center"/>
    </w:pPr>
    <w:rPr>
      <w:sz w:val="18"/>
      <w:szCs w:val="18"/>
    </w:rPr>
  </w:style>
  <w:style w:type="paragraph" w:styleId="35">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6">
    <w:name w:val="toc 4"/>
    <w:basedOn w:val="1"/>
    <w:next w:val="1"/>
    <w:unhideWhenUsed/>
    <w:qFormat/>
    <w:uiPriority w:val="39"/>
    <w:pPr>
      <w:ind w:left="1260" w:leftChars="600"/>
    </w:pPr>
    <w:rPr>
      <w:rFonts w:ascii="Calibri" w:hAnsi="Calibri"/>
      <w:szCs w:val="22"/>
    </w:rPr>
  </w:style>
  <w:style w:type="paragraph" w:styleId="37">
    <w:name w:val="List"/>
    <w:basedOn w:val="1"/>
    <w:qFormat/>
    <w:uiPriority w:val="0"/>
    <w:pPr>
      <w:ind w:left="200" w:hanging="200" w:hangingChars="200"/>
    </w:pPr>
    <w:rPr>
      <w:sz w:val="28"/>
    </w:rPr>
  </w:style>
  <w:style w:type="paragraph" w:styleId="38">
    <w:name w:val="footnote text"/>
    <w:basedOn w:val="1"/>
    <w:link w:val="78"/>
    <w:unhideWhenUsed/>
    <w:qFormat/>
    <w:uiPriority w:val="99"/>
    <w:pPr>
      <w:snapToGrid w:val="0"/>
      <w:jc w:val="left"/>
    </w:pPr>
    <w:rPr>
      <w:sz w:val="18"/>
      <w:szCs w:val="18"/>
    </w:rPr>
  </w:style>
  <w:style w:type="paragraph" w:styleId="39">
    <w:name w:val="toc 6"/>
    <w:basedOn w:val="1"/>
    <w:next w:val="1"/>
    <w:unhideWhenUsed/>
    <w:qFormat/>
    <w:uiPriority w:val="39"/>
    <w:pPr>
      <w:ind w:left="2100" w:leftChars="1000"/>
    </w:pPr>
    <w:rPr>
      <w:rFonts w:ascii="Calibri" w:hAnsi="Calibri"/>
      <w:szCs w:val="22"/>
    </w:rPr>
  </w:style>
  <w:style w:type="paragraph" w:styleId="40">
    <w:name w:val="Body Text Indent 3"/>
    <w:basedOn w:val="1"/>
    <w:link w:val="79"/>
    <w:qFormat/>
    <w:uiPriority w:val="0"/>
    <w:pPr>
      <w:spacing w:after="120"/>
      <w:ind w:left="420" w:leftChars="200"/>
    </w:pPr>
    <w:rPr>
      <w:kern w:val="0"/>
      <w:sz w:val="16"/>
      <w:szCs w:val="16"/>
    </w:rPr>
  </w:style>
  <w:style w:type="paragraph" w:styleId="41">
    <w:name w:val="toc 2"/>
    <w:basedOn w:val="1"/>
    <w:next w:val="1"/>
    <w:unhideWhenUsed/>
    <w:qFormat/>
    <w:uiPriority w:val="39"/>
    <w:pPr>
      <w:ind w:left="420" w:leftChars="200"/>
    </w:pPr>
  </w:style>
  <w:style w:type="paragraph" w:styleId="42">
    <w:name w:val="toc 9"/>
    <w:basedOn w:val="1"/>
    <w:next w:val="1"/>
    <w:unhideWhenUsed/>
    <w:qFormat/>
    <w:uiPriority w:val="39"/>
    <w:pPr>
      <w:ind w:left="3360" w:leftChars="1600"/>
    </w:pPr>
    <w:rPr>
      <w:rFonts w:ascii="Calibri" w:hAnsi="Calibri"/>
      <w:szCs w:val="22"/>
    </w:rPr>
  </w:style>
  <w:style w:type="paragraph" w:styleId="43">
    <w:name w:val="Body Text 2"/>
    <w:basedOn w:val="1"/>
    <w:link w:val="80"/>
    <w:qFormat/>
    <w:uiPriority w:val="0"/>
    <w:pPr>
      <w:spacing w:after="120" w:line="480" w:lineRule="auto"/>
    </w:pPr>
    <w:rPr>
      <w:kern w:val="0"/>
      <w:sz w:val="20"/>
    </w:rPr>
  </w:style>
  <w:style w:type="paragraph" w:styleId="44">
    <w:name w:val="Normal (Web)"/>
    <w:basedOn w:val="1"/>
    <w:qFormat/>
    <w:uiPriority w:val="0"/>
    <w:pPr>
      <w:widowControl/>
      <w:spacing w:before="100" w:beforeAutospacing="1" w:after="100" w:afterAutospacing="1"/>
      <w:jc w:val="left"/>
    </w:pPr>
    <w:rPr>
      <w:rFonts w:ascii="宋体" w:hAnsi="宋体"/>
      <w:kern w:val="0"/>
      <w:sz w:val="24"/>
    </w:rPr>
  </w:style>
  <w:style w:type="paragraph" w:styleId="45">
    <w:name w:val="index 1"/>
    <w:basedOn w:val="1"/>
    <w:next w:val="1"/>
    <w:semiHidden/>
    <w:qFormat/>
    <w:uiPriority w:val="0"/>
    <w:pPr>
      <w:spacing w:line="400" w:lineRule="exact"/>
      <w:ind w:firstLine="420" w:firstLineChars="200"/>
    </w:pPr>
    <w:rPr>
      <w:rFonts w:ascii="宋体" w:hAnsi="Courier New"/>
      <w:b/>
      <w:szCs w:val="20"/>
    </w:rPr>
  </w:style>
  <w:style w:type="paragraph" w:styleId="46">
    <w:name w:val="Title"/>
    <w:basedOn w:val="1"/>
    <w:next w:val="1"/>
    <w:link w:val="81"/>
    <w:qFormat/>
    <w:uiPriority w:val="10"/>
    <w:pPr>
      <w:spacing w:before="240" w:after="60"/>
      <w:jc w:val="center"/>
      <w:outlineLvl w:val="0"/>
    </w:pPr>
    <w:rPr>
      <w:rFonts w:ascii="Cambria" w:hAnsi="Cambria"/>
      <w:b/>
      <w:bCs/>
      <w:sz w:val="32"/>
      <w:szCs w:val="32"/>
    </w:rPr>
  </w:style>
  <w:style w:type="character" w:styleId="48">
    <w:name w:val="endnote reference"/>
    <w:unhideWhenUsed/>
    <w:qFormat/>
    <w:uiPriority w:val="99"/>
    <w:rPr>
      <w:vertAlign w:val="superscript"/>
    </w:rPr>
  </w:style>
  <w:style w:type="character" w:styleId="49">
    <w:name w:val="page number"/>
    <w:qFormat/>
    <w:uiPriority w:val="0"/>
  </w:style>
  <w:style w:type="character" w:styleId="50">
    <w:name w:val="FollowedHyperlink"/>
    <w:qFormat/>
    <w:uiPriority w:val="0"/>
    <w:rPr>
      <w:color w:val="000000"/>
      <w:u w:val="none"/>
    </w:rPr>
  </w:style>
  <w:style w:type="character" w:styleId="51">
    <w:name w:val="Hyperlink"/>
    <w:qFormat/>
    <w:uiPriority w:val="99"/>
    <w:rPr>
      <w:color w:val="000000"/>
      <w:u w:val="none"/>
    </w:rPr>
  </w:style>
  <w:style w:type="character" w:styleId="52">
    <w:name w:val="annotation reference"/>
    <w:unhideWhenUsed/>
    <w:qFormat/>
    <w:uiPriority w:val="99"/>
    <w:rPr>
      <w:sz w:val="21"/>
      <w:szCs w:val="21"/>
    </w:rPr>
  </w:style>
  <w:style w:type="character" w:styleId="53">
    <w:name w:val="footnote reference"/>
    <w:unhideWhenUsed/>
    <w:qFormat/>
    <w:uiPriority w:val="99"/>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7">
    <w:name w:val="NormalIndent"/>
    <w:basedOn w:val="1"/>
    <w:qFormat/>
    <w:uiPriority w:val="0"/>
    <w:pPr>
      <w:ind w:firstLine="420"/>
    </w:pPr>
    <w:rPr>
      <w:szCs w:val="21"/>
    </w:rPr>
  </w:style>
  <w:style w:type="character" w:customStyle="1" w:styleId="58">
    <w:name w:val="正文文本 Char"/>
    <w:link w:val="2"/>
    <w:qFormat/>
    <w:uiPriority w:val="99"/>
    <w:rPr>
      <w:rFonts w:ascii="Times New Roman" w:hAnsi="Times New Roman" w:eastAsia="宋体" w:cs="Times New Roman"/>
      <w:sz w:val="24"/>
      <w:szCs w:val="24"/>
    </w:rPr>
  </w:style>
  <w:style w:type="character" w:customStyle="1" w:styleId="59">
    <w:name w:val="标题 1 Char"/>
    <w:link w:val="4"/>
    <w:qFormat/>
    <w:uiPriority w:val="0"/>
    <w:rPr>
      <w:rFonts w:ascii="Times New Roman" w:hAnsi="Times New Roman" w:eastAsia="宋体" w:cs="Times New Roman"/>
      <w:b/>
      <w:bCs/>
      <w:kern w:val="44"/>
      <w:sz w:val="44"/>
      <w:szCs w:val="44"/>
    </w:rPr>
  </w:style>
  <w:style w:type="character" w:customStyle="1" w:styleId="60">
    <w:name w:val="标题 2 Char"/>
    <w:link w:val="5"/>
    <w:qFormat/>
    <w:uiPriority w:val="0"/>
    <w:rPr>
      <w:rFonts w:ascii="Arial" w:hAnsi="Arial" w:eastAsia="黑体" w:cs="Times New Roman"/>
      <w:b/>
      <w:bCs/>
      <w:sz w:val="32"/>
      <w:szCs w:val="32"/>
    </w:rPr>
  </w:style>
  <w:style w:type="character" w:customStyle="1" w:styleId="61">
    <w:name w:val="标题 3 Char"/>
    <w:link w:val="6"/>
    <w:qFormat/>
    <w:uiPriority w:val="0"/>
    <w:rPr>
      <w:rFonts w:ascii="Times New Roman" w:hAnsi="Times New Roman" w:eastAsia="宋体" w:cs="Times New Roman"/>
      <w:b/>
      <w:bCs/>
      <w:sz w:val="32"/>
      <w:szCs w:val="32"/>
    </w:rPr>
  </w:style>
  <w:style w:type="character" w:customStyle="1" w:styleId="62">
    <w:name w:val="标题 5 Char1"/>
    <w:link w:val="8"/>
    <w:qFormat/>
    <w:uiPriority w:val="0"/>
    <w:rPr>
      <w:b/>
      <w:kern w:val="2"/>
      <w:sz w:val="28"/>
      <w:szCs w:val="24"/>
    </w:rPr>
  </w:style>
  <w:style w:type="character" w:customStyle="1" w:styleId="63">
    <w:name w:val="标题 6 Char"/>
    <w:link w:val="10"/>
    <w:qFormat/>
    <w:uiPriority w:val="0"/>
    <w:rPr>
      <w:rFonts w:ascii="Arial" w:hAnsi="Arial" w:eastAsia="黑体"/>
      <w:b/>
      <w:kern w:val="2"/>
      <w:sz w:val="24"/>
      <w:szCs w:val="24"/>
    </w:rPr>
  </w:style>
  <w:style w:type="character" w:customStyle="1" w:styleId="64">
    <w:name w:val="标题 7 Char"/>
    <w:link w:val="11"/>
    <w:qFormat/>
    <w:uiPriority w:val="0"/>
    <w:rPr>
      <w:rFonts w:ascii="Times New Roman" w:hAnsi="Times New Roman"/>
      <w:b/>
      <w:kern w:val="2"/>
      <w:sz w:val="24"/>
      <w:szCs w:val="24"/>
    </w:rPr>
  </w:style>
  <w:style w:type="character" w:customStyle="1" w:styleId="65">
    <w:name w:val="标题 8 Char"/>
    <w:link w:val="12"/>
    <w:qFormat/>
    <w:uiPriority w:val="0"/>
    <w:rPr>
      <w:rFonts w:ascii="Arial" w:hAnsi="Arial" w:eastAsia="黑体"/>
      <w:kern w:val="2"/>
      <w:sz w:val="24"/>
      <w:szCs w:val="24"/>
    </w:rPr>
  </w:style>
  <w:style w:type="character" w:customStyle="1" w:styleId="66">
    <w:name w:val="标题 9 Char"/>
    <w:link w:val="13"/>
    <w:qFormat/>
    <w:uiPriority w:val="0"/>
    <w:rPr>
      <w:rFonts w:ascii="Arial" w:hAnsi="Arial" w:eastAsia="黑体"/>
      <w:kern w:val="2"/>
      <w:sz w:val="21"/>
      <w:szCs w:val="24"/>
    </w:rPr>
  </w:style>
  <w:style w:type="character" w:customStyle="1" w:styleId="67">
    <w:name w:val="文档结构图 Char"/>
    <w:link w:val="20"/>
    <w:qFormat/>
    <w:uiPriority w:val="0"/>
    <w:rPr>
      <w:rFonts w:hint="eastAsia" w:ascii="宋体" w:hAnsi="宋体" w:eastAsia="宋体" w:cs="宋体"/>
    </w:rPr>
  </w:style>
  <w:style w:type="character" w:customStyle="1" w:styleId="68">
    <w:name w:val="批注文字 Char2"/>
    <w:link w:val="15"/>
    <w:qFormat/>
    <w:uiPriority w:val="0"/>
    <w:rPr>
      <w:rFonts w:ascii="Times New Roman" w:hAnsi="Times New Roman"/>
      <w:kern w:val="2"/>
      <w:sz w:val="21"/>
      <w:szCs w:val="24"/>
    </w:rPr>
  </w:style>
  <w:style w:type="character" w:customStyle="1" w:styleId="69">
    <w:name w:val="正文文本 3 Char"/>
    <w:link w:val="21"/>
    <w:qFormat/>
    <w:uiPriority w:val="0"/>
    <w:rPr>
      <w:rFonts w:ascii="Times New Roman" w:hAnsi="Times New Roman" w:eastAsia="宋体" w:cs="Times New Roman"/>
      <w:b/>
      <w:bCs/>
      <w:sz w:val="24"/>
      <w:szCs w:val="24"/>
    </w:rPr>
  </w:style>
  <w:style w:type="character" w:customStyle="1" w:styleId="70">
    <w:name w:val="正文文本缩进 Char"/>
    <w:link w:val="22"/>
    <w:qFormat/>
    <w:uiPriority w:val="0"/>
    <w:rPr>
      <w:rFonts w:ascii="仿宋_GB2312" w:hAnsi="Times New Roman" w:eastAsia="仿宋_GB2312" w:cs="Times New Roman"/>
      <w:sz w:val="32"/>
      <w:szCs w:val="20"/>
    </w:rPr>
  </w:style>
  <w:style w:type="character" w:customStyle="1" w:styleId="71">
    <w:name w:val="纯文本 Char2"/>
    <w:link w:val="28"/>
    <w:qFormat/>
    <w:uiPriority w:val="0"/>
    <w:rPr>
      <w:rFonts w:ascii="宋体" w:hAnsi="Courier New" w:eastAsia="宋体" w:cs="Courier New"/>
      <w:szCs w:val="21"/>
    </w:rPr>
  </w:style>
  <w:style w:type="character" w:customStyle="1" w:styleId="72">
    <w:name w:val="日期 Char"/>
    <w:link w:val="3"/>
    <w:qFormat/>
    <w:uiPriority w:val="0"/>
    <w:rPr>
      <w:rFonts w:ascii="宋体" w:hAnsi="Courier New" w:eastAsia="宋体" w:cs="Courier New"/>
      <w:szCs w:val="21"/>
    </w:rPr>
  </w:style>
  <w:style w:type="character" w:customStyle="1" w:styleId="73">
    <w:name w:val="正文文本缩进 2 Char"/>
    <w:link w:val="30"/>
    <w:qFormat/>
    <w:uiPriority w:val="0"/>
    <w:rPr>
      <w:rFonts w:ascii="Times New Roman" w:hAnsi="Times New Roman" w:eastAsia="宋体" w:cs="Times New Roman"/>
      <w:sz w:val="32"/>
      <w:szCs w:val="20"/>
    </w:rPr>
  </w:style>
  <w:style w:type="character" w:customStyle="1" w:styleId="74">
    <w:name w:val="尾注文本 Char"/>
    <w:link w:val="31"/>
    <w:semiHidden/>
    <w:qFormat/>
    <w:uiPriority w:val="99"/>
    <w:rPr>
      <w:rFonts w:ascii="Times New Roman" w:hAnsi="Times New Roman"/>
      <w:kern w:val="2"/>
      <w:sz w:val="21"/>
      <w:szCs w:val="24"/>
    </w:rPr>
  </w:style>
  <w:style w:type="character" w:customStyle="1" w:styleId="75">
    <w:name w:val="批注框文本 Char"/>
    <w:link w:val="32"/>
    <w:semiHidden/>
    <w:qFormat/>
    <w:uiPriority w:val="0"/>
    <w:rPr>
      <w:rFonts w:ascii="Times New Roman" w:hAnsi="Times New Roman" w:eastAsia="宋体" w:cs="Times New Roman"/>
      <w:sz w:val="18"/>
      <w:szCs w:val="18"/>
    </w:rPr>
  </w:style>
  <w:style w:type="character" w:customStyle="1" w:styleId="76">
    <w:name w:val="页脚 Char"/>
    <w:link w:val="33"/>
    <w:qFormat/>
    <w:uiPriority w:val="99"/>
    <w:rPr>
      <w:sz w:val="18"/>
      <w:szCs w:val="18"/>
    </w:rPr>
  </w:style>
  <w:style w:type="character" w:customStyle="1" w:styleId="77">
    <w:name w:val="页眉 Char"/>
    <w:link w:val="34"/>
    <w:qFormat/>
    <w:uiPriority w:val="99"/>
    <w:rPr>
      <w:rFonts w:ascii="Times New Roman" w:hAnsi="Times New Roman"/>
      <w:kern w:val="2"/>
      <w:sz w:val="18"/>
      <w:szCs w:val="18"/>
    </w:rPr>
  </w:style>
  <w:style w:type="character" w:customStyle="1" w:styleId="78">
    <w:name w:val="脚注文本 Char"/>
    <w:link w:val="38"/>
    <w:semiHidden/>
    <w:qFormat/>
    <w:uiPriority w:val="99"/>
    <w:rPr>
      <w:rFonts w:ascii="Times New Roman" w:hAnsi="Times New Roman"/>
      <w:kern w:val="2"/>
      <w:sz w:val="18"/>
      <w:szCs w:val="18"/>
    </w:rPr>
  </w:style>
  <w:style w:type="character" w:customStyle="1" w:styleId="79">
    <w:name w:val="正文文本缩进 3 Char"/>
    <w:link w:val="40"/>
    <w:qFormat/>
    <w:uiPriority w:val="0"/>
    <w:rPr>
      <w:rFonts w:ascii="Times New Roman" w:hAnsi="Times New Roman" w:eastAsia="宋体" w:cs="Times New Roman"/>
      <w:sz w:val="16"/>
      <w:szCs w:val="16"/>
    </w:rPr>
  </w:style>
  <w:style w:type="character" w:customStyle="1" w:styleId="80">
    <w:name w:val="正文文本 2 Char"/>
    <w:link w:val="43"/>
    <w:qFormat/>
    <w:uiPriority w:val="0"/>
    <w:rPr>
      <w:rFonts w:ascii="Times New Roman" w:hAnsi="Times New Roman" w:eastAsia="宋体" w:cs="Times New Roman"/>
      <w:szCs w:val="24"/>
    </w:rPr>
  </w:style>
  <w:style w:type="character" w:customStyle="1" w:styleId="81">
    <w:name w:val="标题 Char"/>
    <w:link w:val="46"/>
    <w:qFormat/>
    <w:uiPriority w:val="10"/>
    <w:rPr>
      <w:rFonts w:ascii="Cambria" w:hAnsi="Cambria" w:cs="Times New Roman"/>
      <w:b/>
      <w:bCs/>
      <w:kern w:val="2"/>
      <w:sz w:val="32"/>
      <w:szCs w:val="32"/>
    </w:rPr>
  </w:style>
  <w:style w:type="character" w:customStyle="1" w:styleId="82">
    <w:name w:val="批注主题 Char"/>
    <w:link w:val="14"/>
    <w:semiHidden/>
    <w:qFormat/>
    <w:uiPriority w:val="99"/>
    <w:rPr>
      <w:rFonts w:ascii="Times New Roman" w:hAnsi="Times New Roman"/>
      <w:b/>
      <w:bCs/>
      <w:kern w:val="2"/>
      <w:sz w:val="21"/>
      <w:szCs w:val="24"/>
    </w:rPr>
  </w:style>
  <w:style w:type="character" w:customStyle="1" w:styleId="83">
    <w:name w:val="批注文字 Char1"/>
    <w:qFormat/>
    <w:locked/>
    <w:uiPriority w:val="0"/>
    <w:rPr>
      <w:rFonts w:ascii="Times New Roman" w:hAnsi="Times New Roman"/>
      <w:kern w:val="2"/>
      <w:sz w:val="21"/>
      <w:szCs w:val="24"/>
    </w:rPr>
  </w:style>
  <w:style w:type="character" w:customStyle="1" w:styleId="84">
    <w:name w:val="case31"/>
    <w:qFormat/>
    <w:uiPriority w:val="0"/>
    <w:rPr>
      <w:rFonts w:hint="default"/>
      <w:sz w:val="21"/>
      <w:szCs w:val="21"/>
    </w:rPr>
  </w:style>
  <w:style w:type="character" w:customStyle="1" w:styleId="85">
    <w:name w:val="批注文字 Char"/>
    <w:qFormat/>
    <w:uiPriority w:val="0"/>
    <w:rPr>
      <w:rFonts w:ascii="Times New Roman" w:hAnsi="Times New Roman"/>
      <w:kern w:val="2"/>
      <w:sz w:val="21"/>
      <w:szCs w:val="24"/>
    </w:rPr>
  </w:style>
  <w:style w:type="character" w:customStyle="1" w:styleId="86">
    <w:name w:val="纯文本 Char"/>
    <w:qFormat/>
    <w:uiPriority w:val="99"/>
    <w:rPr>
      <w:rFonts w:ascii="宋体" w:hAnsi="Courier New" w:eastAsia="宋体"/>
      <w:kern w:val="2"/>
      <w:sz w:val="21"/>
      <w:lang w:val="en-US" w:eastAsia="zh-CN" w:bidi="ar-SA"/>
    </w:rPr>
  </w:style>
  <w:style w:type="character" w:customStyle="1" w:styleId="87">
    <w:name w:val="纯文本 字符1"/>
    <w:qFormat/>
    <w:uiPriority w:val="0"/>
    <w:rPr>
      <w:rFonts w:ascii="宋体" w:hAnsi="Courier New"/>
    </w:rPr>
  </w:style>
  <w:style w:type="character" w:customStyle="1" w:styleId="88">
    <w:name w:val="批注文字 字符1"/>
    <w:qFormat/>
    <w:uiPriority w:val="0"/>
    <w:rPr>
      <w:rFonts w:ascii="Times New Roman" w:hAnsi="Times New Roman"/>
      <w:kern w:val="2"/>
      <w:sz w:val="21"/>
      <w:szCs w:val="24"/>
    </w:rPr>
  </w:style>
  <w:style w:type="character" w:customStyle="1" w:styleId="89">
    <w:name w:val="正文文本 Char1"/>
    <w:semiHidden/>
    <w:qFormat/>
    <w:locked/>
    <w:uiPriority w:val="99"/>
    <w:rPr>
      <w:sz w:val="24"/>
      <w:szCs w:val="24"/>
    </w:rPr>
  </w:style>
  <w:style w:type="character" w:customStyle="1" w:styleId="90">
    <w:name w:val="apple-style-span"/>
    <w:qFormat/>
    <w:uiPriority w:val="0"/>
  </w:style>
  <w:style w:type="character" w:customStyle="1" w:styleId="91">
    <w:name w:val="textcontents"/>
    <w:qFormat/>
    <w:uiPriority w:val="0"/>
  </w:style>
  <w:style w:type="character" w:customStyle="1" w:styleId="92">
    <w:name w:val="普通文字 Char Char2"/>
    <w:qFormat/>
    <w:uiPriority w:val="0"/>
    <w:rPr>
      <w:rFonts w:ascii="宋体" w:hAnsi="Courier New" w:eastAsia="宋体"/>
      <w:kern w:val="2"/>
      <w:sz w:val="21"/>
      <w:lang w:val="en-US" w:eastAsia="zh-CN" w:bidi="ar-SA"/>
    </w:rPr>
  </w:style>
  <w:style w:type="character" w:customStyle="1" w:styleId="93">
    <w:name w:val="标题 5 Char"/>
    <w:qFormat/>
    <w:uiPriority w:val="9"/>
    <w:rPr>
      <w:b/>
      <w:kern w:val="2"/>
      <w:sz w:val="28"/>
      <w:szCs w:val="24"/>
    </w:rPr>
  </w:style>
  <w:style w:type="character" w:customStyle="1" w:styleId="94">
    <w:name w:val="批注文字 字符"/>
    <w:qFormat/>
    <w:uiPriority w:val="99"/>
    <w:rPr>
      <w:rFonts w:ascii="Times New Roman" w:hAnsi="Times New Roman"/>
      <w:kern w:val="2"/>
      <w:sz w:val="21"/>
      <w:szCs w:val="24"/>
    </w:rPr>
  </w:style>
  <w:style w:type="character" w:customStyle="1" w:styleId="95">
    <w:name w:val="标题 1 字符"/>
    <w:qFormat/>
    <w:uiPriority w:val="9"/>
    <w:rPr>
      <w:rFonts w:ascii="Times New Roman" w:hAnsi="Times New Roman" w:eastAsia="宋体" w:cs="Times New Roman"/>
      <w:b/>
      <w:bCs/>
      <w:kern w:val="44"/>
      <w:sz w:val="44"/>
      <w:szCs w:val="44"/>
    </w:rPr>
  </w:style>
  <w:style w:type="character" w:customStyle="1" w:styleId="96">
    <w:name w:val="纯文本 字符"/>
    <w:qFormat/>
    <w:uiPriority w:val="0"/>
    <w:rPr>
      <w:rFonts w:ascii="宋体" w:hAnsi="Courier New" w:eastAsia="宋体" w:cs="Courier New"/>
      <w:szCs w:val="21"/>
    </w:rPr>
  </w:style>
  <w:style w:type="character" w:customStyle="1" w:styleId="97">
    <w:name w:val="headline-content4"/>
    <w:qFormat/>
    <w:uiPriority w:val="0"/>
  </w:style>
  <w:style w:type="character" w:customStyle="1" w:styleId="9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9">
    <w:name w:val="正文文本缩进 字符"/>
    <w:qFormat/>
    <w:uiPriority w:val="0"/>
    <w:rPr>
      <w:rFonts w:ascii="仿宋_GB2312" w:hAnsi="Times New Roman" w:eastAsia="仿宋_GB2312" w:cs="Times New Roman"/>
      <w:sz w:val="32"/>
      <w:szCs w:val="20"/>
    </w:rPr>
  </w:style>
  <w:style w:type="character" w:customStyle="1" w:styleId="100">
    <w:name w:val="页脚 字符"/>
    <w:qFormat/>
    <w:uiPriority w:val="99"/>
  </w:style>
  <w:style w:type="character" w:customStyle="1" w:styleId="101">
    <w:name w:val="标题 1 Char1"/>
    <w:qFormat/>
    <w:uiPriority w:val="0"/>
    <w:rPr>
      <w:rFonts w:eastAsia="宋体"/>
      <w:b/>
      <w:bCs/>
      <w:kern w:val="44"/>
      <w:sz w:val="44"/>
      <w:szCs w:val="44"/>
      <w:lang w:val="en-US" w:eastAsia="zh-CN" w:bidi="ar-SA"/>
    </w:rPr>
  </w:style>
  <w:style w:type="character" w:customStyle="1" w:styleId="102">
    <w:name w:val="font11"/>
    <w:qFormat/>
    <w:uiPriority w:val="0"/>
    <w:rPr>
      <w:rFonts w:hint="eastAsia" w:ascii="宋体" w:hAnsi="宋体" w:eastAsia="宋体" w:cs="宋体"/>
      <w:color w:val="000000"/>
      <w:sz w:val="18"/>
      <w:szCs w:val="18"/>
      <w:u w:val="none"/>
    </w:rPr>
  </w:style>
  <w:style w:type="paragraph" w:customStyle="1" w:styleId="103">
    <w:name w:val="默认段落字体 Para Char Char Char Char Char Char Char Char Char1 Char Char Char Char"/>
    <w:basedOn w:val="1"/>
    <w:qFormat/>
    <w:uiPriority w:val="0"/>
    <w:rPr>
      <w:rFonts w:ascii="Tahoma" w:hAnsi="Tahoma"/>
      <w:sz w:val="24"/>
      <w:szCs w:val="20"/>
    </w:rPr>
  </w:style>
  <w:style w:type="paragraph" w:customStyle="1" w:styleId="104">
    <w:name w:val="Char1"/>
    <w:basedOn w:val="1"/>
    <w:qFormat/>
    <w:uiPriority w:val="0"/>
    <w:rPr>
      <w:szCs w:val="21"/>
    </w:rPr>
  </w:style>
  <w:style w:type="paragraph" w:styleId="105">
    <w:name w:val="List Paragraph"/>
    <w:basedOn w:val="1"/>
    <w:qFormat/>
    <w:uiPriority w:val="34"/>
    <w:pPr>
      <w:ind w:firstLine="420" w:firstLineChars="200"/>
    </w:pPr>
  </w:style>
  <w:style w:type="paragraph" w:customStyle="1" w:styleId="106">
    <w:name w:val="纯文本1"/>
    <w:basedOn w:val="1"/>
    <w:qFormat/>
    <w:uiPriority w:val="0"/>
    <w:rPr>
      <w:rFonts w:ascii="宋体" w:hAnsi="Courier New" w:cs="Century"/>
      <w:szCs w:val="21"/>
    </w:rPr>
  </w:style>
  <w:style w:type="paragraph" w:customStyle="1" w:styleId="107">
    <w:name w:val="样式"/>
    <w:qFormat/>
    <w:uiPriority w:val="0"/>
    <w:pPr>
      <w:widowControl w:val="0"/>
      <w:autoSpaceDE w:val="0"/>
      <w:autoSpaceDN w:val="0"/>
      <w:adjustRightInd w:val="0"/>
      <w:spacing w:after="160" w:line="278" w:lineRule="auto"/>
      <w:jc w:val="center"/>
    </w:pPr>
    <w:rPr>
      <w:rFonts w:ascii="宋体" w:hAnsi="宋体" w:eastAsia="宋体" w:cs="宋体"/>
      <w:sz w:val="24"/>
      <w:szCs w:val="24"/>
      <w:lang w:val="en-US" w:eastAsia="zh-CN" w:bidi="ar-SA"/>
    </w:rPr>
  </w:style>
  <w:style w:type="paragraph" w:customStyle="1" w:styleId="108">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09">
    <w:name w:val="Table Paragraph"/>
    <w:basedOn w:val="1"/>
    <w:qFormat/>
    <w:uiPriority w:val="1"/>
    <w:pPr>
      <w:jc w:val="left"/>
    </w:pPr>
    <w:rPr>
      <w:rFonts w:ascii="Calibri" w:hAnsi="Calibri"/>
      <w:kern w:val="0"/>
      <w:sz w:val="22"/>
      <w:szCs w:val="22"/>
      <w:lang w:eastAsia="en-US"/>
    </w:rPr>
  </w:style>
  <w:style w:type="paragraph" w:customStyle="1" w:styleId="11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1">
    <w:name w:val="表格"/>
    <w:basedOn w:val="1"/>
    <w:qFormat/>
    <w:uiPriority w:val="0"/>
    <w:pPr>
      <w:spacing w:line="400" w:lineRule="exact"/>
    </w:pPr>
    <w:rPr>
      <w:sz w:val="24"/>
    </w:rPr>
  </w:style>
  <w:style w:type="paragraph" w:customStyle="1" w:styleId="112">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13">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4">
    <w:name w:val="样式 首行缩进:  2 字符"/>
    <w:basedOn w:val="1"/>
    <w:qFormat/>
    <w:uiPriority w:val="0"/>
    <w:pPr>
      <w:spacing w:line="400" w:lineRule="exact"/>
      <w:ind w:firstLine="200" w:firstLineChars="200"/>
    </w:pPr>
    <w:rPr>
      <w:rFonts w:cs="宋体"/>
      <w:sz w:val="24"/>
    </w:rPr>
  </w:style>
  <w:style w:type="paragraph" w:customStyle="1" w:styleId="115">
    <w:name w:val="正文首行缩进两字符"/>
    <w:basedOn w:val="1"/>
    <w:qFormat/>
    <w:uiPriority w:val="0"/>
    <w:pPr>
      <w:spacing w:line="360" w:lineRule="auto"/>
      <w:ind w:firstLine="200" w:firstLineChars="200"/>
    </w:pPr>
  </w:style>
  <w:style w:type="paragraph" w:customStyle="1" w:styleId="116">
    <w:name w:val="正文段"/>
    <w:basedOn w:val="1"/>
    <w:qFormat/>
    <w:uiPriority w:val="0"/>
    <w:pPr>
      <w:widowControl/>
      <w:snapToGrid w:val="0"/>
      <w:spacing w:afterLines="50"/>
      <w:ind w:firstLine="200" w:firstLineChars="200"/>
    </w:pPr>
    <w:rPr>
      <w:kern w:val="0"/>
      <w:sz w:val="24"/>
      <w:szCs w:val="20"/>
    </w:rPr>
  </w:style>
  <w:style w:type="paragraph" w:customStyle="1" w:styleId="117">
    <w:name w:val="修订1"/>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118">
    <w:name w:val="Table Normal"/>
    <w:semiHidden/>
    <w:qFormat/>
    <w:uiPriority w:val="2"/>
    <w:pPr>
      <w:widowControl w:val="0"/>
    </w:pPr>
    <w:rPr>
      <w:rFonts w:ascii="Calibri" w:hAnsi="Calibri" w:eastAsia="Times New Roman"/>
      <w:sz w:val="22"/>
      <w:szCs w:val="22"/>
      <w:lang w:eastAsia="en-US"/>
    </w:rPr>
    <w:tblPr>
      <w:tblLayout w:type="fixed"/>
      <w:tblCellMar>
        <w:top w:w="0" w:type="dxa"/>
        <w:left w:w="0" w:type="dxa"/>
        <w:bottom w:w="0" w:type="dxa"/>
        <w:right w:w="0" w:type="dxa"/>
      </w:tblCellMar>
    </w:tblPr>
  </w:style>
  <w:style w:type="character" w:customStyle="1" w:styleId="119">
    <w:name w:val="未处理的提及1"/>
    <w:unhideWhenUsed/>
    <w:qFormat/>
    <w:uiPriority w:val="99"/>
    <w:rPr>
      <w:color w:val="605E5C"/>
      <w:shd w:val="clear" w:color="auto" w:fill="E1DFDD"/>
    </w:rPr>
  </w:style>
  <w:style w:type="character" w:customStyle="1" w:styleId="120">
    <w:name w:val="批注文字 字符2"/>
    <w:qFormat/>
    <w:uiPriority w:val="0"/>
    <w:rPr>
      <w:rFonts w:ascii="Times New Roman" w:hAnsi="Times New Roman"/>
      <w:kern w:val="2"/>
      <w:sz w:val="21"/>
      <w:szCs w:val="24"/>
    </w:rPr>
  </w:style>
  <w:style w:type="character" w:customStyle="1" w:styleId="121">
    <w:name w:val="页眉 字符"/>
    <w:qFormat/>
    <w:uiPriority w:val="99"/>
    <w:rPr>
      <w:rFonts w:ascii="Times New Roman" w:hAnsi="Times New Roman"/>
      <w:kern w:val="2"/>
      <w:sz w:val="18"/>
      <w:szCs w:val="18"/>
    </w:rPr>
  </w:style>
  <w:style w:type="character" w:customStyle="1" w:styleId="122">
    <w:name w:val="正文文本 字符"/>
    <w:qFormat/>
    <w:uiPriority w:val="99"/>
    <w:rPr>
      <w:sz w:val="24"/>
      <w:szCs w:val="24"/>
    </w:rPr>
  </w:style>
  <w:style w:type="character" w:customStyle="1" w:styleId="123">
    <w:name w:val="纯文本 字符2"/>
    <w:qFormat/>
    <w:uiPriority w:val="0"/>
    <w:rPr>
      <w:rFonts w:ascii="宋体" w:hAnsi="Courier New"/>
      <w:szCs w:val="21"/>
    </w:rPr>
  </w:style>
  <w:style w:type="paragraph" w:customStyle="1" w:styleId="124">
    <w:name w:val="reader-word-layer reader-word-s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reader-word-layer reader-word-s1-0 reader-word-s1-1 reader-word-s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列表段落2"/>
    <w:basedOn w:val="1"/>
    <w:qFormat/>
    <w:uiPriority w:val="99"/>
    <w:pPr>
      <w:ind w:firstLine="420" w:firstLineChars="200"/>
    </w:pPr>
    <w:rPr>
      <w:rFonts w:ascii="等线" w:hAnsi="等线" w:eastAsia="等线" w:cs="宋体"/>
      <w:szCs w:val="21"/>
    </w:rPr>
  </w:style>
  <w:style w:type="character" w:customStyle="1" w:styleId="128">
    <w:name w:val="标题 3 字符"/>
    <w:semiHidden/>
    <w:qFormat/>
    <w:locked/>
    <w:uiPriority w:val="99"/>
    <w:rPr>
      <w:rFonts w:ascii="等线" w:hAnsi="等线" w:eastAsia="等线" w:cs="Times New Roman"/>
      <w:b/>
      <w:sz w:val="32"/>
    </w:rPr>
  </w:style>
  <w:style w:type="character" w:customStyle="1" w:styleId="129">
    <w:name w:val="纯文本 字符3"/>
    <w:qFormat/>
    <w:uiPriority w:val="0"/>
    <w:rPr>
      <w:rFonts w:ascii="宋体" w:hAnsi="Courier New" w:eastAsia="宋体" w:cs="Courier New"/>
      <w:szCs w:val="21"/>
    </w:rPr>
  </w:style>
  <w:style w:type="character" w:customStyle="1" w:styleId="130">
    <w:name w:val="标题 3 字符1"/>
    <w:qFormat/>
    <w:uiPriority w:val="0"/>
    <w:rPr>
      <w:rFonts w:ascii="Times New Roman" w:hAnsi="Times New Roman" w:eastAsia="宋体" w:cs="Times New Roman"/>
      <w:b/>
      <w:bCs/>
      <w:sz w:val="32"/>
      <w:szCs w:val="32"/>
    </w:rPr>
  </w:style>
  <w:style w:type="character" w:customStyle="1" w:styleId="131">
    <w:name w:val="font61"/>
    <w:qFormat/>
    <w:uiPriority w:val="0"/>
    <w:rPr>
      <w:rFonts w:hint="eastAsia" w:ascii="宋体" w:hAnsi="宋体" w:eastAsia="宋体" w:cs="宋体"/>
      <w:color w:val="000000"/>
      <w:sz w:val="36"/>
      <w:szCs w:val="36"/>
      <w:u w:val="none"/>
    </w:rPr>
  </w:style>
  <w:style w:type="paragraph" w:customStyle="1" w:styleId="132">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33">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134">
    <w:name w:val="纯文本 Char1"/>
    <w:qFormat/>
    <w:uiPriority w:val="0"/>
    <w:rPr>
      <w:rFonts w:ascii="宋体" w:hAnsi="Courier New" w:eastAsia="宋体" w:cs="Courier New"/>
      <w:szCs w:val="21"/>
    </w:rPr>
  </w:style>
  <w:style w:type="paragraph" w:customStyle="1" w:styleId="135">
    <w:name w:val="修订4"/>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36">
    <w:name w:val="修订5"/>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37">
    <w:name w:val="Body text|1"/>
    <w:basedOn w:val="1"/>
    <w:qFormat/>
    <w:uiPriority w:val="0"/>
    <w:pPr>
      <w:spacing w:line="350" w:lineRule="auto"/>
      <w:ind w:firstLine="400"/>
      <w:jc w:val="left"/>
    </w:pPr>
    <w:rPr>
      <w:rFonts w:ascii="宋体" w:hAnsi="宋体" w:cs="宋体"/>
      <w:kern w:val="0"/>
      <w:sz w:val="30"/>
      <w:szCs w:val="30"/>
    </w:rPr>
  </w:style>
  <w:style w:type="paragraph" w:customStyle="1" w:styleId="138">
    <w:name w:val="正文-2字符首行缩进"/>
    <w:basedOn w:val="1"/>
    <w:qFormat/>
    <w:uiPriority w:val="0"/>
    <w:pPr>
      <w:widowControl/>
      <w:spacing w:line="360" w:lineRule="auto"/>
      <w:ind w:firstLine="200" w:firstLineChars="200"/>
    </w:pPr>
    <w:rPr>
      <w:rFonts w:ascii="仿宋_GB2312" w:hAnsi="Calibri" w:eastAsia="仿宋_GB2312"/>
      <w:kern w:val="0"/>
      <w:sz w:val="28"/>
      <w:szCs w:val="22"/>
    </w:rPr>
  </w:style>
  <w:style w:type="paragraph" w:customStyle="1" w:styleId="139">
    <w:name w:val="列出段落1"/>
    <w:basedOn w:val="1"/>
    <w:qFormat/>
    <w:uiPriority w:val="99"/>
    <w:pPr>
      <w:adjustRightInd w:val="0"/>
      <w:spacing w:line="360" w:lineRule="atLeast"/>
      <w:ind w:firstLine="420" w:firstLineChars="200"/>
      <w:jc w:val="left"/>
      <w:textAlignment w:val="baseline"/>
    </w:pPr>
    <w:rPr>
      <w:rFonts w:ascii="Calibri" w:hAnsi="Calibri"/>
      <w:kern w:val="0"/>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115</Pages>
  <Words>10859</Words>
  <Characters>61899</Characters>
  <Lines>515</Lines>
  <Paragraphs>145</Paragraphs>
  <TotalTime>0</TotalTime>
  <ScaleCrop>false</ScaleCrop>
  <LinksUpToDate>false</LinksUpToDate>
  <CharactersWithSpaces>72613</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2023-12-22T15:16:00Z</dcterms:created>
  <dc:creator>KWZB</dc:creator>
  <cp:lastModifiedBy>Administrator</cp:lastModifiedBy>
  <cp:lastPrinted>2025-02-05T12:10:00Z</cp:lastPrinted>
  <dcterms:modified xsi:type="dcterms:W3CDTF">2025-12-11T03:11:53Z</dcterms:modified>
  <dc:title>公开招标采购文件范本</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ICV">
    <vt:lpwstr>33E45E12E739FFA5A1412D69703BF1C1_43</vt:lpwstr>
  </property>
</Properties>
</file>