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CC482">
      <w:pPr>
        <w:spacing w:line="360" w:lineRule="auto"/>
        <w:jc w:val="center"/>
        <w:rPr>
          <w:rFonts w:hint="eastAsia" w:ascii="方正小标宋简体" w:hAnsi="宋体" w:eastAsia="方正小标宋简体"/>
          <w:color w:val="auto"/>
          <w:sz w:val="52"/>
          <w:szCs w:val="52"/>
          <w:highlight w:val="none"/>
          <w:lang w:eastAsia="zh-CN"/>
        </w:rPr>
      </w:pPr>
    </w:p>
    <w:p w14:paraId="2AA110CA">
      <w:pPr>
        <w:spacing w:line="360" w:lineRule="auto"/>
        <w:jc w:val="center"/>
        <w:rPr>
          <w:rFonts w:hint="eastAsia" w:ascii="方正小标宋简体" w:hAnsi="宋体" w:eastAsia="方正小标宋简体"/>
          <w:color w:val="auto"/>
          <w:sz w:val="52"/>
          <w:szCs w:val="52"/>
          <w:highlight w:val="none"/>
          <w:lang w:eastAsia="zh-CN"/>
        </w:rPr>
      </w:pPr>
    </w:p>
    <w:p w14:paraId="3BC10AF0">
      <w:pPr>
        <w:spacing w:line="360" w:lineRule="auto"/>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宋体" w:eastAsia="方正小标宋简体"/>
          <w:color w:val="auto"/>
          <w:sz w:val="52"/>
          <w:szCs w:val="52"/>
          <w:highlight w:val="none"/>
          <w:lang w:eastAsia="zh-CN"/>
        </w:rPr>
        <w:t>广西城建咨询设计有限公司</w:t>
      </w:r>
    </w:p>
    <w:p w14:paraId="15DAA808">
      <w:pPr>
        <w:spacing w:line="360" w:lineRule="auto"/>
        <w:jc w:val="center"/>
        <w:rPr>
          <w:rFonts w:ascii="方正小标宋简体" w:hAnsi="方正小标宋简体" w:eastAsia="方正小标宋简体" w:cs="方正小标宋简体"/>
          <w:b/>
          <w:color w:val="auto"/>
          <w:sz w:val="44"/>
          <w:szCs w:val="44"/>
          <w:highlight w:val="none"/>
        </w:rPr>
      </w:pPr>
    </w:p>
    <w:p w14:paraId="260957BF">
      <w:pPr>
        <w:pStyle w:val="64"/>
        <w:rPr>
          <w:color w:val="auto"/>
          <w:highlight w:val="none"/>
        </w:rPr>
      </w:pPr>
    </w:p>
    <w:p w14:paraId="2F1D33F7">
      <w:pPr>
        <w:snapToGrid w:val="0"/>
        <w:spacing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5E5A4A9E">
      <w:pPr>
        <w:snapToGrid w:val="0"/>
        <w:spacing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192DF91E">
      <w:pPr>
        <w:pStyle w:val="26"/>
        <w:snapToGrid w:val="0"/>
        <w:spacing w:line="360" w:lineRule="auto"/>
        <w:ind w:firstLine="904" w:firstLineChars="300"/>
        <w:rPr>
          <w:rFonts w:hint="eastAsia" w:ascii="仿宋_GB2312" w:hAnsi="宋体" w:eastAsia="仿宋_GB2312"/>
          <w:b/>
          <w:bCs/>
          <w:color w:val="auto"/>
          <w:sz w:val="30"/>
          <w:szCs w:val="30"/>
          <w:highlight w:val="none"/>
        </w:rPr>
      </w:pPr>
    </w:p>
    <w:p w14:paraId="7EEF23B1">
      <w:pPr>
        <w:pStyle w:val="26"/>
        <w:snapToGrid w:val="0"/>
        <w:spacing w:line="360" w:lineRule="auto"/>
        <w:ind w:firstLine="904" w:firstLineChars="300"/>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w w:val="95"/>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会议中心报告厅屋面钢结构修缮项目</w:t>
      </w:r>
    </w:p>
    <w:p w14:paraId="59EFD3FF">
      <w:pPr>
        <w:snapToGrid w:val="0"/>
        <w:spacing w:line="360" w:lineRule="auto"/>
        <w:ind w:firstLine="859" w:firstLineChars="300"/>
        <w:rPr>
          <w:rFonts w:hint="eastAsia" w:ascii="仿宋_GB2312" w:hAnsi="宋体" w:eastAsia="仿宋_GB2312"/>
          <w:color w:val="auto"/>
          <w:sz w:val="30"/>
          <w:szCs w:val="72"/>
          <w:highlight w:val="none"/>
          <w:u w:val="none"/>
          <w:lang w:eastAsia="zh-CN"/>
        </w:rPr>
      </w:pPr>
      <w:r>
        <w:rPr>
          <w:rFonts w:hint="eastAsia" w:ascii="仿宋_GB2312" w:hAnsi="宋体" w:eastAsia="仿宋_GB2312" w:cs="Courier New"/>
          <w:b/>
          <w:bCs/>
          <w:color w:val="auto"/>
          <w:w w:val="95"/>
          <w:sz w:val="30"/>
          <w:szCs w:val="30"/>
          <w:highlight w:val="none"/>
          <w:u w:val="none"/>
        </w:rPr>
        <w:t>项目</w:t>
      </w:r>
      <w:r>
        <w:rPr>
          <w:rFonts w:hint="eastAsia" w:ascii="仿宋_GB2312" w:hAnsi="宋体" w:eastAsia="仿宋_GB2312"/>
          <w:b/>
          <w:bCs/>
          <w:color w:val="auto"/>
          <w:sz w:val="30"/>
          <w:szCs w:val="30"/>
          <w:highlight w:val="none"/>
          <w:u w:val="none"/>
        </w:rPr>
        <w:t>编号</w:t>
      </w:r>
      <w:r>
        <w:rPr>
          <w:rFonts w:hint="eastAsia" w:ascii="仿宋_GB2312" w:hAnsi="宋体" w:eastAsia="仿宋_GB2312" w:cs="Courier New"/>
          <w:b/>
          <w:bCs/>
          <w:color w:val="auto"/>
          <w:w w:val="95"/>
          <w:sz w:val="30"/>
          <w:szCs w:val="30"/>
          <w:highlight w:val="none"/>
          <w:u w:val="none"/>
        </w:rPr>
        <w:t>：</w:t>
      </w:r>
      <w:r>
        <w:rPr>
          <w:rFonts w:hint="eastAsia" w:ascii="仿宋_GB2312" w:hAnsi="宋体" w:eastAsia="仿宋_GB2312"/>
          <w:b/>
          <w:color w:val="auto"/>
          <w:sz w:val="30"/>
          <w:szCs w:val="48"/>
          <w:highlight w:val="none"/>
          <w:u w:val="none"/>
          <w:lang w:eastAsia="zh-CN"/>
        </w:rPr>
        <w:t>GXZC2026-C2-000359-GXCJ</w:t>
      </w:r>
    </w:p>
    <w:p w14:paraId="712E57CA">
      <w:pPr>
        <w:pStyle w:val="26"/>
        <w:snapToGrid w:val="0"/>
        <w:spacing w:line="360" w:lineRule="auto"/>
        <w:ind w:firstLine="859" w:firstLineChars="3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 购 人：</w:t>
      </w:r>
      <w:r>
        <w:rPr>
          <w:rFonts w:hint="eastAsia" w:ascii="仿宋_GB2312" w:hAnsi="宋体" w:eastAsia="仿宋_GB2312"/>
          <w:b/>
          <w:bCs/>
          <w:color w:val="auto"/>
          <w:w w:val="95"/>
          <w:sz w:val="30"/>
          <w:szCs w:val="30"/>
          <w:highlight w:val="none"/>
          <w:lang w:eastAsia="zh-CN"/>
        </w:rPr>
        <w:t>中国共产党广西壮族自治区委员会党校</w:t>
      </w:r>
    </w:p>
    <w:p w14:paraId="3826F520">
      <w:pPr>
        <w:pStyle w:val="26"/>
        <w:snapToGrid w:val="0"/>
        <w:spacing w:line="360" w:lineRule="auto"/>
        <w:ind w:firstLine="859" w:firstLineChars="300"/>
        <w:rPr>
          <w:rFonts w:hint="eastAsia" w:ascii="仿宋_GB2312" w:hAnsi="宋体" w:eastAsia="仿宋_GB2312"/>
          <w:b/>
          <w:bCs/>
          <w:color w:val="auto"/>
          <w:w w:val="95"/>
          <w:sz w:val="30"/>
          <w:szCs w:val="30"/>
          <w:highlight w:val="none"/>
          <w:lang w:eastAsia="zh-CN"/>
        </w:rPr>
      </w:pPr>
      <w:r>
        <w:rPr>
          <w:rFonts w:hint="eastAsia" w:ascii="仿宋_GB2312" w:hAnsi="宋体" w:eastAsia="仿宋_GB2312"/>
          <w:b/>
          <w:bCs/>
          <w:color w:val="auto"/>
          <w:w w:val="95"/>
          <w:sz w:val="30"/>
          <w:szCs w:val="30"/>
          <w:highlight w:val="none"/>
        </w:rPr>
        <w:t>采购代理机构：</w:t>
      </w:r>
      <w:r>
        <w:rPr>
          <w:rFonts w:hint="eastAsia" w:ascii="仿宋_GB2312" w:hAnsi="宋体" w:eastAsia="仿宋_GB2312"/>
          <w:b/>
          <w:bCs/>
          <w:color w:val="auto"/>
          <w:w w:val="95"/>
          <w:sz w:val="30"/>
          <w:szCs w:val="30"/>
          <w:highlight w:val="none"/>
          <w:lang w:eastAsia="zh-CN"/>
        </w:rPr>
        <w:t>广西城建咨询设计有限公司</w:t>
      </w:r>
    </w:p>
    <w:p w14:paraId="45DE75CD">
      <w:pPr>
        <w:pStyle w:val="26"/>
        <w:snapToGrid w:val="0"/>
        <w:spacing w:line="360" w:lineRule="auto"/>
        <w:ind w:firstLine="1125" w:firstLineChars="393"/>
        <w:rPr>
          <w:rFonts w:ascii="仿宋_GB2312" w:hAnsi="宋体" w:eastAsia="仿宋_GB2312"/>
          <w:b/>
          <w:bCs/>
          <w:color w:val="auto"/>
          <w:w w:val="95"/>
          <w:sz w:val="30"/>
          <w:szCs w:val="30"/>
          <w:highlight w:val="none"/>
        </w:rPr>
      </w:pPr>
    </w:p>
    <w:p w14:paraId="5537F6D4">
      <w:pPr>
        <w:pStyle w:val="26"/>
        <w:snapToGrid w:val="0"/>
        <w:spacing w:line="360" w:lineRule="auto"/>
        <w:jc w:val="center"/>
        <w:rPr>
          <w:rFonts w:ascii="仿宋_GB2312" w:eastAsia="仿宋_GB2312"/>
          <w:color w:val="auto"/>
          <w:szCs w:val="20"/>
          <w:highlight w:val="none"/>
        </w:rPr>
      </w:pP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lang w:val="en-US" w:eastAsia="zh-CN"/>
        </w:rPr>
        <w:t>6</w:t>
      </w:r>
      <w:r>
        <w:rPr>
          <w:rFonts w:hint="eastAsia" w:ascii="仿宋_GB2312" w:hAnsi="宋体" w:eastAsia="仿宋_GB2312"/>
          <w:b/>
          <w:bCs/>
          <w:color w:val="auto"/>
          <w:w w:val="95"/>
          <w:sz w:val="30"/>
          <w:szCs w:val="30"/>
          <w:highlight w:val="none"/>
        </w:rPr>
        <w:t>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p>
    <w:p w14:paraId="540CA170">
      <w:pPr>
        <w:spacing w:line="360" w:lineRule="auto"/>
        <w:jc w:val="center"/>
        <w:rPr>
          <w:rFonts w:ascii="宋体" w:hAnsi="宋体"/>
          <w:b/>
          <w:color w:val="auto"/>
          <w:sz w:val="44"/>
          <w:szCs w:val="44"/>
          <w:highlight w:val="none"/>
        </w:rPr>
      </w:pPr>
      <w:r>
        <w:rPr>
          <w:rFonts w:hint="eastAsia" w:ascii="黑体" w:hAnsi="黑体" w:eastAsia="黑体" w:cs="宋体"/>
          <w:b/>
          <w:bCs/>
          <w:color w:val="auto"/>
          <w:kern w:val="0"/>
          <w:sz w:val="32"/>
          <w:szCs w:val="32"/>
          <w:highlight w:val="none"/>
        </w:rPr>
        <w:br w:type="page"/>
      </w:r>
    </w:p>
    <w:p w14:paraId="21743485">
      <w:pPr>
        <w:spacing w:line="360" w:lineRule="auto"/>
        <w:jc w:val="center"/>
        <w:rPr>
          <w:rFonts w:hint="eastAsia" w:ascii="宋体" w:hAnsi="宋体"/>
          <w:b/>
          <w:color w:val="auto"/>
          <w:sz w:val="44"/>
          <w:szCs w:val="44"/>
          <w:highlight w:val="none"/>
        </w:rPr>
      </w:pPr>
    </w:p>
    <w:p w14:paraId="13A10EA3">
      <w:pPr>
        <w:spacing w:line="360" w:lineRule="auto"/>
        <w:jc w:val="center"/>
        <w:rPr>
          <w:rFonts w:ascii="宋体" w:hAnsi="宋体"/>
          <w:b/>
          <w:color w:val="auto"/>
          <w:sz w:val="44"/>
          <w:szCs w:val="44"/>
          <w:highlight w:val="none"/>
        </w:rPr>
      </w:pPr>
      <w:r>
        <w:rPr>
          <w:rFonts w:hint="eastAsia" w:ascii="宋体" w:hAnsi="宋体"/>
          <w:b/>
          <w:color w:val="auto"/>
          <w:sz w:val="44"/>
          <w:szCs w:val="44"/>
          <w:highlight w:val="none"/>
        </w:rPr>
        <w:t>目  录</w:t>
      </w:r>
    </w:p>
    <w:p w14:paraId="08B1D804">
      <w:pPr>
        <w:spacing w:line="400" w:lineRule="exact"/>
        <w:jc w:val="center"/>
        <w:rPr>
          <w:rFonts w:ascii="宋体" w:hAnsi="宋体"/>
          <w:b/>
          <w:color w:val="auto"/>
          <w:sz w:val="44"/>
          <w:szCs w:val="44"/>
          <w:highlight w:val="none"/>
        </w:rPr>
      </w:pPr>
    </w:p>
    <w:p w14:paraId="74F49175">
      <w:pPr>
        <w:pStyle w:val="33"/>
        <w:tabs>
          <w:tab w:val="right" w:leader="dot" w:pos="8879"/>
        </w:tabs>
        <w:spacing w:line="480" w:lineRule="auto"/>
        <w:rPr>
          <w:color w:val="auto"/>
          <w:sz w:val="30"/>
          <w:szCs w:val="30"/>
          <w:highlight w:val="none"/>
        </w:rPr>
      </w:pPr>
      <w:r>
        <w:rPr>
          <w:rFonts w:ascii="宋体" w:hAnsi="宋体"/>
          <w:b/>
          <w:color w:val="auto"/>
          <w:sz w:val="30"/>
          <w:szCs w:val="30"/>
          <w:highlight w:val="none"/>
        </w:rPr>
        <w:fldChar w:fldCharType="begin"/>
      </w:r>
      <w:r>
        <w:rPr>
          <w:rFonts w:hint="eastAsia" w:ascii="宋体" w:hAnsi="宋体"/>
          <w:b/>
          <w:color w:val="auto"/>
          <w:sz w:val="30"/>
          <w:szCs w:val="30"/>
          <w:highlight w:val="none"/>
        </w:rPr>
        <w:instrText xml:space="preserve">TOC \o "1-3" \h \z \u</w:instrText>
      </w:r>
      <w:r>
        <w:rPr>
          <w:rFonts w:ascii="宋体" w:hAnsi="宋体"/>
          <w:b/>
          <w:color w:val="auto"/>
          <w:sz w:val="30"/>
          <w:szCs w:val="30"/>
          <w:highlight w:val="none"/>
        </w:rPr>
        <w:fldChar w:fldCharType="separate"/>
      </w: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_Toc21835 </w:instrText>
      </w:r>
      <w:r>
        <w:rPr>
          <w:rFonts w:ascii="宋体" w:hAnsi="宋体"/>
          <w:color w:val="auto"/>
          <w:sz w:val="30"/>
          <w:szCs w:val="30"/>
          <w:highlight w:val="none"/>
        </w:rPr>
        <w:fldChar w:fldCharType="separate"/>
      </w:r>
      <w:r>
        <w:rPr>
          <w:rFonts w:hint="eastAsia"/>
          <w:color w:val="auto"/>
          <w:sz w:val="30"/>
          <w:szCs w:val="30"/>
          <w:highlight w:val="none"/>
        </w:rPr>
        <w:t>第一章</w:t>
      </w:r>
      <w:r>
        <w:rPr>
          <w:rFonts w:hint="eastAsia"/>
          <w:color w:val="auto"/>
          <w:sz w:val="30"/>
          <w:szCs w:val="30"/>
          <w:highlight w:val="none"/>
          <w:lang w:val="en-US" w:eastAsia="zh-CN"/>
        </w:rPr>
        <w:t xml:space="preserve"> </w:t>
      </w:r>
      <w:r>
        <w:rPr>
          <w:rFonts w:hint="eastAsia"/>
          <w:color w:val="auto"/>
          <w:sz w:val="30"/>
          <w:szCs w:val="30"/>
          <w:highlight w:val="none"/>
        </w:rPr>
        <w:t>竞争性磋商公告</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_Toc21835 \h </w:instrText>
      </w:r>
      <w:r>
        <w:rPr>
          <w:color w:val="auto"/>
          <w:sz w:val="30"/>
          <w:szCs w:val="30"/>
          <w:highlight w:val="none"/>
        </w:rPr>
        <w:fldChar w:fldCharType="separate"/>
      </w:r>
      <w:r>
        <w:rPr>
          <w:color w:val="auto"/>
          <w:sz w:val="30"/>
          <w:szCs w:val="30"/>
          <w:highlight w:val="none"/>
        </w:rPr>
        <w:t>1</w:t>
      </w:r>
      <w:r>
        <w:rPr>
          <w:color w:val="auto"/>
          <w:sz w:val="30"/>
          <w:szCs w:val="30"/>
          <w:highlight w:val="none"/>
        </w:rPr>
        <w:fldChar w:fldCharType="end"/>
      </w:r>
      <w:r>
        <w:rPr>
          <w:rFonts w:ascii="宋体" w:hAnsi="宋体"/>
          <w:color w:val="auto"/>
          <w:sz w:val="30"/>
          <w:szCs w:val="30"/>
          <w:highlight w:val="none"/>
        </w:rPr>
        <w:fldChar w:fldCharType="end"/>
      </w:r>
    </w:p>
    <w:p w14:paraId="666E4427">
      <w:pPr>
        <w:pStyle w:val="33"/>
        <w:tabs>
          <w:tab w:val="right" w:leader="dot" w:pos="8879"/>
        </w:tabs>
        <w:spacing w:line="480" w:lineRule="auto"/>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_Toc32467 </w:instrText>
      </w:r>
      <w:r>
        <w:rPr>
          <w:rFonts w:ascii="宋体" w:hAnsi="宋体"/>
          <w:color w:val="auto"/>
          <w:sz w:val="30"/>
          <w:szCs w:val="30"/>
          <w:highlight w:val="none"/>
        </w:rPr>
        <w:fldChar w:fldCharType="separate"/>
      </w:r>
      <w:r>
        <w:rPr>
          <w:rFonts w:hint="eastAsia"/>
          <w:color w:val="auto"/>
          <w:sz w:val="30"/>
          <w:szCs w:val="30"/>
          <w:highlight w:val="none"/>
        </w:rPr>
        <w:t>第二章</w:t>
      </w:r>
      <w:r>
        <w:rPr>
          <w:rFonts w:hint="eastAsia"/>
          <w:color w:val="auto"/>
          <w:sz w:val="30"/>
          <w:szCs w:val="30"/>
          <w:highlight w:val="none"/>
          <w:lang w:val="en-US" w:eastAsia="zh-CN"/>
        </w:rPr>
        <w:t xml:space="preserve"> </w:t>
      </w:r>
      <w:r>
        <w:rPr>
          <w:rFonts w:hint="eastAsia"/>
          <w:color w:val="auto"/>
          <w:sz w:val="30"/>
          <w:szCs w:val="30"/>
          <w:highlight w:val="none"/>
        </w:rPr>
        <w:t>供应商须知</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_Toc32467 \h </w:instrText>
      </w:r>
      <w:r>
        <w:rPr>
          <w:color w:val="auto"/>
          <w:sz w:val="30"/>
          <w:szCs w:val="30"/>
          <w:highlight w:val="none"/>
        </w:rPr>
        <w:fldChar w:fldCharType="separate"/>
      </w:r>
      <w:r>
        <w:rPr>
          <w:color w:val="auto"/>
          <w:sz w:val="30"/>
          <w:szCs w:val="30"/>
          <w:highlight w:val="none"/>
        </w:rPr>
        <w:t>5</w:t>
      </w:r>
      <w:r>
        <w:rPr>
          <w:color w:val="auto"/>
          <w:sz w:val="30"/>
          <w:szCs w:val="30"/>
          <w:highlight w:val="none"/>
        </w:rPr>
        <w:fldChar w:fldCharType="end"/>
      </w:r>
      <w:r>
        <w:rPr>
          <w:rFonts w:ascii="宋体" w:hAnsi="宋体"/>
          <w:color w:val="auto"/>
          <w:sz w:val="30"/>
          <w:szCs w:val="30"/>
          <w:highlight w:val="none"/>
        </w:rPr>
        <w:fldChar w:fldCharType="end"/>
      </w:r>
    </w:p>
    <w:p w14:paraId="61415265">
      <w:pPr>
        <w:pStyle w:val="33"/>
        <w:tabs>
          <w:tab w:val="right" w:leader="dot" w:pos="8879"/>
        </w:tabs>
        <w:spacing w:line="480" w:lineRule="auto"/>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_Toc24195 </w:instrText>
      </w:r>
      <w:r>
        <w:rPr>
          <w:rFonts w:ascii="宋体" w:hAnsi="宋体"/>
          <w:color w:val="auto"/>
          <w:sz w:val="30"/>
          <w:szCs w:val="30"/>
          <w:highlight w:val="none"/>
        </w:rPr>
        <w:fldChar w:fldCharType="separate"/>
      </w:r>
      <w:r>
        <w:rPr>
          <w:rFonts w:hint="eastAsia" w:ascii="Times New Roman" w:hAnsi="Times New Roman" w:eastAsia="宋体" w:cs="Times New Roman"/>
          <w:bCs/>
          <w:color w:val="auto"/>
          <w:kern w:val="44"/>
          <w:sz w:val="30"/>
          <w:szCs w:val="30"/>
          <w:highlight w:val="none"/>
          <w:lang w:val="en-US" w:eastAsia="zh-CN" w:bidi="ar-SA"/>
        </w:rPr>
        <w:t>第三章 采购需求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_Toc24195 \h </w:instrText>
      </w:r>
      <w:r>
        <w:rPr>
          <w:color w:val="auto"/>
          <w:sz w:val="30"/>
          <w:szCs w:val="30"/>
          <w:highlight w:val="none"/>
        </w:rPr>
        <w:fldChar w:fldCharType="separate"/>
      </w:r>
      <w:r>
        <w:rPr>
          <w:color w:val="auto"/>
          <w:sz w:val="30"/>
          <w:szCs w:val="30"/>
          <w:highlight w:val="none"/>
        </w:rPr>
        <w:t>26</w:t>
      </w:r>
      <w:r>
        <w:rPr>
          <w:color w:val="auto"/>
          <w:sz w:val="30"/>
          <w:szCs w:val="30"/>
          <w:highlight w:val="none"/>
        </w:rPr>
        <w:fldChar w:fldCharType="end"/>
      </w:r>
      <w:r>
        <w:rPr>
          <w:rFonts w:ascii="宋体" w:hAnsi="宋体"/>
          <w:color w:val="auto"/>
          <w:sz w:val="30"/>
          <w:szCs w:val="30"/>
          <w:highlight w:val="none"/>
        </w:rPr>
        <w:fldChar w:fldCharType="end"/>
      </w:r>
    </w:p>
    <w:p w14:paraId="570B0A60">
      <w:pPr>
        <w:pStyle w:val="33"/>
        <w:tabs>
          <w:tab w:val="right" w:leader="dot" w:pos="8879"/>
        </w:tabs>
        <w:spacing w:line="480" w:lineRule="auto"/>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_Toc29831 </w:instrText>
      </w:r>
      <w:r>
        <w:rPr>
          <w:rFonts w:ascii="宋体" w:hAnsi="宋体"/>
          <w:color w:val="auto"/>
          <w:sz w:val="30"/>
          <w:szCs w:val="30"/>
          <w:highlight w:val="none"/>
        </w:rPr>
        <w:fldChar w:fldCharType="separate"/>
      </w:r>
      <w:r>
        <w:rPr>
          <w:rFonts w:hint="eastAsia"/>
          <w:color w:val="auto"/>
          <w:sz w:val="30"/>
          <w:szCs w:val="30"/>
          <w:highlight w:val="none"/>
        </w:rPr>
        <w:t>第四章 评审程序、评审方法和评审标准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_Toc29831 \h </w:instrText>
      </w:r>
      <w:r>
        <w:rPr>
          <w:color w:val="auto"/>
          <w:sz w:val="30"/>
          <w:szCs w:val="30"/>
          <w:highlight w:val="none"/>
        </w:rPr>
        <w:fldChar w:fldCharType="separate"/>
      </w:r>
      <w:r>
        <w:rPr>
          <w:color w:val="auto"/>
          <w:sz w:val="30"/>
          <w:szCs w:val="30"/>
          <w:highlight w:val="none"/>
        </w:rPr>
        <w:t>29</w:t>
      </w:r>
      <w:r>
        <w:rPr>
          <w:color w:val="auto"/>
          <w:sz w:val="30"/>
          <w:szCs w:val="30"/>
          <w:highlight w:val="none"/>
        </w:rPr>
        <w:fldChar w:fldCharType="end"/>
      </w:r>
      <w:r>
        <w:rPr>
          <w:rFonts w:ascii="宋体" w:hAnsi="宋体"/>
          <w:color w:val="auto"/>
          <w:sz w:val="30"/>
          <w:szCs w:val="30"/>
          <w:highlight w:val="none"/>
        </w:rPr>
        <w:fldChar w:fldCharType="end"/>
      </w:r>
    </w:p>
    <w:p w14:paraId="06AC9DE4">
      <w:pPr>
        <w:pStyle w:val="33"/>
        <w:tabs>
          <w:tab w:val="right" w:leader="dot" w:pos="8879"/>
        </w:tabs>
        <w:spacing w:line="480" w:lineRule="auto"/>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_Toc30067 </w:instrText>
      </w:r>
      <w:r>
        <w:rPr>
          <w:rFonts w:ascii="宋体" w:hAnsi="宋体"/>
          <w:color w:val="auto"/>
          <w:sz w:val="30"/>
          <w:szCs w:val="30"/>
          <w:highlight w:val="none"/>
        </w:rPr>
        <w:fldChar w:fldCharType="separate"/>
      </w:r>
      <w:r>
        <w:rPr>
          <w:rFonts w:hint="eastAsia"/>
          <w:color w:val="auto"/>
          <w:sz w:val="30"/>
          <w:szCs w:val="30"/>
          <w:highlight w:val="none"/>
        </w:rPr>
        <w:t>第五章</w:t>
      </w:r>
      <w:r>
        <w:rPr>
          <w:rFonts w:hint="eastAsia"/>
          <w:color w:val="auto"/>
          <w:sz w:val="30"/>
          <w:szCs w:val="30"/>
          <w:highlight w:val="none"/>
          <w:lang w:val="en-US" w:eastAsia="zh-CN"/>
        </w:rPr>
        <w:t xml:space="preserve"> </w:t>
      </w:r>
      <w:r>
        <w:rPr>
          <w:rFonts w:hint="eastAsia"/>
          <w:color w:val="auto"/>
          <w:sz w:val="30"/>
          <w:szCs w:val="30"/>
          <w:highlight w:val="none"/>
        </w:rPr>
        <w:t>工程量清单及图纸</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_Toc30067 \h </w:instrText>
      </w:r>
      <w:r>
        <w:rPr>
          <w:color w:val="auto"/>
          <w:sz w:val="30"/>
          <w:szCs w:val="30"/>
          <w:highlight w:val="none"/>
        </w:rPr>
        <w:fldChar w:fldCharType="separate"/>
      </w:r>
      <w:r>
        <w:rPr>
          <w:color w:val="auto"/>
          <w:sz w:val="30"/>
          <w:szCs w:val="30"/>
          <w:highlight w:val="none"/>
        </w:rPr>
        <w:t>40</w:t>
      </w:r>
      <w:r>
        <w:rPr>
          <w:color w:val="auto"/>
          <w:sz w:val="30"/>
          <w:szCs w:val="30"/>
          <w:highlight w:val="none"/>
        </w:rPr>
        <w:fldChar w:fldCharType="end"/>
      </w:r>
      <w:r>
        <w:rPr>
          <w:rFonts w:ascii="宋体" w:hAnsi="宋体"/>
          <w:color w:val="auto"/>
          <w:sz w:val="30"/>
          <w:szCs w:val="30"/>
          <w:highlight w:val="none"/>
        </w:rPr>
        <w:fldChar w:fldCharType="end"/>
      </w:r>
    </w:p>
    <w:p w14:paraId="474FFFB8">
      <w:pPr>
        <w:pStyle w:val="33"/>
        <w:tabs>
          <w:tab w:val="right" w:leader="dot" w:pos="8879"/>
        </w:tabs>
        <w:spacing w:line="480" w:lineRule="auto"/>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_Toc17207 </w:instrText>
      </w:r>
      <w:r>
        <w:rPr>
          <w:rFonts w:ascii="宋体" w:hAnsi="宋体"/>
          <w:color w:val="auto"/>
          <w:sz w:val="30"/>
          <w:szCs w:val="30"/>
          <w:highlight w:val="none"/>
        </w:rPr>
        <w:fldChar w:fldCharType="separate"/>
      </w:r>
      <w:r>
        <w:rPr>
          <w:rFonts w:hint="eastAsia"/>
          <w:color w:val="auto"/>
          <w:sz w:val="30"/>
          <w:szCs w:val="30"/>
          <w:highlight w:val="none"/>
        </w:rPr>
        <w:t>第六章</w:t>
      </w:r>
      <w:r>
        <w:rPr>
          <w:rFonts w:hint="eastAsia"/>
          <w:color w:val="auto"/>
          <w:sz w:val="30"/>
          <w:szCs w:val="30"/>
          <w:highlight w:val="none"/>
          <w:lang w:val="en-US" w:eastAsia="zh-CN"/>
        </w:rPr>
        <w:t xml:space="preserve"> </w:t>
      </w:r>
      <w:r>
        <w:rPr>
          <w:rFonts w:hint="eastAsia"/>
          <w:color w:val="auto"/>
          <w:sz w:val="30"/>
          <w:szCs w:val="30"/>
          <w:highlight w:val="none"/>
        </w:rPr>
        <w:t>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_Toc17207 \h </w:instrText>
      </w:r>
      <w:r>
        <w:rPr>
          <w:color w:val="auto"/>
          <w:sz w:val="30"/>
          <w:szCs w:val="30"/>
          <w:highlight w:val="none"/>
        </w:rPr>
        <w:fldChar w:fldCharType="separate"/>
      </w:r>
      <w:r>
        <w:rPr>
          <w:color w:val="auto"/>
          <w:sz w:val="30"/>
          <w:szCs w:val="30"/>
          <w:highlight w:val="none"/>
        </w:rPr>
        <w:t>46</w:t>
      </w:r>
      <w:r>
        <w:rPr>
          <w:color w:val="auto"/>
          <w:sz w:val="30"/>
          <w:szCs w:val="30"/>
          <w:highlight w:val="none"/>
        </w:rPr>
        <w:fldChar w:fldCharType="end"/>
      </w:r>
      <w:r>
        <w:rPr>
          <w:rFonts w:ascii="宋体" w:hAnsi="宋体"/>
          <w:color w:val="auto"/>
          <w:sz w:val="30"/>
          <w:szCs w:val="30"/>
          <w:highlight w:val="none"/>
        </w:rPr>
        <w:fldChar w:fldCharType="end"/>
      </w:r>
    </w:p>
    <w:p w14:paraId="46BB88DD">
      <w:pPr>
        <w:pStyle w:val="33"/>
        <w:tabs>
          <w:tab w:val="right" w:leader="dot" w:pos="8879"/>
        </w:tabs>
        <w:spacing w:line="480" w:lineRule="auto"/>
        <w:rPr>
          <w:color w:val="auto"/>
          <w:sz w:val="30"/>
          <w:szCs w:val="30"/>
          <w:highlight w:val="none"/>
        </w:rPr>
      </w:pPr>
      <w:r>
        <w:rPr>
          <w:rFonts w:ascii="宋体" w:hAnsi="宋体"/>
          <w:color w:val="auto"/>
          <w:sz w:val="30"/>
          <w:szCs w:val="30"/>
          <w:highlight w:val="none"/>
        </w:rPr>
        <w:fldChar w:fldCharType="begin"/>
      </w:r>
      <w:r>
        <w:rPr>
          <w:rFonts w:ascii="宋体" w:hAnsi="宋体"/>
          <w:color w:val="auto"/>
          <w:sz w:val="30"/>
          <w:szCs w:val="30"/>
          <w:highlight w:val="none"/>
        </w:rPr>
        <w:instrText xml:space="preserve"> HYPERLINK \l _Toc23551 </w:instrText>
      </w:r>
      <w:r>
        <w:rPr>
          <w:rFonts w:ascii="宋体" w:hAnsi="宋体"/>
          <w:color w:val="auto"/>
          <w:sz w:val="30"/>
          <w:szCs w:val="30"/>
          <w:highlight w:val="none"/>
        </w:rPr>
        <w:fldChar w:fldCharType="separate"/>
      </w:r>
      <w:r>
        <w:rPr>
          <w:rFonts w:hint="eastAsia"/>
          <w:color w:val="auto"/>
          <w:sz w:val="30"/>
          <w:szCs w:val="30"/>
          <w:highlight w:val="none"/>
        </w:rPr>
        <w:t>第七章</w:t>
      </w:r>
      <w:r>
        <w:rPr>
          <w:rFonts w:hint="eastAsia"/>
          <w:color w:val="auto"/>
          <w:sz w:val="30"/>
          <w:szCs w:val="30"/>
          <w:highlight w:val="none"/>
          <w:lang w:val="en-US" w:eastAsia="zh-CN"/>
        </w:rPr>
        <w:t xml:space="preserve"> </w:t>
      </w:r>
      <w:r>
        <w:rPr>
          <w:rFonts w:hint="eastAsia"/>
          <w:color w:val="auto"/>
          <w:sz w:val="30"/>
          <w:szCs w:val="30"/>
          <w:highlight w:val="none"/>
        </w:rPr>
        <w:t>合同文本</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_Toc23551 \h </w:instrText>
      </w:r>
      <w:r>
        <w:rPr>
          <w:color w:val="auto"/>
          <w:sz w:val="30"/>
          <w:szCs w:val="30"/>
          <w:highlight w:val="none"/>
        </w:rPr>
        <w:fldChar w:fldCharType="separate"/>
      </w:r>
      <w:r>
        <w:rPr>
          <w:color w:val="auto"/>
          <w:sz w:val="30"/>
          <w:szCs w:val="30"/>
          <w:highlight w:val="none"/>
        </w:rPr>
        <w:t>81</w:t>
      </w:r>
      <w:r>
        <w:rPr>
          <w:color w:val="auto"/>
          <w:sz w:val="30"/>
          <w:szCs w:val="30"/>
          <w:highlight w:val="none"/>
        </w:rPr>
        <w:fldChar w:fldCharType="end"/>
      </w:r>
      <w:r>
        <w:rPr>
          <w:rFonts w:ascii="宋体" w:hAnsi="宋体"/>
          <w:color w:val="auto"/>
          <w:sz w:val="30"/>
          <w:szCs w:val="30"/>
          <w:highlight w:val="none"/>
        </w:rPr>
        <w:fldChar w:fldCharType="end"/>
      </w:r>
    </w:p>
    <w:p w14:paraId="5D407411">
      <w:pPr>
        <w:pStyle w:val="39"/>
        <w:tabs>
          <w:tab w:val="right" w:leader="dot" w:pos="8931"/>
          <w:tab w:val="clear" w:pos="8296"/>
        </w:tabs>
        <w:snapToGrid w:val="0"/>
        <w:spacing w:line="480" w:lineRule="auto"/>
        <w:ind w:left="0" w:leftChars="0"/>
        <w:rPr>
          <w:rFonts w:ascii="宋体" w:hAnsi="宋体"/>
          <w:b/>
          <w:color w:val="auto"/>
          <w:sz w:val="24"/>
          <w:highlight w:val="none"/>
        </w:rPr>
      </w:pPr>
      <w:r>
        <w:rPr>
          <w:rFonts w:ascii="宋体" w:hAnsi="宋体"/>
          <w:color w:val="auto"/>
          <w:sz w:val="30"/>
          <w:szCs w:val="30"/>
          <w:highlight w:val="none"/>
        </w:rPr>
        <w:fldChar w:fldCharType="end"/>
      </w:r>
    </w:p>
    <w:p w14:paraId="06EBD12F">
      <w:pPr>
        <w:spacing w:line="400" w:lineRule="exact"/>
        <w:jc w:val="left"/>
        <w:rPr>
          <w:rFonts w:ascii="宋体" w:hAnsi="宋体"/>
          <w:b/>
          <w:color w:val="auto"/>
          <w:sz w:val="32"/>
          <w:szCs w:val="32"/>
          <w:highlight w:val="none"/>
        </w:rPr>
      </w:pPr>
    </w:p>
    <w:p w14:paraId="2640771F">
      <w:pPr>
        <w:spacing w:line="400" w:lineRule="exact"/>
        <w:jc w:val="center"/>
        <w:rPr>
          <w:rFonts w:ascii="宋体" w:hAnsi="宋体"/>
          <w:b/>
          <w:color w:val="auto"/>
          <w:sz w:val="32"/>
          <w:szCs w:val="32"/>
          <w:highlight w:val="none"/>
        </w:rPr>
      </w:pPr>
    </w:p>
    <w:p w14:paraId="2F1E8883">
      <w:pPr>
        <w:tabs>
          <w:tab w:val="left" w:pos="6483"/>
        </w:tabs>
        <w:spacing w:line="400" w:lineRule="exact"/>
        <w:jc w:val="left"/>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ab/>
      </w:r>
    </w:p>
    <w:p w14:paraId="2BC86AC5">
      <w:pPr>
        <w:spacing w:line="400" w:lineRule="exact"/>
        <w:jc w:val="center"/>
        <w:rPr>
          <w:rFonts w:ascii="宋体" w:hAnsi="宋体"/>
          <w:b/>
          <w:color w:val="auto"/>
          <w:sz w:val="32"/>
          <w:szCs w:val="32"/>
          <w:highlight w:val="none"/>
        </w:rPr>
      </w:pPr>
    </w:p>
    <w:p w14:paraId="044E0443">
      <w:pPr>
        <w:spacing w:line="400" w:lineRule="exact"/>
        <w:jc w:val="center"/>
        <w:rPr>
          <w:rFonts w:ascii="宋体" w:hAnsi="宋体"/>
          <w:b/>
          <w:color w:val="auto"/>
          <w:sz w:val="32"/>
          <w:szCs w:val="32"/>
          <w:highlight w:val="none"/>
        </w:rPr>
      </w:pPr>
    </w:p>
    <w:p w14:paraId="53EC3463">
      <w:pPr>
        <w:spacing w:line="400" w:lineRule="exact"/>
        <w:rPr>
          <w:rFonts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20064171">
      <w:pPr>
        <w:pStyle w:val="5"/>
        <w:keepNext/>
        <w:keepLines/>
        <w:pageBreakBefore w:val="0"/>
        <w:widowControl w:val="0"/>
        <w:kinsoku/>
        <w:wordWrap/>
        <w:overflowPunct/>
        <w:topLinePunct w:val="0"/>
        <w:autoSpaceDE/>
        <w:autoSpaceDN/>
        <w:bidi w:val="0"/>
        <w:adjustRightInd/>
        <w:snapToGrid/>
        <w:spacing w:before="0" w:after="0" w:line="480" w:lineRule="auto"/>
        <w:jc w:val="center"/>
        <w:textAlignment w:val="auto"/>
        <w:rPr>
          <w:color w:val="auto"/>
          <w:highlight w:val="none"/>
        </w:rPr>
      </w:pPr>
      <w:bookmarkStart w:id="0" w:name="_Toc21835"/>
      <w:r>
        <w:rPr>
          <w:rFonts w:hint="eastAsia"/>
          <w:color w:val="auto"/>
          <w:highlight w:val="none"/>
        </w:rPr>
        <w:t>第一章竞争性磋商公告</w:t>
      </w:r>
      <w:bookmarkEnd w:id="0"/>
    </w:p>
    <w:p w14:paraId="1FD257E0">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竞争性磋商公告</w:t>
      </w:r>
    </w:p>
    <w:p w14:paraId="6889B95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1" w:name="_Hlk37430271"/>
      <w:r>
        <w:rPr>
          <w:rFonts w:hint="eastAsia" w:ascii="宋体" w:hAnsi="宋体"/>
          <w:color w:val="auto"/>
          <w:szCs w:val="21"/>
          <w:highlight w:val="none"/>
        </w:rPr>
        <w:t>项目概况</w:t>
      </w:r>
    </w:p>
    <w:p w14:paraId="1D62EE7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会议中心报告厅屋面钢结构修缮项目</w:t>
      </w:r>
      <w:r>
        <w:rPr>
          <w:rFonts w:hint="eastAsia" w:ascii="宋体" w:hAnsi="宋体"/>
          <w:color w:val="auto"/>
          <w:szCs w:val="21"/>
          <w:highlight w:val="none"/>
        </w:rPr>
        <w:t>采购项目的潜在供应商应在</w:t>
      </w:r>
      <w:r>
        <w:rPr>
          <w:rFonts w:hint="eastAsia" w:ascii="宋体" w:hAnsi="宋体"/>
          <w:color w:val="auto"/>
          <w:szCs w:val="21"/>
          <w:highlight w:val="none"/>
          <w:lang w:eastAsia="zh-CN"/>
        </w:rPr>
        <w:t>广西政府采购云平台（https://www.gcy.zfcg.gxzf.gov.cn/）</w:t>
      </w:r>
      <w:r>
        <w:rPr>
          <w:rFonts w:hint="eastAsia" w:ascii="宋体" w:hAnsi="宋体"/>
          <w:color w:val="auto"/>
          <w:szCs w:val="21"/>
          <w:highlight w:val="none"/>
        </w:rPr>
        <w:t>获取（下载）竞争性磋商文件，并于</w:t>
      </w:r>
      <w:r>
        <w:rPr>
          <w:rFonts w:hint="eastAsia" w:ascii="宋体" w:hAnsi="宋体"/>
          <w:bCs/>
          <w:color w:val="auto"/>
          <w:szCs w:val="21"/>
          <w:highlight w:val="none"/>
          <w:u w:val="single"/>
          <w:lang w:eastAsia="zh-CN"/>
        </w:rPr>
        <w:t>2026年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lang w:eastAsia="zh-CN"/>
        </w:rPr>
        <w:t>月</w:t>
      </w:r>
      <w:r>
        <w:rPr>
          <w:rFonts w:hint="eastAsia" w:ascii="宋体" w:hAnsi="宋体"/>
          <w:bCs/>
          <w:color w:val="auto"/>
          <w:szCs w:val="21"/>
          <w:highlight w:val="none"/>
          <w:u w:val="single"/>
          <w:lang w:val="en-US" w:eastAsia="zh-CN"/>
        </w:rPr>
        <w:t>23</w:t>
      </w:r>
      <w:r>
        <w:rPr>
          <w:rFonts w:hint="eastAsia" w:ascii="宋体" w:hAnsi="宋体"/>
          <w:bCs/>
          <w:color w:val="auto"/>
          <w:szCs w:val="21"/>
          <w:highlight w:val="none"/>
          <w:u w:val="single"/>
          <w:lang w:eastAsia="zh-CN"/>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5BB54D71">
      <w:pPr>
        <w:spacing w:line="360" w:lineRule="auto"/>
        <w:rPr>
          <w:rFonts w:ascii="宋体" w:hAnsi="宋体"/>
          <w:color w:val="auto"/>
          <w:szCs w:val="21"/>
          <w:highlight w:val="none"/>
        </w:rPr>
      </w:pPr>
    </w:p>
    <w:p w14:paraId="17305BCB">
      <w:pPr>
        <w:spacing w:line="360" w:lineRule="auto"/>
        <w:ind w:firstLine="354" w:firstLineChars="147"/>
        <w:rPr>
          <w:rFonts w:ascii="黑体" w:hAnsi="黑体" w:eastAsia="黑体"/>
          <w:b/>
          <w:color w:val="auto"/>
          <w:sz w:val="24"/>
          <w:highlight w:val="none"/>
        </w:rPr>
      </w:pPr>
      <w:bookmarkStart w:id="2" w:name="_Toc35393798"/>
      <w:bookmarkStart w:id="3" w:name="_Toc44229878"/>
      <w:bookmarkStart w:id="4" w:name="_Toc28359012"/>
      <w:bookmarkStart w:id="5" w:name="_Toc28359089"/>
      <w:bookmarkStart w:id="6" w:name="_Toc35393629"/>
      <w:bookmarkStart w:id="7" w:name="_Toc71365905"/>
      <w:r>
        <w:rPr>
          <w:rFonts w:hint="eastAsia" w:ascii="黑体" w:hAnsi="黑体" w:eastAsia="黑体"/>
          <w:b/>
          <w:color w:val="auto"/>
          <w:sz w:val="24"/>
          <w:highlight w:val="none"/>
        </w:rPr>
        <w:t>一、项目基本情况</w:t>
      </w:r>
      <w:bookmarkEnd w:id="2"/>
      <w:bookmarkEnd w:id="3"/>
      <w:bookmarkEnd w:id="4"/>
      <w:bookmarkEnd w:id="5"/>
      <w:bookmarkEnd w:id="6"/>
      <w:bookmarkEnd w:id="7"/>
    </w:p>
    <w:p w14:paraId="1219AF6B">
      <w:pPr>
        <w:spacing w:line="360" w:lineRule="auto"/>
        <w:ind w:firstLine="420" w:firstLineChars="200"/>
        <w:rPr>
          <w:rFonts w:hint="eastAsia" w:ascii="宋体" w:hAnsi="宋体" w:eastAsia="宋体"/>
          <w:b w:val="0"/>
          <w:bCs w:val="0"/>
          <w:color w:val="auto"/>
          <w:szCs w:val="21"/>
          <w:highlight w:val="none"/>
          <w:lang w:eastAsia="zh-CN"/>
        </w:rPr>
      </w:pPr>
      <w:r>
        <w:rPr>
          <w:rFonts w:hint="eastAsia" w:ascii="宋体" w:hAnsi="宋体"/>
          <w:b w:val="0"/>
          <w:bCs w:val="0"/>
          <w:color w:val="auto"/>
          <w:szCs w:val="21"/>
          <w:highlight w:val="none"/>
        </w:rPr>
        <w:t>项目编号：</w:t>
      </w:r>
      <w:r>
        <w:rPr>
          <w:rFonts w:hint="eastAsia" w:ascii="宋体" w:hAnsi="宋体"/>
          <w:b w:val="0"/>
          <w:bCs w:val="0"/>
          <w:color w:val="auto"/>
          <w:szCs w:val="21"/>
          <w:highlight w:val="none"/>
          <w:u w:val="single"/>
          <w:lang w:eastAsia="zh-CN"/>
        </w:rPr>
        <w:t>GXZC2026-C2-000359-GXCJ</w:t>
      </w:r>
    </w:p>
    <w:p w14:paraId="6DC9C0EB">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u w:val="single"/>
          <w:lang w:eastAsia="zh-CN"/>
        </w:rPr>
        <w:t>会议中心报告厅屋面钢结构修缮项目</w:t>
      </w:r>
    </w:p>
    <w:p w14:paraId="2C6333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40194367">
      <w:pPr>
        <w:spacing w:line="360" w:lineRule="auto"/>
        <w:ind w:firstLine="420" w:firstLineChars="200"/>
        <w:rPr>
          <w:rFonts w:hint="eastAsia" w:ascii="宋体" w:hAnsi="宋体" w:eastAsia="宋体" w:cs="Times New Roman"/>
          <w:color w:val="auto"/>
          <w:szCs w:val="21"/>
          <w:highlight w:val="none"/>
          <w:lang w:eastAsia="zh-CN"/>
        </w:rPr>
      </w:pPr>
      <w:r>
        <w:rPr>
          <w:rFonts w:hint="eastAsia" w:ascii="宋体" w:hAnsi="宋体"/>
          <w:color w:val="auto"/>
          <w:szCs w:val="21"/>
          <w:highlight w:val="none"/>
        </w:rPr>
        <w:t>预算金额：</w:t>
      </w:r>
      <w:r>
        <w:rPr>
          <w:rFonts w:hint="eastAsia" w:ascii="宋体" w:hAnsi="宋体" w:cs="Times New Roman"/>
          <w:color w:val="auto"/>
          <w:szCs w:val="21"/>
          <w:highlight w:val="none"/>
          <w:lang w:val="en-US" w:eastAsia="zh-CN"/>
        </w:rPr>
        <w:t>2546202.54元</w:t>
      </w:r>
      <w:r>
        <w:rPr>
          <w:rFonts w:hint="eastAsia" w:ascii="宋体" w:hAnsi="宋体" w:eastAsia="宋体" w:cs="Times New Roman"/>
          <w:color w:val="auto"/>
          <w:szCs w:val="21"/>
          <w:highlight w:val="none"/>
        </w:rPr>
        <w:t>。</w:t>
      </w:r>
    </w:p>
    <w:p w14:paraId="662A2C2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最高限价：</w:t>
      </w:r>
      <w:r>
        <w:rPr>
          <w:rFonts w:hint="eastAsia" w:ascii="宋体" w:hAnsi="宋体"/>
          <w:color w:val="auto"/>
          <w:szCs w:val="21"/>
          <w:highlight w:val="none"/>
          <w:lang w:val="en-US" w:eastAsia="zh-CN"/>
        </w:rPr>
        <w:t>2546202.54元</w:t>
      </w:r>
      <w:r>
        <w:rPr>
          <w:rFonts w:hint="eastAsia" w:ascii="宋体" w:hAnsi="宋体" w:eastAsia="宋体" w:cs="Times New Roman"/>
          <w:color w:val="auto"/>
          <w:szCs w:val="21"/>
          <w:highlight w:val="none"/>
        </w:rPr>
        <w:t>。</w:t>
      </w:r>
    </w:p>
    <w:p w14:paraId="09E440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tbl>
      <w:tblPr>
        <w:tblStyle w:val="45"/>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3"/>
        <w:gridCol w:w="1138"/>
        <w:gridCol w:w="1066"/>
        <w:gridCol w:w="5204"/>
        <w:gridCol w:w="1179"/>
      </w:tblGrid>
      <w:tr w14:paraId="2F9B1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7" w:type="pct"/>
            <w:tcBorders>
              <w:top w:val="single" w:color="auto" w:sz="4" w:space="0"/>
              <w:left w:val="single" w:color="auto" w:sz="4" w:space="0"/>
              <w:bottom w:val="single" w:color="auto" w:sz="4" w:space="0"/>
              <w:right w:val="single" w:color="auto" w:sz="4" w:space="0"/>
            </w:tcBorders>
            <w:noWrap w:val="0"/>
            <w:vAlign w:val="center"/>
          </w:tcPr>
          <w:p w14:paraId="4B51E63D">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序号</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3222F794">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标的的名称</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32B5559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数量及单位</w:t>
            </w:r>
          </w:p>
        </w:tc>
        <w:tc>
          <w:tcPr>
            <w:tcW w:w="2861" w:type="pct"/>
            <w:tcBorders>
              <w:top w:val="single" w:color="auto" w:sz="4" w:space="0"/>
              <w:left w:val="single" w:color="auto" w:sz="4" w:space="0"/>
              <w:bottom w:val="single" w:color="auto" w:sz="4" w:space="0"/>
              <w:right w:val="single" w:color="auto" w:sz="4" w:space="0"/>
            </w:tcBorders>
            <w:noWrap w:val="0"/>
            <w:vAlign w:val="center"/>
          </w:tcPr>
          <w:p w14:paraId="0E5F8C2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简要技术需求或者服务要求</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74B176E0">
            <w:pPr>
              <w:snapToGrid w:val="0"/>
              <w:spacing w:line="400" w:lineRule="exact"/>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w:t>
            </w:r>
          </w:p>
        </w:tc>
      </w:tr>
      <w:tr w14:paraId="2B9C9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7" w:type="pct"/>
            <w:tcBorders>
              <w:top w:val="single" w:color="auto" w:sz="4" w:space="0"/>
              <w:left w:val="single" w:color="auto" w:sz="4" w:space="0"/>
              <w:bottom w:val="single" w:color="auto" w:sz="4" w:space="0"/>
              <w:right w:val="single" w:color="auto" w:sz="4" w:space="0"/>
            </w:tcBorders>
            <w:noWrap w:val="0"/>
            <w:vAlign w:val="center"/>
          </w:tcPr>
          <w:p w14:paraId="68EA64B8">
            <w:pPr>
              <w:snapToGrid w:val="0"/>
              <w:spacing w:line="400" w:lineRule="exact"/>
              <w:jc w:val="center"/>
              <w:rPr>
                <w:rFonts w:ascii="宋体" w:hAnsi="宋体"/>
                <w:color w:val="auto"/>
                <w:szCs w:val="21"/>
                <w:highlight w:val="none"/>
              </w:rPr>
            </w:pPr>
            <w:r>
              <w:rPr>
                <w:rFonts w:ascii="宋体" w:hAnsi="宋体"/>
                <w:color w:val="auto"/>
                <w:szCs w:val="21"/>
                <w:highlight w:val="none"/>
              </w:rPr>
              <w:t>1</w:t>
            </w:r>
          </w:p>
        </w:tc>
        <w:tc>
          <w:tcPr>
            <w:tcW w:w="626" w:type="pct"/>
            <w:tcBorders>
              <w:top w:val="single" w:color="auto" w:sz="4" w:space="0"/>
              <w:left w:val="single" w:color="auto" w:sz="4" w:space="0"/>
              <w:bottom w:val="single" w:color="auto" w:sz="4" w:space="0"/>
              <w:right w:val="single" w:color="auto" w:sz="4" w:space="0"/>
            </w:tcBorders>
            <w:noWrap w:val="0"/>
            <w:vAlign w:val="center"/>
          </w:tcPr>
          <w:p w14:paraId="67E34082">
            <w:pPr>
              <w:spacing w:line="400" w:lineRule="exact"/>
              <w:jc w:val="both"/>
              <w:rPr>
                <w:rFonts w:hint="eastAsia" w:ascii="宋体" w:hAnsi="宋体"/>
                <w:color w:val="auto"/>
                <w:szCs w:val="21"/>
                <w:highlight w:val="none"/>
              </w:rPr>
            </w:pPr>
            <w:r>
              <w:rPr>
                <w:rFonts w:hint="eastAsia" w:ascii="宋体" w:hAnsi="宋体"/>
                <w:color w:val="auto"/>
                <w:szCs w:val="21"/>
                <w:highlight w:val="none"/>
                <w:lang w:val="en-US" w:eastAsia="zh-CN"/>
              </w:rPr>
              <w:t>会议中心报告厅屋面钢结构修缮项目</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086DBB92">
            <w:pPr>
              <w:spacing w:line="400" w:lineRule="exact"/>
              <w:jc w:val="center"/>
              <w:rPr>
                <w:rFonts w:hint="eastAsia" w:ascii="宋体" w:hAnsi="宋体"/>
                <w:color w:val="auto"/>
                <w:highlight w:val="none"/>
              </w:rPr>
            </w:pPr>
            <w:r>
              <w:rPr>
                <w:rFonts w:hint="eastAsia" w:ascii="宋体" w:hAnsi="宋体"/>
                <w:color w:val="auto"/>
                <w:highlight w:val="none"/>
              </w:rPr>
              <w:t>1项</w:t>
            </w:r>
          </w:p>
        </w:tc>
        <w:tc>
          <w:tcPr>
            <w:tcW w:w="2861" w:type="pct"/>
            <w:tcBorders>
              <w:top w:val="single" w:color="auto" w:sz="4" w:space="0"/>
              <w:left w:val="single" w:color="auto" w:sz="4" w:space="0"/>
              <w:bottom w:val="single" w:color="auto" w:sz="4" w:space="0"/>
              <w:right w:val="single" w:color="auto" w:sz="4" w:space="0"/>
            </w:tcBorders>
            <w:noWrap w:val="0"/>
            <w:vAlign w:val="center"/>
          </w:tcPr>
          <w:p w14:paraId="3F5D90FF">
            <w:pPr>
              <w:pStyle w:val="21"/>
              <w:jc w:val="both"/>
              <w:rPr>
                <w:rFonts w:hint="eastAsia"/>
                <w:b/>
                <w:color w:val="auto"/>
                <w:highlight w:val="none"/>
              </w:rPr>
            </w:pPr>
            <w:r>
              <w:rPr>
                <w:rFonts w:hint="eastAsia" w:ascii="宋体" w:hAnsi="宋体" w:eastAsia="宋体" w:cs="Times New Roman"/>
                <w:color w:val="auto"/>
                <w:kern w:val="2"/>
                <w:sz w:val="21"/>
                <w:szCs w:val="21"/>
                <w:highlight w:val="none"/>
                <w:lang w:val="en-US" w:eastAsia="zh-CN"/>
              </w:rPr>
              <w:t>项目地点位于南宁市荔滨大道18号中共广西区委党校校园内，主要内容包括：对已锈蚀的钢构件进行更换、除锈，对原有钢结构构件重新刷防火涂料，屋面铝塑板更换为氟碳铝单板，安装避雷带等。具体内容详见工程量清单及图纸</w:t>
            </w:r>
            <w:r>
              <w:rPr>
                <w:rFonts w:hint="eastAsia" w:ascii="宋体" w:hAnsi="宋体" w:cs="Times New Roman"/>
                <w:color w:val="auto"/>
                <w:kern w:val="2"/>
                <w:sz w:val="21"/>
                <w:szCs w:val="21"/>
                <w:highlight w:val="none"/>
                <w:lang w:val="en-US" w:eastAsia="zh-CN"/>
              </w:rPr>
              <w:t>。</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EC12348">
            <w:pPr>
              <w:pStyle w:val="21"/>
              <w:jc w:val="center"/>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w:t>
            </w:r>
          </w:p>
        </w:tc>
      </w:tr>
    </w:tbl>
    <w:p w14:paraId="10D803D7">
      <w:pPr>
        <w:spacing w:line="360" w:lineRule="auto"/>
        <w:ind w:firstLine="420" w:firstLineChars="200"/>
        <w:rPr>
          <w:rFonts w:hint="eastAsia" w:ascii="宋体" w:hAnsi="宋体" w:eastAsia="宋体"/>
          <w:color w:val="auto"/>
          <w:kern w:val="2"/>
          <w:sz w:val="21"/>
          <w:szCs w:val="21"/>
          <w:highlight w:val="none"/>
          <w:lang w:val="en-US" w:eastAsia="zh-CN"/>
        </w:rPr>
      </w:pPr>
      <w:r>
        <w:rPr>
          <w:rFonts w:hint="eastAsia" w:ascii="宋体" w:hAnsi="宋体"/>
          <w:color w:val="auto"/>
          <w:kern w:val="2"/>
          <w:sz w:val="21"/>
          <w:szCs w:val="21"/>
          <w:highlight w:val="none"/>
          <w:lang w:val="en-US" w:eastAsia="zh-CN"/>
        </w:rPr>
        <w:t>合同履行期限：工程工期180日历日</w:t>
      </w:r>
    </w:p>
    <w:p w14:paraId="0D990021">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本项目不接受联合体。</w:t>
      </w:r>
    </w:p>
    <w:p w14:paraId="3BFB458F">
      <w:pPr>
        <w:spacing w:line="360" w:lineRule="auto"/>
        <w:ind w:firstLine="354" w:firstLineChars="147"/>
        <w:rPr>
          <w:rFonts w:ascii="黑体" w:hAnsi="黑体" w:eastAsia="黑体"/>
          <w:b/>
          <w:color w:val="auto"/>
          <w:sz w:val="24"/>
          <w:highlight w:val="none"/>
        </w:rPr>
      </w:pPr>
      <w:bookmarkStart w:id="8" w:name="_Toc35393630"/>
      <w:bookmarkStart w:id="9" w:name="_Toc28359090"/>
      <w:bookmarkStart w:id="10" w:name="_Toc35393799"/>
      <w:bookmarkStart w:id="11" w:name="_Toc71365906"/>
      <w:bookmarkStart w:id="12" w:name="_Toc28359013"/>
      <w:bookmarkStart w:id="13" w:name="_Toc44229879"/>
      <w:r>
        <w:rPr>
          <w:rFonts w:hint="eastAsia" w:ascii="黑体" w:hAnsi="黑体" w:eastAsia="黑体"/>
          <w:b/>
          <w:color w:val="auto"/>
          <w:sz w:val="24"/>
          <w:highlight w:val="none"/>
        </w:rPr>
        <w:t>二、申请人的资格条件：</w:t>
      </w:r>
      <w:bookmarkEnd w:id="8"/>
      <w:bookmarkEnd w:id="9"/>
      <w:bookmarkEnd w:id="10"/>
      <w:bookmarkEnd w:id="11"/>
      <w:bookmarkEnd w:id="12"/>
      <w:bookmarkEnd w:id="13"/>
    </w:p>
    <w:p w14:paraId="033C931D">
      <w:pPr>
        <w:spacing w:line="360" w:lineRule="auto"/>
        <w:ind w:firstLine="420" w:firstLineChars="200"/>
        <w:rPr>
          <w:rFonts w:ascii="宋体" w:hAnsi="宋体"/>
          <w:color w:val="auto"/>
          <w:szCs w:val="21"/>
          <w:highlight w:val="none"/>
        </w:rPr>
      </w:pPr>
      <w:bookmarkStart w:id="14" w:name="_Toc28359014"/>
      <w:bookmarkStart w:id="15" w:name="_Toc35393631"/>
      <w:bookmarkStart w:id="16" w:name="_Toc44229880"/>
      <w:bookmarkStart w:id="17" w:name="_Toc28359091"/>
      <w:bookmarkStart w:id="18" w:name="_Toc35393800"/>
      <w:r>
        <w:rPr>
          <w:rFonts w:hint="eastAsia" w:ascii="宋体" w:hAnsi="宋体"/>
          <w:color w:val="auto"/>
          <w:szCs w:val="21"/>
          <w:highlight w:val="none"/>
        </w:rPr>
        <w:t>1.满足《中华人民共和国政府采购法》第二十二条规定；</w:t>
      </w:r>
    </w:p>
    <w:p w14:paraId="1E4F9603">
      <w:pPr>
        <w:spacing w:line="360" w:lineRule="auto"/>
        <w:ind w:firstLine="420" w:firstLineChars="200"/>
        <w:rPr>
          <w:rStyle w:val="58"/>
          <w:color w:val="auto"/>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.落实政府采购政策需满足的资格要求：无，本项目非专门面向中小企业采购；</w:t>
      </w:r>
    </w:p>
    <w:p w14:paraId="1E0101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3ACDF569">
      <w:pPr>
        <w:spacing w:line="360" w:lineRule="auto"/>
        <w:ind w:firstLine="420" w:firstLineChars="200"/>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（1）磋商供应商须具备钢结构工程专业承包三级（含）以上资质，并在人员、设备、资金等方面具备相应的施工能力，并具备有效的安全生产许可证。</w:t>
      </w:r>
    </w:p>
    <w:p w14:paraId="44C554C4">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（2）供应商拟派的项目经理须具备建筑工程专业贰级(含)以上注册建造师执业资格并具备有效的安全生产考核证书（B）类，且不得同时担任其他在建建设工程项目的项目经理。</w:t>
      </w:r>
    </w:p>
    <w:p w14:paraId="23A32EC0">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宋体"/>
          <w:color w:val="auto"/>
          <w:highlight w:val="none"/>
          <w:lang w:eastAsia="zh-CN"/>
        </w:rPr>
      </w:pPr>
      <w:r>
        <w:rPr>
          <w:rFonts w:hint="eastAsia"/>
          <w:color w:val="auto"/>
          <w:highlight w:val="none"/>
        </w:rPr>
        <w:t>（3）供应商拟派专职安全生产管理人员应具备有效的安全生产考核合格证书（C类），且</w:t>
      </w:r>
      <w:r>
        <w:rPr>
          <w:rFonts w:hint="eastAsia"/>
          <w:color w:val="auto"/>
          <w:highlight w:val="none"/>
          <w:lang w:val="en-US" w:eastAsia="zh-CN"/>
        </w:rPr>
        <w:t>人数</w:t>
      </w:r>
      <w:r>
        <w:rPr>
          <w:rFonts w:hint="eastAsia"/>
          <w:color w:val="auto"/>
          <w:highlight w:val="none"/>
        </w:rPr>
        <w:t>不少于1人</w:t>
      </w:r>
      <w:r>
        <w:rPr>
          <w:rFonts w:hint="eastAsia"/>
          <w:color w:val="auto"/>
          <w:highlight w:val="none"/>
          <w:lang w:eastAsia="zh-CN"/>
        </w:rPr>
        <w:t>。</w:t>
      </w:r>
    </w:p>
    <w:p w14:paraId="403EE8E0">
      <w:pPr>
        <w:spacing w:line="360" w:lineRule="auto"/>
        <w:ind w:firstLine="354" w:firstLineChars="147"/>
        <w:rPr>
          <w:rFonts w:ascii="黑体" w:hAnsi="黑体" w:eastAsia="黑体"/>
          <w:b/>
          <w:color w:val="auto"/>
          <w:sz w:val="24"/>
          <w:highlight w:val="none"/>
        </w:rPr>
      </w:pPr>
      <w:bookmarkStart w:id="19" w:name="_Toc71365907"/>
      <w:r>
        <w:rPr>
          <w:rFonts w:hint="eastAsia" w:ascii="黑体" w:hAnsi="黑体" w:eastAsia="黑体"/>
          <w:b/>
          <w:color w:val="auto"/>
          <w:sz w:val="24"/>
          <w:highlight w:val="none"/>
        </w:rPr>
        <w:t>三、获取竞争性磋商文件</w:t>
      </w:r>
      <w:bookmarkEnd w:id="14"/>
      <w:bookmarkEnd w:id="15"/>
      <w:bookmarkEnd w:id="16"/>
      <w:bookmarkEnd w:id="17"/>
      <w:bookmarkEnd w:id="18"/>
      <w:bookmarkEnd w:id="19"/>
    </w:p>
    <w:p w14:paraId="79FDA7CA">
      <w:pPr>
        <w:spacing w:line="360" w:lineRule="exact"/>
        <w:ind w:firstLine="420" w:firstLineChars="200"/>
        <w:rPr>
          <w:rFonts w:ascii="宋体" w:hAnsi="宋体" w:cs="宋体"/>
          <w:bCs/>
          <w:color w:val="auto"/>
          <w:kern w:val="0"/>
          <w:szCs w:val="21"/>
          <w:highlight w:val="none"/>
        </w:rPr>
      </w:pPr>
      <w:bookmarkStart w:id="20" w:name="_Toc28359015"/>
      <w:bookmarkStart w:id="21" w:name="_Toc44229881"/>
      <w:bookmarkStart w:id="22" w:name="_Toc35393632"/>
      <w:bookmarkStart w:id="23" w:name="_Toc35393801"/>
      <w:bookmarkStart w:id="24" w:name="_Toc28359092"/>
      <w:bookmarkStart w:id="25" w:name="_Toc71365908"/>
      <w:r>
        <w:rPr>
          <w:rFonts w:hint="eastAsia" w:ascii="宋体" w:hAnsi="宋体" w:cs="宋体"/>
          <w:bCs/>
          <w:color w:val="auto"/>
          <w:kern w:val="0"/>
          <w:szCs w:val="21"/>
          <w:highlight w:val="none"/>
        </w:rPr>
        <w:t>时间：</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至</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u w:val="single"/>
        </w:rPr>
        <w:t>日</w:t>
      </w:r>
      <w:r>
        <w:rPr>
          <w:rFonts w:hint="eastAsia" w:ascii="宋体" w:hAnsi="宋体" w:cs="宋体"/>
          <w:bCs/>
          <w:color w:val="auto"/>
          <w:kern w:val="0"/>
          <w:szCs w:val="21"/>
          <w:highlight w:val="none"/>
        </w:rPr>
        <w:t>，每天上午</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u w:val="single"/>
        </w:rPr>
        <w:t>：</w:t>
      </w:r>
      <w:r>
        <w:rPr>
          <w:rFonts w:ascii="宋体" w:hAnsi="宋体" w:cs="宋体"/>
          <w:bCs/>
          <w:color w:val="auto"/>
          <w:kern w:val="0"/>
          <w:szCs w:val="21"/>
          <w:highlight w:val="none"/>
          <w:u w:val="single"/>
        </w:rPr>
        <w:t>00</w:t>
      </w:r>
      <w:r>
        <w:rPr>
          <w:rFonts w:hint="eastAsia" w:ascii="宋体" w:hAnsi="宋体" w:cs="宋体"/>
          <w:bCs/>
          <w:color w:val="auto"/>
          <w:kern w:val="0"/>
          <w:szCs w:val="21"/>
          <w:highlight w:val="none"/>
        </w:rPr>
        <w:t>至12:0</w:t>
      </w:r>
      <w:r>
        <w:rPr>
          <w:rFonts w:ascii="宋体" w:hAnsi="宋体" w:cs="宋体"/>
          <w:bCs/>
          <w:color w:val="auto"/>
          <w:kern w:val="0"/>
          <w:szCs w:val="21"/>
          <w:highlight w:val="none"/>
        </w:rPr>
        <w:t>0</w:t>
      </w:r>
      <w:r>
        <w:rPr>
          <w:rFonts w:hint="eastAsia" w:ascii="宋体" w:hAnsi="宋体" w:cs="宋体"/>
          <w:bCs/>
          <w:color w:val="auto"/>
          <w:kern w:val="0"/>
          <w:szCs w:val="21"/>
          <w:highlight w:val="none"/>
        </w:rPr>
        <w:t>，下午</w:t>
      </w:r>
      <w:r>
        <w:rPr>
          <w:rFonts w:ascii="宋体" w:hAnsi="宋体" w:cs="宋体"/>
          <w:bCs/>
          <w:color w:val="auto"/>
          <w:kern w:val="0"/>
          <w:szCs w:val="21"/>
          <w:highlight w:val="none"/>
        </w:rPr>
        <w:t>12</w:t>
      </w:r>
      <w:r>
        <w:rPr>
          <w:rFonts w:hint="eastAsia" w:ascii="宋体" w:hAnsi="宋体" w:cs="宋体"/>
          <w:bCs/>
          <w:color w:val="auto"/>
          <w:kern w:val="0"/>
          <w:szCs w:val="21"/>
          <w:highlight w:val="none"/>
        </w:rPr>
        <w:t>:0</w:t>
      </w:r>
      <w:r>
        <w:rPr>
          <w:rFonts w:ascii="宋体" w:hAnsi="宋体" w:cs="宋体"/>
          <w:bCs/>
          <w:color w:val="auto"/>
          <w:kern w:val="0"/>
          <w:szCs w:val="21"/>
          <w:highlight w:val="none"/>
        </w:rPr>
        <w:t>0</w:t>
      </w:r>
      <w:r>
        <w:rPr>
          <w:rFonts w:hint="eastAsia" w:ascii="宋体" w:hAnsi="宋体" w:cs="宋体"/>
          <w:bCs/>
          <w:color w:val="auto"/>
          <w:kern w:val="0"/>
          <w:szCs w:val="21"/>
          <w:highlight w:val="none"/>
        </w:rPr>
        <w:t>至</w:t>
      </w:r>
      <w:r>
        <w:rPr>
          <w:rFonts w:ascii="宋体" w:hAnsi="宋体" w:cs="宋体"/>
          <w:bCs/>
          <w:color w:val="auto"/>
          <w:kern w:val="0"/>
          <w:szCs w:val="21"/>
          <w:highlight w:val="none"/>
        </w:rPr>
        <w:t>23</w:t>
      </w:r>
      <w:r>
        <w:rPr>
          <w:rFonts w:hint="eastAsia" w:ascii="宋体" w:hAnsi="宋体" w:cs="宋体"/>
          <w:bCs/>
          <w:color w:val="auto"/>
          <w:kern w:val="0"/>
          <w:szCs w:val="21"/>
          <w:highlight w:val="none"/>
        </w:rPr>
        <w:t>:</w:t>
      </w:r>
      <w:r>
        <w:rPr>
          <w:rFonts w:ascii="宋体" w:hAnsi="宋体" w:cs="宋体"/>
          <w:bCs/>
          <w:color w:val="auto"/>
          <w:kern w:val="0"/>
          <w:szCs w:val="21"/>
          <w:highlight w:val="none"/>
        </w:rPr>
        <w:t>59</w:t>
      </w:r>
      <w:r>
        <w:rPr>
          <w:rFonts w:hint="eastAsia" w:ascii="宋体" w:hAnsi="宋体" w:cs="宋体"/>
          <w:bCs/>
          <w:color w:val="auto"/>
          <w:kern w:val="0"/>
          <w:szCs w:val="21"/>
          <w:highlight w:val="none"/>
        </w:rPr>
        <w:t>（北京时间）</w:t>
      </w:r>
    </w:p>
    <w:p w14:paraId="2D334C47">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地点：广西政府采购云平台（https://www.gcy.zfcg.gxzf.gov.cn/）</w:t>
      </w:r>
    </w:p>
    <w:p w14:paraId="541F9C79">
      <w:pPr>
        <w:spacing w:line="360" w:lineRule="exact"/>
        <w:ind w:firstLine="420" w:firstLineChars="200"/>
        <w:rPr>
          <w:rFonts w:ascii="Arial" w:hAnsi="Arial" w:cs="Arial"/>
          <w:color w:val="auto"/>
          <w:kern w:val="0"/>
          <w:szCs w:val="21"/>
          <w:highlight w:val="none"/>
        </w:rPr>
      </w:pPr>
      <w:r>
        <w:rPr>
          <w:rFonts w:hint="eastAsia" w:ascii="宋体" w:hAnsi="宋体"/>
          <w:color w:val="auto"/>
          <w:szCs w:val="21"/>
          <w:highlight w:val="none"/>
        </w:rPr>
        <w:t>获取方式:网上下载。本项目不发放纸质采购文件，供应商登录广西政府采购云平台https://www.gcy.zfcg.gxzf.gov.cn/在线申请获取采购文件（进入“项目采购”应用，在获取采购文件菜单中选择项目，申请获取采购文件）。</w:t>
      </w:r>
    </w:p>
    <w:p w14:paraId="096EB11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采购文件售价：</w:t>
      </w:r>
      <w:r>
        <w:rPr>
          <w:rFonts w:ascii="宋体" w:hAnsi="宋体"/>
          <w:color w:val="auto"/>
          <w:szCs w:val="21"/>
          <w:highlight w:val="none"/>
        </w:rPr>
        <w:t>0</w:t>
      </w:r>
      <w:r>
        <w:rPr>
          <w:rFonts w:hint="eastAsia" w:ascii="宋体" w:hAnsi="宋体"/>
          <w:color w:val="auto"/>
          <w:szCs w:val="21"/>
          <w:highlight w:val="none"/>
        </w:rPr>
        <w:t>元。</w:t>
      </w:r>
    </w:p>
    <w:p w14:paraId="5D17591E">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四、响应文件提交</w:t>
      </w:r>
      <w:bookmarkEnd w:id="20"/>
      <w:bookmarkEnd w:id="21"/>
      <w:bookmarkEnd w:id="22"/>
      <w:bookmarkEnd w:id="23"/>
      <w:bookmarkEnd w:id="24"/>
      <w:bookmarkEnd w:id="25"/>
    </w:p>
    <w:p w14:paraId="40A60603">
      <w:pPr>
        <w:spacing w:line="360" w:lineRule="exact"/>
        <w:ind w:firstLine="420" w:firstLineChars="200"/>
        <w:rPr>
          <w:rFonts w:ascii="宋体" w:hAnsi="宋体"/>
          <w:bCs/>
          <w:color w:val="auto"/>
          <w:szCs w:val="21"/>
          <w:highlight w:val="none"/>
        </w:rPr>
      </w:pPr>
      <w:bookmarkStart w:id="26" w:name="_Toc44229882"/>
      <w:bookmarkStart w:id="27" w:name="_Toc35393802"/>
      <w:bookmarkStart w:id="28" w:name="_Toc35393633"/>
      <w:bookmarkStart w:id="29" w:name="_Toc71365909"/>
      <w:bookmarkStart w:id="30" w:name="_Toc28359016"/>
      <w:bookmarkStart w:id="31" w:name="_Toc28359093"/>
      <w:r>
        <w:rPr>
          <w:rFonts w:hint="eastAsia" w:ascii="宋体" w:hAnsi="宋体"/>
          <w:color w:val="auto"/>
          <w:szCs w:val="21"/>
          <w:highlight w:val="none"/>
        </w:rPr>
        <w:t>截止时间：</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bCs/>
          <w:color w:val="auto"/>
          <w:szCs w:val="21"/>
          <w:highlight w:val="none"/>
        </w:rPr>
        <w:t>（北京时间）</w:t>
      </w:r>
    </w:p>
    <w:p w14:paraId="7AF15A91">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2D643D7B">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五、开启</w:t>
      </w:r>
      <w:bookmarkEnd w:id="26"/>
      <w:bookmarkEnd w:id="27"/>
      <w:bookmarkEnd w:id="28"/>
      <w:bookmarkEnd w:id="29"/>
      <w:bookmarkEnd w:id="30"/>
      <w:bookmarkEnd w:id="31"/>
    </w:p>
    <w:p w14:paraId="7A58A3BE">
      <w:pPr>
        <w:spacing w:line="360" w:lineRule="exact"/>
        <w:ind w:firstLine="420" w:firstLineChars="200"/>
        <w:rPr>
          <w:rFonts w:ascii="宋体" w:hAnsi="宋体"/>
          <w:bCs/>
          <w:color w:val="auto"/>
          <w:szCs w:val="21"/>
          <w:highlight w:val="none"/>
          <w:u w:val="single"/>
        </w:rPr>
      </w:pPr>
      <w:bookmarkStart w:id="32" w:name="_Toc44229883"/>
      <w:bookmarkStart w:id="33" w:name="_Toc35393634"/>
      <w:bookmarkStart w:id="34" w:name="_Toc35393803"/>
      <w:bookmarkStart w:id="35" w:name="_Toc28359017"/>
      <w:bookmarkStart w:id="36" w:name="_Toc28359094"/>
      <w:bookmarkStart w:id="37" w:name="_Toc71365910"/>
      <w:r>
        <w:rPr>
          <w:rFonts w:hint="eastAsia" w:ascii="宋体" w:hAnsi="宋体"/>
          <w:color w:val="auto"/>
          <w:szCs w:val="21"/>
          <w:highlight w:val="none"/>
        </w:rPr>
        <w:t>时间：</w:t>
      </w:r>
      <w:r>
        <w:rPr>
          <w:rFonts w:hint="eastAsia" w:ascii="宋体" w:hAnsi="宋体"/>
          <w:color w:val="auto"/>
          <w:szCs w:val="21"/>
          <w:highlight w:val="none"/>
          <w:u w:val="single"/>
          <w:lang w:eastAsia="zh-CN"/>
        </w:rPr>
        <w:t>2026年</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eastAsia="zh-CN"/>
        </w:rPr>
        <w:t>月</w:t>
      </w:r>
      <w:r>
        <w:rPr>
          <w:rFonts w:hint="eastAsia" w:ascii="宋体" w:hAnsi="宋体"/>
          <w:color w:val="auto"/>
          <w:szCs w:val="21"/>
          <w:highlight w:val="none"/>
          <w:u w:val="single"/>
          <w:lang w:val="en-US" w:eastAsia="zh-CN"/>
        </w:rPr>
        <w:t>23</w:t>
      </w:r>
      <w:r>
        <w:rPr>
          <w:rFonts w:hint="eastAsia" w:ascii="宋体" w:hAnsi="宋体"/>
          <w:color w:val="auto"/>
          <w:szCs w:val="21"/>
          <w:highlight w:val="none"/>
          <w:u w:val="single"/>
          <w:lang w:eastAsia="zh-CN"/>
        </w:rPr>
        <w:t>日</w:t>
      </w:r>
      <w:r>
        <w:rPr>
          <w:rFonts w:hint="eastAsia" w:ascii="宋体" w:hAnsi="宋体"/>
          <w:color w:val="auto"/>
          <w:szCs w:val="21"/>
          <w:highlight w:val="none"/>
          <w:u w:val="single"/>
          <w:lang w:val="en-US" w:eastAsia="zh-CN"/>
        </w:rPr>
        <w:t>09</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分</w:t>
      </w:r>
      <w:r>
        <w:rPr>
          <w:rFonts w:hint="eastAsia" w:ascii="宋体" w:hAnsi="宋体"/>
          <w:bCs/>
          <w:color w:val="auto"/>
          <w:szCs w:val="21"/>
          <w:highlight w:val="none"/>
        </w:rPr>
        <w:t>（北京时间）</w:t>
      </w:r>
    </w:p>
    <w:p w14:paraId="7B69F577">
      <w:pPr>
        <w:spacing w:line="360" w:lineRule="exact"/>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t>
      </w:r>
      <w:r>
        <w:rPr>
          <w:rFonts w:hint="eastAsia" w:ascii="宋体" w:hAnsi="宋体" w:cs="宋体"/>
          <w:bCs/>
          <w:color w:val="auto"/>
          <w:kern w:val="0"/>
          <w:szCs w:val="21"/>
          <w:highlight w:val="none"/>
        </w:rPr>
        <w:t>（https://www.gcy.zfcg.gxzf.gov.cn/）</w:t>
      </w:r>
    </w:p>
    <w:p w14:paraId="459EE585">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六、公告期限</w:t>
      </w:r>
      <w:bookmarkEnd w:id="32"/>
      <w:bookmarkEnd w:id="33"/>
      <w:bookmarkEnd w:id="34"/>
      <w:bookmarkEnd w:id="35"/>
      <w:bookmarkEnd w:id="36"/>
      <w:bookmarkEnd w:id="37"/>
    </w:p>
    <w:p w14:paraId="186ED6B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471AEEA4">
      <w:pPr>
        <w:spacing w:line="360" w:lineRule="auto"/>
        <w:ind w:firstLine="354" w:firstLineChars="147"/>
        <w:rPr>
          <w:rFonts w:ascii="黑体" w:hAnsi="黑体" w:eastAsia="黑体"/>
          <w:b/>
          <w:color w:val="auto"/>
          <w:sz w:val="24"/>
          <w:highlight w:val="none"/>
        </w:rPr>
      </w:pPr>
      <w:bookmarkStart w:id="38" w:name="_Toc71365911"/>
      <w:bookmarkStart w:id="39" w:name="_Toc35393804"/>
      <w:bookmarkStart w:id="40" w:name="_Toc35393635"/>
      <w:bookmarkStart w:id="41" w:name="_Toc44229884"/>
      <w:r>
        <w:rPr>
          <w:rFonts w:hint="eastAsia" w:ascii="黑体" w:hAnsi="黑体" w:eastAsia="黑体"/>
          <w:b/>
          <w:color w:val="auto"/>
          <w:sz w:val="24"/>
          <w:highlight w:val="none"/>
        </w:rPr>
        <w:t>七、其他补充事宜</w:t>
      </w:r>
      <w:bookmarkEnd w:id="38"/>
      <w:bookmarkEnd w:id="39"/>
      <w:bookmarkEnd w:id="40"/>
      <w:bookmarkEnd w:id="41"/>
    </w:p>
    <w:p w14:paraId="531E2DB6">
      <w:pPr>
        <w:spacing w:line="360" w:lineRule="exact"/>
        <w:ind w:firstLine="420" w:firstLineChars="200"/>
        <w:rPr>
          <w:rFonts w:hint="eastAsia" w:ascii="宋体" w:hAnsi="宋体"/>
          <w:color w:val="auto"/>
          <w:szCs w:val="21"/>
          <w:highlight w:val="none"/>
        </w:rPr>
      </w:pPr>
      <w:bookmarkStart w:id="42" w:name="_Toc28359018"/>
      <w:bookmarkStart w:id="43" w:name="_Toc44229885"/>
      <w:bookmarkStart w:id="44" w:name="_Toc35393636"/>
      <w:bookmarkStart w:id="45" w:name="_Toc35393805"/>
      <w:bookmarkStart w:id="46" w:name="_Toc28359095"/>
      <w:r>
        <w:rPr>
          <w:rFonts w:hint="eastAsia" w:ascii="宋体" w:hAnsi="宋体"/>
          <w:color w:val="auto"/>
          <w:szCs w:val="21"/>
          <w:highlight w:val="none"/>
        </w:rPr>
        <w:t>1、磋商保证金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人民币</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val="en-US" w:eastAsia="zh-CN"/>
        </w:rPr>
        <w:t>13000.00元（大写：壹万叁仟元整）</w:t>
      </w:r>
    </w:p>
    <w:p w14:paraId="1EB0D60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磋商保证金的交纳方式：</w:t>
      </w:r>
      <w:r>
        <w:rPr>
          <w:rFonts w:hint="eastAsia" w:ascii="宋体" w:hAnsi="宋体" w:cs="宋体"/>
          <w:color w:val="auto"/>
          <w:kern w:val="0"/>
          <w:szCs w:val="21"/>
          <w:highlight w:val="none"/>
        </w:rPr>
        <w:t>银行转账、支票、汇票、本票或者银行、保险机构出具的保函，禁止采用现钞方式。采用银行转账方式的，在响应文件提交截止时间前交至指定账户并且到账</w:t>
      </w:r>
      <w:r>
        <w:rPr>
          <w:rFonts w:hint="eastAsia" w:ascii="宋体" w:hAnsi="宋体"/>
          <w:color w:val="auto"/>
          <w:szCs w:val="21"/>
          <w:highlight w:val="none"/>
        </w:rPr>
        <w:t>（开户银行：</w:t>
      </w:r>
      <w:r>
        <w:rPr>
          <w:rFonts w:hint="eastAsia" w:ascii="宋体" w:hAnsi="宋体"/>
          <w:color w:val="auto"/>
          <w:szCs w:val="21"/>
          <w:highlight w:val="none"/>
          <w:lang w:eastAsia="zh-CN"/>
        </w:rPr>
        <w:t>建设银行南宁市民族大道东支行</w:t>
      </w:r>
      <w:r>
        <w:rPr>
          <w:rFonts w:hint="eastAsia" w:ascii="宋体" w:hAnsi="宋体"/>
          <w:color w:val="auto"/>
          <w:szCs w:val="21"/>
          <w:highlight w:val="none"/>
        </w:rPr>
        <w:t>，开户名称：广西城建咨询设计有限公司，银行账号：4500 1604 6530 5070 3663）。</w:t>
      </w:r>
    </w:p>
    <w:p w14:paraId="567A412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2、发布公告的媒介：http://www.ccgp.gov.cn（中国政府采购网）、http://zfcg.gxzf.gov.cn（广西壮族自治区政府采购网）。</w:t>
      </w:r>
    </w:p>
    <w:p w14:paraId="0F4CEB2E">
      <w:pPr>
        <w:spacing w:line="36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3、政府采购意向公开链接：http://www.ccgp-guangxi.gov.cn/site/detail?parentId=66485&amp;articleId=PFPZ0f05bGop+q8UGCBumQ==</w:t>
      </w:r>
    </w:p>
    <w:p w14:paraId="217AD52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、本项目需要落实的政府采购政策</w:t>
      </w:r>
    </w:p>
    <w:p w14:paraId="5CF4A398">
      <w:pPr>
        <w:spacing w:line="360" w:lineRule="exact"/>
        <w:ind w:firstLine="420" w:firstLineChars="200"/>
        <w:rPr>
          <w:rFonts w:ascii="宋体" w:hAnsi="宋体"/>
          <w:color w:val="auto"/>
          <w:szCs w:val="21"/>
          <w:highlight w:val="none"/>
        </w:rPr>
      </w:pPr>
      <w:r>
        <w:rPr>
          <w:rFonts w:ascii="宋体" w:hAnsi="宋体"/>
          <w:color w:val="auto"/>
          <w:szCs w:val="21"/>
          <w:highlight w:val="none"/>
        </w:rPr>
        <w:t>（1）政府采购促进中小企业发展。</w:t>
      </w:r>
    </w:p>
    <w:p w14:paraId="581D878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（2）政府采购支持采用本国产品的政策。</w:t>
      </w:r>
    </w:p>
    <w:p w14:paraId="0DBC7D8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（3）强制采购节能产品；优先采购节能产品、环境标志产品。</w:t>
      </w:r>
    </w:p>
    <w:p w14:paraId="49E59DD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（4）政府采购促进残疾人就业政策。</w:t>
      </w:r>
    </w:p>
    <w:p w14:paraId="7695538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（5）政府采购支持监狱企业发展。</w:t>
      </w:r>
    </w:p>
    <w:p w14:paraId="3AB1419D">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（6）在政府采购中实施本国产品标准及相关政策。</w:t>
      </w:r>
    </w:p>
    <w:p w14:paraId="1E6078A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、资格条件特别说明</w:t>
      </w:r>
    </w:p>
    <w:p w14:paraId="4D02AB8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37BECE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102E184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(3)已获取磋商文件的供应商不等于符合本项目的供应商资格条件。</w:t>
      </w:r>
    </w:p>
    <w:p w14:paraId="302CB6A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、广西政府采购云平台电子竞标相关事宜</w:t>
      </w:r>
    </w:p>
    <w:p w14:paraId="67A544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实行在线电子投标，投标人应先安装“广西政府采购云平台新版客户端”（请自行前往广西政府采购云平台进行下载），并按照本项目招标文件和广西政府采购云平台的要求编制、加密后在投标截止时间前通过网络上传至广西政府采购云平台。</w:t>
      </w:r>
    </w:p>
    <w:p w14:paraId="7D7E5D3C">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广西政府采购云平台，查看CA数字证书办理操作流程。如在操作过程中遇到问题或者需要技术支持，可拨打广西政府采购云平台服务热线获取热线服务帮助）。</w:t>
      </w:r>
    </w:p>
    <w:p w14:paraId="17514D8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6CD64B38">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6B198A97">
      <w:pPr>
        <w:spacing w:line="360" w:lineRule="auto"/>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2"/>
      <w:bookmarkEnd w:id="43"/>
      <w:bookmarkEnd w:id="44"/>
      <w:bookmarkEnd w:id="45"/>
      <w:bookmarkEnd w:id="46"/>
    </w:p>
    <w:p w14:paraId="78A5497D">
      <w:pPr>
        <w:spacing w:line="360" w:lineRule="auto"/>
        <w:ind w:firstLine="420" w:firstLineChars="200"/>
        <w:rPr>
          <w:rFonts w:ascii="宋体" w:hAnsi="宋体" w:cs="宋体"/>
          <w:color w:val="auto"/>
          <w:kern w:val="0"/>
          <w:szCs w:val="21"/>
          <w:highlight w:val="none"/>
        </w:rPr>
      </w:pPr>
      <w:bookmarkStart w:id="47" w:name="_Toc28359096"/>
      <w:bookmarkStart w:id="48" w:name="_Toc28359019"/>
      <w:bookmarkStart w:id="49" w:name="_Toc35393637"/>
      <w:bookmarkStart w:id="50" w:name="_Toc35393806"/>
      <w:r>
        <w:rPr>
          <w:rFonts w:hint="eastAsia" w:ascii="宋体" w:hAnsi="宋体" w:cs="宋体"/>
          <w:color w:val="auto"/>
          <w:kern w:val="0"/>
          <w:szCs w:val="21"/>
          <w:highlight w:val="none"/>
        </w:rPr>
        <w:t>1.采购人信息</w:t>
      </w:r>
      <w:bookmarkEnd w:id="47"/>
      <w:bookmarkEnd w:id="48"/>
      <w:bookmarkEnd w:id="49"/>
      <w:bookmarkEnd w:id="50"/>
    </w:p>
    <w:p w14:paraId="61CBD3C3">
      <w:pPr>
        <w:spacing w:line="360" w:lineRule="auto"/>
        <w:ind w:firstLine="420" w:firstLineChars="200"/>
        <w:jc w:val="left"/>
        <w:rPr>
          <w:rFonts w:hint="eastAsia" w:ascii="宋体" w:hAnsi="宋体" w:eastAsia="宋体" w:cs="Arial"/>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szCs w:val="21"/>
          <w:highlight w:val="none"/>
          <w:lang w:eastAsia="zh-CN"/>
        </w:rPr>
        <w:t>中国共产党广西壮族自治区委员会党校</w:t>
      </w:r>
    </w:p>
    <w:p w14:paraId="71AE8980">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cs="宋体"/>
          <w:color w:val="auto"/>
          <w:kern w:val="0"/>
          <w:szCs w:val="21"/>
          <w:highlight w:val="none"/>
          <w:lang w:eastAsia="zh-CN"/>
        </w:rPr>
        <w:t>南宁市青秀区荔滨大道18号</w:t>
      </w:r>
    </w:p>
    <w:p w14:paraId="78E9F2C5">
      <w:pPr>
        <w:spacing w:line="360" w:lineRule="auto"/>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rPr>
        <w:t>联系方式：</w:t>
      </w:r>
      <w:r>
        <w:rPr>
          <w:rFonts w:hint="eastAsia" w:ascii="宋体" w:hAnsi="宋体"/>
          <w:color w:val="auto"/>
          <w:szCs w:val="21"/>
          <w:highlight w:val="none"/>
          <w:lang w:val="en-US" w:eastAsia="zh-CN"/>
        </w:rPr>
        <w:t>李老师</w:t>
      </w:r>
      <w:r>
        <w:rPr>
          <w:rFonts w:hint="eastAsia" w:ascii="宋体" w:hAnsi="宋体"/>
          <w:color w:val="auto"/>
          <w:szCs w:val="21"/>
          <w:highlight w:val="none"/>
        </w:rPr>
        <w:t>；联系电话：</w:t>
      </w:r>
      <w:r>
        <w:rPr>
          <w:rFonts w:hint="eastAsia" w:ascii="宋体" w:hAnsi="宋体"/>
          <w:color w:val="auto"/>
          <w:szCs w:val="21"/>
          <w:highlight w:val="none"/>
          <w:lang w:eastAsia="zh-CN"/>
        </w:rPr>
        <w:t>0771-5577</w:t>
      </w:r>
      <w:r>
        <w:rPr>
          <w:rFonts w:hint="eastAsia" w:ascii="宋体" w:hAnsi="宋体"/>
          <w:color w:val="auto"/>
          <w:szCs w:val="21"/>
          <w:highlight w:val="none"/>
          <w:lang w:val="en-US" w:eastAsia="zh-CN"/>
        </w:rPr>
        <w:t>659</w:t>
      </w:r>
    </w:p>
    <w:p w14:paraId="3FBC73FB">
      <w:pPr>
        <w:spacing w:line="360" w:lineRule="auto"/>
        <w:ind w:firstLine="420" w:firstLineChars="200"/>
        <w:rPr>
          <w:rFonts w:ascii="宋体" w:hAnsi="宋体" w:cs="宋体"/>
          <w:color w:val="auto"/>
          <w:kern w:val="0"/>
          <w:szCs w:val="21"/>
          <w:highlight w:val="none"/>
        </w:rPr>
      </w:pPr>
      <w:bookmarkStart w:id="51" w:name="_Toc35393638"/>
      <w:bookmarkStart w:id="52" w:name="_Toc28359097"/>
      <w:bookmarkStart w:id="53" w:name="_Toc35393807"/>
      <w:bookmarkStart w:id="54" w:name="_Toc28359020"/>
      <w:r>
        <w:rPr>
          <w:rFonts w:hint="eastAsia" w:ascii="宋体" w:hAnsi="宋体" w:cs="宋体"/>
          <w:color w:val="auto"/>
          <w:kern w:val="0"/>
          <w:szCs w:val="21"/>
          <w:highlight w:val="none"/>
        </w:rPr>
        <w:t>2.采购代理机构信息</w:t>
      </w:r>
      <w:bookmarkEnd w:id="51"/>
      <w:bookmarkEnd w:id="52"/>
      <w:bookmarkEnd w:id="53"/>
      <w:bookmarkEnd w:id="54"/>
    </w:p>
    <w:p w14:paraId="26FCF1DC">
      <w:pPr>
        <w:snapToGrid w:val="0"/>
        <w:spacing w:line="360" w:lineRule="auto"/>
        <w:ind w:firstLine="420" w:firstLineChars="200"/>
        <w:rPr>
          <w:rFonts w:hint="eastAsia" w:ascii="宋体" w:hAnsi="宋体" w:eastAsia="宋体" w:cs="Arial"/>
          <w:color w:val="auto"/>
          <w:szCs w:val="21"/>
          <w:highlight w:val="none"/>
          <w:lang w:eastAsia="zh-CN"/>
        </w:rPr>
      </w:pPr>
      <w:r>
        <w:rPr>
          <w:rFonts w:hint="eastAsia" w:ascii="宋体" w:hAnsi="宋体"/>
          <w:color w:val="auto"/>
          <w:szCs w:val="21"/>
          <w:highlight w:val="none"/>
        </w:rPr>
        <w:t>名    称：</w:t>
      </w:r>
      <w:r>
        <w:rPr>
          <w:rFonts w:hint="eastAsia" w:ascii="宋体" w:hAnsi="宋体" w:cs="Arial"/>
          <w:color w:val="auto"/>
          <w:szCs w:val="21"/>
          <w:highlight w:val="none"/>
          <w:lang w:eastAsia="zh-CN"/>
        </w:rPr>
        <w:t>广西城建咨询设计有限公司</w:t>
      </w:r>
    </w:p>
    <w:p w14:paraId="755CE51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地　　址：</w:t>
      </w:r>
      <w:r>
        <w:rPr>
          <w:rFonts w:hint="eastAsia" w:ascii="宋体" w:hAnsi="宋体"/>
          <w:bCs/>
          <w:color w:val="auto"/>
          <w:szCs w:val="21"/>
          <w:highlight w:val="none"/>
          <w:lang w:eastAsia="zh-CN"/>
        </w:rPr>
        <w:t>南宁市青秀区金湖路58号广西建设大厦三楼</w:t>
      </w:r>
    </w:p>
    <w:p w14:paraId="6ED7DC33">
      <w:pPr>
        <w:spacing w:line="360" w:lineRule="auto"/>
        <w:ind w:firstLine="420" w:firstLineChars="200"/>
        <w:rPr>
          <w:rFonts w:hint="eastAsia" w:ascii="宋体" w:hAnsi="宋体" w:eastAsia="宋体" w:cs="Arial"/>
          <w:color w:val="auto"/>
          <w:szCs w:val="21"/>
          <w:highlight w:val="none"/>
          <w:lang w:eastAsia="zh-CN"/>
        </w:rPr>
      </w:pPr>
      <w:r>
        <w:rPr>
          <w:rFonts w:hint="eastAsia" w:ascii="宋体" w:hAnsi="宋体"/>
          <w:color w:val="auto"/>
          <w:szCs w:val="21"/>
          <w:highlight w:val="none"/>
        </w:rPr>
        <w:t>联系方式：</w:t>
      </w:r>
      <w:bookmarkStart w:id="55" w:name="_Toc28359021"/>
      <w:bookmarkStart w:id="56" w:name="_Toc35393639"/>
      <w:bookmarkStart w:id="57" w:name="_Toc28359098"/>
      <w:bookmarkStart w:id="58" w:name="_Toc35393808"/>
      <w:r>
        <w:rPr>
          <w:rFonts w:hint="eastAsia" w:ascii="宋体" w:hAnsi="宋体"/>
          <w:color w:val="auto"/>
          <w:szCs w:val="21"/>
          <w:highlight w:val="none"/>
          <w:lang w:eastAsia="zh-CN"/>
        </w:rPr>
        <w:t>廖启迪、凌良基；</w:t>
      </w:r>
      <w:r>
        <w:rPr>
          <w:rFonts w:hint="eastAsia" w:ascii="宋体" w:hAnsi="宋体" w:cs="Arial"/>
          <w:color w:val="auto"/>
          <w:szCs w:val="21"/>
          <w:highlight w:val="none"/>
          <w:lang w:eastAsia="zh-CN"/>
        </w:rPr>
        <w:t>0771-4352069</w:t>
      </w:r>
    </w:p>
    <w:p w14:paraId="478D49A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5"/>
      <w:bookmarkEnd w:id="56"/>
      <w:bookmarkEnd w:id="57"/>
      <w:bookmarkEnd w:id="58"/>
    </w:p>
    <w:p w14:paraId="3546393C">
      <w:pPr>
        <w:pStyle w:val="26"/>
        <w:spacing w:line="360" w:lineRule="auto"/>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rPr>
        <w:t>项目联系人：</w:t>
      </w:r>
      <w:r>
        <w:rPr>
          <w:rFonts w:hint="eastAsia" w:hAnsi="宋体" w:cs="宋体"/>
          <w:color w:val="auto"/>
          <w:sz w:val="21"/>
          <w:highlight w:val="none"/>
          <w:lang w:eastAsia="zh-CN"/>
        </w:rPr>
        <w:t>廖启迪、凌良基</w:t>
      </w:r>
    </w:p>
    <w:p w14:paraId="3C2102B3">
      <w:pPr>
        <w:spacing w:line="360" w:lineRule="auto"/>
        <w:ind w:firstLine="420" w:firstLineChars="200"/>
        <w:rPr>
          <w:rFonts w:ascii="方正小标宋简体" w:eastAsia="方正小标宋简体"/>
          <w:color w:val="auto"/>
          <w:sz w:val="32"/>
          <w:szCs w:val="32"/>
          <w:highlight w:val="none"/>
        </w:rPr>
      </w:pPr>
      <w:r>
        <w:rPr>
          <w:rFonts w:hint="eastAsia" w:ascii="宋体" w:hAnsi="宋体" w:cs="宋体"/>
          <w:color w:val="auto"/>
          <w:kern w:val="0"/>
          <w:szCs w:val="21"/>
          <w:highlight w:val="none"/>
        </w:rPr>
        <w:t>电　　话：</w:t>
      </w:r>
      <w:bookmarkEnd w:id="1"/>
      <w:r>
        <w:rPr>
          <w:rFonts w:hint="eastAsia" w:ascii="宋体" w:hAnsi="宋体" w:cs="宋体"/>
          <w:color w:val="auto"/>
          <w:kern w:val="0"/>
          <w:szCs w:val="21"/>
          <w:highlight w:val="none"/>
          <w:lang w:eastAsia="zh-CN"/>
        </w:rPr>
        <w:t>0771-4352069</w:t>
      </w:r>
      <w:r>
        <w:rPr>
          <w:rFonts w:ascii="宋体" w:hAnsi="宋体" w:cs="Arial"/>
          <w:color w:val="auto"/>
          <w:szCs w:val="21"/>
          <w:highlight w:val="none"/>
        </w:rPr>
        <w:br w:type="page"/>
      </w:r>
    </w:p>
    <w:p w14:paraId="2E993705">
      <w:pPr>
        <w:pStyle w:val="5"/>
        <w:spacing w:before="300" w:after="300" w:line="360" w:lineRule="auto"/>
        <w:jc w:val="center"/>
        <w:rPr>
          <w:color w:val="auto"/>
          <w:highlight w:val="none"/>
        </w:rPr>
      </w:pPr>
      <w:bookmarkStart w:id="59" w:name="_Toc32467"/>
      <w:r>
        <w:rPr>
          <w:rFonts w:hint="eastAsia"/>
          <w:color w:val="auto"/>
          <w:highlight w:val="none"/>
        </w:rPr>
        <w:t>第二章供应商须知</w:t>
      </w:r>
      <w:bookmarkEnd w:id="59"/>
    </w:p>
    <w:p w14:paraId="5B379E60">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5AA58ED1">
      <w:pPr>
        <w:spacing w:line="400" w:lineRule="exact"/>
        <w:jc w:val="center"/>
        <w:rPr>
          <w:rFonts w:ascii="宋体" w:hAnsi="宋体"/>
          <w:b/>
          <w:color w:val="auto"/>
          <w:sz w:val="32"/>
          <w:szCs w:val="32"/>
          <w:highlight w:val="none"/>
        </w:rPr>
      </w:pP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4F0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610E5B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3A18C7F1">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1B92D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4695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7E2B2E0A">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485A09A8">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AD5D062">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90A0EA">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863F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B6A6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2F6CA55A">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详见竞争性磋商公告</w:t>
            </w:r>
          </w:p>
        </w:tc>
      </w:tr>
      <w:tr w14:paraId="6848C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F42D6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2C7B4F12">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634C6D23">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543A5468">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455DDCEF">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各方承担责任与义务的分工必须符合采购需求，否则，联合体竞标无效</w:t>
            </w:r>
            <w:r>
              <w:rPr>
                <w:rFonts w:hint="eastAsia" w:ascii="宋体" w:hAnsi="宋体" w:cs="宋体"/>
                <w:color w:val="auto"/>
                <w:szCs w:val="21"/>
                <w:highlight w:val="none"/>
              </w:rPr>
              <w:t>），并将联合竞标协议放入响应文件。联合体各方必须共同与采购人签订采购合同，就采购合同约定的事项对采购人承担连带责任。</w:t>
            </w:r>
          </w:p>
          <w:p w14:paraId="09720F39">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0232BEB6">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1A1C6067">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联合体竞标业绩、履约能力按照联合体各方中较高的一方认定并计算（磋商文件另有规定的除外）。</w:t>
            </w:r>
          </w:p>
          <w:p w14:paraId="26842C9F">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供应商为联合体的，可以由联合体中的一方或者多方共同交纳磋商保证金，其交纳的保证金对联合体各方均具有约束力。</w:t>
            </w:r>
          </w:p>
          <w:p w14:paraId="727EAA58">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联合体各方均应按照磋商文件的规定提交资格证明文件。</w:t>
            </w:r>
          </w:p>
        </w:tc>
      </w:tr>
      <w:tr w14:paraId="58BAB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AA35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69FD2DF7">
            <w:pPr>
              <w:pStyle w:val="19"/>
              <w:spacing w:line="360" w:lineRule="auto"/>
              <w:rPr>
                <w:rFonts w:ascii="宋体" w:hAnsi="宋体"/>
                <w:color w:val="auto"/>
                <w:szCs w:val="21"/>
                <w:highlight w:val="none"/>
              </w:rPr>
            </w:pPr>
            <w:r>
              <w:rPr>
                <w:rFonts w:ascii="仿宋_GB2312" w:hAnsi="仿宋" w:eastAsia="仿宋_GB2312"/>
                <w:color w:val="auto"/>
                <w:szCs w:val="21"/>
                <w:highlight w:val="none"/>
              </w:rPr>
              <w:sym w:font="Wingdings 2" w:char="F052"/>
            </w:r>
            <w:r>
              <w:rPr>
                <w:rFonts w:hint="eastAsia" w:ascii="宋体" w:hAnsi="宋体"/>
                <w:color w:val="auto"/>
                <w:szCs w:val="21"/>
                <w:highlight w:val="none"/>
              </w:rPr>
              <w:t>不允许分包</w:t>
            </w:r>
          </w:p>
          <w:p w14:paraId="0859CE5C">
            <w:pPr>
              <w:pStyle w:val="19"/>
              <w:spacing w:line="360" w:lineRule="auto"/>
              <w:rPr>
                <w:rFonts w:ascii="宋体" w:hAnsi="宋体"/>
                <w:color w:val="auto"/>
                <w:szCs w:val="21"/>
                <w:highlight w:val="none"/>
              </w:rPr>
            </w:pPr>
            <w:r>
              <w:rPr>
                <w:rFonts w:hint="eastAsia" w:ascii="宋体" w:hAnsi="宋体"/>
                <w:color w:val="auto"/>
                <w:szCs w:val="21"/>
                <w:highlight w:val="none"/>
              </w:rPr>
              <w:t>□允许分包</w:t>
            </w:r>
          </w:p>
          <w:p w14:paraId="70D5B1D2">
            <w:pPr>
              <w:pStyle w:val="19"/>
              <w:spacing w:line="360" w:lineRule="auto"/>
              <w:rPr>
                <w:rFonts w:ascii="宋体" w:hAnsi="宋体"/>
                <w:color w:val="auto"/>
                <w:szCs w:val="21"/>
                <w:highlight w:val="none"/>
                <w:u w:val="single"/>
              </w:rPr>
            </w:pPr>
            <w:r>
              <w:rPr>
                <w:rFonts w:hint="eastAsia" w:ascii="宋体" w:hAnsi="宋体"/>
                <w:color w:val="auto"/>
                <w:szCs w:val="21"/>
                <w:highlight w:val="none"/>
              </w:rPr>
              <w:t>分包内容：/。</w:t>
            </w:r>
          </w:p>
          <w:p w14:paraId="5C2F892A">
            <w:pPr>
              <w:pStyle w:val="19"/>
              <w:spacing w:line="360" w:lineRule="auto"/>
              <w:rPr>
                <w:rFonts w:ascii="宋体" w:hAnsi="宋体"/>
                <w:color w:val="auto"/>
                <w:szCs w:val="21"/>
                <w:highlight w:val="none"/>
                <w:u w:val="single"/>
              </w:rPr>
            </w:pPr>
            <w:r>
              <w:rPr>
                <w:rFonts w:hint="eastAsia" w:ascii="宋体" w:hAnsi="宋体"/>
                <w:color w:val="auto"/>
                <w:szCs w:val="21"/>
                <w:highlight w:val="none"/>
              </w:rPr>
              <w:t>分包金额或者比例：/。</w:t>
            </w:r>
          </w:p>
          <w:p w14:paraId="30E7215B">
            <w:pPr>
              <w:pStyle w:val="19"/>
              <w:spacing w:line="360" w:lineRule="auto"/>
              <w:rPr>
                <w:rFonts w:ascii="宋体" w:hAnsi="宋体" w:cs="宋体"/>
                <w:color w:val="auto"/>
                <w:szCs w:val="21"/>
                <w:highlight w:val="none"/>
              </w:rPr>
            </w:pPr>
            <w:r>
              <w:rPr>
                <w:rFonts w:hint="eastAsia" w:ascii="宋体" w:hAnsi="宋体"/>
                <w:color w:val="auto"/>
                <w:szCs w:val="21"/>
                <w:highlight w:val="none"/>
              </w:rPr>
              <w:t>分包供应商必须具备的资质：/。</w:t>
            </w:r>
          </w:p>
        </w:tc>
      </w:tr>
      <w:tr w14:paraId="3F881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2BCA3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72D241D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2C8EA4E7">
            <w:pPr>
              <w:pStyle w:val="19"/>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1.供应商为法人或者其他组织的提供其营业执照等证明文件扫描件（如营业执照或者事业单位法人证书或者执业许可证或者登记证书等）；（</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E576BDC">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交响应文件截止时间前半年内任意连续3个月的依法缴纳税收的凭据复印件；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D79EEFE">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交响应文件截止时间前半年内任意连续3个月的依法缴纳社会保障资金的缴费凭证（专用收据或者社会保险缴纳清单）复印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5D0DD221">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4.供应商财务状况报告（202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或202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年度财务报告复印件</w:t>
            </w:r>
            <w:r>
              <w:rPr>
                <w:rFonts w:ascii="宋体" w:cs="宋体"/>
                <w:color w:val="auto"/>
                <w:szCs w:val="21"/>
                <w:highlight w:val="none"/>
              </w:rPr>
              <w:t>【包括资产负债表、利润表、现金流量表】</w:t>
            </w:r>
            <w:r>
              <w:rPr>
                <w:rFonts w:hint="eastAsia" w:ascii="宋体" w:hAnsi="宋体" w:cs="宋体"/>
                <w:color w:val="auto"/>
                <w:szCs w:val="21"/>
                <w:highlight w:val="none"/>
              </w:rPr>
              <w:t>，或者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，否则响应文件按无效处理</w:t>
            </w:r>
            <w:r>
              <w:rPr>
                <w:rFonts w:hint="eastAsia" w:ascii="宋体" w:hAnsi="宋体" w:cs="宋体"/>
                <w:bCs/>
                <w:color w:val="auto"/>
                <w:szCs w:val="21"/>
                <w:highlight w:val="none"/>
              </w:rPr>
              <w:t>）</w:t>
            </w:r>
          </w:p>
          <w:p w14:paraId="70514B47">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5.供应商直接控股、管理关系信息表（格式后附）；（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747905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D312881">
            <w:pPr>
              <w:snapToGrid w:val="0"/>
              <w:spacing w:line="360" w:lineRule="auto"/>
              <w:jc w:val="left"/>
              <w:rPr>
                <w:rFonts w:ascii="宋体" w:hAnsi="宋体" w:cs="宋体"/>
                <w:b/>
                <w:color w:val="auto"/>
                <w:szCs w:val="21"/>
                <w:highlight w:val="none"/>
              </w:rPr>
            </w:pPr>
            <w:r>
              <w:rPr>
                <w:rFonts w:hint="eastAsia" w:ascii="宋体" w:hAnsi="宋体"/>
                <w:color w:val="auto"/>
                <w:szCs w:val="21"/>
                <w:highlight w:val="none"/>
                <w:lang w:val="en-US" w:eastAsia="zh-CN"/>
              </w:rPr>
              <w:t>7.</w:t>
            </w:r>
            <w:r>
              <w:rPr>
                <w:rFonts w:hint="eastAsia" w:ascii="宋体" w:hAnsi="宋体" w:cs="宋体"/>
                <w:b/>
                <w:color w:val="auto"/>
                <w:szCs w:val="21"/>
                <w:highlight w:val="none"/>
              </w:rPr>
              <w:t>特定</w:t>
            </w:r>
            <w:r>
              <w:rPr>
                <w:rFonts w:ascii="宋体" w:hAnsi="宋体" w:cs="宋体"/>
                <w:b/>
                <w:color w:val="auto"/>
                <w:szCs w:val="21"/>
                <w:highlight w:val="none"/>
              </w:rPr>
              <w:t>资格</w:t>
            </w:r>
            <w:r>
              <w:rPr>
                <w:rFonts w:hint="eastAsia" w:ascii="宋体" w:hAnsi="宋体" w:cs="宋体"/>
                <w:b/>
                <w:color w:val="auto"/>
                <w:szCs w:val="21"/>
                <w:highlight w:val="none"/>
              </w:rPr>
              <w:t>要求</w:t>
            </w:r>
            <w:r>
              <w:rPr>
                <w:rFonts w:ascii="宋体" w:hAnsi="宋体" w:cs="宋体"/>
                <w:b/>
                <w:color w:val="auto"/>
                <w:szCs w:val="21"/>
                <w:highlight w:val="none"/>
              </w:rPr>
              <w:t>：</w:t>
            </w:r>
            <w:r>
              <w:rPr>
                <w:rFonts w:hint="eastAsia" w:ascii="宋体" w:hAnsi="宋体"/>
                <w:b/>
                <w:color w:val="auto"/>
                <w:szCs w:val="21"/>
                <w:highlight w:val="none"/>
              </w:rPr>
              <w:t>【必须提供，否则响应文件按无效处理】</w:t>
            </w:r>
          </w:p>
          <w:p w14:paraId="2C2447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（1）供应商须</w:t>
            </w:r>
            <w:r>
              <w:rPr>
                <w:rFonts w:hint="eastAsia" w:ascii="宋体" w:hAnsi="宋体"/>
                <w:color w:val="auto"/>
                <w:szCs w:val="21"/>
                <w:highlight w:val="none"/>
                <w:lang w:val="en-US" w:eastAsia="zh-CN"/>
              </w:rPr>
              <w:t>具备钢结构工程专业承包三级（含）以上资质</w:t>
            </w:r>
            <w:r>
              <w:rPr>
                <w:rFonts w:hint="eastAsia"/>
                <w:color w:val="auto"/>
                <w:highlight w:val="none"/>
              </w:rPr>
              <w:t>，</w:t>
            </w:r>
            <w:r>
              <w:rPr>
                <w:rFonts w:hint="eastAsia"/>
                <w:color w:val="auto"/>
                <w:highlight w:val="none"/>
                <w:lang w:val="en-US" w:eastAsia="zh-CN"/>
              </w:rPr>
              <w:t>并</w:t>
            </w:r>
            <w:r>
              <w:rPr>
                <w:rFonts w:hint="eastAsia"/>
                <w:color w:val="auto"/>
                <w:highlight w:val="none"/>
              </w:rPr>
              <w:t>具备有效的安全生产许可证</w:t>
            </w:r>
            <w:r>
              <w:rPr>
                <w:rFonts w:hint="eastAsia" w:ascii="宋体" w:hAnsi="宋体"/>
                <w:color w:val="auto"/>
                <w:szCs w:val="21"/>
                <w:highlight w:val="none"/>
              </w:rPr>
              <w:t>；</w:t>
            </w:r>
          </w:p>
          <w:p w14:paraId="1742D9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供应商拟派的项目经理须具备建筑工程专业贰级(含)以上注册建造师执业资格并具备有效的安全生产考核证书（B）类，且不得同时担任其他在建建设工程项目的项目经理；</w:t>
            </w:r>
          </w:p>
          <w:p w14:paraId="19BAEB99">
            <w:pPr>
              <w:pStyle w:val="2"/>
              <w:ind w:left="0" w:leftChars="0"/>
              <w:rPr>
                <w:rFonts w:hint="eastAsia" w:eastAsia="宋体"/>
                <w:color w:val="auto"/>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）供应商拟派专职安全生产管理人员应具备有效的安全生产考核合格证书（C类），且</w:t>
            </w:r>
            <w:r>
              <w:rPr>
                <w:rFonts w:hint="eastAsia" w:ascii="宋体" w:hAnsi="宋体"/>
                <w:color w:val="auto"/>
                <w:szCs w:val="21"/>
                <w:highlight w:val="none"/>
                <w:lang w:val="en-US" w:eastAsia="zh-CN"/>
              </w:rPr>
              <w:t>人数</w:t>
            </w:r>
            <w:r>
              <w:rPr>
                <w:rFonts w:hint="eastAsia" w:ascii="宋体" w:hAnsi="宋体"/>
                <w:color w:val="auto"/>
                <w:szCs w:val="21"/>
                <w:highlight w:val="none"/>
                <w:lang w:eastAsia="zh-CN"/>
              </w:rPr>
              <w:t>不少于1人。</w:t>
            </w:r>
          </w:p>
          <w:p w14:paraId="6D12E2F0">
            <w:pPr>
              <w:snapToGrid w:val="0"/>
              <w:spacing w:line="360" w:lineRule="auto"/>
              <w:jc w:val="left"/>
              <w:rPr>
                <w:rFonts w:ascii="宋体" w:hAnsi="宋体" w:cs="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s="宋体"/>
                <w:color w:val="auto"/>
                <w:szCs w:val="21"/>
                <w:highlight w:val="none"/>
              </w:rPr>
              <w:t>除磋商文件规定必须提供以外，供应商认为需要提供的其他证明材料；</w:t>
            </w:r>
          </w:p>
          <w:p w14:paraId="568601C7">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注：1.以上标明“必须提供”的材料属于扫描件的，必须加盖供应商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0DADD3E3">
            <w:pPr>
              <w:pStyle w:val="19"/>
              <w:numPr>
                <w:ilvl w:val="0"/>
                <w:numId w:val="1"/>
              </w:num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联合体竞标时，第1-</w:t>
            </w:r>
            <w:r>
              <w:rPr>
                <w:rFonts w:hint="eastAsia" w:ascii="宋体" w:hAnsi="宋体" w:cs="宋体"/>
                <w:b/>
                <w:color w:val="auto"/>
                <w:szCs w:val="21"/>
                <w:highlight w:val="none"/>
                <w:lang w:val="en-US" w:eastAsia="zh-CN"/>
              </w:rPr>
              <w:t>8</w:t>
            </w:r>
            <w:r>
              <w:rPr>
                <w:rFonts w:hint="eastAsia" w:ascii="宋体" w:hAnsi="宋体" w:cs="宋体"/>
                <w:b/>
                <w:color w:val="auto"/>
                <w:szCs w:val="21"/>
                <w:highlight w:val="none"/>
              </w:rPr>
              <w:t>项资格证明文件联合体各方均必须分别提供，</w:t>
            </w:r>
            <w:r>
              <w:rPr>
                <w:rFonts w:hint="eastAsia"/>
                <w:b/>
                <w:color w:val="auto"/>
                <w:highlight w:val="none"/>
              </w:rPr>
              <w:t>并由</w:t>
            </w:r>
            <w:r>
              <w:rPr>
                <w:rFonts w:hint="eastAsia" w:ascii="宋体" w:hAnsi="宋体" w:cs="宋体"/>
                <w:b/>
                <w:color w:val="auto"/>
                <w:szCs w:val="21"/>
                <w:highlight w:val="none"/>
              </w:rPr>
              <w:t>联合体</w:t>
            </w:r>
            <w:r>
              <w:rPr>
                <w:rFonts w:hint="eastAsia"/>
                <w:b/>
                <w:color w:val="auto"/>
                <w:highlight w:val="none"/>
              </w:rPr>
              <w:t>牵头人加盖电子签章</w:t>
            </w:r>
            <w:r>
              <w:rPr>
                <w:rFonts w:hint="eastAsia" w:ascii="宋体" w:hAnsi="宋体" w:cs="宋体"/>
                <w:b/>
                <w:color w:val="auto"/>
                <w:szCs w:val="21"/>
                <w:highlight w:val="none"/>
              </w:rPr>
              <w:t>，</w:t>
            </w:r>
            <w:r>
              <w:rPr>
                <w:rFonts w:hint="eastAsia"/>
                <w:b/>
                <w:color w:val="auto"/>
                <w:highlight w:val="none"/>
              </w:rPr>
              <w:t>规定签字</w:t>
            </w:r>
            <w:r>
              <w:rPr>
                <w:rFonts w:hint="eastAsia" w:ascii="宋体" w:hAnsi="宋体" w:cs="宋体"/>
                <w:b/>
                <w:color w:val="auto"/>
                <w:szCs w:val="21"/>
                <w:highlight w:val="none"/>
              </w:rPr>
              <w:t>处签字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p w14:paraId="08E4869A">
            <w:pPr>
              <w:pStyle w:val="19"/>
              <w:numPr>
                <w:ilvl w:val="0"/>
                <w:numId w:val="1"/>
              </w:numPr>
              <w:spacing w:line="360" w:lineRule="auto"/>
              <w:ind w:firstLine="422" w:firstLineChars="200"/>
              <w:rPr>
                <w:rFonts w:hint="eastAsia" w:ascii="宋体" w:hAnsi="宋体" w:cs="宋体"/>
                <w:b/>
                <w:color w:val="auto"/>
                <w:szCs w:val="21"/>
                <w:highlight w:val="none"/>
              </w:rPr>
            </w:pPr>
            <w:r>
              <w:rPr>
                <w:rFonts w:hint="eastAsia" w:asciiTheme="minorEastAsia" w:hAnsiTheme="minorEastAsia" w:eastAsiaTheme="minorEastAsia"/>
                <w:b/>
                <w:bCs/>
                <w:color w:val="auto"/>
                <w:szCs w:val="21"/>
                <w:highlight w:val="none"/>
              </w:rPr>
              <w:t>分公司参加竞标的，应当取得总公司授权；</w:t>
            </w:r>
          </w:p>
        </w:tc>
      </w:tr>
      <w:tr w14:paraId="098C5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CBDD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496A0375">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61EE78F8">
            <w:pPr>
              <w:spacing w:line="360" w:lineRule="auto"/>
              <w:rPr>
                <w:rFonts w:ascii="宋体" w:hAnsi="宋体" w:cs="宋体"/>
                <w:color w:val="auto"/>
                <w:szCs w:val="21"/>
                <w:highlight w:val="none"/>
              </w:rPr>
            </w:pPr>
            <w:r>
              <w:rPr>
                <w:rFonts w:hint="eastAsia" w:ascii="宋体" w:hAnsi="宋体" w:cs="宋体"/>
                <w:color w:val="auto"/>
                <w:szCs w:val="21"/>
                <w:highlight w:val="none"/>
              </w:rPr>
              <w:t>1.竞标函及竞标函附录（格式后附）；（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957E7D6">
            <w:pPr>
              <w:spacing w:line="360" w:lineRule="auto"/>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1D1D2AE">
            <w:pPr>
              <w:spacing w:line="360" w:lineRule="auto"/>
              <w:rPr>
                <w:rFonts w:ascii="宋体" w:hAnsi="宋体" w:cs="宋体"/>
                <w:color w:val="auto"/>
                <w:szCs w:val="21"/>
                <w:highlight w:val="none"/>
              </w:rPr>
            </w:pPr>
            <w:r>
              <w:rPr>
                <w:rFonts w:hint="eastAsia" w:ascii="宋体" w:hAnsi="宋体" w:cs="宋体"/>
                <w:color w:val="auto"/>
                <w:szCs w:val="21"/>
                <w:highlight w:val="none"/>
              </w:rPr>
              <w:t>3.已标价工程量清单；（</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2C20D7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供应商《中小企业声明函》或《残疾人福利性单位声明函》或监狱企业证明（由省级以上监狱管理局、戒毒管理局（含新疆生产建设兵团）出具的属于监狱企业的证明文件）；</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如有，请提供</w:t>
            </w:r>
            <w:r>
              <w:rPr>
                <w:rFonts w:hint="eastAsia" w:ascii="宋体" w:hAnsi="宋体" w:cs="宋体"/>
                <w:b/>
                <w:bCs/>
                <w:color w:val="auto"/>
                <w:szCs w:val="21"/>
                <w:highlight w:val="none"/>
              </w:rPr>
              <w:t>）</w:t>
            </w:r>
          </w:p>
          <w:p w14:paraId="1129FE24">
            <w:pPr>
              <w:spacing w:line="360" w:lineRule="auto"/>
              <w:rPr>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.供应商认为需要提供的其他有关资料。</w:t>
            </w:r>
          </w:p>
        </w:tc>
      </w:tr>
      <w:tr w14:paraId="1EAE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96457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41FEEC01">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353AFFD6">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64567D6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2.法定代表人身份证明书及法定代表人有效身份证正反面扫描件（格式后附）；（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96C9CB7">
            <w:pPr>
              <w:spacing w:line="360" w:lineRule="auto"/>
              <w:rPr>
                <w:rFonts w:ascii="宋体" w:hAnsi="宋体" w:cs="宋体"/>
                <w:b/>
                <w:color w:val="auto"/>
                <w:szCs w:val="21"/>
                <w:highlight w:val="none"/>
              </w:rPr>
            </w:pPr>
            <w:r>
              <w:rPr>
                <w:rFonts w:hint="eastAsia" w:ascii="宋体" w:hAnsi="宋体" w:cs="宋体"/>
                <w:color w:val="auto"/>
                <w:szCs w:val="21"/>
                <w:highlight w:val="none"/>
              </w:rPr>
              <w:t>3.授权委托书及委托代理人有效身份证正反面扫描件（格式后附）；（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AA85338">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b/>
                <w:bCs/>
                <w:color w:val="auto"/>
                <w:highlight w:val="none"/>
              </w:rPr>
              <w:t>如要求提交磋商保证金的则必须提供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12A36180">
            <w:pPr>
              <w:spacing w:line="360" w:lineRule="auto"/>
              <w:rPr>
                <w:rFonts w:ascii="宋体" w:hAnsi="宋体" w:cs="宋体"/>
                <w:color w:val="auto"/>
                <w:szCs w:val="21"/>
                <w:highlight w:val="none"/>
              </w:rPr>
            </w:pPr>
            <w:r>
              <w:rPr>
                <w:rFonts w:hint="eastAsia" w:ascii="宋体" w:hAnsi="宋体" w:cs="宋体"/>
                <w:color w:val="auto"/>
                <w:szCs w:val="21"/>
                <w:highlight w:val="none"/>
              </w:rPr>
              <w:t>5.施工组织设计（格式自拟）；（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0B5B16A">
            <w:pPr>
              <w:spacing w:line="360" w:lineRule="auto"/>
              <w:rPr>
                <w:rFonts w:ascii="宋体" w:hAnsi="宋体" w:cs="宋体"/>
                <w:color w:val="auto"/>
                <w:szCs w:val="21"/>
                <w:highlight w:val="none"/>
              </w:rPr>
            </w:pPr>
            <w:r>
              <w:rPr>
                <w:rFonts w:hint="eastAsia" w:ascii="宋体" w:hAnsi="宋体" w:cs="宋体"/>
                <w:color w:val="auto"/>
                <w:szCs w:val="21"/>
                <w:highlight w:val="none"/>
              </w:rPr>
              <w:t>6.项目管理机构配备情况表及主要人员简历表（格式后附）；（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7820A29D">
            <w:pPr>
              <w:spacing w:line="360" w:lineRule="auto"/>
              <w:rPr>
                <w:rFonts w:ascii="宋体" w:hAnsi="宋体" w:cs="宋体"/>
                <w:color w:val="auto"/>
                <w:szCs w:val="21"/>
                <w:highlight w:val="none"/>
              </w:rPr>
            </w:pPr>
            <w:r>
              <w:rPr>
                <w:rFonts w:hint="eastAsia" w:ascii="宋体" w:hAnsi="宋体" w:cs="宋体"/>
                <w:color w:val="auto"/>
                <w:szCs w:val="21"/>
                <w:highlight w:val="none"/>
              </w:rPr>
              <w:t>7.拟分包项目情况表（格式后附）；（如有）</w:t>
            </w:r>
          </w:p>
          <w:p w14:paraId="7EFD9E98">
            <w:pPr>
              <w:spacing w:line="360" w:lineRule="auto"/>
              <w:rPr>
                <w:rFonts w:ascii="宋体" w:hAnsi="宋体" w:cs="宋体"/>
                <w:color w:val="auto"/>
                <w:szCs w:val="21"/>
                <w:highlight w:val="none"/>
              </w:rPr>
            </w:pPr>
            <w:r>
              <w:rPr>
                <w:rFonts w:hint="eastAsia" w:ascii="宋体" w:hAnsi="宋体" w:cs="宋体"/>
                <w:color w:val="auto"/>
                <w:szCs w:val="21"/>
                <w:highlight w:val="none"/>
              </w:rPr>
              <w:t>8.供应商认为需要提供的其他有关资料。</w:t>
            </w:r>
          </w:p>
          <w:p w14:paraId="4110631C">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注：以上标明“必须提供”的材料属于扫描件的，必须加盖供应商电子签章，否则响应文件按无效处理。</w:t>
            </w:r>
          </w:p>
        </w:tc>
      </w:tr>
      <w:tr w14:paraId="13FEE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404A8F">
            <w:pPr>
              <w:spacing w:line="360" w:lineRule="auto"/>
              <w:jc w:val="center"/>
              <w:rPr>
                <w:rFonts w:ascii="宋体" w:hAnsi="宋体" w:cs="宋体"/>
                <w:color w:val="auto"/>
                <w:szCs w:val="21"/>
                <w:highlight w:val="none"/>
              </w:rPr>
            </w:pPr>
            <w:bookmarkStart w:id="962" w:name="_GoBack" w:colFirst="0" w:colLast="1"/>
            <w:r>
              <w:rPr>
                <w:rFonts w:hint="eastAsia" w:ascii="宋体" w:hAnsi="宋体" w:cs="宋体"/>
                <w:color w:val="auto"/>
                <w:szCs w:val="21"/>
                <w:highlight w:val="none"/>
              </w:rPr>
              <w:t>15.1</w:t>
            </w:r>
          </w:p>
        </w:tc>
        <w:tc>
          <w:tcPr>
            <w:tcW w:w="7912" w:type="dxa"/>
            <w:vAlign w:val="center"/>
          </w:tcPr>
          <w:p w14:paraId="4499C6A1">
            <w:pPr>
              <w:spacing w:line="360" w:lineRule="auto"/>
              <w:contextualSpacing/>
              <w:jc w:val="left"/>
              <w:rPr>
                <w:rFonts w:ascii="宋体" w:hAnsi="宋体"/>
                <w:color w:val="auto"/>
                <w:szCs w:val="21"/>
                <w:highlight w:val="none"/>
              </w:rPr>
            </w:pPr>
            <w:r>
              <w:rPr>
                <w:rFonts w:hint="eastAsia" w:ascii="宋体" w:hAnsi="宋体"/>
                <w:color w:val="auto"/>
                <w:szCs w:val="21"/>
                <w:highlight w:val="none"/>
              </w:rPr>
              <w:t>竞标报价应按磋商文件中“竞标报价表”及“已标价工程量清单”格式填写。</w:t>
            </w:r>
          </w:p>
        </w:tc>
      </w:tr>
      <w:tr w14:paraId="2E716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4F4E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2E0602DB">
            <w:pPr>
              <w:spacing w:line="360" w:lineRule="auto"/>
              <w:contextualSpacing/>
              <w:jc w:val="left"/>
              <w:rPr>
                <w:rFonts w:ascii="宋体" w:hAnsi="宋体" w:cs="宋体"/>
                <w:color w:val="auto"/>
                <w:szCs w:val="21"/>
                <w:highlight w:val="none"/>
              </w:rPr>
            </w:pPr>
            <w:r>
              <w:rPr>
                <w:rFonts w:hint="eastAsia" w:ascii="宋体" w:hAnsi="宋体"/>
                <w:color w:val="auto"/>
                <w:szCs w:val="21"/>
                <w:highlight w:val="none"/>
              </w:rPr>
              <w:t>竞标报价是履行合同的最终价格，包括了</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p>
        </w:tc>
      </w:tr>
      <w:tr w14:paraId="71E0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2B2B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15.3</w:t>
            </w:r>
          </w:p>
        </w:tc>
        <w:tc>
          <w:tcPr>
            <w:tcW w:w="7912" w:type="dxa"/>
            <w:vAlign w:val="center"/>
          </w:tcPr>
          <w:p w14:paraId="2C3005BD">
            <w:pPr>
              <w:spacing w:line="360" w:lineRule="auto"/>
              <w:contextualSpacing/>
              <w:jc w:val="left"/>
              <w:rPr>
                <w:rFonts w:ascii="宋体" w:hAnsi="宋体"/>
                <w:color w:val="auto"/>
                <w:szCs w:val="21"/>
                <w:highlight w:val="none"/>
              </w:rPr>
            </w:pPr>
            <w:r>
              <w:rPr>
                <w:rFonts w:hint="eastAsia" w:cs="宋体"/>
                <w:color w:val="auto"/>
                <w:highlight w:val="none"/>
              </w:rPr>
              <w:t>本工程增值税计税方法：</w:t>
            </w:r>
            <w:r>
              <w:rPr>
                <w:rFonts w:ascii="仿宋_GB2312" w:hAnsi="仿宋" w:eastAsia="仿宋_GB2312"/>
                <w:color w:val="auto"/>
                <w:szCs w:val="21"/>
                <w:highlight w:val="none"/>
              </w:rPr>
              <w:sym w:font="Wingdings 2" w:char="F052"/>
            </w:r>
            <w:r>
              <w:rPr>
                <w:rFonts w:hint="eastAsia" w:cs="宋体"/>
                <w:color w:val="auto"/>
                <w:highlight w:val="none"/>
              </w:rPr>
              <w:t>一般计税法；□简易计税法</w:t>
            </w:r>
          </w:p>
        </w:tc>
      </w:tr>
      <w:tr w14:paraId="4A10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822E3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693B3857">
            <w:pPr>
              <w:pStyle w:val="1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60</w:t>
            </w:r>
            <w:r>
              <w:rPr>
                <w:rFonts w:hint="eastAsia" w:ascii="宋体" w:hAnsi="宋体" w:cs="宋体"/>
                <w:color w:val="auto"/>
                <w:kern w:val="2"/>
                <w:sz w:val="21"/>
                <w:szCs w:val="21"/>
                <w:highlight w:val="none"/>
              </w:rPr>
              <w:t>日。</w:t>
            </w:r>
          </w:p>
        </w:tc>
      </w:tr>
      <w:tr w14:paraId="2842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30E4B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3F19CB63">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p w14:paraId="61F38883">
            <w:pPr>
              <w:snapToGrid w:val="0"/>
              <w:spacing w:line="360" w:lineRule="auto"/>
              <w:rPr>
                <w:rFonts w:ascii="宋体" w:hAnsi="宋体"/>
                <w:color w:val="auto"/>
                <w:szCs w:val="21"/>
                <w:highlight w:val="none"/>
              </w:rPr>
            </w:pPr>
            <w:r>
              <w:rPr>
                <w:rFonts w:ascii="仿宋_GB2312" w:hAnsi="仿宋" w:eastAsia="仿宋_GB2312"/>
                <w:color w:val="auto"/>
                <w:szCs w:val="21"/>
                <w:highlight w:val="none"/>
              </w:rPr>
              <w:sym w:font="Wingdings 2" w:char="F052"/>
            </w:r>
            <w:r>
              <w:rPr>
                <w:rFonts w:hint="eastAsia" w:ascii="宋体" w:hAnsi="宋体"/>
                <w:color w:val="auto"/>
                <w:szCs w:val="21"/>
                <w:highlight w:val="none"/>
              </w:rPr>
              <w:t>本项目收取磋商保证金，具体规定如下：</w:t>
            </w:r>
          </w:p>
          <w:p w14:paraId="0116C28E">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人民币</w:t>
            </w:r>
            <w:r>
              <w:rPr>
                <w:rFonts w:hint="eastAsia" w:ascii="宋体" w:hAnsi="宋体" w:cs="宋体"/>
                <w:color w:val="auto"/>
                <w:kern w:val="0"/>
                <w:szCs w:val="21"/>
                <w:highlight w:val="none"/>
                <w:lang w:eastAsia="zh-CN"/>
              </w:rPr>
              <w:t>）</w:t>
            </w:r>
            <w:r>
              <w:rPr>
                <w:rFonts w:hint="eastAsia" w:ascii="宋体" w:hAnsi="宋体"/>
                <w:color w:val="auto"/>
                <w:szCs w:val="21"/>
                <w:highlight w:val="none"/>
                <w:lang w:val="en-US" w:eastAsia="zh-CN"/>
              </w:rPr>
              <w:t>13000.00元（大写：壹万叁仟元整）</w:t>
            </w:r>
          </w:p>
          <w:p w14:paraId="73EAC194">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磋商保证金的交纳方式：银行转账、支票、汇票、本票或者银行、保险机构出具的保函，禁止采用现钞方式。采用银行转账方式的，在响应文件提交截止时间前交至指定账户并且到账【开户银行：</w:t>
            </w:r>
            <w:r>
              <w:rPr>
                <w:rFonts w:hint="eastAsia" w:ascii="宋体" w:hAnsi="宋体" w:cs="宋体"/>
                <w:color w:val="auto"/>
                <w:kern w:val="0"/>
                <w:szCs w:val="21"/>
                <w:highlight w:val="none"/>
                <w:lang w:eastAsia="zh-CN"/>
              </w:rPr>
              <w:t>建设银行南宁市民族大道东支行</w:t>
            </w:r>
            <w:r>
              <w:rPr>
                <w:rFonts w:hint="eastAsia" w:ascii="宋体" w:hAnsi="宋体" w:cs="宋体"/>
                <w:color w:val="auto"/>
                <w:kern w:val="0"/>
                <w:szCs w:val="21"/>
                <w:highlight w:val="none"/>
              </w:rPr>
              <w:t>，开户名称：广西城建咨询设计有限公司，银行账号：4500 1604 6530 5070 3663】；采用支票、汇票、本票或者保函等方式的，在响应文件提交截止时间前，供应商必须提交单独密封的支票、汇票、本票或者保函原件。</w:t>
            </w:r>
            <w:r>
              <w:rPr>
                <w:rFonts w:hint="eastAsia" w:ascii="宋体" w:hAnsi="宋体" w:cs="宋体"/>
                <w:b/>
                <w:color w:val="auto"/>
                <w:kern w:val="0"/>
                <w:szCs w:val="21"/>
                <w:highlight w:val="none"/>
              </w:rPr>
              <w:t>否则视为无效磋商保证金。</w:t>
            </w:r>
          </w:p>
          <w:p w14:paraId="25038CA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相关要求：</w:t>
            </w:r>
          </w:p>
          <w:p w14:paraId="6CA861A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1.磋商保证金采用银行转账交纳方式的，在响应文件提交截止时间前交至指定账户并且到账，供应商应将银行转账底单的扫描件作为磋商保证金提交凭证，放置于商务技术文件中，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0456EA7C">
            <w:pPr>
              <w:snapToGrid w:val="0"/>
              <w:spacing w:line="360" w:lineRule="auto"/>
              <w:rPr>
                <w:rFonts w:ascii="宋体" w:hAnsi="宋体"/>
                <w:color w:val="auto"/>
                <w:szCs w:val="21"/>
                <w:highlight w:val="none"/>
              </w:rPr>
            </w:pPr>
            <w:r>
              <w:rPr>
                <w:rFonts w:hint="eastAsia" w:ascii="宋体" w:hAnsi="宋体"/>
                <w:color w:val="auto"/>
                <w:szCs w:val="21"/>
                <w:highlight w:val="none"/>
              </w:rPr>
              <w:t>2.磋商保证金采用支票、汇票、本票或者银行、保险机构出具的保函交纳方式的，供应商应将支票、汇票、本票或者银行、保险机构出具的保函的扫描件作为磋商保证金提交凭证，放置于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w:t>
            </w:r>
            <w:r>
              <w:rPr>
                <w:rFonts w:hint="eastAsia"/>
                <w:color w:val="auto"/>
                <w:highlight w:val="none"/>
                <w:u w:val="single"/>
                <w:lang w:eastAsia="zh-CN"/>
              </w:rPr>
              <w:t>南宁市青秀区金湖路58号广西建设大厦三楼</w:t>
            </w:r>
            <w:r>
              <w:rPr>
                <w:rFonts w:hint="eastAsia"/>
                <w:color w:val="auto"/>
                <w:highlight w:val="none"/>
              </w:rPr>
              <w:t>；邮寄地址：</w:t>
            </w:r>
            <w:r>
              <w:rPr>
                <w:rFonts w:hint="eastAsia" w:ascii="宋体" w:hAnsi="宋体"/>
                <w:bCs/>
                <w:color w:val="auto"/>
                <w:szCs w:val="21"/>
                <w:highlight w:val="none"/>
                <w:u w:val="single"/>
                <w:lang w:eastAsia="zh-CN"/>
              </w:rPr>
              <w:t>南宁市青秀区金湖路58号广西建设大厦三楼</w:t>
            </w:r>
            <w:r>
              <w:rPr>
                <w:rFonts w:hint="eastAsia"/>
                <w:color w:val="auto"/>
                <w:highlight w:val="none"/>
              </w:rPr>
              <w:t>，收件人：</w:t>
            </w:r>
            <w:r>
              <w:rPr>
                <w:rFonts w:hint="eastAsia"/>
                <w:color w:val="auto"/>
                <w:highlight w:val="none"/>
                <w:u w:val="single"/>
                <w:lang w:eastAsia="zh-CN"/>
              </w:rPr>
              <w:t>廖启迪、凌良基</w:t>
            </w:r>
            <w:r>
              <w:rPr>
                <w:rFonts w:hint="eastAsia"/>
                <w:color w:val="auto"/>
                <w:highlight w:val="none"/>
              </w:rPr>
              <w:t>，联系方式：</w:t>
            </w:r>
            <w:r>
              <w:rPr>
                <w:rFonts w:hint="eastAsia"/>
                <w:color w:val="auto"/>
                <w:highlight w:val="none"/>
                <w:u w:val="single"/>
                <w:lang w:eastAsia="zh-CN"/>
              </w:rPr>
              <w:t>0771-4352069</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2F98848A">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3.供应商为联合体的，可以由联合体中的一方或者多方共同交纳磋商保证金，其交纳的保证金对联合体各方均具有约束力。</w:t>
            </w:r>
          </w:p>
          <w:p w14:paraId="39137022">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1464767D">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1.磋商保证金在响应文件提交截止时间后提交的，或者不按规定交纳方式交纳的，或者未足额交纳的（包含保函额度不足的），视为无效磋商保证金。</w:t>
            </w:r>
          </w:p>
          <w:p w14:paraId="65EAD0EE">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2.供应商采用现钞方式或者从个人账户转出的磋商保证金，视为无效磋商保证金。</w:t>
            </w:r>
          </w:p>
          <w:p w14:paraId="500F04A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35B7CB4E">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314E2273">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5.采用银行、保险机构出具保函的，必须为无条件保函，否则视为无效磋商保证金。</w:t>
            </w:r>
          </w:p>
        </w:tc>
      </w:tr>
      <w:bookmarkEnd w:id="962"/>
      <w:tr w14:paraId="78DD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A5F2F4">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vAlign w:val="center"/>
          </w:tcPr>
          <w:p w14:paraId="04583F01">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0E23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AF8025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19B1A677">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71626EA8">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0D427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96179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4FD77BBB">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ascii="宋体" w:hAnsi="宋体" w:cs="宋体"/>
                <w:color w:val="auto"/>
                <w:szCs w:val="21"/>
                <w:highlight w:val="none"/>
                <w:u w:val="single"/>
              </w:rPr>
              <w:t>3</w:t>
            </w:r>
            <w:r>
              <w:rPr>
                <w:rFonts w:hint="eastAsia" w:ascii="宋体" w:hAnsi="宋体" w:cs="宋体"/>
                <w:color w:val="auto"/>
                <w:szCs w:val="21"/>
                <w:highlight w:val="none"/>
              </w:rPr>
              <w:t>人。</w:t>
            </w:r>
          </w:p>
        </w:tc>
      </w:tr>
      <w:tr w14:paraId="42B34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E85E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79D55D4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7DF3B9C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Ansi="宋体"/>
                <w:color w:val="auto"/>
                <w:highlight w:val="none"/>
                <w:u w:val="single"/>
              </w:rPr>
              <w:t>60</w:t>
            </w:r>
            <w:r>
              <w:rPr>
                <w:rFonts w:hint="eastAsia" w:hAnsi="宋体"/>
                <w:color w:val="auto"/>
                <w:highlight w:val="none"/>
              </w:rPr>
              <w:t>分钟</w:t>
            </w:r>
          </w:p>
        </w:tc>
      </w:tr>
      <w:tr w14:paraId="1A6FB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78FCDB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vAlign w:val="center"/>
          </w:tcPr>
          <w:p w14:paraId="2555FA6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6F2367B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tc>
      </w:tr>
      <w:tr w14:paraId="2FA3C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2A45A4">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6E53AFC6">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7D1D3303">
            <w:pPr>
              <w:autoSpaceDE w:val="0"/>
              <w:autoSpaceDN w:val="0"/>
              <w:snapToGrid w:val="0"/>
              <w:spacing w:line="360" w:lineRule="auto"/>
              <w:textAlignment w:val="bottom"/>
              <w:rPr>
                <w:rFonts w:ascii="宋体" w:hAnsi="宋体"/>
                <w:color w:val="auto"/>
                <w:szCs w:val="21"/>
                <w:highlight w:val="none"/>
              </w:rPr>
            </w:pPr>
            <w:r>
              <w:rPr>
                <w:rFonts w:ascii="仿宋_GB2312" w:hAnsi="仿宋" w:eastAsia="仿宋_GB2312"/>
                <w:color w:val="auto"/>
                <w:szCs w:val="21"/>
                <w:highlight w:val="none"/>
              </w:rPr>
              <w:sym w:font="Wingdings 2" w:char="F052"/>
            </w:r>
            <w:r>
              <w:rPr>
                <w:rFonts w:hint="eastAsia" w:ascii="宋体" w:hAnsi="宋体"/>
                <w:color w:val="auto"/>
                <w:szCs w:val="21"/>
                <w:highlight w:val="none"/>
              </w:rPr>
              <w:t>本项目收取履约保证金，具体规定如下：</w:t>
            </w:r>
          </w:p>
          <w:p w14:paraId="1FBEC9F2">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履约保证金金额：</w:t>
            </w:r>
            <w:r>
              <w:rPr>
                <w:rFonts w:hAnsi="宋体"/>
                <w:color w:val="auto"/>
                <w:szCs w:val="21"/>
                <w:highlight w:val="none"/>
                <w:u w:val="single"/>
              </w:rPr>
              <w:t>合同价款的</w:t>
            </w:r>
            <w:r>
              <w:rPr>
                <w:rFonts w:hint="eastAsia" w:hAnsi="宋体"/>
                <w:color w:val="auto"/>
                <w:szCs w:val="21"/>
                <w:highlight w:val="none"/>
                <w:u w:val="single"/>
              </w:rPr>
              <w:t>2</w:t>
            </w:r>
            <w:r>
              <w:rPr>
                <w:rFonts w:hAnsi="宋体"/>
                <w:color w:val="auto"/>
                <w:szCs w:val="21"/>
                <w:highlight w:val="none"/>
                <w:u w:val="single"/>
              </w:rPr>
              <w:t>%</w:t>
            </w:r>
            <w:r>
              <w:rPr>
                <w:rFonts w:hint="eastAsia" w:ascii="宋体" w:hAnsi="宋体" w:cs="宋体"/>
                <w:color w:val="auto"/>
                <w:szCs w:val="21"/>
                <w:highlight w:val="none"/>
              </w:rPr>
              <w:t>。</w:t>
            </w:r>
            <w:r>
              <w:rPr>
                <w:rFonts w:hint="eastAsia" w:ascii="宋体" w:hAnsi="宋体" w:cs="宋体"/>
                <w:b/>
                <w:i/>
                <w:color w:val="auto"/>
                <w:szCs w:val="21"/>
                <w:highlight w:val="none"/>
              </w:rPr>
              <w:t>（注：履约保证金不超过</w:t>
            </w:r>
            <w:r>
              <w:rPr>
                <w:rFonts w:hint="eastAsia"/>
                <w:b/>
                <w:i/>
                <w:color w:val="auto"/>
                <w:highlight w:val="none"/>
              </w:rPr>
              <w:t>政府采购合同金额的</w:t>
            </w:r>
            <w:r>
              <w:rPr>
                <w:rFonts w:ascii="宋体" w:hAnsi="宋体" w:cs="宋体"/>
                <w:b/>
                <w:i/>
                <w:color w:val="auto"/>
                <w:szCs w:val="21"/>
                <w:highlight w:val="none"/>
              </w:rPr>
              <w:t>5</w:t>
            </w:r>
            <w:r>
              <w:rPr>
                <w:rFonts w:hint="eastAsia" w:ascii="宋体" w:hAnsi="宋体" w:cs="宋体"/>
                <w:b/>
                <w:i/>
                <w:color w:val="auto"/>
                <w:szCs w:val="21"/>
                <w:highlight w:val="none"/>
              </w:rPr>
              <w:t>%，对中小企业收取的履约保证金数额不得超过政府采购合同金额的2%。采购人可根据供应商的资信等情况减免履约保证金。）</w:t>
            </w:r>
          </w:p>
          <w:p w14:paraId="6129AC80">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履约保证金提交方式：银行转账、支票、汇票、本票或者银行、保险机构出具的保函等非现金方式。</w:t>
            </w:r>
          </w:p>
          <w:p w14:paraId="1C5EE62C">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履约保证金退付方式、时间及条件：</w:t>
            </w:r>
            <w:r>
              <w:rPr>
                <w:rFonts w:hint="eastAsia" w:ascii="宋体" w:hAnsi="宋体" w:cs="宋体"/>
                <w:color w:val="auto"/>
                <w:szCs w:val="21"/>
                <w:highlight w:val="none"/>
                <w:u w:val="single"/>
              </w:rPr>
              <w:t>工程竣工验收合格并对验收发现的问题完成整改</w:t>
            </w:r>
            <w:r>
              <w:rPr>
                <w:rFonts w:hint="eastAsia" w:ascii="宋体" w:hAnsi="宋体" w:cs="宋体"/>
                <w:color w:val="auto"/>
                <w:szCs w:val="21"/>
                <w:highlight w:val="none"/>
                <w:u w:val="single"/>
                <w:lang w:eastAsia="zh-CN"/>
              </w:rPr>
              <w:t>，且</w:t>
            </w:r>
            <w:r>
              <w:rPr>
                <w:rFonts w:hint="eastAsia" w:ascii="宋体" w:hAnsi="宋体" w:cs="宋体"/>
                <w:color w:val="auto"/>
                <w:szCs w:val="21"/>
                <w:highlight w:val="none"/>
                <w:u w:val="single"/>
              </w:rPr>
              <w:t>承包人向发包人完成（施工）竣工资料移交手续后，可向发包人申请退还履约保证金，发包人应在收到申请之日起28个日历天内扣减承包人赔偿金和其他应从承包人扣回的款项后，将履约保证金退还给承包人</w:t>
            </w:r>
            <w:r>
              <w:rPr>
                <w:rFonts w:hint="eastAsia" w:ascii="宋体" w:hAnsi="宋体" w:cs="宋体"/>
                <w:color w:val="auto"/>
                <w:szCs w:val="21"/>
                <w:highlight w:val="none"/>
              </w:rPr>
              <w:t>。</w:t>
            </w:r>
          </w:p>
          <w:p w14:paraId="277DF729">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如：由成交供应商向履约保证金收取单位提供《广西壮族自治区政府采购项目合同验收书》（详见桂财采〔2015〕22号），保证金收取单位在收到合格材料后5个工作日内办理退还手续（不计利息）。</w:t>
            </w:r>
          </w:p>
          <w:p w14:paraId="2B54A6E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履约保证金指定账户：</w:t>
            </w:r>
          </w:p>
          <w:p w14:paraId="203A20B3">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开户名称：中国共产党广西壮族自治区委员会党校</w:t>
            </w:r>
          </w:p>
          <w:p w14:paraId="17B63115">
            <w:pPr>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开户银行：建行南宁市柳沙半岛支行</w:t>
            </w:r>
          </w:p>
          <w:p w14:paraId="323BFEE9">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银行账号：4500 1604 2540 5050 3711</w:t>
            </w:r>
          </w:p>
          <w:p w14:paraId="6D87EBBA">
            <w:pPr>
              <w:spacing w:line="360" w:lineRule="auto"/>
              <w:contextualSpacing/>
              <w:rPr>
                <w:rFonts w:ascii="宋体" w:hAnsi="宋体" w:cs="宋体"/>
                <w:b/>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w:t>
            </w:r>
            <w:r>
              <w:rPr>
                <w:rFonts w:ascii="宋体" w:hAnsi="宋体" w:cs="宋体"/>
                <w:b/>
                <w:color w:val="auto"/>
                <w:szCs w:val="21"/>
                <w:highlight w:val="none"/>
              </w:rPr>
              <w:t>.</w:t>
            </w:r>
            <w:bookmarkStart w:id="60" w:name="_Hlk54170335"/>
            <w:r>
              <w:rPr>
                <w:rFonts w:hint="eastAsia" w:ascii="宋体" w:hAnsi="宋体"/>
                <w:b/>
                <w:color w:val="auto"/>
                <w:szCs w:val="21"/>
                <w:highlight w:val="none"/>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60"/>
          </w:p>
          <w:p w14:paraId="11787B27">
            <w:pPr>
              <w:spacing w:line="360" w:lineRule="auto"/>
              <w:contextualSpacing/>
              <w:rPr>
                <w:rFonts w:ascii="宋体" w:hAnsi="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履约保证金不足额缴纳的，或者银行、保险机构出具的保函额度不足的或者保函有效期低于合同履行期限（即签订采购合同之日起至履行完合同约定的权利及义务之日</w:t>
            </w:r>
            <w:r>
              <w:rPr>
                <w:rFonts w:hint="eastAsia" w:ascii="宋体" w:hAnsi="宋体"/>
                <w:b/>
                <w:color w:val="auto"/>
                <w:szCs w:val="21"/>
                <w:highlight w:val="none"/>
              </w:rPr>
              <w:t>止）的，不予签订合同。</w:t>
            </w:r>
            <w:r>
              <w:rPr>
                <w:rFonts w:hint="eastAsia" w:ascii="宋体" w:hAnsi="宋体"/>
                <w:b/>
                <w:color w:val="auto"/>
                <w:szCs w:val="21"/>
                <w:highlight w:val="none"/>
              </w:rPr>
              <w:br w:type="textWrapping"/>
            </w:r>
            <w:r>
              <w:rPr>
                <w:rFonts w:ascii="宋体" w:hAnsi="宋体"/>
                <w:b/>
                <w:color w:val="auto"/>
                <w:szCs w:val="21"/>
                <w:highlight w:val="none"/>
              </w:rPr>
              <w:t>3.</w:t>
            </w:r>
            <w:r>
              <w:rPr>
                <w:rFonts w:hint="eastAsia" w:ascii="宋体" w:hAnsi="宋体"/>
                <w:b/>
                <w:color w:val="auto"/>
                <w:szCs w:val="21"/>
                <w:highlight w:val="none"/>
              </w:rPr>
              <w:t>采用银行、保险机构出具的保函的，必须为无条件保函，否则不予签订合同。</w:t>
            </w:r>
          </w:p>
          <w:p w14:paraId="0B729F9D">
            <w:pPr>
              <w:spacing w:line="360" w:lineRule="auto"/>
              <w:contextualSpacing/>
              <w:rPr>
                <w:rFonts w:ascii="宋体" w:hAnsi="宋体" w:cs="宋体"/>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供应商为联合体的，由联合体任意一方按规定提交的履约保证金，视为有效履约保证金。</w:t>
            </w:r>
          </w:p>
        </w:tc>
      </w:tr>
      <w:tr w14:paraId="60B8A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479DDE">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14:paraId="6E9237BE">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2728A47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0D204C81">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2C34D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F1F85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302A23E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接收质疑函方式：书面形式</w:t>
            </w:r>
          </w:p>
          <w:p w14:paraId="623228FC">
            <w:pPr>
              <w:pStyle w:val="26"/>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Courier New"/>
                <w:color w:val="auto"/>
                <w:kern w:val="2"/>
                <w:sz w:val="21"/>
                <w:highlight w:val="none"/>
                <w:lang w:eastAsia="zh-CN"/>
              </w:rPr>
              <w:t>广西城建咨询设计有限公司</w:t>
            </w:r>
            <w:r>
              <w:rPr>
                <w:rFonts w:hint="eastAsia" w:hAnsi="宋体" w:cs="Courier New"/>
                <w:color w:val="auto"/>
                <w:kern w:val="2"/>
                <w:sz w:val="21"/>
                <w:highlight w:val="none"/>
              </w:rPr>
              <w:t>，联系电话：</w:t>
            </w:r>
            <w:r>
              <w:rPr>
                <w:rFonts w:hint="eastAsia" w:hAnsi="宋体" w:cs="Courier New"/>
                <w:color w:val="auto"/>
                <w:kern w:val="2"/>
                <w:sz w:val="21"/>
                <w:highlight w:val="none"/>
                <w:lang w:eastAsia="zh-CN"/>
              </w:rPr>
              <w:t>0771-4352069</w:t>
            </w:r>
            <w:r>
              <w:rPr>
                <w:rFonts w:hint="eastAsia" w:hAnsi="宋体" w:cs="Courier New"/>
                <w:color w:val="auto"/>
                <w:kern w:val="2"/>
                <w:sz w:val="21"/>
                <w:highlight w:val="none"/>
              </w:rPr>
              <w:t>，通讯地址：</w:t>
            </w:r>
            <w:r>
              <w:rPr>
                <w:rFonts w:hint="eastAsia" w:hAnsi="宋体"/>
                <w:bCs/>
                <w:color w:val="auto"/>
                <w:sz w:val="21"/>
                <w:highlight w:val="none"/>
                <w:u w:val="single"/>
                <w:lang w:eastAsia="zh-CN"/>
              </w:rPr>
              <w:t>南宁市青秀区金湖路58号广西建设大厦三楼</w:t>
            </w:r>
            <w:r>
              <w:rPr>
                <w:rFonts w:hint="eastAsia" w:hAnsi="宋体"/>
                <w:bCs/>
                <w:color w:val="auto"/>
                <w:sz w:val="21"/>
                <w:highlight w:val="none"/>
              </w:rPr>
              <w:t>。</w:t>
            </w:r>
          </w:p>
          <w:p w14:paraId="05AF83B5">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kern w:val="0"/>
                <w:highlight w:val="none"/>
              </w:rPr>
              <w:t>业</w:t>
            </w:r>
            <w:r>
              <w:rPr>
                <w:rFonts w:hint="eastAsia" w:ascii="宋体" w:hAnsi="宋体" w:cs="宋体"/>
                <w:color w:val="auto"/>
                <w:kern w:val="0"/>
                <w:highlight w:val="none"/>
              </w:rPr>
              <w:t>务时间：工作日每天上午</w:t>
            </w:r>
            <w:r>
              <w:rPr>
                <w:rFonts w:ascii="宋体" w:hAnsi="宋体" w:cs="宋体"/>
                <w:color w:val="auto"/>
                <w:kern w:val="0"/>
                <w:highlight w:val="none"/>
              </w:rPr>
              <w:t>8</w:t>
            </w:r>
            <w:r>
              <w:rPr>
                <w:rFonts w:hint="eastAsia" w:ascii="宋体" w:hAnsi="宋体" w:cs="宋体"/>
                <w:color w:val="auto"/>
                <w:kern w:val="0"/>
                <w:highlight w:val="none"/>
              </w:rPr>
              <w:t>时</w:t>
            </w:r>
            <w:r>
              <w:rPr>
                <w:rFonts w:hint="eastAsia" w:ascii="宋体" w:hAnsi="宋体" w:cs="宋体"/>
                <w:color w:val="auto"/>
                <w:kern w:val="0"/>
                <w:highlight w:val="none"/>
                <w:lang w:val="en-US" w:eastAsia="zh-CN"/>
              </w:rPr>
              <w:t>3</w:t>
            </w:r>
            <w:r>
              <w:rPr>
                <w:rFonts w:ascii="宋体" w:hAnsi="宋体" w:cs="宋体"/>
                <w:color w:val="auto"/>
                <w:kern w:val="0"/>
                <w:highlight w:val="none"/>
              </w:rPr>
              <w:t>0</w:t>
            </w:r>
            <w:r>
              <w:rPr>
                <w:rFonts w:hint="eastAsia" w:ascii="宋体" w:hAnsi="宋体" w:cs="宋体"/>
                <w:color w:val="auto"/>
                <w:kern w:val="0"/>
                <w:highlight w:val="none"/>
              </w:rPr>
              <w:t>分到</w:t>
            </w:r>
            <w:r>
              <w:rPr>
                <w:rFonts w:ascii="宋体" w:hAnsi="宋体" w:cs="宋体"/>
                <w:color w:val="auto"/>
                <w:kern w:val="0"/>
                <w:highlight w:val="none"/>
              </w:rPr>
              <w:t>12</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分，下午</w:t>
            </w:r>
            <w:r>
              <w:rPr>
                <w:rFonts w:ascii="宋体" w:hAnsi="宋体" w:cs="宋体"/>
                <w:color w:val="auto"/>
                <w:kern w:val="0"/>
                <w:highlight w:val="none"/>
              </w:rPr>
              <w:t>3</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分到</w:t>
            </w:r>
            <w:r>
              <w:rPr>
                <w:rFonts w:ascii="宋体" w:hAnsi="宋体" w:cs="宋体"/>
                <w:color w:val="auto"/>
                <w:kern w:val="0"/>
                <w:highlight w:val="none"/>
              </w:rPr>
              <w:t>6</w:t>
            </w:r>
            <w:r>
              <w:rPr>
                <w:rFonts w:hint="eastAsia" w:ascii="宋体" w:hAnsi="宋体" w:cs="宋体"/>
                <w:color w:val="auto"/>
                <w:kern w:val="0"/>
                <w:highlight w:val="none"/>
              </w:rPr>
              <w:t>时</w:t>
            </w:r>
            <w:r>
              <w:rPr>
                <w:rFonts w:ascii="宋体" w:hAnsi="宋体" w:cs="宋体"/>
                <w:color w:val="auto"/>
                <w:kern w:val="0"/>
                <w:highlight w:val="none"/>
              </w:rPr>
              <w:t>00</w:t>
            </w:r>
            <w:r>
              <w:rPr>
                <w:rFonts w:hint="eastAsia" w:ascii="宋体" w:hAnsi="宋体" w:cs="宋体"/>
                <w:color w:val="auto"/>
                <w:kern w:val="0"/>
                <w:highlight w:val="none"/>
              </w:rPr>
              <w:t>分。</w:t>
            </w:r>
          </w:p>
        </w:tc>
      </w:tr>
      <w:tr w14:paraId="1A266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99E6AD6">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14:paraId="2221CABA">
            <w:pPr>
              <w:pStyle w:val="26"/>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59533E7C">
            <w:pPr>
              <w:pStyle w:val="26"/>
              <w:snapToGrid w:val="0"/>
              <w:spacing w:line="360" w:lineRule="auto"/>
              <w:rPr>
                <w:rFonts w:hAnsi="宋体" w:cs="宋体"/>
                <w:color w:val="auto"/>
                <w:sz w:val="21"/>
                <w:highlight w:val="none"/>
              </w:rPr>
            </w:pPr>
            <w:r>
              <w:rPr>
                <w:rFonts w:hint="eastAsia" w:hAnsi="宋体" w:cs="宋体"/>
                <w:color w:val="auto"/>
                <w:sz w:val="21"/>
                <w:highlight w:val="none"/>
              </w:rPr>
              <w:sym w:font="Wingdings 2" w:char="0052"/>
            </w: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71AED50E">
            <w:pPr>
              <w:pStyle w:val="26"/>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09D550CF">
            <w:pPr>
              <w:pStyle w:val="26"/>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73E34857">
            <w:pPr>
              <w:pStyle w:val="26"/>
              <w:snapToGrid w:val="0"/>
              <w:spacing w:line="360" w:lineRule="auto"/>
              <w:rPr>
                <w:rFonts w:hAnsi="宋体" w:cs="宋体"/>
                <w:color w:val="auto"/>
                <w:sz w:val="21"/>
                <w:highlight w:val="none"/>
              </w:rPr>
            </w:pPr>
            <w:r>
              <w:rPr>
                <w:rFonts w:hint="eastAsia" w:hAnsi="宋体" w:cs="宋体"/>
                <w:color w:val="auto"/>
                <w:sz w:val="21"/>
                <w:highlight w:val="none"/>
              </w:rPr>
              <w:t>以成交金额为计费额，按桂价费【2011】55号文收费标准收取。</w:t>
            </w:r>
          </w:p>
          <w:p w14:paraId="1771A184">
            <w:pPr>
              <w:pStyle w:val="26"/>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3.账户名称：</w:t>
            </w:r>
            <w:r>
              <w:rPr>
                <w:rFonts w:hint="eastAsia" w:hAnsi="宋体" w:cs="宋体"/>
                <w:color w:val="auto"/>
                <w:sz w:val="21"/>
                <w:highlight w:val="none"/>
                <w:lang w:eastAsia="zh-CN"/>
              </w:rPr>
              <w:t>广西城建咨询设计有限公司</w:t>
            </w:r>
          </w:p>
          <w:p w14:paraId="24363D5C">
            <w:pPr>
              <w:pStyle w:val="26"/>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开户银行：</w:t>
            </w:r>
            <w:r>
              <w:rPr>
                <w:rFonts w:hint="eastAsia" w:hAnsi="宋体" w:cs="宋体"/>
                <w:color w:val="auto"/>
                <w:sz w:val="21"/>
                <w:highlight w:val="none"/>
                <w:lang w:eastAsia="zh-CN"/>
              </w:rPr>
              <w:t>建设银行南宁锦春支行</w:t>
            </w:r>
          </w:p>
          <w:p w14:paraId="1BAF8530">
            <w:pPr>
              <w:pStyle w:val="26"/>
              <w:snapToGrid w:val="0"/>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银行账号：</w:t>
            </w:r>
            <w:r>
              <w:rPr>
                <w:rFonts w:hint="eastAsia" w:hAnsi="宋体" w:cs="宋体"/>
                <w:color w:val="auto"/>
                <w:sz w:val="21"/>
                <w:highlight w:val="none"/>
                <w:lang w:eastAsia="zh-CN"/>
              </w:rPr>
              <w:t>4505 0160 4783 0000 0080</w:t>
            </w:r>
          </w:p>
        </w:tc>
      </w:tr>
      <w:tr w14:paraId="07E64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1536A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425F5679">
            <w:pPr>
              <w:pStyle w:val="26"/>
              <w:snapToGrid w:val="0"/>
              <w:spacing w:line="360" w:lineRule="auto"/>
              <w:rPr>
                <w:rFonts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02117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914D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vAlign w:val="center"/>
          </w:tcPr>
          <w:p w14:paraId="2F8AA3D9">
            <w:pPr>
              <w:pStyle w:val="26"/>
              <w:snapToGrid w:val="0"/>
              <w:spacing w:line="360" w:lineRule="auto"/>
              <w:rPr>
                <w:rFonts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帐户，也可以使用银行保函。工程竣工验收结算经审定后，按照规定程序，将农民工工资保证金没有使用或剩余的金额退还给承包人。</w:t>
            </w:r>
          </w:p>
        </w:tc>
      </w:tr>
      <w:tr w14:paraId="743FF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8E0B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vAlign w:val="center"/>
          </w:tcPr>
          <w:p w14:paraId="39B5BEE7">
            <w:pPr>
              <w:pStyle w:val="2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DC8AE44">
            <w:pPr>
              <w:pStyle w:val="26"/>
              <w:snapToGrid w:val="0"/>
              <w:spacing w:line="360" w:lineRule="auto"/>
              <w:rPr>
                <w:rFonts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9EAE23B">
            <w:pPr>
              <w:pStyle w:val="26"/>
              <w:snapToGrid w:val="0"/>
              <w:spacing w:line="360" w:lineRule="auto"/>
              <w:rPr>
                <w:rFonts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2408017C">
            <w:pPr>
              <w:pStyle w:val="26"/>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68012FCF">
            <w:pPr>
              <w:pStyle w:val="26"/>
              <w:snapToGrid w:val="0"/>
              <w:spacing w:line="360" w:lineRule="auto"/>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583ADE94">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441A48C0">
      <w:pPr>
        <w:spacing w:line="400" w:lineRule="exact"/>
        <w:jc w:val="center"/>
        <w:rPr>
          <w:rFonts w:ascii="宋体" w:hAnsi="宋体"/>
          <w:b/>
          <w:color w:val="auto"/>
          <w:sz w:val="32"/>
          <w:szCs w:val="32"/>
          <w:highlight w:val="none"/>
        </w:rPr>
      </w:pPr>
    </w:p>
    <w:p w14:paraId="3DE0A1C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2E4B9947">
      <w:pPr>
        <w:spacing w:line="400" w:lineRule="exact"/>
        <w:rPr>
          <w:rFonts w:ascii="宋体" w:hAnsi="宋体"/>
          <w:color w:val="auto"/>
          <w:szCs w:val="21"/>
          <w:highlight w:val="none"/>
        </w:rPr>
      </w:pPr>
    </w:p>
    <w:p w14:paraId="065D9C3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F0455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1936EF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76E7E28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3A4B96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1C8399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9C40E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5998A7E8">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269CE1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7D6E3BE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304E016">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38C31FC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587A6A7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661ED75">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6C5579F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4B25FF4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290E07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210A7D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C83B11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07EF6B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9086E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604EC9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B307D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381F9A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w:t>
      </w:r>
      <w:bookmarkStart w:id="61" w:name="_Hlk66782192"/>
      <w:r>
        <w:rPr>
          <w:rFonts w:hint="eastAsia" w:ascii="宋体" w:hAnsi="宋体"/>
          <w:color w:val="auto"/>
          <w:szCs w:val="21"/>
          <w:highlight w:val="none"/>
        </w:rPr>
        <w:t>根据《政府采购促进中小企业发展管理办法》（财库〔2020〕46号）第九条第二款及</w:t>
      </w:r>
      <w:r>
        <w:rPr>
          <w:rFonts w:hint="eastAsia" w:ascii="宋体" w:hAnsi="宋体" w:cs="宋体"/>
          <w:b w:val="0"/>
          <w:bCs/>
          <w:color w:val="auto"/>
          <w:sz w:val="21"/>
          <w:szCs w:val="21"/>
          <w:highlight w:val="none"/>
        </w:rPr>
        <w:t>《广西壮族自治区财政厅关于持续优化政府采购营商环境推动高质量发展的通知》（桂财采</w:t>
      </w:r>
      <w:r>
        <w:rPr>
          <w:rFonts w:hint="eastAsia" w:ascii="宋体" w:hAnsi="宋体"/>
          <w:color w:val="auto"/>
          <w:szCs w:val="21"/>
          <w:highlight w:val="none"/>
        </w:rPr>
        <w:t>〔</w:t>
      </w:r>
      <w:r>
        <w:rPr>
          <w:rFonts w:hint="eastAsia" w:ascii="宋体" w:hAnsi="宋体" w:cs="宋体"/>
          <w:b w:val="0"/>
          <w:bCs/>
          <w:color w:val="auto"/>
          <w:sz w:val="21"/>
          <w:szCs w:val="21"/>
          <w:highlight w:val="none"/>
        </w:rPr>
        <w:t>2024</w:t>
      </w:r>
      <w:r>
        <w:rPr>
          <w:rFonts w:hint="eastAsia" w:ascii="宋体" w:hAnsi="宋体"/>
          <w:color w:val="auto"/>
          <w:szCs w:val="21"/>
          <w:highlight w:val="none"/>
        </w:rPr>
        <w:t>〕</w:t>
      </w:r>
      <w:r>
        <w:rPr>
          <w:rFonts w:hint="eastAsia" w:ascii="宋体" w:hAnsi="宋体" w:cs="宋体"/>
          <w:b w:val="0"/>
          <w:bCs/>
          <w:color w:val="auto"/>
          <w:sz w:val="21"/>
          <w:szCs w:val="21"/>
          <w:highlight w:val="none"/>
        </w:rPr>
        <w:t>55号）</w:t>
      </w:r>
      <w:r>
        <w:rPr>
          <w:rFonts w:hint="eastAsia" w:ascii="宋体" w:hAnsi="宋体"/>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color w:val="auto"/>
          <w:szCs w:val="21"/>
          <w:highlight w:val="none"/>
          <w:lang w:val="en-US" w:eastAsia="zh-CN"/>
        </w:rPr>
        <w:t>（工程项目为 1%—2%）</w:t>
      </w:r>
      <w:r>
        <w:rPr>
          <w:rFonts w:hint="eastAsia" w:ascii="宋体" w:hAnsi="宋体"/>
          <w:color w:val="auto"/>
          <w:szCs w:val="21"/>
          <w:highlight w:val="none"/>
        </w:rPr>
        <w:t>的扣除，用扣除后的价格参加评审。</w:t>
      </w:r>
      <w:bookmarkEnd w:id="61"/>
    </w:p>
    <w:p w14:paraId="226B877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42D40BD8">
      <w:pPr>
        <w:pStyle w:val="9"/>
        <w:keepNext w:val="0"/>
        <w:keepLines w:val="0"/>
        <w:spacing w:before="0" w:after="0" w:line="360" w:lineRule="auto"/>
        <w:ind w:left="420" w:leftChars="200"/>
        <w:rPr>
          <w:rFonts w:ascii="宋体" w:hAnsi="宋体"/>
          <w:b w:val="0"/>
          <w:color w:val="auto"/>
          <w:sz w:val="21"/>
          <w:szCs w:val="21"/>
          <w:highlight w:val="none"/>
        </w:rPr>
      </w:pPr>
      <w:bookmarkStart w:id="62" w:name="_Toc254970673"/>
      <w:bookmarkStart w:id="63" w:name="_Toc254970532"/>
      <w:r>
        <w:rPr>
          <w:rFonts w:hint="eastAsia" w:ascii="宋体" w:hAnsi="宋体"/>
          <w:b w:val="0"/>
          <w:color w:val="auto"/>
          <w:sz w:val="21"/>
          <w:szCs w:val="21"/>
          <w:highlight w:val="none"/>
        </w:rPr>
        <w:t>6.1本项目不允许转包。</w:t>
      </w:r>
    </w:p>
    <w:p w14:paraId="1E4ACB47">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3B86C472">
      <w:pPr>
        <w:pStyle w:val="9"/>
        <w:keepNext w:val="0"/>
        <w:keepLines w:val="0"/>
        <w:spacing w:before="0" w:after="0" w:line="360" w:lineRule="auto"/>
        <w:ind w:firstLine="315" w:firstLineChars="150"/>
        <w:rPr>
          <w:rFonts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2216638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2"/>
      <w:bookmarkEnd w:id="63"/>
    </w:p>
    <w:p w14:paraId="3E47BFC3">
      <w:pPr>
        <w:spacing w:line="360" w:lineRule="auto"/>
        <w:ind w:firstLine="420" w:firstLineChars="200"/>
        <w:rPr>
          <w:rFonts w:ascii="宋体" w:hAnsi="宋体" w:cs="宋体"/>
          <w:color w:val="auto"/>
          <w:szCs w:val="21"/>
          <w:highlight w:val="none"/>
        </w:rPr>
      </w:pPr>
      <w:bookmarkStart w:id="64" w:name="_8.1提供相同品牌产品且通过资格审查、符合性审查的不同投标人参加同一合"/>
      <w:bookmarkEnd w:id="64"/>
      <w:r>
        <w:rPr>
          <w:rFonts w:hint="eastAsia" w:ascii="宋体" w:hAnsi="宋体" w:cs="宋体"/>
          <w:color w:val="auto"/>
          <w:szCs w:val="21"/>
          <w:highlight w:val="none"/>
        </w:rPr>
        <w:t>7.</w:t>
      </w:r>
      <w:r>
        <w:rPr>
          <w:rFonts w:ascii="宋体" w:hAnsi="宋体" w:cs="宋体"/>
          <w:color w:val="auto"/>
          <w:szCs w:val="21"/>
          <w:highlight w:val="none"/>
        </w:rPr>
        <w:t>1</w:t>
      </w:r>
      <w:bookmarkStart w:id="65"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5"/>
    <w:p w14:paraId="6601D2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E708C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775A3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1E1F6D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DA05E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793438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F6E5A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02E51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3835CD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AD453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C3A5C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27CF33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1BDD8A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9EFF3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F679D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596C62F1">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65CB09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3EF386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E93E0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4AB814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BF981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C952E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43C36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7F5CF63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58A5B57">
      <w:pPr>
        <w:spacing w:line="360" w:lineRule="auto"/>
        <w:ind w:firstLine="420" w:firstLineChars="200"/>
        <w:rPr>
          <w:rFonts w:ascii="宋体" w:hAnsi="宋体" w:cs="宋体"/>
          <w:color w:val="auto"/>
          <w:szCs w:val="21"/>
          <w:highlight w:val="none"/>
        </w:rPr>
      </w:pPr>
    </w:p>
    <w:p w14:paraId="6FFF9F9C">
      <w:pPr>
        <w:spacing w:line="360" w:lineRule="auto"/>
        <w:ind w:left="1" w:firstLine="417" w:firstLineChars="199"/>
        <w:jc w:val="center"/>
        <w:rPr>
          <w:rFonts w:ascii="宋体" w:hAnsi="宋体"/>
          <w:color w:val="auto"/>
          <w:highlight w:val="none"/>
        </w:rPr>
      </w:pPr>
      <w:bookmarkStart w:id="66" w:name="_Toc254970534"/>
      <w:bookmarkStart w:id="67" w:name="_Toc254970675"/>
    </w:p>
    <w:p w14:paraId="34A6447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6"/>
      <w:bookmarkEnd w:id="67"/>
    </w:p>
    <w:p w14:paraId="1F27D556">
      <w:pPr>
        <w:spacing w:line="360" w:lineRule="auto"/>
        <w:rPr>
          <w:rFonts w:ascii="宋体" w:hAnsi="宋体"/>
          <w:color w:val="auto"/>
          <w:szCs w:val="21"/>
          <w:highlight w:val="none"/>
        </w:rPr>
      </w:pPr>
    </w:p>
    <w:p w14:paraId="755B6DE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39FCCA7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第一章  竞争性磋商公告；</w:t>
      </w:r>
    </w:p>
    <w:p w14:paraId="5593918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第二章  供应商须知； </w:t>
      </w:r>
    </w:p>
    <w:p w14:paraId="21958B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第三章  采购需求；</w:t>
      </w:r>
    </w:p>
    <w:p w14:paraId="3B308C6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第四章  评审程序、评审方法和评审标准；</w:t>
      </w:r>
    </w:p>
    <w:p w14:paraId="42D7DEB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第五章  工程量清单及图纸；</w:t>
      </w:r>
    </w:p>
    <w:p w14:paraId="3E5AE5D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第六章  响应文件格式；</w:t>
      </w:r>
    </w:p>
    <w:p w14:paraId="51D809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第七章  合同文本。</w:t>
      </w:r>
    </w:p>
    <w:p w14:paraId="071C681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5BDAB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AA582D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7E31A0F2">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5B50623A">
      <w:pPr>
        <w:spacing w:line="360" w:lineRule="auto"/>
        <w:rPr>
          <w:rFonts w:ascii="宋体" w:hAnsi="宋体"/>
          <w:color w:val="auto"/>
          <w:szCs w:val="21"/>
          <w:highlight w:val="none"/>
        </w:rPr>
      </w:pPr>
    </w:p>
    <w:p w14:paraId="32818D2B">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29DF50A6">
      <w:pPr>
        <w:spacing w:line="360" w:lineRule="auto"/>
        <w:rPr>
          <w:rFonts w:ascii="宋体" w:hAnsi="宋体"/>
          <w:color w:val="auto"/>
          <w:szCs w:val="21"/>
          <w:highlight w:val="none"/>
        </w:rPr>
      </w:pPr>
    </w:p>
    <w:p w14:paraId="203D19F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13C78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15015D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173617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985EF4D">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89C010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1705DCF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08F090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22D9D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6E8E8F0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33FBBF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0FE548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045708F4">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15.1竞标报价应按磋商文件中“竞标报价表”及</w:t>
      </w:r>
      <w:r>
        <w:rPr>
          <w:rFonts w:ascii="宋体" w:hAnsi="宋体" w:cs="宋体"/>
          <w:color w:val="auto"/>
          <w:szCs w:val="21"/>
          <w:highlight w:val="none"/>
        </w:rPr>
        <w:t>“</w:t>
      </w:r>
      <w:r>
        <w:rPr>
          <w:rFonts w:hint="eastAsia" w:ascii="宋体" w:hAnsi="宋体" w:cs="宋体"/>
          <w:color w:val="auto"/>
          <w:szCs w:val="21"/>
          <w:highlight w:val="none"/>
        </w:rPr>
        <w:t>已标价工程量清单</w:t>
      </w:r>
      <w:r>
        <w:rPr>
          <w:rFonts w:ascii="宋体" w:hAnsi="宋体" w:cs="宋体"/>
          <w:color w:val="auto"/>
          <w:szCs w:val="21"/>
          <w:highlight w:val="none"/>
        </w:rPr>
        <w:t>”</w:t>
      </w:r>
      <w:r>
        <w:rPr>
          <w:rFonts w:hint="eastAsia" w:ascii="宋体" w:hAnsi="宋体" w:cs="宋体"/>
          <w:color w:val="auto"/>
          <w:szCs w:val="21"/>
          <w:highlight w:val="none"/>
        </w:rPr>
        <w:t>格式填写。</w:t>
      </w:r>
    </w:p>
    <w:p w14:paraId="461C3AAE">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3B15EFA2">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5776B8A1">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15.4竞标报价要求</w:t>
      </w:r>
    </w:p>
    <w:p w14:paraId="0558FF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574C4AD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w:t>
      </w:r>
      <w:r>
        <w:rPr>
          <w:rFonts w:hint="eastAsia" w:ascii="宋体" w:hAnsi="宋体" w:cs="宋体"/>
          <w:color w:val="auto"/>
          <w:szCs w:val="21"/>
          <w:highlight w:val="none"/>
          <w:lang w:val="en-US" w:eastAsia="zh-CN"/>
        </w:rPr>
        <w:t>分标</w:t>
      </w:r>
      <w:r>
        <w:rPr>
          <w:rFonts w:hint="eastAsia" w:ascii="宋体" w:hAnsi="宋体" w:cs="宋体"/>
          <w:color w:val="auto"/>
          <w:szCs w:val="21"/>
          <w:highlight w:val="none"/>
        </w:rPr>
        <w:t>的全部内容分别作完整唯一总价报价，不得存在漏项报价；</w:t>
      </w:r>
    </w:p>
    <w:p w14:paraId="5496BDCC">
      <w:pPr>
        <w:numPr>
          <w:ilvl w:val="0"/>
          <w:numId w:val="2"/>
        </w:num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供应商必须就所竞标的</w:t>
      </w:r>
      <w:r>
        <w:rPr>
          <w:rFonts w:hint="eastAsia" w:ascii="宋体" w:hAnsi="宋体" w:cs="宋体"/>
          <w:color w:val="auto"/>
          <w:szCs w:val="21"/>
          <w:highlight w:val="none"/>
          <w:lang w:val="en-US" w:eastAsia="zh-CN"/>
        </w:rPr>
        <w:t>分标</w:t>
      </w:r>
      <w:r>
        <w:rPr>
          <w:rFonts w:hint="eastAsia" w:ascii="宋体" w:hAnsi="宋体" w:cs="宋体"/>
          <w:color w:val="auto"/>
          <w:szCs w:val="21"/>
          <w:highlight w:val="none"/>
        </w:rPr>
        <w:t>单项内容作唯一报价。</w:t>
      </w:r>
    </w:p>
    <w:p w14:paraId="0CDE3F7F">
      <w:pPr>
        <w:numPr>
          <w:ilvl w:val="0"/>
          <w:numId w:val="2"/>
        </w:num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供应商竞标报价（含总报价和单项报价）如明显低于其他通过符合性审查供应商的报价，有可能不能诚信履约的，磋商</w:t>
      </w:r>
      <w:r>
        <w:rPr>
          <w:rFonts w:ascii="宋体" w:hAnsi="宋体" w:cs="宋体"/>
          <w:color w:val="auto"/>
          <w:szCs w:val="21"/>
          <w:highlight w:val="none"/>
        </w:rPr>
        <w:t>小组可</w:t>
      </w:r>
      <w:r>
        <w:rPr>
          <w:rFonts w:ascii="ˎ̥" w:hAnsi="ˎ̥"/>
          <w:color w:val="auto"/>
          <w:sz w:val="22"/>
          <w:szCs w:val="22"/>
          <w:highlight w:val="none"/>
        </w:rPr>
        <w:t>要求其在评标现场合理的时间内提供书面说明</w:t>
      </w:r>
      <w:r>
        <w:rPr>
          <w:rFonts w:hint="eastAsia" w:ascii="宋体" w:hAnsi="宋体" w:cs="宋体"/>
          <w:color w:val="auto"/>
          <w:szCs w:val="21"/>
          <w:highlight w:val="none"/>
        </w:rPr>
        <w:t>。如无法提供说明，或者说明不足以证明合理性的，经磋商小组评定，响应文件按无效处理。</w:t>
      </w:r>
    </w:p>
    <w:p w14:paraId="1A4018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w:t>
      </w:r>
      <w:r>
        <w:rPr>
          <w:rFonts w:hint="eastAsia" w:ascii="宋体" w:hAnsi="宋体" w:cs="宋体"/>
          <w:color w:val="auto"/>
          <w:szCs w:val="21"/>
          <w:highlight w:val="none"/>
          <w:lang w:val="en-US" w:eastAsia="zh-CN"/>
        </w:rPr>
        <w:t>分标</w:t>
      </w:r>
      <w:r>
        <w:rPr>
          <w:rFonts w:hint="eastAsia" w:ascii="宋体" w:hAnsi="宋体" w:cs="宋体"/>
          <w:color w:val="auto"/>
          <w:szCs w:val="21"/>
          <w:highlight w:val="none"/>
        </w:rPr>
        <w:t>规定的采购预算金额或者最高限价的，其响应文件将按无效处理。</w:t>
      </w:r>
    </w:p>
    <w:p w14:paraId="418198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3</w:t>
      </w:r>
      <w:bookmarkStart w:id="68" w:name="_Hlk42592874"/>
      <w:r>
        <w:rPr>
          <w:rFonts w:hint="eastAsia" w:ascii="宋体" w:hAnsi="宋体" w:cs="宋体"/>
          <w:color w:val="auto"/>
          <w:szCs w:val="21"/>
          <w:highlight w:val="none"/>
        </w:rPr>
        <w:t>竞标报价（包含首次报价、最后报价）超过分项采购预算金额或者最高限价的（如有要求），其响应文件将按无效处理。</w:t>
      </w:r>
    </w:p>
    <w:p w14:paraId="0AEE50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68"/>
    <w:p w14:paraId="5CCDC1D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23394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252B7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5240B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13B1CF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6A3C245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4BB8CAC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1AA0B497">
      <w:pPr>
        <w:spacing w:line="360" w:lineRule="auto"/>
        <w:ind w:firstLine="420" w:firstLineChars="200"/>
        <w:rPr>
          <w:rFonts w:ascii="宋体" w:hAnsi="宋体" w:cs="宋体"/>
          <w:color w:val="auto"/>
          <w:szCs w:val="21"/>
          <w:highlight w:val="none"/>
        </w:rPr>
      </w:pPr>
      <w:bookmarkStart w:id="69" w:name="_Hlk66782243"/>
      <w:r>
        <w:rPr>
          <w:rFonts w:hint="eastAsia" w:ascii="宋体" w:hAnsi="宋体" w:cs="宋体"/>
          <w:color w:val="auto"/>
          <w:szCs w:val="21"/>
          <w:highlight w:val="none"/>
        </w:rPr>
        <w:t>未成交供应商的磋商保证金自成交通知书发出之日起4个工作日内退还；成交供应商的磋商保证金自签订合同之日起4个工作日内退还或者转为成交供应商的履约保证金。</w:t>
      </w:r>
      <w:bookmarkEnd w:id="69"/>
    </w:p>
    <w:p w14:paraId="19D3D75B">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40CC99F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4710929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7F21585">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6478457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027F7D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3794DF7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F57D42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1BDFFD6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1A2A5A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广西政府采购云平台新版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2EB38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468BC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365D2E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25C5EA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4DCDD25">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6589DAC3">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s="宋体"/>
          <w:color w:val="auto"/>
          <w:szCs w:val="21"/>
          <w:highlight w:val="none"/>
        </w:rPr>
        <w:t>广西政府采购云平台新版客户端</w:t>
      </w:r>
      <w:r>
        <w:rPr>
          <w:rFonts w:hint="eastAsia"/>
          <w:color w:val="auto"/>
          <w:highlight w:val="none"/>
        </w:rPr>
        <w:t>”在线编制生成且后缀名为“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详见在“供应商须知前附表”。</w:t>
      </w:r>
    </w:p>
    <w:p w14:paraId="4C76E62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663A3F8">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1F4D96D8">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平台将拒收。</w:t>
      </w:r>
    </w:p>
    <w:p w14:paraId="4529EBB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677B637F">
      <w:pPr>
        <w:spacing w:line="360" w:lineRule="auto"/>
        <w:ind w:firstLine="420" w:firstLineChars="200"/>
        <w:rPr>
          <w:rFonts w:hAnsi="宋体"/>
          <w:bCs/>
          <w:color w:val="auto"/>
          <w:szCs w:val="21"/>
          <w:highlight w:val="none"/>
        </w:rPr>
      </w:pPr>
      <w:bookmarkStart w:id="70" w:name="_Toc254970543"/>
      <w:bookmarkStart w:id="71" w:name="_Toc254970684"/>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w:t>
      </w:r>
      <w:r>
        <w:rPr>
          <w:rFonts w:hint="eastAsia" w:hAnsi="宋体"/>
          <w:bCs/>
          <w:color w:val="auto"/>
          <w:szCs w:val="21"/>
          <w:highlight w:val="none"/>
          <w:lang w:eastAsia="zh-CN"/>
        </w:rPr>
        <w:t>广西政府采购云平台</w:t>
      </w:r>
      <w:r>
        <w:rPr>
          <w:rFonts w:hint="eastAsia" w:hAnsi="宋体"/>
          <w:bCs/>
          <w:color w:val="auto"/>
          <w:szCs w:val="21"/>
          <w:highlight w:val="none"/>
        </w:rPr>
        <w:t>平台将予以拒收。（注：补充、修改或者撤回方式可登陆</w:t>
      </w:r>
      <w:r>
        <w:rPr>
          <w:rFonts w:hint="eastAsia" w:hAnsi="宋体"/>
          <w:bCs/>
          <w:color w:val="auto"/>
          <w:szCs w:val="21"/>
          <w:highlight w:val="none"/>
          <w:lang w:eastAsia="zh-CN"/>
        </w:rPr>
        <w:t>广西政府采购云平台</w:t>
      </w:r>
      <w:r>
        <w:rPr>
          <w:rFonts w:hint="eastAsia" w:hAnsi="宋体"/>
          <w:bCs/>
          <w:color w:val="auto"/>
          <w:szCs w:val="21"/>
          <w:highlight w:val="none"/>
        </w:rPr>
        <w:t>平台，进入“服务中心”中查看“电子投标文件制作与投送教程”）</w:t>
      </w:r>
    </w:p>
    <w:bookmarkEnd w:id="70"/>
    <w:bookmarkEnd w:id="71"/>
    <w:p w14:paraId="534871AA">
      <w:pPr>
        <w:pStyle w:val="159"/>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212DB86A">
      <w:pPr>
        <w:spacing w:line="360" w:lineRule="auto"/>
        <w:ind w:firstLine="482" w:firstLineChars="200"/>
        <w:rPr>
          <w:rFonts w:ascii="黑体" w:hAnsi="黑体" w:eastAsia="黑体" w:cs="宋体"/>
          <w:b/>
          <w:bCs/>
          <w:color w:val="auto"/>
          <w:sz w:val="24"/>
          <w:highlight w:val="none"/>
        </w:rPr>
      </w:pPr>
      <w:bookmarkStart w:id="72" w:name="_Hlk45702405"/>
      <w:r>
        <w:rPr>
          <w:rFonts w:hint="eastAsia" w:ascii="黑体" w:hAnsi="黑体" w:eastAsia="黑体" w:cs="宋体"/>
          <w:b/>
          <w:bCs/>
          <w:color w:val="auto"/>
          <w:sz w:val="24"/>
          <w:highlight w:val="none"/>
        </w:rPr>
        <w:t>22.响应文件的退回</w:t>
      </w:r>
    </w:p>
    <w:p w14:paraId="4BA0D7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EED8C2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53EFBF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p>
    <w:bookmarkEnd w:id="72"/>
    <w:p w14:paraId="343C8F68">
      <w:pPr>
        <w:spacing w:line="360" w:lineRule="auto"/>
        <w:rPr>
          <w:rFonts w:ascii="宋体" w:hAnsi="宋体"/>
          <w:color w:val="auto"/>
          <w:szCs w:val="21"/>
          <w:highlight w:val="none"/>
        </w:rPr>
      </w:pPr>
    </w:p>
    <w:p w14:paraId="5F517B7A">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464F7663">
      <w:pPr>
        <w:spacing w:line="360" w:lineRule="auto"/>
        <w:ind w:left="420" w:firstLine="420"/>
        <w:rPr>
          <w:rFonts w:ascii="宋体" w:hAnsi="宋体"/>
          <w:color w:val="auto"/>
          <w:szCs w:val="21"/>
          <w:highlight w:val="none"/>
        </w:rPr>
      </w:pPr>
    </w:p>
    <w:p w14:paraId="56AB9FC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34109A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23333C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B17D7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w:t>
      </w:r>
      <w:r>
        <w:rPr>
          <w:rFonts w:hint="eastAsia" w:hAnsi="宋体"/>
          <w:bCs/>
          <w:color w:val="auto"/>
          <w:szCs w:val="21"/>
          <w:highlight w:val="none"/>
          <w:lang w:eastAsia="zh-CN"/>
        </w:rPr>
        <w:t>广西政府采购云平台</w:t>
      </w:r>
      <w:r>
        <w:rPr>
          <w:rFonts w:hint="eastAsia" w:hAnsi="宋体"/>
          <w:bCs/>
          <w:color w:val="auto"/>
          <w:szCs w:val="21"/>
          <w:highlight w:val="none"/>
        </w:rPr>
        <w:t>平台</w:t>
      </w:r>
      <w:r>
        <w:rPr>
          <w:rFonts w:hint="eastAsia" w:hAnsi="宋体"/>
          <w:bCs/>
          <w:color w:val="auto"/>
          <w:highlight w:val="none"/>
        </w:rPr>
        <w:t>抽（选）取</w:t>
      </w:r>
      <w:r>
        <w:rPr>
          <w:rFonts w:hint="eastAsia" w:hAnsi="宋体"/>
          <w:bCs/>
          <w:color w:val="auto"/>
          <w:szCs w:val="21"/>
          <w:highlight w:val="none"/>
        </w:rPr>
        <w:t>评审专家。</w:t>
      </w:r>
    </w:p>
    <w:p w14:paraId="0C09DCC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07356E68">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hAnsi="宋体"/>
          <w:color w:val="auto"/>
          <w:highlight w:val="none"/>
          <w:lang w:eastAsia="zh-CN"/>
        </w:rPr>
        <w:t>广西政府采购云平台</w:t>
      </w:r>
      <w:r>
        <w:rPr>
          <w:rFonts w:hint="eastAsia" w:hAnsi="宋体"/>
          <w:color w:val="auto"/>
          <w:highlight w:val="none"/>
        </w:rPr>
        <w:t>平台电子开标大厅签到，</w:t>
      </w:r>
      <w:r>
        <w:rPr>
          <w:rFonts w:hint="eastAsia"/>
          <w:color w:val="auto"/>
          <w:highlight w:val="none"/>
        </w:rPr>
        <w:t>采购代理机构依托</w:t>
      </w:r>
      <w:r>
        <w:rPr>
          <w:rFonts w:hint="eastAsia"/>
          <w:color w:val="auto"/>
          <w:highlight w:val="none"/>
          <w:lang w:eastAsia="zh-CN"/>
        </w:rPr>
        <w:t>广西政府采购云平台</w:t>
      </w:r>
      <w:r>
        <w:rPr>
          <w:rFonts w:hint="eastAsia"/>
          <w:color w:val="auto"/>
          <w:highlight w:val="none"/>
        </w:rPr>
        <w:t>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6EFB1ED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29E9BB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36E2BF0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5F38EE2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6A8609C1">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C4457AF">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529F4560">
      <w:pPr>
        <w:spacing w:line="360" w:lineRule="auto"/>
        <w:ind w:firstLine="420" w:firstLineChars="200"/>
        <w:rPr>
          <w:rFonts w:hAnsi="宋体"/>
          <w:color w:val="auto"/>
          <w:highlight w:val="none"/>
        </w:rPr>
      </w:pPr>
      <w:r>
        <w:rPr>
          <w:rFonts w:hint="eastAsia" w:hAnsi="宋体"/>
          <w:color w:val="auto"/>
          <w:highlight w:val="none"/>
        </w:rPr>
        <w:t>（1）电子交易平台发生故障而无法登录访问的；</w:t>
      </w:r>
    </w:p>
    <w:p w14:paraId="5825D843">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0418F500">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5C1E65FC">
      <w:pPr>
        <w:spacing w:line="360" w:lineRule="auto"/>
        <w:ind w:firstLine="420" w:firstLineChars="200"/>
        <w:rPr>
          <w:rFonts w:hAnsi="宋体"/>
          <w:color w:val="auto"/>
          <w:highlight w:val="none"/>
        </w:rPr>
      </w:pPr>
      <w:r>
        <w:rPr>
          <w:rFonts w:hint="eastAsia" w:hAnsi="宋体"/>
          <w:color w:val="auto"/>
          <w:highlight w:val="none"/>
        </w:rPr>
        <w:t>（4）病毒发作导致不能进行正常操作的；</w:t>
      </w:r>
    </w:p>
    <w:p w14:paraId="576EDCD0">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28B442B9">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57007E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54D22A9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A9247F2">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3"/>
    </w:p>
    <w:p w14:paraId="23EC48C9">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166E546C">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021272DE">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60D2F724">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23D4FCD">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C6351E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2AA2727C">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1CB7BDB8">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.2在履约保证金退还日期前，若成交供应商的开户名称、开户银行、帐号有变动的，请以书面形式通知履约保证金收取单位，否则由此产生的后果由成交供应商自行承担。</w:t>
      </w:r>
    </w:p>
    <w:p w14:paraId="12BF8240">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64FD39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ABCF6F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73A287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B33614A">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6F5A3A4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EB78DC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22D409D6">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705982D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45C645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46D08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967B0B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8BD478B">
      <w:pPr>
        <w:pStyle w:val="10"/>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3A386B6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rPr>
        <w:t>接收质疑函的方式、联系部门、联系电话和通讯地址等信息</w:t>
      </w:r>
      <w:r>
        <w:rPr>
          <w:rFonts w:hint="eastAsia" w:ascii="宋体" w:hAnsi="宋体" w:cs="Arial"/>
          <w:color w:val="auto"/>
          <w:highlight w:val="none"/>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20C46A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58C68B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56F42DE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131D5FA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14871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A4928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123AD7D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630BC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79015CA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0918D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5D7797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421ED9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411BDF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92DB3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5B998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242ED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6774F44F">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0174A9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645F8D71">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7B7CDA79">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5F5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379881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219B1FA3">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2C1F28CB">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3B14F7A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1A44ED2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7AFE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B1ED7A0">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4A8E7787">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25D6E1E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12AC8D0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8FB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3C0BB9B">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2F46EE1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562D8E4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72F3766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F3E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BA40D75">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12C07FF5">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294ACE9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43F7D82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F6D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D3D5CB">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1A1518A">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2C3DD7A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6294347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229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38EEA3">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7AE4EF0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78F4C5B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63EC153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2EE7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E5901B">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1E12DE5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308BB53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60A7FC8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17A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881DACA">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72FB8E1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3F9CDDAC">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45DA564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240A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45CD49E">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D064AAC">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4308C55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06EF961E">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670E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D6036AF">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47C8F07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0232C1F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309DAC1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4F5F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D544F5">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14:paraId="1325331B">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66A724B2">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3227C21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204DCC00">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5347D5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119EE8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BA00F75">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工程项目采购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3AE81408">
      <w:pPr>
        <w:spacing w:line="360" w:lineRule="auto"/>
        <w:ind w:firstLine="420" w:firstLineChars="200"/>
        <w:rPr>
          <w:rFonts w:ascii="宋体" w:hAnsi="宋体" w:cs="宋体"/>
          <w:color w:val="auto"/>
          <w:highlight w:val="none"/>
        </w:rPr>
      </w:pPr>
      <w:r>
        <w:rPr>
          <w:rFonts w:ascii="宋体" w:hAnsi="宋体" w:cs="宋体"/>
          <w:color w:val="auto"/>
          <w:highlight w:val="none"/>
        </w:rPr>
        <w:t>100 万元 ×l.</w:t>
      </w:r>
      <w:r>
        <w:rPr>
          <w:rFonts w:hint="eastAsia" w:ascii="宋体" w:hAnsi="宋体" w:cs="宋体"/>
          <w:color w:val="auto"/>
          <w:highlight w:val="none"/>
        </w:rPr>
        <w:t>0</w:t>
      </w:r>
      <w:r>
        <w:rPr>
          <w:rFonts w:ascii="宋体" w:hAnsi="宋体" w:cs="宋体"/>
          <w:color w:val="auto"/>
          <w:highlight w:val="none"/>
        </w:rPr>
        <w:t xml:space="preserve"> %＝ 1.</w:t>
      </w:r>
      <w:r>
        <w:rPr>
          <w:rFonts w:hint="eastAsia" w:ascii="宋体" w:hAnsi="宋体" w:cs="宋体"/>
          <w:color w:val="auto"/>
          <w:highlight w:val="none"/>
        </w:rPr>
        <w:t>0</w:t>
      </w:r>
      <w:r>
        <w:rPr>
          <w:rFonts w:ascii="宋体" w:hAnsi="宋体" w:cs="宋体"/>
          <w:color w:val="auto"/>
          <w:highlight w:val="none"/>
        </w:rPr>
        <w:t>万元</w:t>
      </w:r>
    </w:p>
    <w:p w14:paraId="0A11627F">
      <w:pPr>
        <w:spacing w:line="360" w:lineRule="auto"/>
        <w:ind w:firstLine="420" w:firstLineChars="200"/>
        <w:rPr>
          <w:rFonts w:ascii="宋体" w:hAnsi="宋体" w:cs="宋体"/>
          <w:color w:val="auto"/>
          <w:highlight w:val="none"/>
        </w:rPr>
      </w:pPr>
      <w:r>
        <w:rPr>
          <w:rFonts w:ascii="宋体" w:hAnsi="宋体" w:cs="宋体"/>
          <w:color w:val="auto"/>
          <w:highlight w:val="none"/>
        </w:rPr>
        <w:t>（ 150</w:t>
      </w:r>
      <w:r>
        <w:rPr>
          <w:rFonts w:hint="eastAsia" w:ascii="宋体" w:hAnsi="宋体" w:cs="宋体"/>
          <w:color w:val="auto"/>
          <w:highlight w:val="none"/>
        </w:rPr>
        <w:t>-</w:t>
      </w:r>
      <w:r>
        <w:rPr>
          <w:rFonts w:ascii="宋体" w:hAnsi="宋体" w:cs="宋体"/>
          <w:color w:val="auto"/>
          <w:highlight w:val="none"/>
        </w:rPr>
        <w:t>100 ）万元 ×0.</w:t>
      </w:r>
      <w:r>
        <w:rPr>
          <w:rFonts w:hint="eastAsia" w:ascii="宋体" w:hAnsi="宋体" w:cs="宋体"/>
          <w:color w:val="auto"/>
          <w:highlight w:val="none"/>
        </w:rPr>
        <w:t>7</w:t>
      </w:r>
      <w:r>
        <w:rPr>
          <w:rFonts w:ascii="宋体" w:hAnsi="宋体" w:cs="宋体"/>
          <w:color w:val="auto"/>
          <w:highlight w:val="none"/>
        </w:rPr>
        <w:t>%＝ 0.</w:t>
      </w:r>
      <w:r>
        <w:rPr>
          <w:rFonts w:hint="eastAsia" w:ascii="宋体" w:hAnsi="宋体" w:cs="宋体"/>
          <w:color w:val="auto"/>
          <w:highlight w:val="none"/>
        </w:rPr>
        <w:t>35</w:t>
      </w:r>
      <w:r>
        <w:rPr>
          <w:rFonts w:ascii="宋体" w:hAnsi="宋体" w:cs="宋体"/>
          <w:color w:val="auto"/>
          <w:highlight w:val="none"/>
        </w:rPr>
        <w:t>万元</w:t>
      </w:r>
    </w:p>
    <w:p w14:paraId="2C80BAFD">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w:t>
      </w:r>
      <w:r>
        <w:rPr>
          <w:rFonts w:hint="eastAsia" w:ascii="宋体" w:hAnsi="宋体" w:cs="宋体"/>
          <w:color w:val="auto"/>
          <w:highlight w:val="none"/>
        </w:rPr>
        <w:t xml:space="preserve">0 + </w:t>
      </w:r>
      <w:r>
        <w:rPr>
          <w:rFonts w:ascii="宋体" w:hAnsi="宋体" w:cs="宋体"/>
          <w:color w:val="auto"/>
          <w:highlight w:val="none"/>
        </w:rPr>
        <w:t>0.</w:t>
      </w:r>
      <w:r>
        <w:rPr>
          <w:rFonts w:hint="eastAsia" w:ascii="宋体" w:hAnsi="宋体" w:cs="宋体"/>
          <w:color w:val="auto"/>
          <w:highlight w:val="none"/>
        </w:rPr>
        <w:t xml:space="preserve">35 </w:t>
      </w:r>
      <w:r>
        <w:rPr>
          <w:rFonts w:ascii="宋体" w:hAnsi="宋体" w:cs="宋体"/>
          <w:color w:val="auto"/>
          <w:highlight w:val="none"/>
        </w:rPr>
        <w:t>＝ 1.</w:t>
      </w:r>
      <w:r>
        <w:rPr>
          <w:rFonts w:hint="eastAsia" w:ascii="宋体" w:hAnsi="宋体" w:cs="宋体"/>
          <w:color w:val="auto"/>
          <w:highlight w:val="none"/>
        </w:rPr>
        <w:t>35</w:t>
      </w:r>
      <w:r>
        <w:rPr>
          <w:rFonts w:ascii="宋体" w:hAnsi="宋体" w:cs="宋体"/>
          <w:color w:val="auto"/>
          <w:highlight w:val="none"/>
        </w:rPr>
        <w:t xml:space="preserve"> 万元</w:t>
      </w:r>
    </w:p>
    <w:p w14:paraId="66E6A21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37CB8819">
      <w:pPr>
        <w:pStyle w:val="2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09306756">
      <w:pPr>
        <w:pStyle w:val="2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33.2农民工工资保证金见“供应商须知前附表”。</w:t>
      </w:r>
    </w:p>
    <w:p w14:paraId="5A25C77D">
      <w:pPr>
        <w:pStyle w:val="26"/>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w:t>
      </w:r>
      <w:r>
        <w:rPr>
          <w:rFonts w:hint="eastAsia" w:hAnsi="宋体" w:cs="宋体"/>
          <w:color w:val="auto"/>
          <w:kern w:val="2"/>
          <w:sz w:val="21"/>
          <w:highlight w:val="none"/>
        </w:rPr>
        <w:t>3 其他事项详见“供应商须知前附表”。</w:t>
      </w:r>
    </w:p>
    <w:p w14:paraId="104AC843">
      <w:pPr>
        <w:pStyle w:val="26"/>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w:t>
      </w:r>
      <w:r>
        <w:rPr>
          <w:rFonts w:hint="eastAsia" w:hAnsi="宋体" w:cs="宋体"/>
          <w:color w:val="auto"/>
          <w:kern w:val="2"/>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AC7B324">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8631E8C">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29BE71EA">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6D6E8DD3">
      <w:pPr>
        <w:pStyle w:val="26"/>
        <w:spacing w:line="360" w:lineRule="auto"/>
        <w:ind w:firstLine="420" w:firstLineChars="200"/>
        <w:contextualSpacing/>
        <w:rPr>
          <w:rFonts w:hAnsi="宋体"/>
          <w:color w:val="auto"/>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02BCF1E7">
      <w:pPr>
        <w:pStyle w:val="26"/>
        <w:spacing w:line="360" w:lineRule="auto"/>
        <w:ind w:firstLine="420" w:firstLineChars="200"/>
        <w:contextualSpacing/>
        <w:rPr>
          <w:rFonts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0180FE48">
      <w:pPr>
        <w:pStyle w:val="26"/>
        <w:keepNext w:val="0"/>
        <w:keepLines w:val="0"/>
        <w:pageBreakBefore w:val="0"/>
        <w:widowControl w:val="0"/>
        <w:kinsoku/>
        <w:wordWrap/>
        <w:overflowPunct/>
        <w:topLinePunct w:val="0"/>
        <w:autoSpaceDE/>
        <w:autoSpaceDN/>
        <w:bidi w:val="0"/>
        <w:adjustRightInd/>
        <w:snapToGrid/>
        <w:spacing w:before="340" w:after="340" w:line="360" w:lineRule="auto"/>
        <w:ind w:firstLine="402" w:firstLineChars="200"/>
        <w:jc w:val="center"/>
        <w:textAlignment w:val="center"/>
        <w:outlineLvl w:val="0"/>
        <w:rPr>
          <w:rFonts w:hint="eastAsia" w:ascii="Times New Roman" w:hAnsi="Times New Roman" w:eastAsia="宋体" w:cs="Times New Roman"/>
          <w:b/>
          <w:bCs/>
          <w:color w:val="auto"/>
          <w:kern w:val="44"/>
          <w:sz w:val="44"/>
          <w:szCs w:val="44"/>
          <w:highlight w:val="none"/>
          <w:lang w:val="en-US" w:eastAsia="zh-CN" w:bidi="ar-SA"/>
        </w:rPr>
      </w:pPr>
      <w:r>
        <w:rPr>
          <w:rFonts w:hAnsi="宋体"/>
          <w:b/>
          <w:color w:val="auto"/>
          <w:highlight w:val="none"/>
        </w:rPr>
        <w:br w:type="page"/>
      </w:r>
      <w:bookmarkStart w:id="74" w:name="_Toc24195"/>
      <w:r>
        <w:rPr>
          <w:rFonts w:hint="eastAsia" w:ascii="Times New Roman" w:hAnsi="Times New Roman" w:eastAsia="宋体" w:cs="Times New Roman"/>
          <w:b/>
          <w:bCs/>
          <w:color w:val="auto"/>
          <w:kern w:val="44"/>
          <w:sz w:val="44"/>
          <w:szCs w:val="44"/>
          <w:highlight w:val="none"/>
          <w:lang w:val="en-US" w:eastAsia="zh-CN" w:bidi="ar-SA"/>
        </w:rPr>
        <w:t>第三章 采购需求</w:t>
      </w:r>
      <w:bookmarkEnd w:id="74"/>
    </w:p>
    <w:p w14:paraId="73AB31B5">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7F366D7">
      <w:pPr>
        <w:spacing w:line="360" w:lineRule="auto"/>
        <w:ind w:firstLine="420" w:firstLineChars="200"/>
        <w:jc w:val="left"/>
        <w:rPr>
          <w:rFonts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s="宋体"/>
          <w:color w:val="auto"/>
          <w:szCs w:val="21"/>
          <w:highlight w:val="none"/>
        </w:rPr>
        <w:t>：</w:t>
      </w:r>
    </w:p>
    <w:p w14:paraId="2C595971">
      <w:pPr>
        <w:spacing w:line="360" w:lineRule="exact"/>
        <w:ind w:firstLine="420" w:firstLineChars="200"/>
        <w:rPr>
          <w:rFonts w:ascii="宋体" w:hAnsi="宋体"/>
          <w:color w:val="auto"/>
          <w:szCs w:val="21"/>
          <w:highlight w:val="none"/>
        </w:rPr>
      </w:pPr>
      <w:r>
        <w:rPr>
          <w:rFonts w:ascii="宋体" w:hAnsi="宋体"/>
          <w:color w:val="auto"/>
          <w:szCs w:val="21"/>
          <w:highlight w:val="none"/>
        </w:rPr>
        <w:t>（1）政府采购促进中小企业发展。</w:t>
      </w:r>
    </w:p>
    <w:p w14:paraId="5550845B">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（2）政府采购支持采用本国产品的政策。</w:t>
      </w:r>
    </w:p>
    <w:p w14:paraId="0EAC15E4">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（3）强制采购节能产品；优先采购节能产品、环境标志产品。</w:t>
      </w:r>
    </w:p>
    <w:p w14:paraId="38773C23">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（4）政府采购促进残疾人就业政策。</w:t>
      </w:r>
    </w:p>
    <w:p w14:paraId="61DCE57A">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（5）政府采购支持监狱企业发展。</w:t>
      </w:r>
    </w:p>
    <w:p w14:paraId="3F879CBD">
      <w:pPr>
        <w:spacing w:line="360" w:lineRule="auto"/>
        <w:ind w:firstLine="424" w:firstLineChars="202"/>
        <w:jc w:val="left"/>
        <w:rPr>
          <w:rFonts w:hint="eastAsia" w:ascii="宋体" w:hAnsi="宋体" w:cs="宋体"/>
          <w:color w:val="auto"/>
          <w:szCs w:val="21"/>
          <w:highlight w:val="none"/>
        </w:rPr>
      </w:pPr>
      <w:r>
        <w:rPr>
          <w:rFonts w:hint="eastAsia" w:ascii="宋体" w:hAnsi="宋体"/>
          <w:color w:val="auto"/>
          <w:szCs w:val="21"/>
          <w:highlight w:val="none"/>
        </w:rPr>
        <w:t>（6）在政府采购中实施本国产品标准及相关政策。</w:t>
      </w:r>
    </w:p>
    <w:p w14:paraId="575ACB36">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71D2ADFB">
      <w:pPr>
        <w:spacing w:line="360" w:lineRule="auto"/>
        <w:ind w:firstLine="424" w:firstLineChars="202"/>
        <w:jc w:val="left"/>
        <w:rPr>
          <w:rFonts w:ascii="宋体" w:hAnsi="宋体" w:cs="Arial"/>
          <w:bCs/>
          <w:color w:val="auto"/>
          <w:szCs w:val="21"/>
          <w:highlight w:val="none"/>
          <w:u w:val="singl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5"/>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0"/>
        <w:gridCol w:w="6705"/>
      </w:tblGrid>
      <w:tr w14:paraId="63832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2"/>
            <w:tcBorders>
              <w:top w:val="single" w:color="auto" w:sz="4" w:space="0"/>
              <w:left w:val="single" w:color="auto" w:sz="4" w:space="0"/>
              <w:bottom w:val="single" w:color="auto" w:sz="4" w:space="0"/>
              <w:right w:val="single" w:color="auto" w:sz="4" w:space="0"/>
            </w:tcBorders>
          </w:tcPr>
          <w:p w14:paraId="4587541A">
            <w:pPr>
              <w:spacing w:line="360" w:lineRule="auto"/>
              <w:ind w:firstLine="310" w:firstLineChars="147"/>
              <w:jc w:val="left"/>
              <w:rPr>
                <w:rFonts w:hint="default" w:ascii="宋体" w:hAnsi="宋体" w:eastAsia="宋体" w:cs="Arial"/>
                <w:b/>
                <w:bCs w:val="0"/>
                <w:color w:val="auto"/>
                <w:szCs w:val="21"/>
                <w:highlight w:val="none"/>
                <w:u w:val="single"/>
                <w:lang w:val="en-US" w:eastAsia="zh-CN"/>
              </w:rPr>
            </w:pPr>
            <w:bookmarkStart w:id="75" w:name="OLE_LINK3"/>
            <w:r>
              <w:rPr>
                <w:rFonts w:hint="eastAsia" w:ascii="宋体" w:hAnsi="宋体" w:cs="Arial"/>
                <w:b/>
                <w:bCs w:val="0"/>
                <w:color w:val="auto"/>
                <w:szCs w:val="21"/>
                <w:highlight w:val="none"/>
                <w:u w:val="single"/>
              </w:rPr>
              <w:t>最高限价：</w:t>
            </w:r>
            <w:r>
              <w:rPr>
                <w:rFonts w:hint="eastAsia" w:ascii="宋体" w:hAnsi="宋体" w:cs="Arial"/>
                <w:b/>
                <w:bCs w:val="0"/>
                <w:color w:val="auto"/>
                <w:szCs w:val="21"/>
                <w:highlight w:val="none"/>
                <w:u w:val="single"/>
                <w:lang w:val="en-US" w:eastAsia="zh-CN"/>
              </w:rPr>
              <w:t>2546202.54元</w:t>
            </w:r>
          </w:p>
          <w:bookmarkEnd w:id="75"/>
          <w:tbl>
            <w:tblPr>
              <w:tblStyle w:val="45"/>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728"/>
              <w:gridCol w:w="992"/>
              <w:gridCol w:w="709"/>
              <w:gridCol w:w="4721"/>
            </w:tblGrid>
            <w:tr w14:paraId="3532A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vAlign w:val="center"/>
                </w:tcPr>
                <w:p w14:paraId="10955D36">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728" w:type="dxa"/>
                  <w:vAlign w:val="center"/>
                </w:tcPr>
                <w:p w14:paraId="1DBFB88C">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992" w:type="dxa"/>
                  <w:vAlign w:val="center"/>
                </w:tcPr>
                <w:p w14:paraId="744D8798">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709" w:type="dxa"/>
                  <w:vAlign w:val="center"/>
                </w:tcPr>
                <w:p w14:paraId="2C40396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4721" w:type="dxa"/>
                  <w:vAlign w:val="center"/>
                </w:tcPr>
                <w:p w14:paraId="2D8FA49D">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▲技术要求</w:t>
                  </w:r>
                </w:p>
              </w:tc>
            </w:tr>
            <w:tr w14:paraId="5077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655" w:type="dxa"/>
                  <w:vAlign w:val="center"/>
                </w:tcPr>
                <w:p w14:paraId="56B65F94">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728" w:type="dxa"/>
                  <w:vAlign w:val="center"/>
                </w:tcPr>
                <w:p w14:paraId="45D2A76E">
                  <w:pPr>
                    <w:tabs>
                      <w:tab w:val="left" w:pos="180"/>
                      <w:tab w:val="left" w:pos="1620"/>
                    </w:tabs>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会议中心报告厅屋面钢结构修缮项目</w:t>
                  </w:r>
                </w:p>
              </w:tc>
              <w:tc>
                <w:tcPr>
                  <w:tcW w:w="992" w:type="dxa"/>
                  <w:vAlign w:val="center"/>
                </w:tcPr>
                <w:p w14:paraId="180D1FBD">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709" w:type="dxa"/>
                  <w:vAlign w:val="center"/>
                </w:tcPr>
                <w:p w14:paraId="298CD2BD">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4721" w:type="dxa"/>
                  <w:vAlign w:val="center"/>
                </w:tcPr>
                <w:p w14:paraId="230B0ED7">
                  <w:pPr>
                    <w:spacing w:line="360" w:lineRule="auto"/>
                    <w:rPr>
                      <w:rFonts w:hint="eastAsia" w:ascii="宋体" w:hAnsi="宋体" w:eastAsia="宋体" w:cs="Times New Roman"/>
                      <w:color w:val="auto"/>
                      <w:szCs w:val="21"/>
                      <w:highlight w:val="none"/>
                    </w:rPr>
                  </w:pPr>
                  <w:r>
                    <w:rPr>
                      <w:rFonts w:hint="eastAsia" w:ascii="宋体" w:hAnsi="宋体"/>
                      <w:color w:val="auto"/>
                      <w:szCs w:val="21"/>
                      <w:highlight w:val="none"/>
                    </w:rPr>
                    <w:t>1.</w:t>
                  </w:r>
                  <w:r>
                    <w:rPr>
                      <w:rFonts w:hint="eastAsia" w:ascii="宋体" w:hAnsi="宋体" w:eastAsia="宋体" w:cs="Times New Roman"/>
                      <w:color w:val="auto"/>
                      <w:szCs w:val="21"/>
                      <w:highlight w:val="none"/>
                      <w:lang w:val="en-US" w:eastAsia="zh-CN"/>
                    </w:rPr>
                    <w:t>工程概况</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本工程为中共广西壮族自治区委员会党校柳沙新校区会议中心报告厅屋面钢结构修缮项目，项目位于南宁市荔滨大道18号。该屋顶钢结构雨棚为会议中心的屋顶造型，标高为6.780、9.850米，呈L形，长约154米，宽约76.8米，为混凝土+钢结构形式，原屋面板采用铝塑板覆盖。根据业主委托及设计要求，本次修缮内容为对该钢结构雨棚构件进行翻新维修，主要为对已锈蚀的钢构件进行更换、除锈，对原有钢结构构件重新刷防火涂料，屋面铝塑板更换为氟碳铝单板，安装避雷带等。</w:t>
                  </w:r>
                  <w:r>
                    <w:rPr>
                      <w:rFonts w:hint="eastAsia" w:ascii="宋体" w:hAnsi="宋体" w:eastAsia="宋体" w:cs="Times New Roman"/>
                      <w:color w:val="auto"/>
                      <w:szCs w:val="21"/>
                      <w:highlight w:val="none"/>
                    </w:rPr>
                    <w:t xml:space="preserve">  </w:t>
                  </w:r>
                </w:p>
                <w:p w14:paraId="567FB1A9">
                  <w:pPr>
                    <w:spacing w:line="360" w:lineRule="auto"/>
                    <w:rPr>
                      <w:rFonts w:hint="eastAsia" w:ascii="宋体" w:hAnsi="宋体" w:eastAsia="宋体" w:cs="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.采购范围：</w:t>
                  </w:r>
                  <w:r>
                    <w:rPr>
                      <w:rFonts w:hint="eastAsia" w:ascii="宋体" w:hAnsi="宋体" w:cs="Times New Roman"/>
                      <w:color w:val="auto"/>
                      <w:szCs w:val="21"/>
                      <w:highlight w:val="none"/>
                      <w:lang w:eastAsia="zh-CN"/>
                    </w:rPr>
                    <w:t>项目地点位于南宁市荔滨大道18号中共广西区委党校校园内，主要内容包括：对已锈蚀的钢构件进行更换、除锈，对原有钢结构构件重新刷防火涂料，屋面铝塑板更换为氟碳铝单板，安装避雷带等。具体内容详见工程量清单及图纸。</w:t>
                  </w:r>
                </w:p>
                <w:p w14:paraId="3E8C1AE2">
                  <w:pPr>
                    <w:pStyle w:val="19"/>
                    <w:spacing w:line="360" w:lineRule="auto"/>
                    <w:rPr>
                      <w:rFonts w:hint="eastAsia" w:ascii="宋体" w:hAnsi="宋体" w:cs="宋体"/>
                      <w:color w:val="auto"/>
                      <w:szCs w:val="21"/>
                      <w:highlight w:val="none"/>
                      <w:lang w:val="en-US" w:eastAsia="zh-CN"/>
                    </w:rPr>
                  </w:pPr>
                  <w:r>
                    <w:rPr>
                      <w:rFonts w:ascii="宋体" w:hAnsi="宋体" w:cs="宋体"/>
                      <w:color w:val="auto"/>
                      <w:szCs w:val="21"/>
                      <w:highlight w:val="none"/>
                      <w:lang w:val="en-US" w:eastAsia="zh-CN"/>
                    </w:rPr>
                    <w:t>3.</w:t>
                  </w:r>
                  <w:r>
                    <w:rPr>
                      <w:rFonts w:hint="eastAsia" w:ascii="宋体" w:hAnsi="宋体" w:cs="宋体"/>
                      <w:color w:val="auto"/>
                      <w:szCs w:val="21"/>
                      <w:highlight w:val="none"/>
                      <w:lang w:val="en-US" w:eastAsia="zh-CN"/>
                    </w:rPr>
                    <w:t>技术标准</w:t>
                  </w:r>
                  <w:r>
                    <w:rPr>
                      <w:rFonts w:ascii="宋体" w:hAnsi="宋体" w:cs="宋体"/>
                      <w:color w:val="auto"/>
                      <w:szCs w:val="21"/>
                      <w:highlight w:val="none"/>
                      <w:lang w:val="en-US" w:eastAsia="zh-CN"/>
                    </w:rPr>
                    <w:t>和</w:t>
                  </w:r>
                  <w:r>
                    <w:rPr>
                      <w:rFonts w:hint="eastAsia" w:ascii="宋体" w:hAnsi="宋体" w:cs="宋体"/>
                      <w:color w:val="auto"/>
                      <w:szCs w:val="21"/>
                      <w:highlight w:val="none"/>
                      <w:lang w:val="en-US" w:eastAsia="zh-CN"/>
                    </w:rPr>
                    <w:t>要求</w:t>
                  </w:r>
                  <w:r>
                    <w:rPr>
                      <w:rFonts w:ascii="宋体" w:hAnsi="宋体" w:cs="宋体"/>
                      <w:color w:val="auto"/>
                      <w:szCs w:val="21"/>
                      <w:highlight w:val="none"/>
                      <w:lang w:val="en-US" w:eastAsia="zh-CN"/>
                    </w:rPr>
                    <w:t>：</w:t>
                  </w:r>
                  <w:r>
                    <w:rPr>
                      <w:rFonts w:hint="eastAsia" w:ascii="宋体" w:hAnsi="宋体" w:cs="宋体"/>
                      <w:color w:val="auto"/>
                      <w:szCs w:val="21"/>
                      <w:highlight w:val="none"/>
                      <w:lang w:val="en-US" w:eastAsia="zh-CN"/>
                    </w:rPr>
                    <w:t>符合国家现行的工程建设标准、技术规范及强制性标准条文、以及施工图纸载明的其他有关规范标准。</w:t>
                  </w:r>
                </w:p>
                <w:p w14:paraId="3BEEB2AD">
                  <w:pPr>
                    <w:pStyle w:val="19"/>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4.施工单位进场施工应遵守学校有关规定，并满足学校正常教学、办班、办会的要求。施工单位应能配合甲方根据实际情况调整施工计划，并具备保证施工工期的能力。</w:t>
                  </w:r>
                </w:p>
                <w:p w14:paraId="71AE9263">
                  <w:pPr>
                    <w:pStyle w:val="19"/>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5.因项目需拆除原铝塑板后更换铝单板，施工前施工单位应通过现场测量尺寸，进行深化设计，并依据本项目施工图出图单位审核同意后的深化设计大样详图施工。</w:t>
                  </w:r>
                </w:p>
                <w:p w14:paraId="59AC011F">
                  <w:pPr>
                    <w:pStyle w:val="19"/>
                    <w:spacing w:line="360" w:lineRule="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ascii="宋体" w:hAnsi="宋体" w:cs="宋体"/>
                      <w:color w:val="auto"/>
                      <w:szCs w:val="21"/>
                      <w:highlight w:val="none"/>
                      <w:lang w:val="en-US" w:eastAsia="zh-CN"/>
                    </w:rPr>
                    <w:t>.</w:t>
                  </w:r>
                  <w:r>
                    <w:rPr>
                      <w:rFonts w:hint="eastAsia" w:ascii="宋体" w:hAnsi="宋体" w:cs="宋体"/>
                      <w:color w:val="auto"/>
                      <w:szCs w:val="21"/>
                      <w:highlight w:val="none"/>
                      <w:lang w:val="en-US" w:eastAsia="zh-CN"/>
                    </w:rPr>
                    <w:t>质量</w:t>
                  </w:r>
                  <w:r>
                    <w:rPr>
                      <w:rFonts w:ascii="宋体" w:hAnsi="宋体" w:cs="宋体"/>
                      <w:color w:val="auto"/>
                      <w:szCs w:val="21"/>
                      <w:highlight w:val="none"/>
                      <w:lang w:val="en-US" w:eastAsia="zh-CN"/>
                    </w:rPr>
                    <w:t>标准</w:t>
                  </w:r>
                  <w:r>
                    <w:rPr>
                      <w:rFonts w:hint="eastAsia" w:ascii="宋体" w:hAnsi="宋体" w:cs="宋体"/>
                      <w:color w:val="auto"/>
                      <w:szCs w:val="21"/>
                      <w:highlight w:val="none"/>
                      <w:lang w:val="en-US" w:eastAsia="zh-CN"/>
                    </w:rPr>
                    <w:t>：</w:t>
                  </w:r>
                  <w:r>
                    <w:rPr>
                      <w:rFonts w:ascii="宋体" w:hAnsi="宋体" w:cs="宋体"/>
                      <w:color w:val="auto"/>
                      <w:szCs w:val="21"/>
                      <w:highlight w:val="none"/>
                      <w:lang w:val="en-US" w:eastAsia="zh-CN"/>
                    </w:rPr>
                    <w:t>合格。</w:t>
                  </w:r>
                </w:p>
                <w:p w14:paraId="4D3BDBE5">
                  <w:pPr>
                    <w:pStyle w:val="19"/>
                    <w:spacing w:line="360" w:lineRule="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7.报价</w:t>
                  </w:r>
                  <w:r>
                    <w:rPr>
                      <w:rFonts w:ascii="宋体" w:hAnsi="宋体" w:cs="宋体"/>
                      <w:color w:val="auto"/>
                      <w:szCs w:val="21"/>
                      <w:highlight w:val="none"/>
                      <w:lang w:val="en-US" w:eastAsia="zh-CN"/>
                    </w:rPr>
                    <w:t>方式：</w:t>
                  </w:r>
                  <w:r>
                    <w:rPr>
                      <w:rFonts w:hint="eastAsia" w:ascii="宋体" w:hAnsi="宋体" w:cs="宋体"/>
                      <w:color w:val="auto"/>
                      <w:szCs w:val="21"/>
                      <w:highlight w:val="none"/>
                      <w:lang w:val="en-US" w:eastAsia="zh-CN"/>
                    </w:rPr>
                    <w:t>工程量</w:t>
                  </w:r>
                  <w:r>
                    <w:rPr>
                      <w:rFonts w:ascii="宋体" w:hAnsi="宋体" w:cs="宋体"/>
                      <w:color w:val="auto"/>
                      <w:szCs w:val="21"/>
                      <w:highlight w:val="none"/>
                      <w:lang w:val="en-US" w:eastAsia="zh-CN"/>
                    </w:rPr>
                    <w:t>清单报价。</w:t>
                  </w:r>
                </w:p>
                <w:p w14:paraId="34ED08FE">
                  <w:pPr>
                    <w:pStyle w:val="19"/>
                    <w:spacing w:line="360" w:lineRule="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8.承包方式</w:t>
                  </w:r>
                  <w:r>
                    <w:rPr>
                      <w:rFonts w:ascii="宋体" w:hAnsi="宋体" w:cs="宋体"/>
                      <w:color w:val="auto"/>
                      <w:szCs w:val="21"/>
                      <w:highlight w:val="none"/>
                      <w:lang w:val="en-US" w:eastAsia="zh-CN"/>
                    </w:rPr>
                    <w:t>：</w:t>
                  </w:r>
                  <w:r>
                    <w:rPr>
                      <w:rFonts w:hint="eastAsia" w:ascii="宋体" w:hAnsi="宋体" w:cs="宋体"/>
                      <w:color w:val="auto"/>
                      <w:szCs w:val="21"/>
                      <w:highlight w:val="none"/>
                      <w:lang w:val="en-US" w:eastAsia="zh-CN"/>
                    </w:rPr>
                    <w:t>固定</w:t>
                  </w:r>
                  <w:r>
                    <w:rPr>
                      <w:rFonts w:ascii="宋体" w:hAnsi="宋体" w:cs="宋体"/>
                      <w:color w:val="auto"/>
                      <w:szCs w:val="21"/>
                      <w:highlight w:val="none"/>
                      <w:lang w:val="en-US" w:eastAsia="zh-CN"/>
                    </w:rPr>
                    <w:t>综合单价。</w:t>
                  </w:r>
                </w:p>
                <w:p w14:paraId="7064149D">
                  <w:pPr>
                    <w:pStyle w:val="19"/>
                    <w:spacing w:line="360" w:lineRule="auto"/>
                    <w:rPr>
                      <w:color w:val="auto"/>
                      <w:highlight w:val="none"/>
                    </w:rPr>
                  </w:pPr>
                  <w:r>
                    <w:rPr>
                      <w:rFonts w:hint="eastAsia" w:ascii="宋体" w:hAnsi="宋体" w:cs="宋体"/>
                      <w:color w:val="auto"/>
                      <w:szCs w:val="21"/>
                      <w:highlight w:val="none"/>
                      <w:lang w:val="en-US" w:eastAsia="zh-CN"/>
                    </w:rPr>
                    <w:t>9.</w:t>
                  </w:r>
                  <w:r>
                    <w:rPr>
                      <w:rFonts w:hint="eastAsia"/>
                      <w:color w:val="auto"/>
                      <w:highlight w:val="none"/>
                      <w:lang w:val="en-US" w:eastAsia="zh-CN"/>
                    </w:rPr>
                    <w:t xml:space="preserve"> 开工日期：以签订合同后采购人通知为准。</w:t>
                  </w:r>
                </w:p>
              </w:tc>
            </w:tr>
          </w:tbl>
          <w:p w14:paraId="2582FA34">
            <w:pPr>
              <w:spacing w:line="360" w:lineRule="auto"/>
              <w:rPr>
                <w:rFonts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商务要求</w:t>
            </w:r>
          </w:p>
        </w:tc>
      </w:tr>
      <w:tr w14:paraId="7399B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197DC5F7">
            <w:pPr>
              <w:spacing w:line="360" w:lineRule="auto"/>
              <w:rPr>
                <w:rFonts w:ascii="宋体" w:hAnsi="宋体"/>
                <w:b/>
                <w:color w:val="auto"/>
                <w:szCs w:val="21"/>
                <w:highlight w:val="none"/>
              </w:rPr>
            </w:pPr>
            <w:r>
              <w:rPr>
                <w:rFonts w:hint="eastAsia" w:ascii="宋体" w:hAnsi="宋体" w:eastAsia="宋体" w:cs="Times New Roman"/>
                <w:color w:val="auto"/>
                <w:szCs w:val="21"/>
                <w:highlight w:val="none"/>
                <w:lang w:val="en-US" w:eastAsia="zh-CN"/>
              </w:rPr>
              <w:t>合同履行期限</w:t>
            </w:r>
          </w:p>
        </w:tc>
        <w:tc>
          <w:tcPr>
            <w:tcW w:w="6705" w:type="dxa"/>
            <w:tcBorders>
              <w:top w:val="single" w:color="auto" w:sz="4" w:space="0"/>
              <w:left w:val="single" w:color="auto" w:sz="4" w:space="0"/>
              <w:bottom w:val="single" w:color="auto" w:sz="4" w:space="0"/>
              <w:right w:val="single" w:color="auto" w:sz="4" w:space="0"/>
            </w:tcBorders>
            <w:vAlign w:val="center"/>
          </w:tcPr>
          <w:p w14:paraId="36E85568">
            <w:pPr>
              <w:rPr>
                <w:rFonts w:hint="default"/>
                <w:color w:val="auto"/>
                <w:highlight w:val="none"/>
                <w:lang w:val="en-US"/>
              </w:rPr>
            </w:pPr>
            <w:r>
              <w:rPr>
                <w:rFonts w:hint="eastAsia"/>
                <w:color w:val="auto"/>
                <w:highlight w:val="none"/>
                <w:lang w:val="en-US" w:eastAsia="zh-CN"/>
              </w:rPr>
              <w:t>工程工期180日历日</w:t>
            </w:r>
          </w:p>
        </w:tc>
      </w:tr>
      <w:tr w14:paraId="59CC2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54220736">
            <w:pPr>
              <w:spacing w:line="360" w:lineRule="auto"/>
              <w:rPr>
                <w:rFonts w:ascii="宋体" w:hAnsi="宋体"/>
                <w:color w:val="auto"/>
                <w:szCs w:val="21"/>
                <w:highlight w:val="none"/>
              </w:rPr>
            </w:pPr>
            <w:r>
              <w:rPr>
                <w:rFonts w:hint="eastAsia" w:ascii="宋体" w:hAnsi="宋体"/>
                <w:color w:val="auto"/>
                <w:szCs w:val="21"/>
                <w:highlight w:val="none"/>
              </w:rPr>
              <w:t>建设地点</w:t>
            </w:r>
          </w:p>
        </w:tc>
        <w:tc>
          <w:tcPr>
            <w:tcW w:w="6705" w:type="dxa"/>
            <w:tcBorders>
              <w:top w:val="single" w:color="auto" w:sz="4" w:space="0"/>
              <w:left w:val="single" w:color="auto" w:sz="4" w:space="0"/>
              <w:bottom w:val="single" w:color="auto" w:sz="4" w:space="0"/>
              <w:right w:val="single" w:color="auto" w:sz="4" w:space="0"/>
            </w:tcBorders>
            <w:vAlign w:val="center"/>
          </w:tcPr>
          <w:p w14:paraId="117E8A1D">
            <w:pPr>
              <w:spacing w:line="360" w:lineRule="auto"/>
              <w:rPr>
                <w:rFonts w:hint="eastAsia" w:ascii="宋体" w:hAnsi="宋体" w:eastAsia="宋体"/>
                <w:color w:val="auto"/>
                <w:szCs w:val="21"/>
                <w:highlight w:val="none"/>
                <w:lang w:eastAsia="zh-CN"/>
              </w:rPr>
            </w:pPr>
            <w:r>
              <w:rPr>
                <w:rFonts w:hint="eastAsia" w:ascii="宋体" w:hAnsi="宋体" w:cs="宋体"/>
                <w:color w:val="auto"/>
                <w:kern w:val="0"/>
                <w:szCs w:val="21"/>
                <w:highlight w:val="none"/>
                <w:lang w:eastAsia="zh-CN"/>
              </w:rPr>
              <w:t>南宁市青秀区荔滨大道18号</w:t>
            </w:r>
          </w:p>
        </w:tc>
      </w:tr>
      <w:tr w14:paraId="42662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7A2C762E">
            <w:pPr>
              <w:spacing w:line="360" w:lineRule="auto"/>
              <w:rPr>
                <w:rFonts w:ascii="宋体" w:hAnsi="宋体"/>
                <w:b/>
                <w:color w:val="auto"/>
                <w:szCs w:val="21"/>
                <w:highlight w:val="none"/>
              </w:rPr>
            </w:pPr>
            <w:r>
              <w:rPr>
                <w:rFonts w:hint="eastAsia" w:ascii="宋体" w:hAnsi="宋体"/>
                <w:color w:val="auto"/>
                <w:szCs w:val="21"/>
                <w:highlight w:val="none"/>
              </w:rPr>
              <w:t>合同签订时间</w:t>
            </w:r>
          </w:p>
        </w:tc>
        <w:tc>
          <w:tcPr>
            <w:tcW w:w="6705" w:type="dxa"/>
            <w:tcBorders>
              <w:top w:val="single" w:color="auto" w:sz="4" w:space="0"/>
              <w:left w:val="single" w:color="auto" w:sz="4" w:space="0"/>
              <w:bottom w:val="single" w:color="auto" w:sz="4" w:space="0"/>
              <w:right w:val="single" w:color="auto" w:sz="4" w:space="0"/>
            </w:tcBorders>
            <w:vAlign w:val="center"/>
          </w:tcPr>
          <w:p w14:paraId="5AF7C8E4">
            <w:pPr>
              <w:spacing w:line="360" w:lineRule="auto"/>
              <w:rPr>
                <w:rFonts w:ascii="宋体" w:hAnsi="宋体"/>
                <w:b/>
                <w:color w:val="auto"/>
                <w:szCs w:val="21"/>
                <w:highlight w:val="none"/>
              </w:rPr>
            </w:pPr>
            <w:r>
              <w:rPr>
                <w:rFonts w:hint="eastAsia" w:ascii="宋体" w:hAnsi="宋体"/>
                <w:color w:val="auto"/>
                <w:szCs w:val="21"/>
                <w:highlight w:val="none"/>
              </w:rPr>
              <w:t>自成交通知书发出之日起</w:t>
            </w:r>
            <w:r>
              <w:rPr>
                <w:rFonts w:ascii="宋体" w:hAnsi="宋体"/>
                <w:color w:val="auto"/>
                <w:szCs w:val="21"/>
                <w:highlight w:val="none"/>
                <w:u w:val="single"/>
              </w:rPr>
              <w:t>25</w:t>
            </w:r>
            <w:r>
              <w:rPr>
                <w:rFonts w:hint="eastAsia" w:ascii="宋体" w:hAnsi="宋体"/>
                <w:color w:val="auto"/>
                <w:szCs w:val="21"/>
                <w:highlight w:val="none"/>
              </w:rPr>
              <w:t>日内</w:t>
            </w:r>
          </w:p>
        </w:tc>
      </w:tr>
      <w:tr w14:paraId="1AE01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00" w:type="dxa"/>
            <w:tcBorders>
              <w:top w:val="single" w:color="auto" w:sz="4" w:space="0"/>
              <w:left w:val="single" w:color="auto" w:sz="4" w:space="0"/>
              <w:bottom w:val="single" w:color="auto" w:sz="4" w:space="0"/>
              <w:right w:val="single" w:color="auto" w:sz="4" w:space="0"/>
            </w:tcBorders>
            <w:vAlign w:val="center"/>
          </w:tcPr>
          <w:p w14:paraId="1358F5FB">
            <w:pPr>
              <w:spacing w:line="360" w:lineRule="auto"/>
              <w:rPr>
                <w:rFonts w:ascii="宋体" w:hAnsi="宋体"/>
                <w:color w:val="auto"/>
                <w:szCs w:val="21"/>
                <w:highlight w:val="none"/>
              </w:rPr>
            </w:pPr>
            <w:r>
              <w:rPr>
                <w:rFonts w:hint="eastAsia" w:ascii="宋体" w:hAnsi="宋体"/>
                <w:color w:val="auto"/>
                <w:szCs w:val="21"/>
                <w:highlight w:val="none"/>
              </w:rPr>
              <w:t>验收标准</w:t>
            </w:r>
          </w:p>
        </w:tc>
        <w:tc>
          <w:tcPr>
            <w:tcW w:w="6705" w:type="dxa"/>
            <w:tcBorders>
              <w:top w:val="single" w:color="auto" w:sz="4" w:space="0"/>
              <w:left w:val="single" w:color="auto" w:sz="4" w:space="0"/>
              <w:bottom w:val="single" w:color="auto" w:sz="4" w:space="0"/>
              <w:right w:val="single" w:color="auto" w:sz="4" w:space="0"/>
            </w:tcBorders>
            <w:vAlign w:val="center"/>
          </w:tcPr>
          <w:p w14:paraId="3CC452B3">
            <w:pPr>
              <w:spacing w:line="360" w:lineRule="auto"/>
              <w:rPr>
                <w:rFonts w:ascii="宋体" w:hAnsi="宋体"/>
                <w:color w:val="auto"/>
                <w:szCs w:val="21"/>
                <w:highlight w:val="none"/>
              </w:rPr>
            </w:pPr>
            <w:r>
              <w:rPr>
                <w:rFonts w:hint="eastAsia" w:ascii="宋体" w:hAnsi="宋体"/>
                <w:color w:val="auto"/>
                <w:szCs w:val="21"/>
                <w:highlight w:val="none"/>
              </w:rPr>
              <w:t>按国家现行规范合格标准执行。</w:t>
            </w:r>
          </w:p>
        </w:tc>
      </w:tr>
      <w:tr w14:paraId="1C3A11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4" w:hRule="atLeast"/>
          <w:jc w:val="center"/>
        </w:trPr>
        <w:tc>
          <w:tcPr>
            <w:tcW w:w="2100" w:type="dxa"/>
            <w:tcBorders>
              <w:top w:val="single" w:color="auto" w:sz="4" w:space="0"/>
              <w:left w:val="single" w:color="auto" w:sz="4" w:space="0"/>
              <w:bottom w:val="single" w:color="auto" w:sz="4" w:space="0"/>
              <w:right w:val="single" w:color="auto" w:sz="4" w:space="0"/>
            </w:tcBorders>
            <w:vAlign w:val="center"/>
          </w:tcPr>
          <w:p w14:paraId="30AA2E30">
            <w:pPr>
              <w:spacing w:line="360" w:lineRule="auto"/>
              <w:rPr>
                <w:rFonts w:ascii="宋体" w:hAnsi="宋体"/>
                <w:b/>
                <w:color w:val="auto"/>
                <w:szCs w:val="21"/>
                <w:highlight w:val="none"/>
              </w:rPr>
            </w:pPr>
            <w:r>
              <w:rPr>
                <w:rFonts w:hint="eastAsia" w:ascii="宋体" w:hAnsi="宋体"/>
                <w:color w:val="auto"/>
                <w:szCs w:val="21"/>
                <w:highlight w:val="none"/>
              </w:rPr>
              <w:t>付款条件（进度和方式）</w:t>
            </w:r>
          </w:p>
        </w:tc>
        <w:tc>
          <w:tcPr>
            <w:tcW w:w="6705" w:type="dxa"/>
            <w:tcBorders>
              <w:top w:val="single" w:color="auto" w:sz="4" w:space="0"/>
              <w:left w:val="single" w:color="auto" w:sz="4" w:space="0"/>
              <w:bottom w:val="single" w:color="auto" w:sz="4" w:space="0"/>
              <w:right w:val="single" w:color="auto" w:sz="4" w:space="0"/>
            </w:tcBorders>
            <w:vAlign w:val="center"/>
          </w:tcPr>
          <w:p w14:paraId="7601B500">
            <w:pPr>
              <w:spacing w:line="360" w:lineRule="auto"/>
              <w:rPr>
                <w:rFonts w:hint="default" w:ascii="宋体" w:hAnsi="宋体"/>
                <w:color w:val="auto"/>
                <w:szCs w:val="21"/>
                <w:highlight w:val="none"/>
                <w:lang w:val="en"/>
              </w:rPr>
            </w:pPr>
            <w:r>
              <w:rPr>
                <w:rFonts w:hint="eastAsia" w:ascii="宋体" w:hAnsi="宋体"/>
                <w:color w:val="auto"/>
                <w:szCs w:val="21"/>
                <w:highlight w:val="none"/>
                <w:lang w:val="en-US" w:eastAsia="zh-CN"/>
              </w:rPr>
              <w:t>本项目无预付款。</w:t>
            </w:r>
            <w:r>
              <w:rPr>
                <w:rFonts w:hint="eastAsia" w:ascii="宋体" w:hAnsi="宋体"/>
                <w:color w:val="auto"/>
                <w:szCs w:val="21"/>
                <w:highlight w:val="none"/>
              </w:rPr>
              <w:t>工程款原则上按月支付，合同内进度款支付限额为已完成合格工程量的80%，工程变更部分进度款支付限额为已完成合格工程量的</w:t>
            </w:r>
            <w:r>
              <w:rPr>
                <w:rFonts w:hint="eastAsia" w:ascii="宋体" w:hAnsi="宋体"/>
                <w:color w:val="auto"/>
                <w:szCs w:val="21"/>
                <w:highlight w:val="none"/>
                <w:lang w:val="en-US" w:eastAsia="zh-CN"/>
              </w:rPr>
              <w:t>80</w:t>
            </w:r>
            <w:r>
              <w:rPr>
                <w:rFonts w:hint="eastAsia" w:ascii="宋体" w:hAnsi="宋体"/>
                <w:color w:val="auto"/>
                <w:szCs w:val="21"/>
                <w:highlight w:val="none"/>
              </w:rPr>
              <w:t>%；工程完工验收达到质量要求，</w:t>
            </w:r>
            <w:r>
              <w:rPr>
                <w:rFonts w:hint="eastAsia" w:ascii="宋体" w:hAnsi="宋体"/>
                <w:color w:val="auto"/>
                <w:szCs w:val="21"/>
                <w:highlight w:val="none"/>
                <w:lang w:eastAsia="zh-CN"/>
              </w:rPr>
              <w:t>并按照采购人验收整改意见完成相关整改工作后，</w:t>
            </w:r>
            <w:r>
              <w:rPr>
                <w:rFonts w:hint="eastAsia" w:ascii="宋体" w:hAnsi="宋体"/>
                <w:color w:val="auto"/>
                <w:szCs w:val="21"/>
                <w:highlight w:val="none"/>
              </w:rPr>
              <w:t>结算经自治区</w:t>
            </w:r>
            <w:r>
              <w:rPr>
                <w:rFonts w:ascii="宋体" w:hAnsi="宋体"/>
                <w:color w:val="auto"/>
                <w:szCs w:val="21"/>
                <w:highlight w:val="none"/>
              </w:rPr>
              <w:t>财政厅定点的</w:t>
            </w:r>
            <w:r>
              <w:rPr>
                <w:rFonts w:hint="eastAsia" w:ascii="宋体" w:hAnsi="宋体"/>
                <w:color w:val="auto"/>
                <w:szCs w:val="21"/>
                <w:highlight w:val="none"/>
              </w:rPr>
              <w:t>第三方工程造价单位结算审计审定，成交供应商按工程价款结算总额的3%缴纳工程质量保证金给采购人（待工程质量缺陷责任期满之日起</w:t>
            </w:r>
            <w:r>
              <w:rPr>
                <w:rFonts w:hint="eastAsia" w:ascii="宋体" w:hAnsi="宋体"/>
                <w:color w:val="auto"/>
                <w:szCs w:val="21"/>
                <w:highlight w:val="none"/>
                <w:lang w:val="en-US" w:eastAsia="zh-CN"/>
              </w:rPr>
              <w:t>15</w:t>
            </w:r>
            <w:r>
              <w:rPr>
                <w:rFonts w:hint="eastAsia" w:ascii="宋体" w:hAnsi="宋体"/>
                <w:color w:val="auto"/>
                <w:szCs w:val="21"/>
                <w:highlight w:val="none"/>
              </w:rPr>
              <w:t>天内</w:t>
            </w:r>
            <w:r>
              <w:rPr>
                <w:rFonts w:hint="eastAsia" w:ascii="宋体" w:hAnsi="宋体"/>
                <w:color w:val="auto"/>
                <w:szCs w:val="21"/>
                <w:highlight w:val="none"/>
                <w:lang w:val="en-US" w:eastAsia="zh-CN"/>
              </w:rPr>
              <w:t>无息</w:t>
            </w:r>
            <w:r>
              <w:rPr>
                <w:rFonts w:hint="eastAsia" w:ascii="宋体" w:hAnsi="宋体"/>
                <w:color w:val="auto"/>
                <w:szCs w:val="21"/>
                <w:highlight w:val="none"/>
              </w:rPr>
              <w:t>返还），采购人将工程款支付至结算总价的 100%。（采购人在接到成交供应商返还保证金申请后，应于14天内会同采购人按照合同约定的内容进行核实。如无异议，采购人应当按照约定将保证金返还给成交</w:t>
            </w:r>
            <w:r>
              <w:rPr>
                <w:rFonts w:ascii="宋体" w:hAnsi="宋体"/>
                <w:color w:val="auto"/>
                <w:szCs w:val="21"/>
                <w:highlight w:val="none"/>
              </w:rPr>
              <w:t>供应商</w:t>
            </w:r>
            <w:r>
              <w:rPr>
                <w:rFonts w:hint="eastAsia" w:ascii="宋体" w:hAnsi="宋体"/>
                <w:color w:val="auto"/>
                <w:szCs w:val="21"/>
                <w:highlight w:val="none"/>
              </w:rPr>
              <w:t>。对返还期限没有约定或者约定不明确的，采购人应当在核实后14天内将保证金返还成交</w:t>
            </w:r>
            <w:r>
              <w:rPr>
                <w:rFonts w:ascii="宋体" w:hAnsi="宋体"/>
                <w:color w:val="auto"/>
                <w:szCs w:val="21"/>
                <w:highlight w:val="none"/>
              </w:rPr>
              <w:t>供应商</w:t>
            </w:r>
            <w:r>
              <w:rPr>
                <w:rFonts w:hint="eastAsia" w:ascii="宋体" w:hAnsi="宋体"/>
                <w:color w:val="auto"/>
                <w:szCs w:val="21"/>
                <w:highlight w:val="none"/>
              </w:rPr>
              <w:t>，逾期未返还的，依法承担违约责任。采购人在接到成交</w:t>
            </w:r>
            <w:r>
              <w:rPr>
                <w:rFonts w:ascii="宋体" w:hAnsi="宋体"/>
                <w:color w:val="auto"/>
                <w:szCs w:val="21"/>
                <w:highlight w:val="none"/>
              </w:rPr>
              <w:t>供应商</w:t>
            </w:r>
            <w:r>
              <w:rPr>
                <w:rFonts w:hint="eastAsia" w:ascii="宋体" w:hAnsi="宋体"/>
                <w:color w:val="auto"/>
                <w:szCs w:val="21"/>
                <w:highlight w:val="none"/>
              </w:rPr>
              <w:t>返还保证金申请后14天内不予答复，经催告后14天内仍不予答复，视同认可成交</w:t>
            </w:r>
            <w:r>
              <w:rPr>
                <w:rFonts w:ascii="宋体" w:hAnsi="宋体"/>
                <w:color w:val="auto"/>
                <w:szCs w:val="21"/>
                <w:highlight w:val="none"/>
              </w:rPr>
              <w:t>供应商</w:t>
            </w:r>
            <w:r>
              <w:rPr>
                <w:rFonts w:hint="eastAsia" w:ascii="宋体" w:hAnsi="宋体"/>
                <w:color w:val="auto"/>
                <w:szCs w:val="21"/>
                <w:highlight w:val="none"/>
              </w:rPr>
              <w:t>的返还保证金申请）。</w:t>
            </w:r>
          </w:p>
        </w:tc>
      </w:tr>
    </w:tbl>
    <w:p w14:paraId="3A301261">
      <w:pPr>
        <w:tabs>
          <w:tab w:val="left" w:pos="180"/>
          <w:tab w:val="left" w:pos="1620"/>
        </w:tabs>
        <w:spacing w:line="360" w:lineRule="auto"/>
        <w:ind w:firstLine="422" w:firstLineChars="200"/>
        <w:rPr>
          <w:rFonts w:ascii="宋体" w:hAnsi="宋体" w:cs="宋体"/>
          <w:b/>
          <w:bCs/>
          <w:color w:val="auto"/>
          <w:szCs w:val="21"/>
          <w:highlight w:val="none"/>
        </w:rPr>
      </w:pPr>
    </w:p>
    <w:p w14:paraId="6046AE4A">
      <w:pPr>
        <w:tabs>
          <w:tab w:val="left" w:pos="180"/>
          <w:tab w:val="left" w:pos="1620"/>
        </w:tabs>
        <w:spacing w:line="360" w:lineRule="auto"/>
        <w:ind w:firstLine="422" w:firstLineChars="200"/>
        <w:rPr>
          <w:rFonts w:ascii="宋体" w:hAnsi="宋体" w:cs="宋体"/>
          <w:b/>
          <w:bCs/>
          <w:color w:val="auto"/>
          <w:szCs w:val="21"/>
          <w:highlight w:val="none"/>
        </w:rPr>
      </w:pPr>
    </w:p>
    <w:p w14:paraId="589B38E5">
      <w:pPr>
        <w:pStyle w:val="26"/>
        <w:keepNext w:val="0"/>
        <w:keepLines w:val="0"/>
        <w:pageBreakBefore w:val="0"/>
        <w:widowControl w:val="0"/>
        <w:kinsoku/>
        <w:wordWrap/>
        <w:overflowPunct/>
        <w:topLinePunct w:val="0"/>
        <w:autoSpaceDE/>
        <w:autoSpaceDN/>
        <w:bidi w:val="0"/>
        <w:adjustRightInd/>
        <w:snapToGrid/>
        <w:spacing w:before="340" w:after="340" w:line="360" w:lineRule="auto"/>
        <w:ind w:firstLine="402" w:firstLineChars="200"/>
        <w:jc w:val="center"/>
        <w:textAlignment w:val="center"/>
        <w:outlineLvl w:val="0"/>
        <w:rPr>
          <w:color w:val="auto"/>
          <w:highlight w:val="none"/>
        </w:rPr>
      </w:pPr>
      <w:r>
        <w:rPr>
          <w:rFonts w:hAnsi="宋体" w:cs="宋体"/>
          <w:b/>
          <w:bCs/>
          <w:color w:val="auto"/>
          <w:highlight w:val="none"/>
        </w:rPr>
        <w:br w:type="page"/>
      </w:r>
      <w:bookmarkStart w:id="76" w:name="_Toc29831"/>
      <w:r>
        <w:rPr>
          <w:rFonts w:hint="eastAsia"/>
          <w:b/>
          <w:color w:val="auto"/>
          <w:sz w:val="44"/>
          <w:szCs w:val="44"/>
          <w:highlight w:val="none"/>
        </w:rPr>
        <w:t>第四章  评审程序、评审方法和评审标准</w:t>
      </w:r>
      <w:bookmarkEnd w:id="76"/>
    </w:p>
    <w:p w14:paraId="674B5235">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3CEB65F1">
      <w:pPr>
        <w:spacing w:line="360" w:lineRule="auto"/>
        <w:ind w:firstLine="354" w:firstLineChars="147"/>
        <w:jc w:val="left"/>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5F031E85">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4CC9041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01740B0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平台“信用中国”网站（www.creditchina.gov.cn）、中国政府采购网（www.ccgp.gov.cn）链接入口。</w:t>
      </w:r>
    </w:p>
    <w:p w14:paraId="096519B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B5F61D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35FD52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71C3D58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4598DE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4414C8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27CA9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3E58D7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09B9E7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6CAD43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4E6D10B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2FA1C49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34E77F66">
      <w:pPr>
        <w:spacing w:line="360" w:lineRule="auto"/>
        <w:ind w:firstLine="420" w:firstLineChars="200"/>
        <w:rPr>
          <w:rFonts w:ascii="宋体" w:hAnsi="宋体" w:cs="宋体"/>
          <w:color w:val="auto"/>
          <w:szCs w:val="21"/>
          <w:highlight w:val="none"/>
        </w:rPr>
      </w:pPr>
      <w:bookmarkStart w:id="77"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7"/>
    <w:p w14:paraId="720561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3C0A2C8">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6E578726">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87CCD1F">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0CE992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4CEF0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16B50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105BD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2B9082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2074A3D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4948D9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08AC545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（1）商务技术评审</w:t>
      </w:r>
    </w:p>
    <w:p w14:paraId="0505980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562B371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6E498E2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2C4C771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632D875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5）商务要求允许负偏离的条款数超过“供应商须知前附表”规定项数的；</w:t>
      </w:r>
    </w:p>
    <w:p w14:paraId="48E04BC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6）未对竞标有效期作出响应或者响应文件承诺的竞标有效期不满足磋商文件要求的；</w:t>
      </w:r>
    </w:p>
    <w:p w14:paraId="15F32C5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7）响应文件的实质性内容未使用中文表述、使用计量单位不符合磋商文件要求的；</w:t>
      </w:r>
    </w:p>
    <w:p w14:paraId="3DDB7AC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8）响应文件中的文件资料因填写不齐全或者内容虚假或者出现其他情形而导致被磋商小组认定无效的；</w:t>
      </w:r>
    </w:p>
    <w:p w14:paraId="4E9DA8DC">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9）响应文件含有采购人不能接受的附加条件的；</w:t>
      </w:r>
    </w:p>
    <w:p w14:paraId="2746688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2A99039B">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1）技术要求允许负偏离的条款数超过“供应商须知前附表”规定项数的；</w:t>
      </w:r>
    </w:p>
    <w:p w14:paraId="21BBD94A">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2）虚假竞标，或者出现其他情形而导致被磋商小组认定无效的；</w:t>
      </w:r>
    </w:p>
    <w:p w14:paraId="297F309E">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w:t>
      </w:r>
      <w:bookmarkStart w:id="78"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8"/>
    </w:p>
    <w:p w14:paraId="691C34F8">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4）响应文件标注的项目名称或者项目编号与磋商文件标注的项目名称或者项目编号不一致的；</w:t>
      </w:r>
    </w:p>
    <w:p w14:paraId="3659EE7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b/>
          <w:color w:val="auto"/>
          <w:szCs w:val="21"/>
          <w:highlight w:val="none"/>
        </w:rPr>
        <w:t>竞争性磋商文件明确不允许分包，响应文件拟分包的；</w:t>
      </w:r>
    </w:p>
    <w:p w14:paraId="0809ECF1">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6）未响应磋商文件实质性要求的；</w:t>
      </w:r>
    </w:p>
    <w:p w14:paraId="7DA9622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17）法律、法规和磋商文件规定的其他无效情形。</w:t>
      </w:r>
    </w:p>
    <w:p w14:paraId="297608B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262F62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1）响应文件未提供“供应商须知前附表” 报价文件中规定的“竞标报价表”的；</w:t>
      </w:r>
    </w:p>
    <w:p w14:paraId="48BCF98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2E21CD3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3）供应商未就所竞标</w:t>
      </w:r>
      <w:r>
        <w:rPr>
          <w:rFonts w:hint="eastAsia" w:ascii="宋体" w:hAnsi="宋体" w:cs="宋体"/>
          <w:b/>
          <w:color w:val="auto"/>
          <w:szCs w:val="21"/>
          <w:highlight w:val="none"/>
          <w:lang w:val="en-US" w:eastAsia="zh-CN"/>
        </w:rPr>
        <w:t>分标</w:t>
      </w:r>
      <w:r>
        <w:rPr>
          <w:rFonts w:hint="eastAsia" w:ascii="宋体" w:hAnsi="宋体" w:cs="宋体"/>
          <w:b/>
          <w:color w:val="auto"/>
          <w:szCs w:val="21"/>
          <w:highlight w:val="none"/>
        </w:rPr>
        <w:t>进行报价或者存在漏项报价；供应商未就所竞标</w:t>
      </w:r>
      <w:r>
        <w:rPr>
          <w:rFonts w:hint="eastAsia" w:ascii="宋体" w:hAnsi="宋体" w:cs="宋体"/>
          <w:b/>
          <w:color w:val="auto"/>
          <w:szCs w:val="21"/>
          <w:highlight w:val="none"/>
          <w:lang w:val="en-US" w:eastAsia="zh-CN"/>
        </w:rPr>
        <w:t>分标</w:t>
      </w:r>
      <w:r>
        <w:rPr>
          <w:rFonts w:hint="eastAsia" w:ascii="宋体" w:hAnsi="宋体" w:cs="宋体"/>
          <w:b/>
          <w:color w:val="auto"/>
          <w:szCs w:val="21"/>
          <w:highlight w:val="none"/>
        </w:rPr>
        <w:t>的单项内容作唯一报价；供应商未就所竞标</w:t>
      </w:r>
      <w:r>
        <w:rPr>
          <w:rFonts w:hint="eastAsia" w:ascii="宋体" w:hAnsi="宋体" w:cs="宋体"/>
          <w:b/>
          <w:color w:val="auto"/>
          <w:szCs w:val="21"/>
          <w:highlight w:val="none"/>
          <w:lang w:val="en-US" w:eastAsia="zh-CN"/>
        </w:rPr>
        <w:t>分标</w:t>
      </w:r>
      <w:r>
        <w:rPr>
          <w:rFonts w:hint="eastAsia" w:ascii="宋体" w:hAnsi="宋体" w:cs="宋体"/>
          <w:b/>
          <w:color w:val="auto"/>
          <w:szCs w:val="21"/>
          <w:highlight w:val="none"/>
        </w:rPr>
        <w:t>的全部内容作完整唯一总价报价；供应商响应文件中存在有选择、有条件报价的（磋商文件允许有备选方案或者其他约定的除外）；</w:t>
      </w:r>
    </w:p>
    <w:p w14:paraId="411FAA9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w:t>
      </w:r>
      <w:r>
        <w:rPr>
          <w:rFonts w:hint="eastAsia" w:ascii="宋体" w:hAnsi="宋体" w:cs="宋体"/>
          <w:b/>
          <w:color w:val="auto"/>
          <w:szCs w:val="21"/>
          <w:highlight w:val="none"/>
          <w:lang w:val="en-US" w:eastAsia="zh-CN"/>
        </w:rPr>
        <w:t>分标</w:t>
      </w:r>
      <w:r>
        <w:rPr>
          <w:rFonts w:hint="eastAsia" w:ascii="宋体" w:hAnsi="宋体" w:cs="宋体"/>
          <w:b/>
          <w:color w:val="auto"/>
          <w:szCs w:val="21"/>
          <w:highlight w:val="none"/>
        </w:rPr>
        <w:t>规定的采购预算金额或者最高限价的（如本项目公布了最高限价）；</w:t>
      </w:r>
      <w:bookmarkStart w:id="79" w:name="_Hlk42596405"/>
      <w:r>
        <w:rPr>
          <w:rFonts w:hint="eastAsia" w:ascii="宋体" w:hAnsi="宋体" w:cs="宋体"/>
          <w:b/>
          <w:color w:val="auto"/>
          <w:szCs w:val="21"/>
          <w:highlight w:val="none"/>
        </w:rPr>
        <w:t>竞标报价（包含首次报价、最后报价）</w:t>
      </w:r>
      <w:bookmarkEnd w:id="79"/>
      <w:bookmarkStart w:id="80" w:name="_Hlk42596276"/>
      <w:r>
        <w:rPr>
          <w:rFonts w:hint="eastAsia" w:ascii="宋体" w:hAnsi="宋体" w:cs="宋体"/>
          <w:b/>
          <w:color w:val="auto"/>
          <w:szCs w:val="21"/>
          <w:highlight w:val="none"/>
        </w:rPr>
        <w:t>超过磋商文件分项采购预算金额或者最高限价的</w:t>
      </w:r>
      <w:bookmarkEnd w:id="80"/>
      <w:r>
        <w:rPr>
          <w:rFonts w:hint="eastAsia" w:ascii="宋体" w:hAnsi="宋体" w:cs="宋体"/>
          <w:b/>
          <w:color w:val="auto"/>
          <w:szCs w:val="21"/>
          <w:highlight w:val="none"/>
        </w:rPr>
        <w:t>（如本项目有要求并公布了分项采购预算金额或者最高限价）；</w:t>
      </w:r>
    </w:p>
    <w:p w14:paraId="3DF8AFD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w:t>
      </w:r>
      <w:r>
        <w:rPr>
          <w:rFonts w:hint="eastAsia" w:ascii="宋体" w:hAnsi="宋体" w:cs="宋体"/>
          <w:b/>
          <w:color w:val="auto"/>
          <w:szCs w:val="21"/>
          <w:highlight w:val="none"/>
          <w:lang w:val="en-US" w:eastAsia="zh-CN"/>
        </w:rPr>
        <w:t>分标</w:t>
      </w:r>
      <w:r>
        <w:rPr>
          <w:rFonts w:hint="eastAsia" w:ascii="宋体" w:hAnsi="宋体" w:cs="宋体"/>
          <w:b/>
          <w:color w:val="auto"/>
          <w:szCs w:val="21"/>
          <w:highlight w:val="none"/>
        </w:rPr>
        <w:t>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w:t>
      </w:r>
    </w:p>
    <w:p w14:paraId="27906DC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1D07558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27AC277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8）安全文明施工费和规费、增值税不按广西区费用定额及造价管理相关文件规定报价的（园林绿化及仿古建筑工程除外）；（适用于房屋建筑和市政工程项目）</w:t>
      </w:r>
    </w:p>
    <w:p w14:paraId="7E6E64D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9）供应商已标价工程量清单的项目编码（12位）、计量单位、工程量任何一处与工程量清单不一致的； </w:t>
      </w:r>
    </w:p>
    <w:p w14:paraId="4A54059B">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10）供应商已标价工程量清单的项目名称或项目特征与工程量清单不一致，评标委员会要求澄清、说明或补正，但供应商拒绝澄清、说明或补正的；（适用于房屋建筑和市政工程项目）</w:t>
      </w:r>
    </w:p>
    <w:p w14:paraId="4EBD453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11）设有暂估价、暂列金额的，竞标时未按工程量清单给出的暂估价总价、暂列金额总价计入竞标总报价中的；</w:t>
      </w:r>
    </w:p>
    <w:p w14:paraId="68E6DAA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12）供应商对工程量清单内容进行增减或对竞标范围进行调整的；</w:t>
      </w:r>
    </w:p>
    <w:p w14:paraId="0F5AA360">
      <w:pPr>
        <w:spacing w:line="360" w:lineRule="auto"/>
        <w:ind w:firstLine="422" w:firstLineChars="200"/>
        <w:rPr>
          <w:rFonts w:ascii="宋体" w:hAnsi="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响应文件响应的标的数量及单位与竞争性磋商采购文件要求实质性不一致的；</w:t>
      </w:r>
    </w:p>
    <w:p w14:paraId="721EE612">
      <w:pPr>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4）未响应磋商文件实质性要求的。</w:t>
      </w:r>
    </w:p>
    <w:p w14:paraId="4548BFA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164898D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5783EEE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48B6739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2C3D1BC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5D9479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4772630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44756F2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CBDC010">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69954778">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15CB09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085B26E2">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1E39CB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25CBA1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平台开标大厅提交最后报价。</w:t>
      </w:r>
      <w:r>
        <w:rPr>
          <w:rFonts w:hint="eastAsia" w:ascii="宋体" w:hAnsi="宋体" w:cs="宋体"/>
          <w:b/>
          <w:color w:val="auto"/>
          <w:szCs w:val="21"/>
          <w:highlight w:val="none"/>
        </w:rPr>
        <w:t>如果供应商的最后报价与首次报价不一致的，不能只报竞标总报价，必须同时提供“已标价工程量清单”，否则做无效响应处理。</w:t>
      </w:r>
    </w:p>
    <w:p w14:paraId="5CB7C7C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100225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68E6BD4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4388DC5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202F321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0671D14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530694C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52DA60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2B9E0B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w:t>
      </w:r>
      <w:r>
        <w:rPr>
          <w:rFonts w:hint="eastAsia" w:ascii="宋体" w:hAnsi="宋体" w:cs="宋体"/>
          <w:b/>
          <w:color w:val="auto"/>
          <w:szCs w:val="21"/>
          <w:highlight w:val="none"/>
          <w:lang w:val="en-US" w:eastAsia="zh-CN"/>
        </w:rPr>
        <w:t>分标</w:t>
      </w:r>
      <w:r>
        <w:rPr>
          <w:rFonts w:hint="eastAsia" w:ascii="宋体" w:hAnsi="宋体" w:cs="宋体"/>
          <w:color w:val="auto"/>
          <w:szCs w:val="21"/>
          <w:highlight w:val="none"/>
        </w:rPr>
        <w:t>规定的采购预算金额或者最高限价的（如本项目公布了最高限价）；</w:t>
      </w:r>
    </w:p>
    <w:p w14:paraId="15EC47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002EB95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7F40B1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26908A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758799C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3441F9C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5CBEDB4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7CE83BA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3FDF7F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4086CC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5AFEA5E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5843F2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6. 成交供应商荐原则</w:t>
      </w:r>
    </w:p>
    <w:p w14:paraId="281A64ED">
      <w:pPr>
        <w:spacing w:line="360" w:lineRule="auto"/>
        <w:ind w:firstLine="420" w:firstLineChars="200"/>
        <w:rPr>
          <w:rFonts w:ascii="宋体" w:hAnsi="宋体"/>
          <w:color w:val="auto"/>
          <w:kern w:val="0"/>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kern w:val="0"/>
          <w:szCs w:val="21"/>
          <w:highlight w:val="none"/>
        </w:rPr>
        <w:t>。</w:t>
      </w:r>
    </w:p>
    <w:p w14:paraId="1E0C588D">
      <w:pPr>
        <w:spacing w:line="360" w:lineRule="auto"/>
        <w:ind w:firstLine="420" w:firstLineChars="200"/>
        <w:rPr>
          <w:rFonts w:ascii="宋体" w:hAnsi="宋体" w:cs="宋体"/>
          <w:color w:val="auto"/>
          <w:szCs w:val="21"/>
          <w:highlight w:val="none"/>
        </w:rPr>
      </w:pP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254B01F">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3988DEBF">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523"/>
        <w:gridCol w:w="1024"/>
        <w:gridCol w:w="7055"/>
        <w:gridCol w:w="836"/>
      </w:tblGrid>
      <w:tr w14:paraId="5299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581" w:type="dxa"/>
            <w:noWrap w:val="0"/>
            <w:vAlign w:val="center"/>
          </w:tcPr>
          <w:p w14:paraId="7786F2EF">
            <w:pPr>
              <w:keepNext w:val="0"/>
              <w:keepLines w:val="0"/>
              <w:pageBreakBefore w:val="0"/>
              <w:widowControl/>
              <w:kinsoku/>
              <w:wordWrap/>
              <w:overflowPunct/>
              <w:topLinePunct w:val="0"/>
              <w:bidi w:val="0"/>
              <w:snapToGrid/>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547" w:type="dxa"/>
            <w:gridSpan w:val="2"/>
            <w:noWrap w:val="0"/>
            <w:vAlign w:val="center"/>
          </w:tcPr>
          <w:p w14:paraId="14F77867">
            <w:pPr>
              <w:keepNext w:val="0"/>
              <w:keepLines w:val="0"/>
              <w:pageBreakBefore w:val="0"/>
              <w:widowControl/>
              <w:kinsoku/>
              <w:wordWrap/>
              <w:overflowPunct/>
              <w:topLinePunct w:val="0"/>
              <w:bidi w:val="0"/>
              <w:snapToGrid/>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7055" w:type="dxa"/>
            <w:noWrap w:val="0"/>
            <w:vAlign w:val="center"/>
          </w:tcPr>
          <w:p w14:paraId="6FBA0CA9">
            <w:pPr>
              <w:keepNext w:val="0"/>
              <w:keepLines w:val="0"/>
              <w:pageBreakBefore w:val="0"/>
              <w:widowControl/>
              <w:kinsoku/>
              <w:wordWrap/>
              <w:overflowPunct/>
              <w:topLinePunct w:val="0"/>
              <w:bidi w:val="0"/>
              <w:snapToGrid/>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评审标准</w:t>
            </w:r>
          </w:p>
        </w:tc>
        <w:tc>
          <w:tcPr>
            <w:tcW w:w="836" w:type="dxa"/>
            <w:noWrap w:val="0"/>
            <w:vAlign w:val="center"/>
          </w:tcPr>
          <w:p w14:paraId="5934112D">
            <w:pPr>
              <w:keepNext w:val="0"/>
              <w:keepLines w:val="0"/>
              <w:pageBreakBefore w:val="0"/>
              <w:widowControl/>
              <w:kinsoku/>
              <w:wordWrap/>
              <w:overflowPunct/>
              <w:topLinePunct w:val="0"/>
              <w:bidi w:val="0"/>
              <w:snapToGrid/>
              <w:spacing w:line="36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186D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81" w:type="dxa"/>
            <w:shd w:val="clear" w:color="auto" w:fill="D7D7D7" w:themeFill="background1" w:themeFillShade="D8"/>
            <w:noWrap w:val="0"/>
            <w:vAlign w:val="center"/>
          </w:tcPr>
          <w:p w14:paraId="4EBD8AF9">
            <w:pPr>
              <w:keepNext w:val="0"/>
              <w:keepLines w:val="0"/>
              <w:pageBreakBefore w:val="0"/>
              <w:kinsoku/>
              <w:wordWrap/>
              <w:overflowPunct/>
              <w:topLinePunct w:val="0"/>
              <w:bidi w:val="0"/>
              <w:snapToGrid/>
              <w:spacing w:line="360" w:lineRule="exact"/>
              <w:jc w:val="center"/>
              <w:rPr>
                <w:rFonts w:hint="eastAsia"/>
                <w:color w:val="auto"/>
                <w:highlight w:val="none"/>
                <w:lang w:val="en-US" w:eastAsia="zh-CN"/>
              </w:rPr>
            </w:pPr>
            <w:r>
              <w:rPr>
                <w:rFonts w:hint="eastAsia"/>
                <w:color w:val="auto"/>
                <w:highlight w:val="none"/>
                <w:lang w:val="en-US" w:eastAsia="zh-CN"/>
              </w:rPr>
              <w:t>1</w:t>
            </w:r>
          </w:p>
        </w:tc>
        <w:tc>
          <w:tcPr>
            <w:tcW w:w="1547" w:type="dxa"/>
            <w:gridSpan w:val="2"/>
            <w:shd w:val="clear" w:color="auto" w:fill="D7D7D7" w:themeFill="background1" w:themeFillShade="D8"/>
            <w:noWrap w:val="0"/>
            <w:vAlign w:val="center"/>
          </w:tcPr>
          <w:p w14:paraId="1B83B70F">
            <w:pPr>
              <w:keepNext w:val="0"/>
              <w:keepLines w:val="0"/>
              <w:pageBreakBefore w:val="0"/>
              <w:kinsoku/>
              <w:wordWrap/>
              <w:overflowPunct/>
              <w:topLinePunct w:val="0"/>
              <w:bidi w:val="0"/>
              <w:snapToGrid/>
              <w:spacing w:line="360" w:lineRule="exact"/>
              <w:jc w:val="center"/>
              <w:rPr>
                <w:rFonts w:hint="eastAsia"/>
                <w:color w:val="auto"/>
                <w:highlight w:val="none"/>
                <w:lang w:val="en-US" w:eastAsia="zh-CN"/>
              </w:rPr>
            </w:pPr>
            <w:r>
              <w:rPr>
                <w:rFonts w:hint="eastAsia"/>
                <w:color w:val="auto"/>
                <w:highlight w:val="none"/>
                <w:lang w:val="en-US" w:eastAsia="zh-CN"/>
              </w:rPr>
              <w:t>价格</w:t>
            </w:r>
            <w:r>
              <w:rPr>
                <w:rFonts w:hint="eastAsia"/>
                <w:color w:val="auto"/>
                <w:highlight w:val="none"/>
              </w:rPr>
              <w:t>分</w:t>
            </w:r>
          </w:p>
        </w:tc>
        <w:tc>
          <w:tcPr>
            <w:tcW w:w="7055" w:type="dxa"/>
            <w:shd w:val="clear" w:color="auto" w:fill="D7D7D7" w:themeFill="background1" w:themeFillShade="D8"/>
            <w:noWrap w:val="0"/>
            <w:vAlign w:val="center"/>
          </w:tcPr>
          <w:p w14:paraId="147CE53F">
            <w:pPr>
              <w:keepNext w:val="0"/>
              <w:keepLines w:val="0"/>
              <w:pageBreakBefore w:val="0"/>
              <w:kinsoku/>
              <w:wordWrap/>
              <w:overflowPunct/>
              <w:topLinePunct w:val="0"/>
              <w:bidi w:val="0"/>
              <w:snapToGrid/>
              <w:spacing w:line="360" w:lineRule="exact"/>
              <w:jc w:val="center"/>
              <w:rPr>
                <w:rFonts w:hint="eastAsia"/>
                <w:color w:val="auto"/>
                <w:highlight w:val="none"/>
                <w:lang w:val="en-US" w:eastAsia="zh-CN"/>
              </w:rPr>
            </w:pPr>
            <w:r>
              <w:rPr>
                <w:rFonts w:hint="eastAsia"/>
                <w:color w:val="auto"/>
                <w:highlight w:val="none"/>
              </w:rPr>
              <w:t>评审标准</w:t>
            </w:r>
          </w:p>
        </w:tc>
        <w:tc>
          <w:tcPr>
            <w:tcW w:w="836" w:type="dxa"/>
            <w:shd w:val="clear" w:color="auto" w:fill="D7D7D7" w:themeFill="background1" w:themeFillShade="D8"/>
            <w:noWrap w:val="0"/>
            <w:vAlign w:val="center"/>
          </w:tcPr>
          <w:p w14:paraId="4D4C932D">
            <w:pPr>
              <w:keepNext w:val="0"/>
              <w:keepLines w:val="0"/>
              <w:pageBreakBefore w:val="0"/>
              <w:kinsoku/>
              <w:wordWrap/>
              <w:overflowPunct/>
              <w:topLinePunct w:val="0"/>
              <w:bidi w:val="0"/>
              <w:snapToGrid/>
              <w:spacing w:line="360" w:lineRule="exact"/>
              <w:jc w:val="center"/>
              <w:rPr>
                <w:rFonts w:hint="eastAsia"/>
                <w:color w:val="auto"/>
                <w:highlight w:val="none"/>
                <w:lang w:val="en-US" w:eastAsia="zh-CN"/>
              </w:rPr>
            </w:pPr>
            <w:r>
              <w:rPr>
                <w:rFonts w:hint="eastAsia"/>
                <w:color w:val="auto"/>
                <w:highlight w:val="none"/>
                <w:lang w:val="en-US" w:eastAsia="zh-CN"/>
              </w:rPr>
              <w:t>10</w:t>
            </w:r>
            <w:r>
              <w:rPr>
                <w:rFonts w:hint="eastAsia"/>
                <w:color w:val="auto"/>
                <w:highlight w:val="none"/>
              </w:rPr>
              <w:t>分</w:t>
            </w:r>
          </w:p>
        </w:tc>
      </w:tr>
      <w:tr w14:paraId="69A19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81" w:type="dxa"/>
            <w:noWrap w:val="0"/>
            <w:vAlign w:val="center"/>
          </w:tcPr>
          <w:p w14:paraId="13BA0A0F">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547" w:type="dxa"/>
            <w:gridSpan w:val="2"/>
            <w:noWrap w:val="0"/>
            <w:vAlign w:val="center"/>
          </w:tcPr>
          <w:p w14:paraId="407C545B">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7055" w:type="dxa"/>
            <w:noWrap w:val="0"/>
            <w:vAlign w:val="top"/>
          </w:tcPr>
          <w:p w14:paraId="59BCF129">
            <w:pPr>
              <w:keepNext w:val="0"/>
              <w:keepLines w:val="0"/>
              <w:pageBreakBefore w:val="0"/>
              <w:kinsoku/>
              <w:wordWrap/>
              <w:overflowPunct/>
              <w:topLinePunct w:val="0"/>
              <w:bidi w:val="0"/>
              <w:snapToGrid/>
              <w:spacing w:line="360"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r>
              <w:rPr>
                <w:rFonts w:hint="eastAsia" w:ascii="宋体" w:hAnsi="宋体"/>
                <w:color w:val="auto"/>
                <w:szCs w:val="21"/>
                <w:highlight w:val="none"/>
              </w:rPr>
              <w:t>。</w:t>
            </w:r>
          </w:p>
          <w:p w14:paraId="689DBB87">
            <w:pPr>
              <w:keepNext w:val="0"/>
              <w:keepLines w:val="0"/>
              <w:pageBreakBefore w:val="0"/>
              <w:kinsoku/>
              <w:wordWrap/>
              <w:overflowPunct/>
              <w:topLinePunct w:val="0"/>
              <w:bidi w:val="0"/>
              <w:snapToGrid/>
              <w:spacing w:line="360" w:lineRule="exact"/>
              <w:ind w:firstLine="420" w:firstLineChars="200"/>
              <w:rPr>
                <w:rFonts w:ascii="宋体" w:hAnsi="宋体"/>
                <w:bCs/>
                <w:color w:val="auto"/>
                <w:szCs w:val="21"/>
                <w:highlight w:val="none"/>
              </w:rPr>
            </w:pPr>
            <w:r>
              <w:rPr>
                <w:rFonts w:hint="eastAsia" w:hAnsi="宋体" w:cs="Courier New"/>
                <w:bCs/>
                <w:color w:val="auto"/>
                <w:highlight w:val="none"/>
              </w:rPr>
              <w:t>（2）根据《政府采购促进中小企业发展管理办法》（财库〔2020〕46号）的规定、《广西壮族自治区财政厅关于持续优化政府采购营商环境推动高质量发展的通知》（桂财采〔2024〕55号）规定，对于经主管预算单位统筹后未预留份额专门面向中小企业采购的采购项目，以及预留份额项目中的非预留部分采购包，供应商在其响应文件中提供《中小企业声明函》，且其竞标</w:t>
            </w:r>
            <w:r>
              <w:rPr>
                <w:rFonts w:hint="eastAsia" w:hAnsi="宋体" w:cs="Courier New"/>
                <w:bCs/>
                <w:color w:val="auto"/>
                <w:highlight w:val="none"/>
                <w:lang w:val="en-US" w:eastAsia="zh-CN"/>
              </w:rPr>
              <w:t>内容</w:t>
            </w:r>
            <w:r>
              <w:rPr>
                <w:rFonts w:hint="eastAsia" w:hAnsi="宋体" w:cs="Courier New"/>
                <w:bCs/>
                <w:color w:val="auto"/>
                <w:highlight w:val="none"/>
              </w:rPr>
              <w:t>全部由小微企业提供的，对供应商的竞标报价给予</w:t>
            </w:r>
            <w:r>
              <w:rPr>
                <w:rFonts w:hint="eastAsia" w:hAnsi="宋体" w:cs="Courier New"/>
                <w:bCs/>
                <w:color w:val="auto"/>
                <w:highlight w:val="none"/>
                <w:lang w:val="en-US" w:eastAsia="zh-CN"/>
              </w:rPr>
              <w:t>4</w:t>
            </w:r>
            <w:r>
              <w:rPr>
                <w:rFonts w:hint="eastAsia" w:hAnsi="宋体" w:cs="Courier New"/>
                <w:bCs/>
                <w:color w:val="auto"/>
                <w:highlight w:val="none"/>
              </w:rPr>
              <w:t>%</w:t>
            </w:r>
            <w:r>
              <w:rPr>
                <w:rFonts w:hint="eastAsia" w:hAnsi="宋体" w:cs="Courier New"/>
                <w:bCs/>
                <w:color w:val="auto"/>
                <w:highlight w:val="none"/>
              </w:rPr>
              <w:t>的扣除，扣除后的价格为评审价，即评审价=竞标报价×</w:t>
            </w:r>
            <w:r>
              <w:rPr>
                <w:rFonts w:hint="eastAsia" w:hAnsi="宋体" w:cs="Courier New"/>
                <w:bCs/>
                <w:color w:val="auto"/>
                <w:highlight w:val="none"/>
              </w:rPr>
              <w:t>（1-</w:t>
            </w:r>
            <w:r>
              <w:rPr>
                <w:rFonts w:hint="eastAsia" w:hAnsi="宋体" w:cs="Courier New"/>
                <w:bCs/>
                <w:color w:val="auto"/>
                <w:highlight w:val="none"/>
                <w:lang w:val="en-US" w:eastAsia="zh-CN"/>
              </w:rPr>
              <w:t>4</w:t>
            </w:r>
            <w:r>
              <w:rPr>
                <w:rFonts w:hint="eastAsia" w:hAnsi="宋体" w:cs="Courier New"/>
                <w:bCs/>
                <w:color w:val="auto"/>
                <w:highlight w:val="none"/>
              </w:rPr>
              <w:t>%）</w:t>
            </w:r>
            <w:r>
              <w:rPr>
                <w:rFonts w:hint="eastAsia" w:hAnsi="宋体" w:cs="Courier New"/>
                <w:bCs/>
                <w:color w:val="auto"/>
                <w:highlight w:val="none"/>
              </w:rPr>
              <w:t>。</w:t>
            </w:r>
          </w:p>
          <w:p w14:paraId="2CC5C5F0">
            <w:pPr>
              <w:keepNext w:val="0"/>
              <w:keepLines w:val="0"/>
              <w:pageBreakBefore w:val="0"/>
              <w:kinsoku/>
              <w:wordWrap/>
              <w:overflowPunct/>
              <w:topLinePunct w:val="0"/>
              <w:bidi w:val="0"/>
              <w:snapToGrid/>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olor w:val="auto"/>
                <w:szCs w:val="21"/>
                <w:highlight w:val="none"/>
              </w:rPr>
              <w:t>不重复享受政策。</w:t>
            </w:r>
          </w:p>
          <w:p w14:paraId="5022C1DA">
            <w:pPr>
              <w:keepNext w:val="0"/>
              <w:keepLines w:val="0"/>
              <w:pageBreakBefore w:val="0"/>
              <w:kinsoku/>
              <w:wordWrap/>
              <w:overflowPunct/>
              <w:topLinePunct w:val="0"/>
              <w:bidi w:val="0"/>
              <w:snapToGrid/>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4A6E42F">
            <w:pPr>
              <w:pStyle w:val="26"/>
              <w:keepNext w:val="0"/>
              <w:keepLines w:val="0"/>
              <w:pageBreakBefore w:val="0"/>
              <w:kinsoku/>
              <w:wordWrap/>
              <w:overflowPunct/>
              <w:topLinePunct w:val="0"/>
              <w:bidi w:val="0"/>
              <w:snapToGrid/>
              <w:spacing w:line="360" w:lineRule="exact"/>
              <w:ind w:firstLine="420" w:firstLineChars="200"/>
              <w:rPr>
                <w:rFonts w:hint="eastAsia" w:hAnsi="宋体" w:cs="Courier New"/>
                <w:bCs/>
                <w:color w:val="auto"/>
                <w:kern w:val="2"/>
                <w:sz w:val="21"/>
                <w:highlight w:val="none"/>
              </w:rPr>
            </w:pPr>
            <w:r>
              <w:rPr>
                <w:rFonts w:hint="eastAsia" w:hAnsi="宋体" w:cs="Courier New"/>
                <w:bCs/>
                <w:color w:val="auto"/>
                <w:kern w:val="2"/>
                <w:sz w:val="21"/>
                <w:highlight w:val="none"/>
                <w:lang w:eastAsia="zh-CN"/>
              </w:rPr>
              <w:t>（</w:t>
            </w:r>
            <w:r>
              <w:rPr>
                <w:rFonts w:hint="eastAsia" w:hAnsi="宋体" w:cs="Courier New"/>
                <w:bCs/>
                <w:color w:val="auto"/>
                <w:kern w:val="2"/>
                <w:sz w:val="21"/>
                <w:highlight w:val="none"/>
                <w:lang w:val="en-US" w:eastAsia="zh-CN"/>
              </w:rPr>
              <w:t>5</w:t>
            </w:r>
            <w:r>
              <w:rPr>
                <w:rFonts w:hint="eastAsia" w:hAnsi="宋体" w:cs="Courier New"/>
                <w:bCs/>
                <w:color w:val="auto"/>
                <w:kern w:val="2"/>
                <w:sz w:val="21"/>
                <w:highlight w:val="none"/>
                <w:lang w:eastAsia="zh-CN"/>
              </w:rPr>
              <w:t>）</w:t>
            </w:r>
            <w:r>
              <w:rPr>
                <w:rFonts w:hint="eastAsia" w:hAnsi="宋体" w:cs="Courier New"/>
                <w:bCs/>
                <w:color w:val="auto"/>
                <w:kern w:val="2"/>
                <w:sz w:val="21"/>
                <w:highlight w:val="none"/>
              </w:rPr>
              <w:t>除上述情况外，评审价＝最后报价</w:t>
            </w:r>
          </w:p>
          <w:p w14:paraId="163E1920">
            <w:pPr>
              <w:pStyle w:val="26"/>
              <w:keepNext w:val="0"/>
              <w:keepLines w:val="0"/>
              <w:pageBreakBefore w:val="0"/>
              <w:kinsoku/>
              <w:wordWrap/>
              <w:overflowPunct/>
              <w:topLinePunct w:val="0"/>
              <w:bidi w:val="0"/>
              <w:snapToGrid/>
              <w:spacing w:line="360" w:lineRule="exact"/>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w:t>
            </w:r>
            <w:r>
              <w:rPr>
                <w:rFonts w:hint="eastAsia" w:hAnsi="宋体" w:cs="Courier New"/>
                <w:bCs/>
                <w:color w:val="auto"/>
                <w:kern w:val="2"/>
                <w:sz w:val="21"/>
                <w:highlight w:val="none"/>
                <w:lang w:val="en-US" w:eastAsia="zh-CN"/>
              </w:rPr>
              <w:t>6</w:t>
            </w:r>
            <w:r>
              <w:rPr>
                <w:rFonts w:hint="eastAsia" w:hAnsi="宋体" w:cs="Courier New"/>
                <w:bCs/>
                <w:color w:val="auto"/>
                <w:kern w:val="2"/>
                <w:sz w:val="21"/>
                <w:highlight w:val="none"/>
              </w:rPr>
              <w:t>）以进入比较与评价环节的最低的评审价为基准价，基准价得分为</w:t>
            </w:r>
            <w:r>
              <w:rPr>
                <w:rFonts w:hAnsi="宋体" w:cs="Courier New"/>
                <w:bCs/>
                <w:color w:val="auto"/>
                <w:kern w:val="2"/>
                <w:sz w:val="21"/>
                <w:highlight w:val="none"/>
                <w:u w:val="single"/>
              </w:rPr>
              <w:t>10</w:t>
            </w:r>
            <w:r>
              <w:rPr>
                <w:rFonts w:hint="eastAsia" w:hAnsi="宋体" w:cs="Courier New"/>
                <w:bCs/>
                <w:color w:val="auto"/>
                <w:kern w:val="2"/>
                <w:sz w:val="21"/>
                <w:highlight w:val="none"/>
              </w:rPr>
              <w:t>分。</w:t>
            </w:r>
          </w:p>
          <w:p w14:paraId="07F449A1">
            <w:pPr>
              <w:pStyle w:val="26"/>
              <w:keepNext w:val="0"/>
              <w:keepLines w:val="0"/>
              <w:pageBreakBefore w:val="0"/>
              <w:kinsoku/>
              <w:wordWrap/>
              <w:overflowPunct/>
              <w:topLinePunct w:val="0"/>
              <w:bidi w:val="0"/>
              <w:snapToGrid/>
              <w:spacing w:line="360" w:lineRule="exact"/>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w:t>
            </w:r>
            <w:r>
              <w:rPr>
                <w:rFonts w:hint="eastAsia" w:hAnsi="宋体" w:cs="Courier New"/>
                <w:bCs/>
                <w:color w:val="auto"/>
                <w:kern w:val="2"/>
                <w:sz w:val="21"/>
                <w:highlight w:val="none"/>
                <w:lang w:val="en-US" w:eastAsia="zh-CN"/>
              </w:rPr>
              <w:t>7</w:t>
            </w:r>
            <w:r>
              <w:rPr>
                <w:rFonts w:hint="eastAsia" w:hAnsi="宋体" w:cs="Courier New"/>
                <w:bCs/>
                <w:color w:val="auto"/>
                <w:kern w:val="2"/>
                <w:sz w:val="21"/>
                <w:highlight w:val="none"/>
              </w:rPr>
              <w:t>）价格分计算公式：</w:t>
            </w:r>
          </w:p>
          <w:p w14:paraId="5AE6ABBF">
            <w:pPr>
              <w:pStyle w:val="26"/>
              <w:keepNext w:val="0"/>
              <w:keepLines w:val="0"/>
              <w:pageBreakBefore w:val="0"/>
              <w:kinsoku/>
              <w:wordWrap/>
              <w:overflowPunct/>
              <w:topLinePunct w:val="0"/>
              <w:bidi w:val="0"/>
              <w:snapToGrid/>
              <w:spacing w:line="360" w:lineRule="exact"/>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报价得分=（基准价/最后报价）×</w:t>
            </w:r>
            <w:r>
              <w:rPr>
                <w:rFonts w:hAnsi="宋体" w:cs="Courier New"/>
                <w:bCs/>
                <w:color w:val="auto"/>
                <w:kern w:val="2"/>
                <w:sz w:val="21"/>
                <w:highlight w:val="none"/>
                <w:u w:val="single"/>
              </w:rPr>
              <w:t>10</w:t>
            </w:r>
            <w:r>
              <w:rPr>
                <w:rFonts w:hint="eastAsia" w:hAnsi="宋体" w:cs="Courier New"/>
                <w:bCs/>
                <w:color w:val="auto"/>
                <w:kern w:val="2"/>
                <w:sz w:val="21"/>
                <w:highlight w:val="none"/>
              </w:rPr>
              <w:t>分</w:t>
            </w:r>
          </w:p>
        </w:tc>
        <w:tc>
          <w:tcPr>
            <w:tcW w:w="836" w:type="dxa"/>
            <w:noWrap w:val="0"/>
            <w:vAlign w:val="center"/>
          </w:tcPr>
          <w:p w14:paraId="6417CEDC">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40C5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shd w:val="clear" w:color="auto" w:fill="D7D7D7" w:themeFill="background1" w:themeFillShade="D8"/>
            <w:noWrap w:val="0"/>
            <w:vAlign w:val="center"/>
          </w:tcPr>
          <w:p w14:paraId="5F7AF5ED">
            <w:pPr>
              <w:keepNext w:val="0"/>
              <w:keepLines w:val="0"/>
              <w:pageBreakBefore w:val="0"/>
              <w:kinsoku/>
              <w:wordWrap/>
              <w:overflowPunct/>
              <w:topLinePunct w:val="0"/>
              <w:bidi w:val="0"/>
              <w:snapToGrid/>
              <w:spacing w:line="360" w:lineRule="exact"/>
              <w:jc w:val="center"/>
              <w:rPr>
                <w:rFonts w:hint="eastAsia"/>
                <w:color w:val="auto"/>
                <w:highlight w:val="none"/>
              </w:rPr>
            </w:pPr>
            <w:r>
              <w:rPr>
                <w:rFonts w:hint="eastAsia"/>
                <w:color w:val="auto"/>
                <w:highlight w:val="none"/>
              </w:rPr>
              <w:t>2</w:t>
            </w:r>
          </w:p>
        </w:tc>
        <w:tc>
          <w:tcPr>
            <w:tcW w:w="1547" w:type="dxa"/>
            <w:gridSpan w:val="2"/>
            <w:shd w:val="clear" w:color="auto" w:fill="D7D7D7" w:themeFill="background1" w:themeFillShade="D8"/>
            <w:noWrap w:val="0"/>
            <w:vAlign w:val="center"/>
          </w:tcPr>
          <w:p w14:paraId="52F23816">
            <w:pPr>
              <w:keepNext w:val="0"/>
              <w:keepLines w:val="0"/>
              <w:pageBreakBefore w:val="0"/>
              <w:kinsoku/>
              <w:wordWrap/>
              <w:overflowPunct/>
              <w:topLinePunct w:val="0"/>
              <w:bidi w:val="0"/>
              <w:snapToGrid/>
              <w:spacing w:line="360" w:lineRule="exact"/>
              <w:jc w:val="center"/>
              <w:rPr>
                <w:rFonts w:hint="eastAsia"/>
                <w:color w:val="auto"/>
                <w:highlight w:val="none"/>
              </w:rPr>
            </w:pPr>
            <w:r>
              <w:rPr>
                <w:rFonts w:hint="eastAsia"/>
                <w:color w:val="auto"/>
                <w:highlight w:val="none"/>
              </w:rPr>
              <w:t>技术分</w:t>
            </w:r>
          </w:p>
        </w:tc>
        <w:tc>
          <w:tcPr>
            <w:tcW w:w="7055" w:type="dxa"/>
            <w:shd w:val="clear" w:color="auto" w:fill="D7D7D7" w:themeFill="background1" w:themeFillShade="D8"/>
            <w:noWrap w:val="0"/>
            <w:vAlign w:val="center"/>
          </w:tcPr>
          <w:p w14:paraId="48ECE709">
            <w:pPr>
              <w:keepNext w:val="0"/>
              <w:keepLines w:val="0"/>
              <w:pageBreakBefore w:val="0"/>
              <w:kinsoku/>
              <w:wordWrap/>
              <w:overflowPunct/>
              <w:topLinePunct w:val="0"/>
              <w:bidi w:val="0"/>
              <w:snapToGrid/>
              <w:spacing w:line="360" w:lineRule="exact"/>
              <w:jc w:val="center"/>
              <w:rPr>
                <w:rFonts w:hint="eastAsia"/>
                <w:color w:val="auto"/>
                <w:highlight w:val="none"/>
              </w:rPr>
            </w:pPr>
            <w:r>
              <w:rPr>
                <w:rFonts w:hint="eastAsia"/>
                <w:color w:val="auto"/>
                <w:highlight w:val="none"/>
              </w:rPr>
              <w:t>评审标准</w:t>
            </w:r>
          </w:p>
        </w:tc>
        <w:tc>
          <w:tcPr>
            <w:tcW w:w="836" w:type="dxa"/>
            <w:shd w:val="clear" w:color="auto" w:fill="D7D7D7" w:themeFill="background1" w:themeFillShade="D8"/>
            <w:noWrap w:val="0"/>
            <w:vAlign w:val="center"/>
          </w:tcPr>
          <w:p w14:paraId="3FC1CB6C">
            <w:pPr>
              <w:keepNext w:val="0"/>
              <w:keepLines w:val="0"/>
              <w:pageBreakBefore w:val="0"/>
              <w:kinsoku/>
              <w:wordWrap/>
              <w:overflowPunct/>
              <w:topLinePunct w:val="0"/>
              <w:bidi w:val="0"/>
              <w:snapToGrid/>
              <w:spacing w:line="360" w:lineRule="exact"/>
              <w:jc w:val="center"/>
              <w:rPr>
                <w:rFonts w:hint="eastAsia"/>
                <w:color w:val="auto"/>
                <w:highlight w:val="none"/>
              </w:rPr>
            </w:pPr>
            <w:r>
              <w:rPr>
                <w:rFonts w:hint="eastAsia"/>
                <w:color w:val="auto"/>
                <w:highlight w:val="none"/>
                <w:lang w:val="en-US" w:eastAsia="zh-CN"/>
              </w:rPr>
              <w:t>81</w:t>
            </w:r>
            <w:r>
              <w:rPr>
                <w:rFonts w:hint="eastAsia"/>
                <w:color w:val="auto"/>
                <w:highlight w:val="none"/>
              </w:rPr>
              <w:t>分</w:t>
            </w:r>
          </w:p>
        </w:tc>
      </w:tr>
      <w:tr w14:paraId="5D92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581" w:type="dxa"/>
            <w:vMerge w:val="restart"/>
            <w:noWrap w:val="0"/>
            <w:vAlign w:val="center"/>
          </w:tcPr>
          <w:p w14:paraId="65FF217F">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default"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2.1</w:t>
            </w:r>
          </w:p>
        </w:tc>
        <w:tc>
          <w:tcPr>
            <w:tcW w:w="523" w:type="dxa"/>
            <w:vMerge w:val="restart"/>
            <w:noWrap w:val="0"/>
            <w:vAlign w:val="center"/>
          </w:tcPr>
          <w:p w14:paraId="2B48B55B">
            <w:pPr>
              <w:keepNext w:val="0"/>
              <w:keepLines w:val="0"/>
              <w:pageBreakBefore w:val="0"/>
              <w:kinsoku/>
              <w:wordWrap/>
              <w:overflowPunct/>
              <w:topLinePunct w:val="0"/>
              <w:bidi w:val="0"/>
              <w:snapToGrid/>
              <w:spacing w:line="360" w:lineRule="exact"/>
              <w:jc w:val="left"/>
              <w:rPr>
                <w:rFonts w:hint="eastAsia" w:cs="宋体"/>
                <w:color w:val="auto"/>
                <w:highlight w:val="none"/>
              </w:rPr>
            </w:pPr>
            <w:r>
              <w:rPr>
                <w:rFonts w:hint="eastAsia" w:ascii="宋体" w:hAnsi="宋体"/>
                <w:bCs/>
                <w:color w:val="auto"/>
                <w:kern w:val="0"/>
                <w:szCs w:val="21"/>
                <w:highlight w:val="none"/>
              </w:rPr>
              <w:t>施工组织</w:t>
            </w:r>
            <w:r>
              <w:rPr>
                <w:rFonts w:ascii="宋体" w:hAnsi="宋体"/>
                <w:bCs/>
                <w:color w:val="auto"/>
                <w:kern w:val="0"/>
                <w:szCs w:val="21"/>
                <w:highlight w:val="none"/>
              </w:rPr>
              <w:t>设计</w:t>
            </w:r>
          </w:p>
        </w:tc>
        <w:tc>
          <w:tcPr>
            <w:tcW w:w="1024" w:type="dxa"/>
            <w:noWrap w:val="0"/>
            <w:vAlign w:val="center"/>
          </w:tcPr>
          <w:p w14:paraId="581D4C17">
            <w:pPr>
              <w:keepNext w:val="0"/>
              <w:keepLines w:val="0"/>
              <w:pageBreakBefore w:val="0"/>
              <w:kinsoku/>
              <w:wordWrap/>
              <w:overflowPunct/>
              <w:topLinePunct w:val="0"/>
              <w:bidi w:val="0"/>
              <w:snapToGrid/>
              <w:spacing w:line="360" w:lineRule="exact"/>
              <w:jc w:val="left"/>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宋体"/>
                <w:color w:val="auto"/>
                <w:highlight w:val="none"/>
                <w:lang w:eastAsia="zh-CN"/>
              </w:rPr>
              <w:t>主要施工方法</w:t>
            </w:r>
            <w:r>
              <w:rPr>
                <w:color w:val="auto"/>
                <w:highlight w:val="none"/>
              </w:rPr>
              <w:t>（</w:t>
            </w:r>
            <w:r>
              <w:rPr>
                <w:rFonts w:hint="eastAsia"/>
                <w:color w:val="auto"/>
                <w:highlight w:val="none"/>
                <w:lang w:val="en-US" w:eastAsia="zh-CN"/>
              </w:rPr>
              <w:t>10</w:t>
            </w:r>
            <w:r>
              <w:rPr>
                <w:color w:val="auto"/>
                <w:highlight w:val="none"/>
              </w:rPr>
              <w:t>分）</w:t>
            </w:r>
          </w:p>
        </w:tc>
        <w:tc>
          <w:tcPr>
            <w:tcW w:w="7055" w:type="dxa"/>
            <w:noWrap w:val="0"/>
            <w:vAlign w:val="center"/>
          </w:tcPr>
          <w:p w14:paraId="5DDFE438">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一般（4分）：</w:t>
            </w:r>
            <w:r>
              <w:rPr>
                <w:rFonts w:hint="eastAsia"/>
                <w:b w:val="0"/>
                <w:bCs w:val="0"/>
                <w:color w:val="auto"/>
                <w:highlight w:val="none"/>
                <w:lang w:val="en-US" w:eastAsia="zh-CN"/>
              </w:rPr>
              <w:t>方案为通用模板描述，仅采用常规工艺，缺少针对本项目的专项分析和新技术应用，无法体现任何优化效益。</w:t>
            </w:r>
            <w:r>
              <w:rPr>
                <w:color w:val="auto"/>
                <w:highlight w:val="none"/>
              </w:rPr>
              <w:t xml:space="preserve"> </w:t>
            </w:r>
          </w:p>
          <w:p w14:paraId="423A6066">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良（7分）：</w:t>
            </w:r>
            <w:r>
              <w:rPr>
                <w:rFonts w:hint="eastAsia"/>
                <w:b w:val="0"/>
                <w:bCs w:val="0"/>
                <w:color w:val="auto"/>
                <w:highlight w:val="none"/>
                <w:lang w:val="en-US" w:eastAsia="zh-CN"/>
              </w:rPr>
              <w:t>方案符合图纸与规范要求，工艺描述完整可行，采用了通用成熟技术，能保证工程质量和工期，但未提供量化效益分析。</w:t>
            </w:r>
            <w:r>
              <w:rPr>
                <w:color w:val="auto"/>
                <w:highlight w:val="none"/>
              </w:rPr>
              <w:t xml:space="preserve"> </w:t>
            </w:r>
          </w:p>
          <w:p w14:paraId="5D5E45C4">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优（10分）：</w:t>
            </w:r>
            <w:r>
              <w:rPr>
                <w:rFonts w:hint="eastAsia"/>
                <w:b w:val="0"/>
                <w:bCs w:val="0"/>
                <w:color w:val="auto"/>
                <w:highlight w:val="none"/>
                <w:lang w:val="en-US" w:eastAsia="zh-CN"/>
              </w:rPr>
              <w:t>方案完全针对本项目钢结构的专项设计，采用经证明的先进技术，并附有量化效益分析，论证了其能优化工期且不增加成本。</w:t>
            </w:r>
            <w:r>
              <w:rPr>
                <w:color w:val="auto"/>
                <w:highlight w:val="none"/>
              </w:rPr>
              <w:t xml:space="preserve"> </w:t>
            </w:r>
          </w:p>
          <w:p w14:paraId="4092A913">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注：未提供该项方案或未达到“一般”档要求不得分</w:t>
            </w:r>
            <w:r>
              <w:rPr>
                <w:rFonts w:hint="eastAsia"/>
                <w:b/>
                <w:bCs/>
                <w:color w:val="auto"/>
                <w:highlight w:val="none"/>
                <w:lang w:eastAsia="zh-CN"/>
              </w:rPr>
              <w:t>。</w:t>
            </w:r>
          </w:p>
        </w:tc>
        <w:tc>
          <w:tcPr>
            <w:tcW w:w="836" w:type="dxa"/>
            <w:noWrap w:val="0"/>
            <w:vAlign w:val="center"/>
          </w:tcPr>
          <w:p w14:paraId="399D8160">
            <w:pPr>
              <w:keepNext w:val="0"/>
              <w:keepLines w:val="0"/>
              <w:pageBreakBefore w:val="0"/>
              <w:kinsoku/>
              <w:wordWrap/>
              <w:overflowPunct/>
              <w:topLinePunct w:val="0"/>
              <w:bidi w:val="0"/>
              <w:snapToGrid/>
              <w:spacing w:line="36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5133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581" w:type="dxa"/>
            <w:vMerge w:val="continue"/>
            <w:noWrap w:val="0"/>
            <w:vAlign w:val="center"/>
          </w:tcPr>
          <w:p w14:paraId="022FC6BC">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lang w:val="en-US" w:eastAsia="zh-CN"/>
              </w:rPr>
            </w:pPr>
          </w:p>
        </w:tc>
        <w:tc>
          <w:tcPr>
            <w:tcW w:w="523" w:type="dxa"/>
            <w:vMerge w:val="continue"/>
            <w:noWrap w:val="0"/>
            <w:vAlign w:val="center"/>
          </w:tcPr>
          <w:p w14:paraId="4531A2A3">
            <w:pPr>
              <w:keepNext w:val="0"/>
              <w:keepLines w:val="0"/>
              <w:pageBreakBefore w:val="0"/>
              <w:kinsoku/>
              <w:wordWrap/>
              <w:overflowPunct/>
              <w:topLinePunct w:val="0"/>
              <w:bidi w:val="0"/>
              <w:snapToGrid/>
              <w:spacing w:line="360" w:lineRule="exact"/>
              <w:jc w:val="left"/>
              <w:rPr>
                <w:rFonts w:hint="eastAsia" w:ascii="宋体" w:hAnsi="宋体"/>
                <w:bCs/>
                <w:color w:val="auto"/>
                <w:kern w:val="0"/>
                <w:szCs w:val="21"/>
                <w:highlight w:val="none"/>
              </w:rPr>
            </w:pPr>
          </w:p>
        </w:tc>
        <w:tc>
          <w:tcPr>
            <w:tcW w:w="1024" w:type="dxa"/>
            <w:noWrap w:val="0"/>
            <w:vAlign w:val="center"/>
          </w:tcPr>
          <w:p w14:paraId="174C9F0E">
            <w:pPr>
              <w:keepNext w:val="0"/>
              <w:keepLines w:val="0"/>
              <w:pageBreakBefore w:val="0"/>
              <w:kinsoku/>
              <w:wordWrap/>
              <w:overflowPunct/>
              <w:topLinePunct w:val="0"/>
              <w:bidi w:val="0"/>
              <w:snapToGrid/>
              <w:spacing w:line="360" w:lineRule="exact"/>
              <w:jc w:val="left"/>
              <w:rPr>
                <w:color w:val="auto"/>
                <w:highlight w:val="none"/>
              </w:rPr>
            </w:pPr>
            <w:r>
              <w:rPr>
                <w:color w:val="auto"/>
                <w:highlight w:val="none"/>
              </w:rPr>
              <w:t>确保工程质量的技术组织措施（</w:t>
            </w:r>
            <w:r>
              <w:rPr>
                <w:rFonts w:hint="eastAsia"/>
                <w:color w:val="auto"/>
                <w:highlight w:val="none"/>
                <w:lang w:val="en-US" w:eastAsia="zh-CN"/>
              </w:rPr>
              <w:t>10</w:t>
            </w:r>
            <w:r>
              <w:rPr>
                <w:color w:val="auto"/>
                <w:highlight w:val="none"/>
              </w:rPr>
              <w:t>分）</w:t>
            </w:r>
          </w:p>
        </w:tc>
        <w:tc>
          <w:tcPr>
            <w:tcW w:w="7055" w:type="dxa"/>
            <w:noWrap w:val="0"/>
            <w:vAlign w:val="center"/>
          </w:tcPr>
          <w:p w14:paraId="66B5FA69">
            <w:pPr>
              <w:keepNext w:val="0"/>
              <w:keepLines w:val="0"/>
              <w:pageBreakBefore w:val="0"/>
              <w:kinsoku/>
              <w:wordWrap/>
              <w:overflowPunct/>
              <w:topLinePunct w:val="0"/>
              <w:bidi w:val="0"/>
              <w:snapToGrid/>
              <w:spacing w:line="360" w:lineRule="exact"/>
              <w:jc w:val="left"/>
              <w:rPr>
                <w:rFonts w:hint="eastAsia"/>
                <w:b/>
                <w:bCs/>
                <w:color w:val="auto"/>
                <w:highlight w:val="none"/>
                <w:lang w:val="en-US" w:eastAsia="zh-CN"/>
              </w:rPr>
            </w:pPr>
            <w:r>
              <w:rPr>
                <w:rFonts w:hint="eastAsia"/>
                <w:b/>
                <w:bCs/>
                <w:color w:val="auto"/>
                <w:highlight w:val="none"/>
                <w:lang w:val="en-US" w:eastAsia="zh-CN"/>
              </w:rPr>
              <w:t>一般（4分）： </w:t>
            </w:r>
            <w:r>
              <w:rPr>
                <w:rFonts w:hint="eastAsia"/>
                <w:b w:val="0"/>
                <w:bCs w:val="0"/>
                <w:color w:val="auto"/>
                <w:highlight w:val="none"/>
                <w:lang w:val="en-US" w:eastAsia="zh-CN"/>
              </w:rPr>
              <w:t>设立了质量技术管理班子和制度。提出了主要工序的质量技术保证措施和手段。有基本的自控体系，承诺其技术质量能达到约定的标准。</w:t>
            </w:r>
          </w:p>
          <w:p w14:paraId="76D97686">
            <w:pPr>
              <w:keepNext w:val="0"/>
              <w:keepLines w:val="0"/>
              <w:pageBreakBefore w:val="0"/>
              <w:kinsoku/>
              <w:wordWrap/>
              <w:overflowPunct/>
              <w:topLinePunct w:val="0"/>
              <w:bidi w:val="0"/>
              <w:snapToGrid/>
              <w:spacing w:line="360" w:lineRule="exact"/>
              <w:jc w:val="left"/>
              <w:rPr>
                <w:rFonts w:hint="eastAsia"/>
                <w:b w:val="0"/>
                <w:bCs w:val="0"/>
                <w:color w:val="auto"/>
                <w:highlight w:val="none"/>
                <w:lang w:val="en-US" w:eastAsia="zh-CN"/>
              </w:rPr>
            </w:pPr>
            <w:r>
              <w:rPr>
                <w:rFonts w:hint="eastAsia"/>
                <w:b/>
                <w:bCs/>
                <w:color w:val="auto"/>
                <w:highlight w:val="none"/>
                <w:lang w:val="en-US" w:eastAsia="zh-CN"/>
              </w:rPr>
              <w:t>良（7分）：</w:t>
            </w:r>
            <w:r>
              <w:rPr>
                <w:rFonts w:hint="eastAsia"/>
                <w:b w:val="0"/>
                <w:bCs w:val="0"/>
                <w:color w:val="auto"/>
                <w:highlight w:val="none"/>
                <w:lang w:val="en-US" w:eastAsia="zh-CN"/>
              </w:rPr>
              <w:t>包含上一档全部内容，且人员配备基本合理，制度基本健全。主要工序的质量技术保证措施和手段较为合理可行，具有针对性。自控体系较为完整，包含关键工序的检查点设置。明确了质量管理流程，能够保证技术质量。</w:t>
            </w:r>
          </w:p>
          <w:p w14:paraId="53C082F9">
            <w:pPr>
              <w:keepNext w:val="0"/>
              <w:keepLines w:val="0"/>
              <w:pageBreakBefore w:val="0"/>
              <w:kinsoku/>
              <w:wordWrap/>
              <w:overflowPunct/>
              <w:topLinePunct w:val="0"/>
              <w:bidi w:val="0"/>
              <w:snapToGrid/>
              <w:spacing w:line="360" w:lineRule="exact"/>
              <w:jc w:val="left"/>
              <w:rPr>
                <w:rFonts w:hint="eastAsia"/>
                <w:b/>
                <w:bCs/>
                <w:color w:val="auto"/>
                <w:highlight w:val="none"/>
                <w:lang w:val="en-US" w:eastAsia="zh-CN"/>
              </w:rPr>
            </w:pPr>
            <w:r>
              <w:rPr>
                <w:rFonts w:hint="eastAsia"/>
                <w:b/>
                <w:bCs/>
                <w:color w:val="auto"/>
                <w:highlight w:val="none"/>
                <w:lang w:val="en-US" w:eastAsia="zh-CN"/>
              </w:rPr>
              <w:t>优（10分）：</w:t>
            </w:r>
            <w:r>
              <w:rPr>
                <w:rFonts w:hint="eastAsia"/>
                <w:b w:val="0"/>
                <w:bCs w:val="0"/>
                <w:color w:val="auto"/>
                <w:highlight w:val="none"/>
                <w:lang w:val="en-US" w:eastAsia="zh-CN"/>
              </w:rPr>
              <w:t>包含上一档全部内容，且人员配备合理、制度健全。主要工序的技术质量保证措施和手段有高度针对性，方案科学合理、可行性高。自控体系先进完整，明确引入了如首件验收、实测实量等具体方法和记录要求。特别承诺项目所用建筑材料均符合国家规范及明确的环保等级要求，并提出了相应的检验与控制措施。</w:t>
            </w:r>
          </w:p>
          <w:p w14:paraId="22CB4C8A">
            <w:pPr>
              <w:keepNext w:val="0"/>
              <w:keepLines w:val="0"/>
              <w:pageBreakBefore w:val="0"/>
              <w:kinsoku/>
              <w:wordWrap/>
              <w:overflowPunct/>
              <w:topLinePunct w:val="0"/>
              <w:bidi w:val="0"/>
              <w:snapToGrid/>
              <w:spacing w:line="360" w:lineRule="exact"/>
              <w:jc w:val="left"/>
              <w:rPr>
                <w:rFonts w:hint="eastAsia"/>
                <w:b/>
                <w:bCs/>
                <w:color w:val="auto"/>
                <w:highlight w:val="none"/>
                <w:lang w:val="en-US" w:eastAsia="zh-CN"/>
              </w:rPr>
            </w:pPr>
            <w:r>
              <w:rPr>
                <w:rFonts w:hint="eastAsia"/>
                <w:b/>
                <w:bCs/>
                <w:color w:val="auto"/>
                <w:highlight w:val="none"/>
                <w:lang w:val="en-US" w:eastAsia="zh-CN"/>
              </w:rPr>
              <w:t>注：未提供该项方案或未达到“一般”档要求不得分</w:t>
            </w:r>
            <w:r>
              <w:rPr>
                <w:rFonts w:hint="eastAsia"/>
                <w:b/>
                <w:bCs/>
                <w:color w:val="auto"/>
                <w:highlight w:val="none"/>
                <w:lang w:eastAsia="zh-CN"/>
              </w:rPr>
              <w:t>。</w:t>
            </w:r>
          </w:p>
        </w:tc>
        <w:tc>
          <w:tcPr>
            <w:tcW w:w="836" w:type="dxa"/>
            <w:noWrap w:val="0"/>
            <w:vAlign w:val="center"/>
          </w:tcPr>
          <w:p w14:paraId="1EC2A3E7">
            <w:pPr>
              <w:keepNext w:val="0"/>
              <w:keepLines w:val="0"/>
              <w:pageBreakBefore w:val="0"/>
              <w:kinsoku/>
              <w:wordWrap/>
              <w:overflowPunct/>
              <w:topLinePunct w:val="0"/>
              <w:bidi w:val="0"/>
              <w:snapToGrid/>
              <w:spacing w:line="360" w:lineRule="exact"/>
              <w:jc w:val="center"/>
              <w:rPr>
                <w:rFonts w:hint="eastAsia" w:ascii="宋体" w:hAnsi="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119E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vMerge w:val="continue"/>
            <w:noWrap w:val="0"/>
            <w:vAlign w:val="center"/>
          </w:tcPr>
          <w:p w14:paraId="6208B791">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00C9D4BE">
            <w:pPr>
              <w:keepNext w:val="0"/>
              <w:keepLines w:val="0"/>
              <w:pageBreakBefore w:val="0"/>
              <w:kinsoku/>
              <w:wordWrap/>
              <w:overflowPunct/>
              <w:topLinePunct w:val="0"/>
              <w:bidi w:val="0"/>
              <w:snapToGrid/>
              <w:spacing w:line="360" w:lineRule="exact"/>
              <w:jc w:val="left"/>
              <w:rPr>
                <w:rFonts w:hint="eastAsia" w:cs="宋体"/>
                <w:color w:val="auto"/>
                <w:highlight w:val="none"/>
              </w:rPr>
            </w:pPr>
          </w:p>
        </w:tc>
        <w:tc>
          <w:tcPr>
            <w:tcW w:w="1024" w:type="dxa"/>
            <w:noWrap w:val="0"/>
            <w:vAlign w:val="center"/>
          </w:tcPr>
          <w:p w14:paraId="58824C45">
            <w:pPr>
              <w:keepNext w:val="0"/>
              <w:keepLines w:val="0"/>
              <w:pageBreakBefore w:val="0"/>
              <w:kinsoku/>
              <w:wordWrap/>
              <w:overflowPunct/>
              <w:topLinePunct w:val="0"/>
              <w:bidi w:val="0"/>
              <w:snapToGrid/>
              <w:spacing w:line="360" w:lineRule="exact"/>
              <w:jc w:val="left"/>
              <w:rPr>
                <w:rFonts w:ascii="Times New Roman" w:hAnsi="Times New Roman" w:eastAsia="宋体" w:cs="Times New Roman"/>
                <w:color w:val="auto"/>
                <w:kern w:val="2"/>
                <w:sz w:val="21"/>
                <w:szCs w:val="24"/>
                <w:highlight w:val="none"/>
                <w:lang w:val="en-US" w:eastAsia="zh-CN" w:bidi="ar-SA"/>
              </w:rPr>
            </w:pPr>
            <w:r>
              <w:rPr>
                <w:color w:val="auto"/>
                <w:highlight w:val="none"/>
              </w:rPr>
              <w:t>确保安全生产的技术组织措施（</w:t>
            </w:r>
            <w:r>
              <w:rPr>
                <w:rFonts w:hint="eastAsia"/>
                <w:color w:val="auto"/>
                <w:highlight w:val="none"/>
                <w:lang w:val="en-US" w:eastAsia="zh-CN"/>
              </w:rPr>
              <w:t>10</w:t>
            </w:r>
            <w:r>
              <w:rPr>
                <w:color w:val="auto"/>
                <w:highlight w:val="none"/>
              </w:rPr>
              <w:t>分）</w:t>
            </w:r>
          </w:p>
        </w:tc>
        <w:tc>
          <w:tcPr>
            <w:tcW w:w="7055" w:type="dxa"/>
            <w:noWrap w:val="0"/>
            <w:vAlign w:val="center"/>
          </w:tcPr>
          <w:p w14:paraId="729C2695">
            <w:pPr>
              <w:keepNext w:val="0"/>
              <w:keepLines w:val="0"/>
              <w:pageBreakBefore w:val="0"/>
              <w:kinsoku/>
              <w:wordWrap/>
              <w:overflowPunct/>
              <w:topLinePunct w:val="0"/>
              <w:bidi w:val="0"/>
              <w:snapToGrid/>
              <w:spacing w:line="360" w:lineRule="exact"/>
              <w:jc w:val="left"/>
              <w:rPr>
                <w:rFonts w:hint="eastAsia"/>
                <w:b w:val="0"/>
                <w:bCs w:val="0"/>
                <w:color w:val="auto"/>
                <w:highlight w:val="none"/>
                <w:lang w:val="en-US" w:eastAsia="zh-CN"/>
              </w:rPr>
            </w:pPr>
            <w:r>
              <w:rPr>
                <w:rFonts w:hint="eastAsia"/>
                <w:b/>
                <w:bCs/>
                <w:color w:val="auto"/>
                <w:highlight w:val="none"/>
                <w:lang w:val="en-US" w:eastAsia="zh-CN"/>
              </w:rPr>
              <w:t>一般（4分）：</w:t>
            </w:r>
            <w:r>
              <w:rPr>
                <w:rFonts w:hint="eastAsia"/>
                <w:b w:val="0"/>
                <w:bCs w:val="0"/>
                <w:color w:val="auto"/>
                <w:highlight w:val="none"/>
                <w:lang w:val="en-US" w:eastAsia="zh-CN"/>
              </w:rPr>
              <w:t>明确项目安全负责人，制定了基本的安全管理制度和事故报告流程。各道工序安全技术措施引用了通用的安全操作规程。现场防火、应急救援措施提出了配置灭火器和设立警戒区的基本要求。</w:t>
            </w:r>
          </w:p>
          <w:p w14:paraId="352DC338">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良（7分）：</w:t>
            </w:r>
            <w:r>
              <w:rPr>
                <w:rFonts w:hint="eastAsia"/>
                <w:b w:val="0"/>
                <w:bCs w:val="0"/>
                <w:color w:val="auto"/>
                <w:highlight w:val="none"/>
                <w:lang w:val="en-US" w:eastAsia="zh-CN"/>
              </w:rPr>
              <w:t>包含上一档全部内容，并设立安全管理小组，职责明确。制度中增加了主要的安全责任制和针对本项目特点的事故应急预案。各道工序安全技术措施从引用规程升级为包含针对常见风险（如高空坠落、物体打击）的专项方案和交底要求。现场防火、应急救援措施从基本要求升级为包含具体的消防器材布置图和应急联络机制。</w:t>
            </w:r>
            <w:r>
              <w:rPr>
                <w:color w:val="auto"/>
                <w:highlight w:val="none"/>
              </w:rPr>
              <w:t xml:space="preserve"> </w:t>
            </w:r>
          </w:p>
          <w:p w14:paraId="740D4CE3">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优（10分）：</w:t>
            </w:r>
            <w:r>
              <w:rPr>
                <w:rFonts w:hint="eastAsia"/>
                <w:b w:val="0"/>
                <w:bCs w:val="0"/>
                <w:color w:val="auto"/>
                <w:highlight w:val="none"/>
                <w:lang w:val="en-US" w:eastAsia="zh-CN"/>
              </w:rPr>
              <w:t>包含上一档全部内容，并将安全管理小组提升为专门安全管理机构。制度内容更加完整，明确增加了特种作业管理制度和安全投入保障制度。安全技术措施进一步深化，要求包含针对本项目重大风险源（如高处作业、吊装、临时用电）的专项方案和交底记录。现场防火、应急救援措施从平面图和联络机制升级为包含消防平面布置图、应急物资清单和至少每季度一次的演练计划。</w:t>
            </w:r>
            <w:r>
              <w:rPr>
                <w:color w:val="auto"/>
                <w:highlight w:val="none"/>
              </w:rPr>
              <w:t xml:space="preserve"> </w:t>
            </w:r>
          </w:p>
          <w:p w14:paraId="2A2D2F63">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注：未提供该项方案或未达到“一般”档要求不得分</w:t>
            </w:r>
            <w:r>
              <w:rPr>
                <w:rFonts w:hint="eastAsia"/>
                <w:b/>
                <w:bCs/>
                <w:color w:val="auto"/>
                <w:highlight w:val="none"/>
                <w:lang w:eastAsia="zh-CN"/>
              </w:rPr>
              <w:t>。</w:t>
            </w:r>
          </w:p>
        </w:tc>
        <w:tc>
          <w:tcPr>
            <w:tcW w:w="836" w:type="dxa"/>
            <w:noWrap w:val="0"/>
            <w:vAlign w:val="center"/>
          </w:tcPr>
          <w:p w14:paraId="711479FD">
            <w:pPr>
              <w:keepNext w:val="0"/>
              <w:keepLines w:val="0"/>
              <w:pageBreakBefore w:val="0"/>
              <w:kinsoku/>
              <w:wordWrap/>
              <w:overflowPunct/>
              <w:topLinePunct w:val="0"/>
              <w:bidi w:val="0"/>
              <w:snapToGrid/>
              <w:spacing w:line="36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Tahoma"/>
                <w:color w:val="auto"/>
                <w:kern w:val="0"/>
                <w:szCs w:val="21"/>
                <w:highlight w:val="none"/>
                <w:lang w:val="en-US" w:eastAsia="zh-CN"/>
              </w:rPr>
              <w:t>10</w:t>
            </w:r>
            <w:r>
              <w:rPr>
                <w:rFonts w:hint="eastAsia" w:ascii="宋体" w:hAnsi="宋体" w:cs="Tahoma"/>
                <w:color w:val="auto"/>
                <w:kern w:val="0"/>
                <w:szCs w:val="21"/>
                <w:highlight w:val="none"/>
              </w:rPr>
              <w:t>分</w:t>
            </w:r>
          </w:p>
        </w:tc>
      </w:tr>
      <w:tr w14:paraId="5D8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2" w:hRule="atLeast"/>
          <w:jc w:val="center"/>
        </w:trPr>
        <w:tc>
          <w:tcPr>
            <w:tcW w:w="581" w:type="dxa"/>
            <w:vMerge w:val="continue"/>
            <w:noWrap w:val="0"/>
            <w:vAlign w:val="center"/>
          </w:tcPr>
          <w:p w14:paraId="33BC9828">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661F918A">
            <w:pPr>
              <w:keepNext w:val="0"/>
              <w:keepLines w:val="0"/>
              <w:pageBreakBefore w:val="0"/>
              <w:kinsoku/>
              <w:wordWrap/>
              <w:overflowPunct/>
              <w:topLinePunct w:val="0"/>
              <w:bidi w:val="0"/>
              <w:snapToGrid/>
              <w:spacing w:line="360" w:lineRule="exact"/>
              <w:jc w:val="left"/>
              <w:rPr>
                <w:rFonts w:hint="eastAsia" w:cs="宋体"/>
                <w:color w:val="auto"/>
                <w:highlight w:val="none"/>
              </w:rPr>
            </w:pPr>
          </w:p>
        </w:tc>
        <w:tc>
          <w:tcPr>
            <w:tcW w:w="1024" w:type="dxa"/>
            <w:noWrap w:val="0"/>
            <w:vAlign w:val="center"/>
          </w:tcPr>
          <w:p w14:paraId="7F43790D">
            <w:pPr>
              <w:keepNext w:val="0"/>
              <w:keepLines w:val="0"/>
              <w:pageBreakBefore w:val="0"/>
              <w:kinsoku/>
              <w:wordWrap/>
              <w:overflowPunct/>
              <w:topLinePunct w:val="0"/>
              <w:bidi w:val="0"/>
              <w:snapToGrid/>
              <w:spacing w:line="360" w:lineRule="exact"/>
              <w:jc w:val="left"/>
              <w:rPr>
                <w:rFonts w:hint="default" w:ascii="Times New Roman" w:hAnsi="Times New Roman" w:eastAsia="宋体" w:cs="Times New Roman"/>
                <w:color w:val="auto"/>
                <w:kern w:val="2"/>
                <w:sz w:val="21"/>
                <w:szCs w:val="24"/>
                <w:highlight w:val="none"/>
                <w:lang w:val="en" w:eastAsia="zh-CN" w:bidi="ar-SA"/>
              </w:rPr>
            </w:pPr>
            <w:r>
              <w:rPr>
                <w:color w:val="auto"/>
                <w:highlight w:val="none"/>
              </w:rPr>
              <w:t>确保工期的技术组织措施（</w:t>
            </w:r>
            <w:r>
              <w:rPr>
                <w:rFonts w:hint="eastAsia"/>
                <w:color w:val="auto"/>
                <w:highlight w:val="none"/>
                <w:lang w:val="en-US" w:eastAsia="zh-CN"/>
              </w:rPr>
              <w:t>8</w:t>
            </w:r>
            <w:r>
              <w:rPr>
                <w:color w:val="auto"/>
                <w:highlight w:val="none"/>
              </w:rPr>
              <w:t>分）</w:t>
            </w:r>
          </w:p>
        </w:tc>
        <w:tc>
          <w:tcPr>
            <w:tcW w:w="7055" w:type="dxa"/>
            <w:noWrap w:val="0"/>
            <w:vAlign w:val="center"/>
          </w:tcPr>
          <w:p w14:paraId="5DC30606">
            <w:pPr>
              <w:keepNext w:val="0"/>
              <w:keepLines w:val="0"/>
              <w:pageBreakBefore w:val="0"/>
              <w:kinsoku/>
              <w:wordWrap/>
              <w:overflowPunct/>
              <w:topLinePunct w:val="0"/>
              <w:bidi w:val="0"/>
              <w:snapToGrid/>
              <w:spacing w:line="360" w:lineRule="exact"/>
              <w:jc w:val="left"/>
              <w:rPr>
                <w:rFonts w:hint="default"/>
                <w:color w:val="auto"/>
                <w:highlight w:val="none"/>
                <w:lang w:val="en"/>
              </w:rPr>
            </w:pPr>
            <w:r>
              <w:rPr>
                <w:rFonts w:hint="eastAsia"/>
                <w:b/>
                <w:bCs/>
                <w:color w:val="auto"/>
                <w:highlight w:val="none"/>
                <w:lang w:val="en-US" w:eastAsia="zh-CN"/>
              </w:rPr>
              <w:t>一般（2分）：</w:t>
            </w:r>
            <w:r>
              <w:rPr>
                <w:rFonts w:hint="eastAsia"/>
                <w:b w:val="0"/>
                <w:bCs w:val="0"/>
                <w:color w:val="auto"/>
                <w:highlight w:val="none"/>
                <w:lang w:val="en-US" w:eastAsia="zh-CN"/>
              </w:rPr>
              <w:t>有施工总进度表或施工网络图。在施工工艺、方法、材料、劳动力等方面提出了保证工期的基本措施。计划安排基本合理，能基本符合项目实际要求，并承诺确保工程质量和安全施工。</w:t>
            </w:r>
          </w:p>
          <w:p w14:paraId="510582ED">
            <w:pPr>
              <w:keepNext w:val="0"/>
              <w:keepLines w:val="0"/>
              <w:pageBreakBefore w:val="0"/>
              <w:kinsoku/>
              <w:wordWrap/>
              <w:overflowPunct/>
              <w:topLinePunct w:val="0"/>
              <w:bidi w:val="0"/>
              <w:snapToGrid/>
              <w:spacing w:line="360" w:lineRule="exact"/>
              <w:jc w:val="left"/>
              <w:rPr>
                <w:rFonts w:hint="default"/>
                <w:color w:val="auto"/>
                <w:highlight w:val="none"/>
                <w:lang w:val="en" w:eastAsia="zh-CN"/>
              </w:rPr>
            </w:pPr>
            <w:r>
              <w:rPr>
                <w:rFonts w:hint="eastAsia"/>
                <w:b/>
                <w:bCs/>
                <w:color w:val="auto"/>
                <w:highlight w:val="none"/>
                <w:lang w:val="en-US" w:eastAsia="zh-CN"/>
              </w:rPr>
              <w:t>良（5分）：</w:t>
            </w:r>
            <w:r>
              <w:rPr>
                <w:rFonts w:hint="eastAsia"/>
                <w:b w:val="0"/>
                <w:bCs w:val="0"/>
                <w:color w:val="auto"/>
                <w:highlight w:val="none"/>
                <w:lang w:val="en-US" w:eastAsia="zh-CN"/>
              </w:rPr>
              <w:t>包含上一档全部内容。计划图表编制完善，安排科学合理，符合本项目施工实际要求。提出的工期保证措施具体，针对施工工艺、方法、材料、劳动力等方面有合理可行的安排。具备配合建设单位调整施工计划的能力。</w:t>
            </w:r>
            <w:r>
              <w:rPr>
                <w:rFonts w:hint="eastAsia"/>
                <w:color w:val="auto"/>
                <w:highlight w:val="none"/>
                <w:lang w:val="en-US" w:eastAsia="zh-CN"/>
              </w:rPr>
              <w:t>并确保工程质量和安全施工。</w:t>
            </w:r>
          </w:p>
          <w:p w14:paraId="0459E802">
            <w:pPr>
              <w:keepNext w:val="0"/>
              <w:keepLines w:val="0"/>
              <w:pageBreakBefore w:val="0"/>
              <w:kinsoku/>
              <w:wordWrap/>
              <w:overflowPunct/>
              <w:topLinePunct w:val="0"/>
              <w:bidi w:val="0"/>
              <w:snapToGrid/>
              <w:spacing w:line="360" w:lineRule="exact"/>
              <w:jc w:val="left"/>
              <w:rPr>
                <w:rFonts w:hint="default"/>
                <w:color w:val="auto"/>
                <w:highlight w:val="none"/>
                <w:lang w:val="en"/>
              </w:rPr>
            </w:pPr>
            <w:r>
              <w:rPr>
                <w:rFonts w:hint="eastAsia"/>
                <w:b/>
                <w:bCs/>
                <w:color w:val="auto"/>
                <w:highlight w:val="none"/>
                <w:lang w:val="en-US" w:eastAsia="zh-CN"/>
              </w:rPr>
              <w:t>优（8分）：</w:t>
            </w:r>
            <w:r>
              <w:rPr>
                <w:rFonts w:hint="eastAsia"/>
                <w:b w:val="0"/>
                <w:bCs w:val="0"/>
                <w:color w:val="auto"/>
                <w:highlight w:val="none"/>
                <w:lang w:val="en-US" w:eastAsia="zh-CN"/>
              </w:rPr>
              <w:t>包含上一档全部内容。提出的工期保证措施非常得当，针对性强，可操作性高，且在常规8小时作业之外，明确承诺可根据需要自发安排加快施工进度（如夜间施工、赶工措施），并为此制定专项质量与安全保障方案。进度计划（总进度表/网络图）中清晰标出了关键线路，并制定了针对性的控制措施。</w:t>
            </w:r>
            <w:r>
              <w:rPr>
                <w:rFonts w:hint="eastAsia"/>
                <w:color w:val="auto"/>
                <w:highlight w:val="none"/>
              </w:rPr>
              <w:t>能</w:t>
            </w:r>
            <w:r>
              <w:rPr>
                <w:rFonts w:hint="eastAsia"/>
                <w:color w:val="auto"/>
                <w:highlight w:val="none"/>
                <w:lang w:eastAsia="zh-CN"/>
              </w:rPr>
              <w:t>够</w:t>
            </w:r>
            <w:r>
              <w:rPr>
                <w:rFonts w:hint="eastAsia"/>
                <w:color w:val="auto"/>
                <w:highlight w:val="none"/>
              </w:rPr>
              <w:t>配合</w:t>
            </w:r>
            <w:r>
              <w:rPr>
                <w:rFonts w:hint="eastAsia"/>
                <w:color w:val="auto"/>
                <w:highlight w:val="none"/>
                <w:lang w:eastAsia="zh-CN"/>
              </w:rPr>
              <w:t>建设单位</w:t>
            </w:r>
            <w:r>
              <w:rPr>
                <w:rFonts w:hint="eastAsia"/>
                <w:color w:val="auto"/>
                <w:highlight w:val="none"/>
              </w:rPr>
              <w:t>根据</w:t>
            </w:r>
            <w:r>
              <w:rPr>
                <w:rFonts w:hint="eastAsia"/>
                <w:color w:val="auto"/>
                <w:highlight w:val="none"/>
                <w:lang w:eastAsia="zh-CN"/>
              </w:rPr>
              <w:t>工作需要</w:t>
            </w:r>
            <w:r>
              <w:rPr>
                <w:rFonts w:hint="eastAsia"/>
                <w:color w:val="auto"/>
                <w:highlight w:val="none"/>
              </w:rPr>
              <w:t>调整施工计划，并具备保证施工工期的能力。</w:t>
            </w:r>
          </w:p>
          <w:p w14:paraId="6A6311B7">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注：未提供该项方案或未达到最“一般”档要求不得分</w:t>
            </w:r>
            <w:r>
              <w:rPr>
                <w:rFonts w:hint="eastAsia"/>
                <w:b/>
                <w:bCs/>
                <w:color w:val="auto"/>
                <w:highlight w:val="none"/>
                <w:lang w:eastAsia="zh-CN"/>
              </w:rPr>
              <w:t>。</w:t>
            </w:r>
            <w:r>
              <w:rPr>
                <w:color w:val="auto"/>
                <w:highlight w:val="none"/>
              </w:rPr>
              <w:t xml:space="preserve"> </w:t>
            </w:r>
          </w:p>
        </w:tc>
        <w:tc>
          <w:tcPr>
            <w:tcW w:w="836" w:type="dxa"/>
            <w:noWrap w:val="0"/>
            <w:vAlign w:val="center"/>
          </w:tcPr>
          <w:p w14:paraId="193289A9">
            <w:pPr>
              <w:keepNext w:val="0"/>
              <w:keepLines w:val="0"/>
              <w:pageBreakBefore w:val="0"/>
              <w:kinsoku/>
              <w:wordWrap/>
              <w:overflowPunct/>
              <w:topLinePunct w:val="0"/>
              <w:bidi w:val="0"/>
              <w:snapToGrid/>
              <w:spacing w:line="36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Tahoma"/>
                <w:color w:val="auto"/>
                <w:kern w:val="0"/>
                <w:szCs w:val="21"/>
                <w:highlight w:val="none"/>
                <w:lang w:val="en-US" w:eastAsia="zh-CN"/>
              </w:rPr>
              <w:t>8</w:t>
            </w:r>
            <w:r>
              <w:rPr>
                <w:rFonts w:hint="eastAsia" w:ascii="宋体" w:hAnsi="宋体" w:cs="Tahoma"/>
                <w:color w:val="auto"/>
                <w:kern w:val="0"/>
                <w:szCs w:val="21"/>
                <w:highlight w:val="none"/>
              </w:rPr>
              <w:t>分</w:t>
            </w:r>
          </w:p>
        </w:tc>
      </w:tr>
      <w:tr w14:paraId="6933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jc w:val="center"/>
        </w:trPr>
        <w:tc>
          <w:tcPr>
            <w:tcW w:w="581" w:type="dxa"/>
            <w:vMerge w:val="continue"/>
            <w:noWrap w:val="0"/>
            <w:vAlign w:val="center"/>
          </w:tcPr>
          <w:p w14:paraId="10B825B5">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4AB79C67">
            <w:pPr>
              <w:keepNext w:val="0"/>
              <w:keepLines w:val="0"/>
              <w:pageBreakBefore w:val="0"/>
              <w:kinsoku/>
              <w:wordWrap/>
              <w:overflowPunct/>
              <w:topLinePunct w:val="0"/>
              <w:bidi w:val="0"/>
              <w:snapToGrid/>
              <w:spacing w:line="360" w:lineRule="exact"/>
              <w:jc w:val="left"/>
              <w:rPr>
                <w:rFonts w:hint="eastAsia" w:cs="宋体"/>
                <w:color w:val="auto"/>
                <w:highlight w:val="none"/>
              </w:rPr>
            </w:pPr>
          </w:p>
        </w:tc>
        <w:tc>
          <w:tcPr>
            <w:tcW w:w="1024" w:type="dxa"/>
            <w:noWrap w:val="0"/>
            <w:vAlign w:val="center"/>
          </w:tcPr>
          <w:p w14:paraId="628DE1A0">
            <w:pPr>
              <w:keepNext w:val="0"/>
              <w:keepLines w:val="0"/>
              <w:pageBreakBefore w:val="0"/>
              <w:kinsoku/>
              <w:wordWrap/>
              <w:overflowPunct/>
              <w:topLinePunct w:val="0"/>
              <w:bidi w:val="0"/>
              <w:snapToGrid/>
              <w:spacing w:line="360" w:lineRule="exact"/>
              <w:jc w:val="left"/>
              <w:rPr>
                <w:rFonts w:ascii="Times New Roman" w:hAnsi="Times New Roman" w:eastAsia="宋体" w:cs="Times New Roman"/>
                <w:color w:val="auto"/>
                <w:kern w:val="2"/>
                <w:sz w:val="21"/>
                <w:szCs w:val="24"/>
                <w:highlight w:val="none"/>
                <w:lang w:val="en-US" w:eastAsia="zh-CN" w:bidi="ar-SA"/>
              </w:rPr>
            </w:pPr>
            <w:r>
              <w:rPr>
                <w:color w:val="auto"/>
                <w:highlight w:val="none"/>
              </w:rPr>
              <w:t>确保文明施工的技术组织措施（</w:t>
            </w:r>
            <w:r>
              <w:rPr>
                <w:rFonts w:hint="eastAsia"/>
                <w:color w:val="auto"/>
                <w:highlight w:val="none"/>
                <w:lang w:val="en-US" w:eastAsia="zh-CN"/>
              </w:rPr>
              <w:t>5</w:t>
            </w:r>
            <w:r>
              <w:rPr>
                <w:color w:val="auto"/>
                <w:highlight w:val="none"/>
              </w:rPr>
              <w:t>分）</w:t>
            </w:r>
          </w:p>
        </w:tc>
        <w:tc>
          <w:tcPr>
            <w:tcW w:w="7055" w:type="dxa"/>
            <w:noWrap w:val="0"/>
            <w:vAlign w:val="center"/>
          </w:tcPr>
          <w:p w14:paraId="3D25D8F0">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一般（1分）：</w:t>
            </w:r>
            <w:r>
              <w:rPr>
                <w:color w:val="auto"/>
                <w:highlight w:val="none"/>
              </w:rPr>
              <w:t xml:space="preserve">有现场文明施工、环境保护措施，且措施内容达到《建筑施工安全生产检查标准》（JGJ59-2011）合格标准并符合《广西壮族自治区建筑工程文明施工导则》要求。各项措施一般。有具体实现现场文明施工目标的承诺。 </w:t>
            </w:r>
          </w:p>
          <w:p w14:paraId="7CDDD7E9">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良（3分）：</w:t>
            </w:r>
            <w:r>
              <w:rPr>
                <w:color w:val="auto"/>
                <w:highlight w:val="none"/>
              </w:rPr>
              <w:t>针对本工程项目特点，有现场文明施工、环境保护措施，</w:t>
            </w:r>
            <w:r>
              <w:rPr>
                <w:rFonts w:hint="eastAsia"/>
                <w:color w:val="auto"/>
                <w:highlight w:val="none"/>
                <w:lang w:eastAsia="zh-CN"/>
              </w:rPr>
              <w:t>有除尘、降噪管理措施，</w:t>
            </w:r>
            <w:r>
              <w:rPr>
                <w:color w:val="auto"/>
                <w:highlight w:val="none"/>
              </w:rPr>
              <w:t xml:space="preserve">且措施内容达到《建筑施工安全生产检查标准》（JGJ59-2011）合格标准并符合《广西壮族自治区建筑工程文明施工导则》要求。各项措施一般。有具体实现现场文明施工目标的承诺。 </w:t>
            </w:r>
          </w:p>
          <w:p w14:paraId="56AD7782">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优（5分）：</w:t>
            </w:r>
            <w:r>
              <w:rPr>
                <w:color w:val="auto"/>
                <w:highlight w:val="none"/>
              </w:rPr>
              <w:t>针对本工程项目特点，有现场文明施工、环境保护措施</w:t>
            </w:r>
            <w:r>
              <w:rPr>
                <w:rFonts w:hint="eastAsia"/>
                <w:color w:val="auto"/>
                <w:highlight w:val="none"/>
                <w:lang w:eastAsia="zh-CN"/>
              </w:rPr>
              <w:t>，有非常管用和齐全完善的除尘、降噪等具体措施</w:t>
            </w:r>
            <w:r>
              <w:rPr>
                <w:color w:val="auto"/>
                <w:highlight w:val="none"/>
              </w:rPr>
              <w:t xml:space="preserve">，且措施内容达到《建筑施工安全生产检查标准》（JGJ59-2011）合格标准并符合《广西壮族自治区建筑工程文明施工导则》要求。各项措施周全、具体、有效。有具体实现现场文明施工目标的承诺。 </w:t>
            </w:r>
          </w:p>
          <w:p w14:paraId="3E4E36A2">
            <w:pPr>
              <w:keepNext w:val="0"/>
              <w:keepLines w:val="0"/>
              <w:pageBreakBefore w:val="0"/>
              <w:kinsoku/>
              <w:wordWrap/>
              <w:overflowPunct/>
              <w:topLinePunct w:val="0"/>
              <w:bidi w:val="0"/>
              <w:snapToGrid/>
              <w:spacing w:line="360" w:lineRule="exact"/>
              <w:jc w:val="left"/>
              <w:rPr>
                <w:rFonts w:hint="eastAsia"/>
                <w:color w:val="auto"/>
                <w:highlight w:val="none"/>
                <w:lang w:val="en-US" w:eastAsia="zh-CN"/>
              </w:rPr>
            </w:pPr>
            <w:r>
              <w:rPr>
                <w:rFonts w:hint="eastAsia"/>
                <w:b/>
                <w:bCs/>
                <w:color w:val="auto"/>
                <w:highlight w:val="none"/>
                <w:lang w:val="en-US" w:eastAsia="zh-CN"/>
              </w:rPr>
              <w:t>注：未提供该项方案或未达到最“一般”档要求不得分。</w:t>
            </w:r>
          </w:p>
        </w:tc>
        <w:tc>
          <w:tcPr>
            <w:tcW w:w="836" w:type="dxa"/>
            <w:noWrap w:val="0"/>
            <w:vAlign w:val="center"/>
          </w:tcPr>
          <w:p w14:paraId="14DCED74">
            <w:pPr>
              <w:keepNext w:val="0"/>
              <w:keepLines w:val="0"/>
              <w:pageBreakBefore w:val="0"/>
              <w:kinsoku/>
              <w:wordWrap/>
              <w:overflowPunct/>
              <w:topLinePunct w:val="0"/>
              <w:bidi w:val="0"/>
              <w:snapToGrid/>
              <w:spacing w:line="360" w:lineRule="exact"/>
              <w:jc w:val="center"/>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r>
      <w:tr w14:paraId="6C70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dxa"/>
            <w:vMerge w:val="continue"/>
            <w:noWrap w:val="0"/>
            <w:vAlign w:val="center"/>
          </w:tcPr>
          <w:p w14:paraId="2B16361F">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72DFF09E">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bCs/>
                <w:color w:val="auto"/>
                <w:kern w:val="0"/>
                <w:szCs w:val="21"/>
                <w:highlight w:val="none"/>
              </w:rPr>
            </w:pPr>
          </w:p>
        </w:tc>
        <w:tc>
          <w:tcPr>
            <w:tcW w:w="1024" w:type="dxa"/>
            <w:noWrap w:val="0"/>
            <w:vAlign w:val="center"/>
          </w:tcPr>
          <w:p w14:paraId="42D0A28F">
            <w:pPr>
              <w:keepNext w:val="0"/>
              <w:keepLines w:val="0"/>
              <w:pageBreakBefore w:val="0"/>
              <w:kinsoku/>
              <w:wordWrap/>
              <w:overflowPunct/>
              <w:topLinePunct w:val="0"/>
              <w:bidi w:val="0"/>
              <w:snapToGrid/>
              <w:spacing w:line="360" w:lineRule="exact"/>
              <w:jc w:val="left"/>
              <w:rPr>
                <w:color w:val="auto"/>
                <w:highlight w:val="none"/>
              </w:rPr>
            </w:pPr>
            <w:r>
              <w:rPr>
                <w:color w:val="auto"/>
                <w:highlight w:val="none"/>
              </w:rPr>
              <w:t>拟投入的主要物资计划（</w:t>
            </w:r>
            <w:r>
              <w:rPr>
                <w:rFonts w:hint="eastAsia"/>
                <w:color w:val="auto"/>
                <w:highlight w:val="none"/>
                <w:lang w:val="en-US" w:eastAsia="zh-CN"/>
              </w:rPr>
              <w:t>5</w:t>
            </w:r>
            <w:r>
              <w:rPr>
                <w:color w:val="auto"/>
                <w:highlight w:val="none"/>
              </w:rPr>
              <w:t>分）</w:t>
            </w:r>
          </w:p>
        </w:tc>
        <w:tc>
          <w:tcPr>
            <w:tcW w:w="7055" w:type="dxa"/>
            <w:noWrap w:val="0"/>
            <w:vAlign w:val="center"/>
          </w:tcPr>
          <w:p w14:paraId="50B4E087">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一般（1分）：</w:t>
            </w:r>
            <w:r>
              <w:rPr>
                <w:rFonts w:hint="eastAsia"/>
                <w:b w:val="0"/>
                <w:bCs w:val="0"/>
                <w:color w:val="auto"/>
                <w:highlight w:val="none"/>
                <w:lang w:val="en-US" w:eastAsia="zh-CN"/>
              </w:rPr>
              <w:t>提供了主要施工材料清单，明确了材料的数量、选型及预估的进场时间节点。计划基本能满足整体施工进度的需求。</w:t>
            </w:r>
            <w:r>
              <w:rPr>
                <w:color w:val="auto"/>
                <w:highlight w:val="none"/>
              </w:rPr>
              <w:t xml:space="preserve"> </w:t>
            </w:r>
          </w:p>
          <w:p w14:paraId="79B8FAF0">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良（3分）：</w:t>
            </w:r>
            <w:r>
              <w:rPr>
                <w:rFonts w:hint="eastAsia"/>
                <w:b w:val="0"/>
                <w:bCs w:val="0"/>
                <w:color w:val="auto"/>
                <w:highlight w:val="none"/>
                <w:lang w:val="en-US" w:eastAsia="zh-CN"/>
              </w:rPr>
              <w:t>包含上一档全部内容。材料组织计划详细，材料清单完整（包含主材、辅材及周转材料），其数量、选型配置、进场批次及时间安排与施工进度计划中的关键节点相匹配，逻辑合理，能够保障施工的连续进行。</w:t>
            </w:r>
            <w:r>
              <w:rPr>
                <w:color w:val="auto"/>
                <w:highlight w:val="none"/>
              </w:rPr>
              <w:t xml:space="preserve"> </w:t>
            </w:r>
          </w:p>
          <w:p w14:paraId="282FC9AC">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优（5分）：</w:t>
            </w:r>
            <w:r>
              <w:rPr>
                <w:rFonts w:hint="eastAsia"/>
                <w:b w:val="0"/>
                <w:bCs w:val="0"/>
                <w:color w:val="auto"/>
                <w:highlight w:val="none"/>
                <w:lang w:val="en-US" w:eastAsia="zh-CN"/>
              </w:rPr>
              <w:t>包含上一档全部内容。计划特别周密，对于定制加工、长周期采购或关键路径上的材料（如钢结构构件、特殊装饰材料），提供了专项采购与加工周期分析及备用/替代方案。进场计划精确到周或天，并与场地存储条件、垂直运输能力相协调，实现了对材料库存的动态优化管理。</w:t>
            </w:r>
            <w:r>
              <w:rPr>
                <w:color w:val="auto"/>
                <w:highlight w:val="none"/>
              </w:rPr>
              <w:t xml:space="preserve"> </w:t>
            </w:r>
          </w:p>
          <w:p w14:paraId="1BE6BB79">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注：未提供该项方案或未达到最“一般”档要求不得分。</w:t>
            </w:r>
          </w:p>
        </w:tc>
        <w:tc>
          <w:tcPr>
            <w:tcW w:w="836" w:type="dxa"/>
            <w:noWrap w:val="0"/>
            <w:vAlign w:val="center"/>
          </w:tcPr>
          <w:p w14:paraId="5FBBC1C7">
            <w:pPr>
              <w:keepNext w:val="0"/>
              <w:keepLines w:val="0"/>
              <w:pageBreakBefore w:val="0"/>
              <w:kinsoku/>
              <w:wordWrap/>
              <w:overflowPunct/>
              <w:topLinePunct w:val="0"/>
              <w:bidi w:val="0"/>
              <w:snapToGrid/>
              <w:spacing w:line="360" w:lineRule="exact"/>
              <w:jc w:val="center"/>
              <w:rPr>
                <w:color w:val="auto"/>
                <w:highlight w:val="none"/>
              </w:rPr>
            </w:pPr>
            <w:r>
              <w:rPr>
                <w:rFonts w:hint="eastAsia" w:ascii="宋体" w:hAnsi="宋体" w:cs="Tahoma"/>
                <w:color w:val="auto"/>
                <w:kern w:val="0"/>
                <w:szCs w:val="21"/>
                <w:highlight w:val="none"/>
              </w:rPr>
              <w:t>5分</w:t>
            </w:r>
          </w:p>
        </w:tc>
      </w:tr>
      <w:tr w14:paraId="308B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jc w:val="center"/>
        </w:trPr>
        <w:tc>
          <w:tcPr>
            <w:tcW w:w="581" w:type="dxa"/>
            <w:vMerge w:val="continue"/>
            <w:noWrap w:val="0"/>
            <w:vAlign w:val="center"/>
          </w:tcPr>
          <w:p w14:paraId="1612E8DF">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633E167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bCs/>
                <w:color w:val="auto"/>
                <w:kern w:val="0"/>
                <w:szCs w:val="21"/>
                <w:highlight w:val="none"/>
              </w:rPr>
            </w:pPr>
          </w:p>
        </w:tc>
        <w:tc>
          <w:tcPr>
            <w:tcW w:w="1024" w:type="dxa"/>
            <w:noWrap w:val="0"/>
            <w:vAlign w:val="center"/>
          </w:tcPr>
          <w:p w14:paraId="76AC622F">
            <w:pPr>
              <w:keepNext w:val="0"/>
              <w:keepLines w:val="0"/>
              <w:pageBreakBefore w:val="0"/>
              <w:kinsoku/>
              <w:wordWrap/>
              <w:overflowPunct/>
              <w:topLinePunct w:val="0"/>
              <w:bidi w:val="0"/>
              <w:snapToGrid/>
              <w:spacing w:line="360" w:lineRule="exact"/>
              <w:jc w:val="left"/>
              <w:rPr>
                <w:color w:val="auto"/>
                <w:highlight w:val="none"/>
              </w:rPr>
            </w:pPr>
            <w:r>
              <w:rPr>
                <w:color w:val="auto"/>
                <w:highlight w:val="none"/>
              </w:rPr>
              <w:t>拟投入的主要施工机械、设备计划（</w:t>
            </w:r>
            <w:r>
              <w:rPr>
                <w:rFonts w:hint="eastAsia"/>
                <w:color w:val="auto"/>
                <w:highlight w:val="none"/>
                <w:lang w:val="en-US" w:eastAsia="zh-CN"/>
              </w:rPr>
              <w:t>5</w:t>
            </w:r>
            <w:r>
              <w:rPr>
                <w:color w:val="auto"/>
                <w:highlight w:val="none"/>
              </w:rPr>
              <w:t>分）</w:t>
            </w:r>
          </w:p>
        </w:tc>
        <w:tc>
          <w:tcPr>
            <w:tcW w:w="7055" w:type="dxa"/>
            <w:noWrap w:val="0"/>
            <w:vAlign w:val="center"/>
          </w:tcPr>
          <w:p w14:paraId="5976DE63">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一般（1分）：</w:t>
            </w:r>
            <w:r>
              <w:rPr>
                <w:rFonts w:hint="eastAsia"/>
                <w:b w:val="0"/>
                <w:bCs w:val="0"/>
                <w:color w:val="auto"/>
                <w:highlight w:val="none"/>
                <w:lang w:val="en-US" w:eastAsia="zh-CN"/>
              </w:rPr>
              <w:t>提供了主要施工机械设备清单，明确了关键设备的型号、数量和计划进场时间。其中</w:t>
            </w:r>
            <w:r>
              <w:rPr>
                <w:rStyle w:val="47"/>
                <w:rFonts w:hint="eastAsia" w:ascii="宋体" w:hAnsi="宋体" w:eastAsia="宋体" w:cs="宋体"/>
                <w:b w:val="0"/>
                <w:color w:val="auto"/>
                <w:sz w:val="21"/>
                <w:szCs w:val="24"/>
                <w:highlight w:val="none"/>
                <w:lang w:val="en-US" w:eastAsia="zh-CN"/>
              </w:rPr>
              <w:t>焊机不低于5</w:t>
            </w:r>
            <w:r>
              <w:rPr>
                <w:rStyle w:val="47"/>
                <w:rFonts w:ascii="宋体" w:hAnsi="宋体" w:eastAsia="宋体" w:cs="宋体"/>
                <w:b w:val="0"/>
                <w:color w:val="auto"/>
                <w:sz w:val="21"/>
                <w:szCs w:val="24"/>
                <w:highlight w:val="none"/>
              </w:rPr>
              <w:t>台、切割机</w:t>
            </w:r>
            <w:r>
              <w:rPr>
                <w:rStyle w:val="47"/>
                <w:rFonts w:hint="eastAsia" w:ascii="宋体" w:hAnsi="宋体" w:eastAsia="宋体" w:cs="宋体"/>
                <w:b w:val="0"/>
                <w:color w:val="auto"/>
                <w:sz w:val="21"/>
                <w:szCs w:val="24"/>
                <w:highlight w:val="none"/>
                <w:lang w:val="en-US" w:eastAsia="zh-CN"/>
              </w:rPr>
              <w:t>不低于5</w:t>
            </w:r>
            <w:r>
              <w:rPr>
                <w:rStyle w:val="47"/>
                <w:rFonts w:ascii="宋体" w:hAnsi="宋体" w:eastAsia="宋体" w:cs="宋体"/>
                <w:b w:val="0"/>
                <w:color w:val="auto"/>
                <w:sz w:val="21"/>
                <w:szCs w:val="24"/>
                <w:highlight w:val="none"/>
              </w:rPr>
              <w:t>台、角磨机</w:t>
            </w:r>
            <w:r>
              <w:rPr>
                <w:rStyle w:val="47"/>
                <w:rFonts w:hint="eastAsia" w:ascii="宋体" w:hAnsi="宋体" w:eastAsia="宋体" w:cs="宋体"/>
                <w:b w:val="0"/>
                <w:color w:val="auto"/>
                <w:sz w:val="21"/>
                <w:szCs w:val="24"/>
                <w:highlight w:val="none"/>
                <w:lang w:val="en-US" w:eastAsia="zh-CN"/>
              </w:rPr>
              <w:t>不低于5</w:t>
            </w:r>
            <w:r>
              <w:rPr>
                <w:rStyle w:val="47"/>
                <w:rFonts w:ascii="宋体" w:hAnsi="宋体" w:eastAsia="宋体" w:cs="宋体"/>
                <w:b w:val="0"/>
                <w:color w:val="auto"/>
                <w:sz w:val="21"/>
                <w:szCs w:val="24"/>
                <w:highlight w:val="none"/>
              </w:rPr>
              <w:t>台</w:t>
            </w:r>
            <w:r>
              <w:rPr>
                <w:rStyle w:val="47"/>
                <w:rFonts w:hint="eastAsia" w:ascii="宋体" w:hAnsi="宋体" w:eastAsia="宋体" w:cs="宋体"/>
                <w:b w:val="0"/>
                <w:color w:val="auto"/>
                <w:sz w:val="21"/>
                <w:szCs w:val="24"/>
                <w:highlight w:val="none"/>
                <w:lang w:eastAsia="zh-CN"/>
              </w:rPr>
              <w:t>。</w:t>
            </w:r>
            <w:r>
              <w:rPr>
                <w:color w:val="auto"/>
                <w:highlight w:val="none"/>
              </w:rPr>
              <w:t xml:space="preserve"> </w:t>
            </w:r>
          </w:p>
          <w:p w14:paraId="447C3555">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良（3分）：</w:t>
            </w:r>
            <w:r>
              <w:rPr>
                <w:rFonts w:hint="eastAsia"/>
                <w:b w:val="0"/>
                <w:bCs w:val="0"/>
                <w:color w:val="auto"/>
                <w:highlight w:val="none"/>
                <w:lang w:val="en-US" w:eastAsia="zh-CN"/>
              </w:rPr>
              <w:t>包含上一档全部内容。设备组织计划完整，清单涵盖所有主要和辅助设备。设备的数量、型号选择、进场及退场时间安排，与施工进度计划和主要分项工程（如金属结构工程）的作业面需求相匹配，能保障施工的连续进行。其中</w:t>
            </w:r>
            <w:r>
              <w:rPr>
                <w:rStyle w:val="47"/>
                <w:rFonts w:hint="eastAsia" w:ascii="宋体" w:hAnsi="宋体" w:eastAsia="宋体" w:cs="宋体"/>
                <w:b w:val="0"/>
                <w:color w:val="auto"/>
                <w:sz w:val="21"/>
                <w:szCs w:val="24"/>
                <w:highlight w:val="none"/>
                <w:lang w:val="en-US" w:eastAsia="zh-CN"/>
              </w:rPr>
              <w:t>焊机不低于8</w:t>
            </w:r>
            <w:r>
              <w:rPr>
                <w:rStyle w:val="47"/>
                <w:rFonts w:ascii="宋体" w:hAnsi="宋体" w:eastAsia="宋体" w:cs="宋体"/>
                <w:b w:val="0"/>
                <w:color w:val="auto"/>
                <w:sz w:val="21"/>
                <w:szCs w:val="24"/>
                <w:highlight w:val="none"/>
              </w:rPr>
              <w:t>台、切割机</w:t>
            </w:r>
            <w:r>
              <w:rPr>
                <w:rStyle w:val="47"/>
                <w:rFonts w:hint="eastAsia" w:ascii="宋体" w:hAnsi="宋体" w:eastAsia="宋体" w:cs="宋体"/>
                <w:b w:val="0"/>
                <w:color w:val="auto"/>
                <w:sz w:val="21"/>
                <w:szCs w:val="24"/>
                <w:highlight w:val="none"/>
                <w:lang w:val="en-US" w:eastAsia="zh-CN"/>
              </w:rPr>
              <w:t>不低于8</w:t>
            </w:r>
            <w:r>
              <w:rPr>
                <w:rStyle w:val="47"/>
                <w:rFonts w:ascii="宋体" w:hAnsi="宋体" w:eastAsia="宋体" w:cs="宋体"/>
                <w:b w:val="0"/>
                <w:color w:val="auto"/>
                <w:sz w:val="21"/>
                <w:szCs w:val="24"/>
                <w:highlight w:val="none"/>
              </w:rPr>
              <w:t>台、角磨机</w:t>
            </w:r>
            <w:r>
              <w:rPr>
                <w:rStyle w:val="47"/>
                <w:rFonts w:hint="eastAsia" w:ascii="宋体" w:hAnsi="宋体" w:eastAsia="宋体" w:cs="宋体"/>
                <w:b w:val="0"/>
                <w:color w:val="auto"/>
                <w:sz w:val="21"/>
                <w:szCs w:val="24"/>
                <w:highlight w:val="none"/>
                <w:lang w:val="en-US" w:eastAsia="zh-CN"/>
              </w:rPr>
              <w:t>不低于8</w:t>
            </w:r>
            <w:r>
              <w:rPr>
                <w:rStyle w:val="47"/>
                <w:rFonts w:ascii="宋体" w:hAnsi="宋体" w:eastAsia="宋体" w:cs="宋体"/>
                <w:b w:val="0"/>
                <w:color w:val="auto"/>
                <w:sz w:val="21"/>
                <w:szCs w:val="24"/>
                <w:highlight w:val="none"/>
              </w:rPr>
              <w:t>台</w:t>
            </w:r>
            <w:r>
              <w:rPr>
                <w:rStyle w:val="47"/>
                <w:rFonts w:hint="eastAsia" w:ascii="宋体" w:hAnsi="宋体" w:eastAsia="宋体" w:cs="宋体"/>
                <w:b w:val="0"/>
                <w:color w:val="auto"/>
                <w:sz w:val="21"/>
                <w:szCs w:val="24"/>
                <w:highlight w:val="none"/>
                <w:lang w:eastAsia="zh-CN"/>
              </w:rPr>
              <w:t>。</w:t>
            </w:r>
            <w:r>
              <w:rPr>
                <w:color w:val="auto"/>
                <w:highlight w:val="none"/>
              </w:rPr>
              <w:t xml:space="preserve"> </w:t>
            </w:r>
          </w:p>
          <w:p w14:paraId="1CF8F735">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优（5分）：</w:t>
            </w:r>
            <w:r>
              <w:rPr>
                <w:rFonts w:hint="eastAsia"/>
                <w:b w:val="0"/>
                <w:bCs w:val="0"/>
                <w:color w:val="auto"/>
                <w:highlight w:val="none"/>
                <w:lang w:val="en-US" w:eastAsia="zh-CN"/>
              </w:rPr>
              <w:t>包含上一档全部内容。计划特别周全，对于大型、特种或关键线路上的设备（如吊车、高空作业平台），提出了进出场路线与安装方案及备用设备预案。计划体现了设备的协同作业安排与高效的周转方案，并与场地条件、用电负荷等限制因素进行了匹配说明。其中</w:t>
            </w:r>
            <w:r>
              <w:rPr>
                <w:rStyle w:val="47"/>
                <w:rFonts w:hint="eastAsia" w:ascii="宋体" w:hAnsi="宋体" w:eastAsia="宋体" w:cs="宋体"/>
                <w:b w:val="0"/>
                <w:color w:val="auto"/>
                <w:sz w:val="21"/>
                <w:szCs w:val="24"/>
                <w:highlight w:val="none"/>
                <w:lang w:val="en-US" w:eastAsia="zh-CN"/>
              </w:rPr>
              <w:t>焊机不低于10</w:t>
            </w:r>
            <w:r>
              <w:rPr>
                <w:rStyle w:val="47"/>
                <w:rFonts w:ascii="宋体" w:hAnsi="宋体" w:eastAsia="宋体" w:cs="宋体"/>
                <w:b w:val="0"/>
                <w:color w:val="auto"/>
                <w:sz w:val="21"/>
                <w:szCs w:val="24"/>
                <w:highlight w:val="none"/>
              </w:rPr>
              <w:t>台、切割机</w:t>
            </w:r>
            <w:r>
              <w:rPr>
                <w:rStyle w:val="47"/>
                <w:rFonts w:hint="eastAsia" w:ascii="宋体" w:hAnsi="宋体" w:eastAsia="宋体" w:cs="宋体"/>
                <w:b w:val="0"/>
                <w:color w:val="auto"/>
                <w:sz w:val="21"/>
                <w:szCs w:val="24"/>
                <w:highlight w:val="none"/>
                <w:lang w:val="en-US" w:eastAsia="zh-CN"/>
              </w:rPr>
              <w:t>不低于10</w:t>
            </w:r>
            <w:r>
              <w:rPr>
                <w:rStyle w:val="47"/>
                <w:rFonts w:ascii="宋体" w:hAnsi="宋体" w:eastAsia="宋体" w:cs="宋体"/>
                <w:b w:val="0"/>
                <w:color w:val="auto"/>
                <w:sz w:val="21"/>
                <w:szCs w:val="24"/>
                <w:highlight w:val="none"/>
              </w:rPr>
              <w:t>台、角磨机</w:t>
            </w:r>
            <w:r>
              <w:rPr>
                <w:rStyle w:val="47"/>
                <w:rFonts w:hint="eastAsia" w:ascii="宋体" w:hAnsi="宋体" w:eastAsia="宋体" w:cs="宋体"/>
                <w:b w:val="0"/>
                <w:color w:val="auto"/>
                <w:sz w:val="21"/>
                <w:szCs w:val="24"/>
                <w:highlight w:val="none"/>
                <w:lang w:val="en-US" w:eastAsia="zh-CN"/>
              </w:rPr>
              <w:t>不低于10</w:t>
            </w:r>
            <w:r>
              <w:rPr>
                <w:rStyle w:val="47"/>
                <w:rFonts w:ascii="宋体" w:hAnsi="宋体" w:eastAsia="宋体" w:cs="宋体"/>
                <w:b w:val="0"/>
                <w:color w:val="auto"/>
                <w:sz w:val="21"/>
                <w:szCs w:val="24"/>
                <w:highlight w:val="none"/>
              </w:rPr>
              <w:t>台</w:t>
            </w:r>
            <w:r>
              <w:rPr>
                <w:rStyle w:val="47"/>
                <w:rFonts w:hint="eastAsia" w:ascii="宋体" w:hAnsi="宋体" w:eastAsia="宋体" w:cs="宋体"/>
                <w:b w:val="0"/>
                <w:color w:val="auto"/>
                <w:sz w:val="21"/>
                <w:szCs w:val="24"/>
                <w:highlight w:val="none"/>
                <w:lang w:eastAsia="zh-CN"/>
              </w:rPr>
              <w:t>。</w:t>
            </w:r>
            <w:r>
              <w:rPr>
                <w:color w:val="auto"/>
                <w:highlight w:val="none"/>
              </w:rPr>
              <w:t xml:space="preserve"> </w:t>
            </w:r>
          </w:p>
          <w:p w14:paraId="6B505C36">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注：未提供该项方案或未达到最“一般”档要求不得分</w:t>
            </w:r>
            <w:r>
              <w:rPr>
                <w:rFonts w:hint="eastAsia"/>
                <w:b/>
                <w:bCs/>
                <w:color w:val="auto"/>
                <w:highlight w:val="none"/>
                <w:lang w:eastAsia="zh-CN"/>
              </w:rPr>
              <w:t>。</w:t>
            </w:r>
          </w:p>
        </w:tc>
        <w:tc>
          <w:tcPr>
            <w:tcW w:w="836" w:type="dxa"/>
            <w:noWrap w:val="0"/>
            <w:vAlign w:val="center"/>
          </w:tcPr>
          <w:p w14:paraId="7C503082">
            <w:pPr>
              <w:keepNext w:val="0"/>
              <w:keepLines w:val="0"/>
              <w:pageBreakBefore w:val="0"/>
              <w:kinsoku/>
              <w:wordWrap/>
              <w:overflowPunct/>
              <w:topLinePunct w:val="0"/>
              <w:bidi w:val="0"/>
              <w:snapToGrid/>
              <w:spacing w:line="360" w:lineRule="exact"/>
              <w:jc w:val="center"/>
              <w:rPr>
                <w:color w:val="auto"/>
                <w:highlight w:val="none"/>
              </w:rPr>
            </w:pPr>
            <w:r>
              <w:rPr>
                <w:rFonts w:hint="eastAsia" w:ascii="宋体" w:hAnsi="宋体" w:cs="Tahoma"/>
                <w:color w:val="auto"/>
                <w:kern w:val="0"/>
                <w:szCs w:val="21"/>
                <w:highlight w:val="none"/>
              </w:rPr>
              <w:t>5分</w:t>
            </w:r>
          </w:p>
        </w:tc>
      </w:tr>
      <w:tr w14:paraId="5B0E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81" w:type="dxa"/>
            <w:vMerge w:val="continue"/>
            <w:noWrap w:val="0"/>
            <w:vAlign w:val="center"/>
          </w:tcPr>
          <w:p w14:paraId="02C73D93">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7C8A5C2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bCs/>
                <w:color w:val="auto"/>
                <w:kern w:val="0"/>
                <w:szCs w:val="21"/>
                <w:highlight w:val="none"/>
              </w:rPr>
            </w:pPr>
          </w:p>
        </w:tc>
        <w:tc>
          <w:tcPr>
            <w:tcW w:w="1024" w:type="dxa"/>
            <w:noWrap w:val="0"/>
            <w:vAlign w:val="center"/>
          </w:tcPr>
          <w:p w14:paraId="1130B5AF">
            <w:pPr>
              <w:keepNext w:val="0"/>
              <w:keepLines w:val="0"/>
              <w:pageBreakBefore w:val="0"/>
              <w:kinsoku/>
              <w:wordWrap/>
              <w:overflowPunct/>
              <w:topLinePunct w:val="0"/>
              <w:bidi w:val="0"/>
              <w:snapToGrid/>
              <w:spacing w:line="360" w:lineRule="exact"/>
              <w:jc w:val="left"/>
              <w:rPr>
                <w:color w:val="auto"/>
                <w:highlight w:val="none"/>
              </w:rPr>
            </w:pPr>
            <w:r>
              <w:rPr>
                <w:color w:val="auto"/>
                <w:highlight w:val="none"/>
              </w:rPr>
              <w:t>劳动力安排计划（</w:t>
            </w:r>
            <w:r>
              <w:rPr>
                <w:rFonts w:hint="eastAsia"/>
                <w:color w:val="auto"/>
                <w:highlight w:val="none"/>
                <w:lang w:val="en-US" w:eastAsia="zh-CN"/>
              </w:rPr>
              <w:t>5</w:t>
            </w:r>
            <w:r>
              <w:rPr>
                <w:color w:val="auto"/>
                <w:highlight w:val="none"/>
              </w:rPr>
              <w:t>分）</w:t>
            </w:r>
          </w:p>
        </w:tc>
        <w:tc>
          <w:tcPr>
            <w:tcW w:w="7055" w:type="dxa"/>
            <w:noWrap w:val="0"/>
            <w:vAlign w:val="center"/>
          </w:tcPr>
          <w:p w14:paraId="1C502A63">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一般（1分）：</w:t>
            </w:r>
            <w:r>
              <w:rPr>
                <w:rFonts w:hint="eastAsia"/>
                <w:b w:val="0"/>
                <w:bCs w:val="0"/>
                <w:color w:val="auto"/>
                <w:highlight w:val="none"/>
                <w:lang w:val="en-US" w:eastAsia="zh-CN"/>
              </w:rPr>
              <w:t>提供了主要工种（如焊工等）的劳动力数量计划，并与项目总工期建立了基本对应关系。</w:t>
            </w:r>
            <w:r>
              <w:rPr>
                <w:color w:val="auto"/>
                <w:highlight w:val="none"/>
              </w:rPr>
              <w:t xml:space="preserve"> </w:t>
            </w:r>
          </w:p>
          <w:p w14:paraId="29C3AF63">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良（3分）：</w:t>
            </w:r>
            <w:r>
              <w:rPr>
                <w:rFonts w:hint="eastAsia"/>
                <w:b w:val="0"/>
                <w:bCs w:val="0"/>
                <w:color w:val="auto"/>
                <w:highlight w:val="none"/>
                <w:lang w:val="en-US" w:eastAsia="zh-CN"/>
              </w:rPr>
              <w:t>包含上一档全部内容。劳动力安排计划详细，已按主要施工工序（如钢结构安装、铝单板安装等）的不同阶段进行分解，明确了各阶段各工种的投入人数、进场时间及工作周期，计划安排合理，能满足连续施工需要。</w:t>
            </w:r>
            <w:r>
              <w:rPr>
                <w:color w:val="auto"/>
                <w:highlight w:val="none"/>
              </w:rPr>
              <w:t xml:space="preserve"> </w:t>
            </w:r>
          </w:p>
          <w:p w14:paraId="2DE12C2C">
            <w:pPr>
              <w:keepNext w:val="0"/>
              <w:keepLines w:val="0"/>
              <w:pageBreakBefore w:val="0"/>
              <w:kinsoku/>
              <w:wordWrap/>
              <w:overflowPunct/>
              <w:topLinePunct w:val="0"/>
              <w:bidi w:val="0"/>
              <w:snapToGrid/>
              <w:spacing w:line="360" w:lineRule="exact"/>
              <w:jc w:val="left"/>
              <w:rPr>
                <w:rFonts w:hint="eastAsia"/>
                <w:b w:val="0"/>
                <w:bCs w:val="0"/>
                <w:color w:val="auto"/>
                <w:highlight w:val="none"/>
                <w:lang w:val="en-US" w:eastAsia="zh-CN"/>
              </w:rPr>
            </w:pPr>
            <w:r>
              <w:rPr>
                <w:rFonts w:hint="eastAsia"/>
                <w:b/>
                <w:bCs/>
                <w:color w:val="auto"/>
                <w:highlight w:val="none"/>
                <w:lang w:val="en-US" w:eastAsia="zh-CN"/>
              </w:rPr>
              <w:t>优（5分）：</w:t>
            </w:r>
            <w:r>
              <w:rPr>
                <w:rFonts w:hint="eastAsia"/>
                <w:b w:val="0"/>
                <w:bCs w:val="0"/>
                <w:color w:val="auto"/>
                <w:highlight w:val="none"/>
                <w:lang w:val="en-US" w:eastAsia="zh-CN"/>
              </w:rPr>
              <w:t>包含上一档全部内容。计划非常周密，体现了动态管理思想，包含劳动力高峰分析及应对措施。对特种作业人员（如焊工、高处作业人员） 持证情况有明确管理要求。计划与施工流水段划分、工序穿插逻辑高度匹配，并考虑了节假日等特殊时段的劳动力保障预案。</w:t>
            </w:r>
          </w:p>
          <w:p w14:paraId="46DAF92A">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注：未提供该项方案或未达到最“一般”档要求不得分</w:t>
            </w:r>
            <w:r>
              <w:rPr>
                <w:rFonts w:hint="eastAsia"/>
                <w:b/>
                <w:bCs/>
                <w:color w:val="auto"/>
                <w:highlight w:val="none"/>
                <w:lang w:eastAsia="zh-CN"/>
              </w:rPr>
              <w:t>。</w:t>
            </w:r>
          </w:p>
        </w:tc>
        <w:tc>
          <w:tcPr>
            <w:tcW w:w="836" w:type="dxa"/>
            <w:noWrap w:val="0"/>
            <w:vAlign w:val="center"/>
          </w:tcPr>
          <w:p w14:paraId="30D4041D">
            <w:pPr>
              <w:keepNext w:val="0"/>
              <w:keepLines w:val="0"/>
              <w:pageBreakBefore w:val="0"/>
              <w:kinsoku/>
              <w:wordWrap/>
              <w:overflowPunct/>
              <w:topLinePunct w:val="0"/>
              <w:bidi w:val="0"/>
              <w:snapToGrid/>
              <w:spacing w:line="36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5分</w:t>
            </w:r>
          </w:p>
        </w:tc>
      </w:tr>
      <w:tr w14:paraId="3CEC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581" w:type="dxa"/>
            <w:vMerge w:val="continue"/>
            <w:noWrap w:val="0"/>
            <w:vAlign w:val="center"/>
          </w:tcPr>
          <w:p w14:paraId="3B78564F">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10BDE8A3">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bCs/>
                <w:color w:val="auto"/>
                <w:kern w:val="0"/>
                <w:szCs w:val="21"/>
                <w:highlight w:val="none"/>
              </w:rPr>
            </w:pPr>
          </w:p>
        </w:tc>
        <w:tc>
          <w:tcPr>
            <w:tcW w:w="1024" w:type="dxa"/>
            <w:noWrap w:val="0"/>
            <w:vAlign w:val="center"/>
          </w:tcPr>
          <w:p w14:paraId="2E73EE5F">
            <w:pPr>
              <w:keepNext w:val="0"/>
              <w:keepLines w:val="0"/>
              <w:pageBreakBefore w:val="0"/>
              <w:kinsoku/>
              <w:wordWrap/>
              <w:overflowPunct/>
              <w:topLinePunct w:val="0"/>
              <w:bidi w:val="0"/>
              <w:snapToGrid/>
              <w:spacing w:line="360" w:lineRule="exact"/>
              <w:jc w:val="left"/>
              <w:rPr>
                <w:color w:val="auto"/>
                <w:highlight w:val="none"/>
              </w:rPr>
            </w:pPr>
            <w:r>
              <w:rPr>
                <w:color w:val="auto"/>
                <w:highlight w:val="none"/>
              </w:rPr>
              <w:t>工程施工的重点和难点及保证措施（</w:t>
            </w:r>
            <w:r>
              <w:rPr>
                <w:rFonts w:hint="eastAsia"/>
                <w:color w:val="auto"/>
                <w:highlight w:val="none"/>
                <w:lang w:val="en-US" w:eastAsia="zh-CN"/>
              </w:rPr>
              <w:t>8</w:t>
            </w:r>
            <w:r>
              <w:rPr>
                <w:color w:val="auto"/>
                <w:highlight w:val="none"/>
              </w:rPr>
              <w:t>分）</w:t>
            </w:r>
          </w:p>
        </w:tc>
        <w:tc>
          <w:tcPr>
            <w:tcW w:w="7055" w:type="dxa"/>
            <w:noWrap w:val="0"/>
            <w:vAlign w:val="center"/>
          </w:tcPr>
          <w:p w14:paraId="2E321CC1">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一般（2分）：</w:t>
            </w:r>
            <w:r>
              <w:rPr>
                <w:color w:val="auto"/>
                <w:highlight w:val="none"/>
              </w:rPr>
              <w:t>针对本工程的特点，阐述本工程的重点和难点</w:t>
            </w:r>
            <w:r>
              <w:rPr>
                <w:rFonts w:hint="eastAsia"/>
                <w:b w:val="0"/>
                <w:bCs w:val="0"/>
                <w:color w:val="auto"/>
                <w:highlight w:val="none"/>
                <w:lang w:val="en-US" w:eastAsia="zh-CN"/>
              </w:rPr>
              <w:t>，并提出了相应的解决思路。</w:t>
            </w:r>
            <w:r>
              <w:rPr>
                <w:color w:val="auto"/>
                <w:highlight w:val="none"/>
              </w:rPr>
              <w:t xml:space="preserve"> </w:t>
            </w:r>
          </w:p>
          <w:p w14:paraId="2D7E37E1">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良（5分）：</w:t>
            </w:r>
            <w:r>
              <w:rPr>
                <w:rFonts w:hint="eastAsia"/>
                <w:b w:val="0"/>
                <w:bCs w:val="0"/>
                <w:color w:val="auto"/>
                <w:highlight w:val="none"/>
                <w:lang w:val="en-US" w:eastAsia="zh-CN"/>
              </w:rPr>
              <w:t>包含上一档全部内容。对所述重点和难点的成因及影响进行了具体分析。提出的解决方法具有针对性，逻辑清晰，并引用了相关技术标准或常规工艺作为支撑。</w:t>
            </w:r>
            <w:r>
              <w:rPr>
                <w:color w:val="auto"/>
                <w:highlight w:val="none"/>
              </w:rPr>
              <w:t xml:space="preserve"> </w:t>
            </w:r>
          </w:p>
          <w:p w14:paraId="0ADF0EA9">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优（8分）：</w:t>
            </w:r>
            <w:r>
              <w:rPr>
                <w:rFonts w:hint="eastAsia"/>
                <w:b w:val="0"/>
                <w:bCs w:val="0"/>
                <w:color w:val="auto"/>
                <w:highlight w:val="none"/>
                <w:lang w:val="en-US" w:eastAsia="zh-CN"/>
              </w:rPr>
              <w:t>包含上一档全部内容。重点和难点分析深入，覆盖了技术、管理、安全及与其他专业的接口等维度。提出的解决方法不仅科学合理，而且系统全面，包括具体的技术方案、保障措施、资源投入计划以及风险预案，体现了先进的管理理念和技术手段。</w:t>
            </w:r>
            <w:r>
              <w:rPr>
                <w:color w:val="auto"/>
                <w:highlight w:val="none"/>
              </w:rPr>
              <w:t xml:space="preserve"> </w:t>
            </w:r>
          </w:p>
          <w:p w14:paraId="5462E833">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注：未提供该项方案或未达到最“一般”档要求不得分</w:t>
            </w:r>
            <w:r>
              <w:rPr>
                <w:rFonts w:hint="eastAsia"/>
                <w:b/>
                <w:bCs/>
                <w:color w:val="auto"/>
                <w:highlight w:val="none"/>
                <w:lang w:eastAsia="zh-CN"/>
              </w:rPr>
              <w:t>。</w:t>
            </w:r>
          </w:p>
        </w:tc>
        <w:tc>
          <w:tcPr>
            <w:tcW w:w="836" w:type="dxa"/>
            <w:noWrap w:val="0"/>
            <w:vAlign w:val="center"/>
          </w:tcPr>
          <w:p w14:paraId="0E50C06A">
            <w:pPr>
              <w:keepNext w:val="0"/>
              <w:keepLines w:val="0"/>
              <w:pageBreakBefore w:val="0"/>
              <w:kinsoku/>
              <w:wordWrap/>
              <w:overflowPunct/>
              <w:topLinePunct w:val="0"/>
              <w:bidi w:val="0"/>
              <w:snapToGrid/>
              <w:spacing w:line="36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8</w:t>
            </w:r>
            <w:r>
              <w:rPr>
                <w:rFonts w:hint="eastAsia" w:ascii="宋体" w:hAnsi="宋体" w:cs="Tahoma"/>
                <w:color w:val="auto"/>
                <w:kern w:val="0"/>
                <w:szCs w:val="21"/>
                <w:highlight w:val="none"/>
              </w:rPr>
              <w:t>分</w:t>
            </w:r>
          </w:p>
        </w:tc>
      </w:tr>
      <w:tr w14:paraId="2BFC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581" w:type="dxa"/>
            <w:vMerge w:val="restart"/>
            <w:noWrap w:val="0"/>
            <w:vAlign w:val="center"/>
          </w:tcPr>
          <w:p w14:paraId="64F11011">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eastAsia="宋体" w:cs="Times New Roman"/>
                <w:bCs/>
                <w:color w:val="auto"/>
                <w:kern w:val="0"/>
                <w:sz w:val="21"/>
                <w:szCs w:val="21"/>
                <w:highlight w:val="none"/>
                <w:lang w:val="en-US" w:eastAsia="zh-CN" w:bidi="ar-SA"/>
              </w:rPr>
            </w:pPr>
            <w:r>
              <w:rPr>
                <w:rFonts w:hint="eastAsia" w:ascii="宋体" w:hAnsi="宋体"/>
                <w:bCs/>
                <w:color w:val="auto"/>
                <w:kern w:val="0"/>
                <w:szCs w:val="21"/>
                <w:highlight w:val="none"/>
              </w:rPr>
              <w:t>2.</w:t>
            </w:r>
            <w:r>
              <w:rPr>
                <w:rFonts w:hint="eastAsia" w:ascii="宋体" w:hAnsi="宋体"/>
                <w:bCs/>
                <w:color w:val="auto"/>
                <w:kern w:val="0"/>
                <w:szCs w:val="21"/>
                <w:highlight w:val="none"/>
                <w:lang w:val="en-US" w:eastAsia="zh-CN"/>
              </w:rPr>
              <w:t>2</w:t>
            </w:r>
          </w:p>
        </w:tc>
        <w:tc>
          <w:tcPr>
            <w:tcW w:w="523" w:type="dxa"/>
            <w:vMerge w:val="restart"/>
            <w:noWrap w:val="0"/>
            <w:vAlign w:val="center"/>
          </w:tcPr>
          <w:p w14:paraId="2797DDB0">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cs="宋体"/>
                <w:color w:val="auto"/>
                <w:highlight w:val="none"/>
              </w:rPr>
              <w:t>项目管理机构</w:t>
            </w:r>
          </w:p>
        </w:tc>
        <w:tc>
          <w:tcPr>
            <w:tcW w:w="1024" w:type="dxa"/>
            <w:noWrap w:val="0"/>
            <w:vAlign w:val="center"/>
          </w:tcPr>
          <w:p w14:paraId="03780436">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color w:val="auto"/>
                <w:highlight w:val="none"/>
              </w:rPr>
              <w:t>项目经理情况（</w:t>
            </w:r>
            <w:r>
              <w:rPr>
                <w:rFonts w:hint="eastAsia"/>
                <w:color w:val="auto"/>
                <w:highlight w:val="none"/>
                <w:lang w:val="en-US" w:eastAsia="zh-CN"/>
              </w:rPr>
              <w:t>5</w:t>
            </w:r>
            <w:r>
              <w:rPr>
                <w:color w:val="auto"/>
                <w:highlight w:val="none"/>
              </w:rPr>
              <w:t>分）</w:t>
            </w:r>
          </w:p>
        </w:tc>
        <w:tc>
          <w:tcPr>
            <w:tcW w:w="7055" w:type="dxa"/>
            <w:noWrap w:val="0"/>
            <w:vAlign w:val="center"/>
          </w:tcPr>
          <w:p w14:paraId="1B43255D">
            <w:pPr>
              <w:keepNext w:val="0"/>
              <w:keepLines w:val="0"/>
              <w:pageBreakBefore w:val="0"/>
              <w:kinsoku/>
              <w:wordWrap/>
              <w:overflowPunct/>
              <w:topLinePunct w:val="0"/>
              <w:bidi w:val="0"/>
              <w:snapToGrid/>
              <w:spacing w:line="360" w:lineRule="exact"/>
              <w:jc w:val="left"/>
              <w:rPr>
                <w:rFonts w:hint="eastAsia"/>
                <w:color w:val="auto"/>
                <w:highlight w:val="none"/>
              </w:rPr>
            </w:pPr>
            <w:r>
              <w:rPr>
                <w:color w:val="auto"/>
                <w:highlight w:val="none"/>
              </w:rPr>
              <w:t>项目经理</w:t>
            </w:r>
            <w:r>
              <w:rPr>
                <w:rFonts w:hint="eastAsia"/>
                <w:color w:val="auto"/>
                <w:highlight w:val="none"/>
              </w:rPr>
              <w:t>承诺每月在本项目施工现场在岗带班不少于当月施工时间的80%</w:t>
            </w:r>
            <w:r>
              <w:rPr>
                <w:rFonts w:hint="eastAsia"/>
                <w:color w:val="auto"/>
                <w:highlight w:val="none"/>
                <w:lang w:eastAsia="zh-CN"/>
              </w:rPr>
              <w:t>，</w:t>
            </w:r>
            <w:r>
              <w:rPr>
                <w:rFonts w:hint="eastAsia"/>
                <w:color w:val="auto"/>
                <w:highlight w:val="none"/>
                <w:lang w:val="en-US" w:eastAsia="zh-CN"/>
              </w:rPr>
              <w:t>并具备工程类专业中级工程师职称的得3分，具备工程类专业高级工程师（含）以上职称的得5分</w:t>
            </w:r>
            <w:r>
              <w:rPr>
                <w:rFonts w:hint="eastAsia"/>
                <w:color w:val="auto"/>
                <w:highlight w:val="none"/>
                <w:lang w:eastAsia="zh-CN"/>
              </w:rPr>
              <w:t>。</w:t>
            </w:r>
            <w:r>
              <w:rPr>
                <w:rFonts w:hint="eastAsia"/>
                <w:color w:val="auto"/>
                <w:highlight w:val="none"/>
              </w:rPr>
              <w:t>满分</w:t>
            </w:r>
            <w:r>
              <w:rPr>
                <w:rFonts w:hint="eastAsia"/>
                <w:color w:val="auto"/>
                <w:highlight w:val="none"/>
                <w:lang w:val="en-US" w:eastAsia="zh-CN"/>
              </w:rPr>
              <w:t>5</w:t>
            </w:r>
            <w:r>
              <w:rPr>
                <w:rFonts w:hint="eastAsia"/>
                <w:color w:val="auto"/>
                <w:highlight w:val="none"/>
              </w:rPr>
              <w:t>分。响应文件提供</w:t>
            </w:r>
            <w:r>
              <w:rPr>
                <w:rFonts w:hint="eastAsia"/>
                <w:color w:val="auto"/>
                <w:highlight w:val="none"/>
                <w:lang w:val="en-US" w:eastAsia="zh-CN"/>
              </w:rPr>
              <w:t>在岗承诺函和</w:t>
            </w:r>
            <w:r>
              <w:rPr>
                <w:rFonts w:hint="eastAsia"/>
                <w:color w:val="auto"/>
                <w:highlight w:val="none"/>
              </w:rPr>
              <w:t>职称复印件</w:t>
            </w:r>
            <w:r>
              <w:rPr>
                <w:rFonts w:hint="eastAsia"/>
                <w:color w:val="auto"/>
                <w:highlight w:val="none"/>
                <w:lang w:val="en-US" w:eastAsia="zh-CN"/>
              </w:rPr>
              <w:t>并加盖供应商公章，否则不予计分，在岗承诺函格式自拟</w:t>
            </w:r>
            <w:r>
              <w:rPr>
                <w:rFonts w:hint="eastAsia"/>
                <w:color w:val="auto"/>
                <w:highlight w:val="none"/>
              </w:rPr>
              <w:t>。</w:t>
            </w:r>
          </w:p>
          <w:p w14:paraId="1B43BF1E">
            <w:pPr>
              <w:pStyle w:val="2"/>
              <w:ind w:left="0" w:leftChars="0" w:firstLine="0" w:firstLineChars="0"/>
              <w:rPr>
                <w:rFonts w:hint="default" w:eastAsia="宋体"/>
                <w:color w:val="auto"/>
                <w:highlight w:val="none"/>
                <w:lang w:val="en-US" w:eastAsia="zh-CN"/>
              </w:rPr>
            </w:pPr>
            <w:r>
              <w:rPr>
                <w:rFonts w:hint="eastAsia"/>
                <w:color w:val="auto"/>
                <w:highlight w:val="none"/>
                <w:lang w:val="en-US" w:eastAsia="zh-CN"/>
              </w:rPr>
              <w:t>注：与技术负责人不能为同一人。</w:t>
            </w:r>
          </w:p>
        </w:tc>
        <w:tc>
          <w:tcPr>
            <w:tcW w:w="836" w:type="dxa"/>
            <w:noWrap w:val="0"/>
            <w:vAlign w:val="center"/>
          </w:tcPr>
          <w:p w14:paraId="36C1AB15">
            <w:pPr>
              <w:keepNext w:val="0"/>
              <w:keepLines w:val="0"/>
              <w:pageBreakBefore w:val="0"/>
              <w:kinsoku/>
              <w:wordWrap/>
              <w:overflowPunct/>
              <w:topLinePunct w:val="0"/>
              <w:bidi w:val="0"/>
              <w:snapToGrid/>
              <w:spacing w:line="360" w:lineRule="exact"/>
              <w:jc w:val="center"/>
              <w:rPr>
                <w:rFonts w:hint="eastAsia" w:ascii="宋体" w:hAnsi="宋体" w:eastAsia="宋体" w:cs="Tahoma"/>
                <w:color w:val="auto"/>
                <w:kern w:val="0"/>
                <w:sz w:val="21"/>
                <w:szCs w:val="21"/>
                <w:highlight w:val="none"/>
                <w:lang w:val="en-US" w:eastAsia="zh-CN" w:bidi="ar-SA"/>
              </w:rPr>
            </w:pPr>
            <w:r>
              <w:rPr>
                <w:rFonts w:hint="eastAsia" w:ascii="宋体" w:hAnsi="宋体" w:cs="Tahoma"/>
                <w:color w:val="auto"/>
                <w:kern w:val="0"/>
                <w:szCs w:val="21"/>
                <w:highlight w:val="none"/>
              </w:rPr>
              <w:t>5分</w:t>
            </w:r>
          </w:p>
        </w:tc>
      </w:tr>
      <w:tr w14:paraId="7732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81" w:type="dxa"/>
            <w:vMerge w:val="continue"/>
            <w:noWrap w:val="0"/>
            <w:vAlign w:val="center"/>
          </w:tcPr>
          <w:p w14:paraId="46618B31">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387BF458">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bCs/>
                <w:color w:val="auto"/>
                <w:kern w:val="0"/>
                <w:szCs w:val="21"/>
                <w:highlight w:val="none"/>
              </w:rPr>
            </w:pPr>
          </w:p>
        </w:tc>
        <w:tc>
          <w:tcPr>
            <w:tcW w:w="1024" w:type="dxa"/>
            <w:noWrap w:val="0"/>
            <w:vAlign w:val="center"/>
          </w:tcPr>
          <w:p w14:paraId="62FFE6B2">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color w:val="auto"/>
                <w:highlight w:val="none"/>
              </w:rPr>
              <w:t>技术负责人情况（</w:t>
            </w:r>
            <w:r>
              <w:rPr>
                <w:rFonts w:hint="eastAsia"/>
                <w:color w:val="auto"/>
                <w:highlight w:val="none"/>
                <w:lang w:val="en-US" w:eastAsia="zh-CN"/>
              </w:rPr>
              <w:t>5</w:t>
            </w:r>
            <w:r>
              <w:rPr>
                <w:color w:val="auto"/>
                <w:highlight w:val="none"/>
              </w:rPr>
              <w:t>分）</w:t>
            </w:r>
          </w:p>
        </w:tc>
        <w:tc>
          <w:tcPr>
            <w:tcW w:w="7055" w:type="dxa"/>
            <w:noWrap w:val="0"/>
            <w:vAlign w:val="center"/>
          </w:tcPr>
          <w:p w14:paraId="4BFE975B">
            <w:pPr>
              <w:keepNext w:val="0"/>
              <w:keepLines w:val="0"/>
              <w:pageBreakBefore w:val="0"/>
              <w:kinsoku/>
              <w:wordWrap/>
              <w:overflowPunct/>
              <w:topLinePunct w:val="0"/>
              <w:bidi w:val="0"/>
              <w:snapToGrid/>
              <w:spacing w:line="360" w:lineRule="exact"/>
              <w:jc w:val="left"/>
              <w:rPr>
                <w:rFonts w:hint="eastAsia"/>
                <w:color w:val="auto"/>
                <w:highlight w:val="none"/>
              </w:rPr>
            </w:pPr>
            <w:r>
              <w:rPr>
                <w:color w:val="auto"/>
                <w:highlight w:val="none"/>
              </w:rPr>
              <w:t>技术负责人具备</w:t>
            </w:r>
            <w:r>
              <w:rPr>
                <w:rFonts w:hint="eastAsia"/>
                <w:color w:val="auto"/>
                <w:highlight w:val="none"/>
                <w:lang w:val="en-US" w:eastAsia="zh-CN"/>
              </w:rPr>
              <w:t>工程类专业中级工程师职称的得3分，具备工程类</w:t>
            </w:r>
            <w:r>
              <w:rPr>
                <w:rFonts w:hint="eastAsia"/>
                <w:color w:val="auto"/>
                <w:highlight w:val="none"/>
              </w:rPr>
              <w:t>专业</w:t>
            </w:r>
            <w:r>
              <w:rPr>
                <w:rFonts w:hint="eastAsia"/>
                <w:color w:val="auto"/>
                <w:highlight w:val="none"/>
                <w:lang w:val="en-US" w:eastAsia="zh-CN"/>
              </w:rPr>
              <w:t>高</w:t>
            </w:r>
            <w:r>
              <w:rPr>
                <w:color w:val="auto"/>
                <w:highlight w:val="none"/>
              </w:rPr>
              <w:t>级工程师职称的得</w:t>
            </w:r>
            <w:r>
              <w:rPr>
                <w:rFonts w:hint="eastAsia"/>
                <w:color w:val="auto"/>
                <w:highlight w:val="none"/>
                <w:lang w:val="en-US" w:eastAsia="zh-CN"/>
              </w:rPr>
              <w:t>5</w:t>
            </w:r>
            <w:r>
              <w:rPr>
                <w:color w:val="auto"/>
                <w:highlight w:val="none"/>
              </w:rPr>
              <w:t>分</w:t>
            </w:r>
            <w:r>
              <w:rPr>
                <w:rFonts w:hint="eastAsia"/>
                <w:color w:val="auto"/>
                <w:highlight w:val="none"/>
                <w:lang w:eastAsia="zh-CN"/>
              </w:rPr>
              <w:t>，</w:t>
            </w:r>
            <w:r>
              <w:rPr>
                <w:rFonts w:hint="eastAsia"/>
                <w:color w:val="auto"/>
                <w:highlight w:val="none"/>
              </w:rPr>
              <w:t>满分</w:t>
            </w:r>
            <w:r>
              <w:rPr>
                <w:color w:val="auto"/>
                <w:highlight w:val="none"/>
              </w:rPr>
              <w:t>5</w:t>
            </w:r>
            <w:r>
              <w:rPr>
                <w:rFonts w:hint="eastAsia"/>
                <w:color w:val="auto"/>
                <w:highlight w:val="none"/>
              </w:rPr>
              <w:t>分</w:t>
            </w:r>
            <w:r>
              <w:rPr>
                <w:color w:val="auto"/>
                <w:highlight w:val="none"/>
              </w:rPr>
              <w:t>。</w:t>
            </w:r>
            <w:r>
              <w:rPr>
                <w:rFonts w:hint="eastAsia"/>
                <w:color w:val="auto"/>
                <w:highlight w:val="none"/>
              </w:rPr>
              <w:t>响应文件提供职称复印。</w:t>
            </w:r>
          </w:p>
          <w:p w14:paraId="3FE1498A">
            <w:pPr>
              <w:pStyle w:val="2"/>
              <w:ind w:left="0" w:leftChars="0" w:firstLine="0" w:firstLineChars="0"/>
              <w:rPr>
                <w:rFonts w:hint="default" w:eastAsia="宋体"/>
                <w:color w:val="auto"/>
                <w:highlight w:val="none"/>
                <w:lang w:val="en-US" w:eastAsia="zh-CN"/>
              </w:rPr>
            </w:pPr>
            <w:r>
              <w:rPr>
                <w:rFonts w:hint="eastAsia"/>
                <w:color w:val="auto"/>
                <w:highlight w:val="none"/>
                <w:lang w:val="en-US" w:eastAsia="zh-CN"/>
              </w:rPr>
              <w:t>注：与项目经理不能为同一人。</w:t>
            </w:r>
          </w:p>
        </w:tc>
        <w:tc>
          <w:tcPr>
            <w:tcW w:w="836" w:type="dxa"/>
            <w:noWrap w:val="0"/>
            <w:vAlign w:val="center"/>
          </w:tcPr>
          <w:p w14:paraId="7AB533EE">
            <w:pPr>
              <w:keepNext w:val="0"/>
              <w:keepLines w:val="0"/>
              <w:pageBreakBefore w:val="0"/>
              <w:kinsoku/>
              <w:wordWrap/>
              <w:overflowPunct/>
              <w:topLinePunct w:val="0"/>
              <w:bidi w:val="0"/>
              <w:snapToGrid/>
              <w:spacing w:line="360" w:lineRule="exact"/>
              <w:jc w:val="center"/>
              <w:rPr>
                <w:rFonts w:hint="eastAsia" w:ascii="宋体" w:hAnsi="宋体" w:eastAsia="宋体" w:cs="Tahoma"/>
                <w:color w:val="auto"/>
                <w:kern w:val="0"/>
                <w:sz w:val="21"/>
                <w:szCs w:val="21"/>
                <w:highlight w:val="none"/>
                <w:lang w:val="en-US" w:eastAsia="zh-CN" w:bidi="ar-SA"/>
              </w:rPr>
            </w:pPr>
            <w:r>
              <w:rPr>
                <w:rFonts w:hint="eastAsia" w:ascii="宋体" w:hAnsi="宋体" w:cs="Tahoma"/>
                <w:color w:val="auto"/>
                <w:kern w:val="0"/>
                <w:szCs w:val="21"/>
                <w:highlight w:val="none"/>
              </w:rPr>
              <w:t>5分</w:t>
            </w:r>
          </w:p>
        </w:tc>
      </w:tr>
      <w:tr w14:paraId="6813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jc w:val="center"/>
        </w:trPr>
        <w:tc>
          <w:tcPr>
            <w:tcW w:w="581" w:type="dxa"/>
            <w:vMerge w:val="continue"/>
            <w:noWrap w:val="0"/>
            <w:vAlign w:val="center"/>
          </w:tcPr>
          <w:p w14:paraId="75DE0F7E">
            <w:pPr>
              <w:keepNext w:val="0"/>
              <w:keepLines w:val="0"/>
              <w:pageBreakBefore w:val="0"/>
              <w:kinsoku/>
              <w:wordWrap/>
              <w:overflowPunct/>
              <w:topLinePunct w:val="0"/>
              <w:bidi w:val="0"/>
              <w:adjustRightInd w:val="0"/>
              <w:snapToGrid/>
              <w:spacing w:line="360" w:lineRule="exact"/>
              <w:ind w:left="-105" w:leftChars="-50" w:right="-105" w:rightChars="-50"/>
              <w:jc w:val="center"/>
              <w:textAlignment w:val="baseline"/>
              <w:rPr>
                <w:rFonts w:hint="eastAsia" w:ascii="宋体" w:hAnsi="宋体"/>
                <w:bCs/>
                <w:color w:val="auto"/>
                <w:kern w:val="0"/>
                <w:szCs w:val="21"/>
                <w:highlight w:val="none"/>
              </w:rPr>
            </w:pPr>
          </w:p>
        </w:tc>
        <w:tc>
          <w:tcPr>
            <w:tcW w:w="523" w:type="dxa"/>
            <w:vMerge w:val="continue"/>
            <w:noWrap w:val="0"/>
            <w:vAlign w:val="center"/>
          </w:tcPr>
          <w:p w14:paraId="656DFF19">
            <w:pPr>
              <w:keepNext w:val="0"/>
              <w:keepLines w:val="0"/>
              <w:pageBreakBefore w:val="0"/>
              <w:kinsoku/>
              <w:wordWrap/>
              <w:overflowPunct/>
              <w:topLinePunct w:val="0"/>
              <w:bidi w:val="0"/>
              <w:adjustRightInd w:val="0"/>
              <w:snapToGrid/>
              <w:spacing w:line="360" w:lineRule="exact"/>
              <w:jc w:val="center"/>
              <w:textAlignment w:val="baseline"/>
              <w:rPr>
                <w:rFonts w:hint="eastAsia" w:ascii="宋体" w:hAnsi="宋体"/>
                <w:bCs/>
                <w:color w:val="auto"/>
                <w:kern w:val="0"/>
                <w:szCs w:val="21"/>
                <w:highlight w:val="none"/>
              </w:rPr>
            </w:pPr>
          </w:p>
        </w:tc>
        <w:tc>
          <w:tcPr>
            <w:tcW w:w="1024" w:type="dxa"/>
            <w:noWrap w:val="0"/>
            <w:vAlign w:val="center"/>
          </w:tcPr>
          <w:p w14:paraId="7AEBE2BC">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color w:val="auto"/>
                <w:highlight w:val="none"/>
              </w:rPr>
              <w:t>拟投入本工程管理人员情况（</w:t>
            </w:r>
            <w:r>
              <w:rPr>
                <w:rFonts w:hint="eastAsia"/>
                <w:color w:val="auto"/>
                <w:highlight w:val="none"/>
                <w:lang w:val="en-US" w:eastAsia="zh-CN"/>
              </w:rPr>
              <w:t>5</w:t>
            </w:r>
            <w:r>
              <w:rPr>
                <w:color w:val="auto"/>
                <w:highlight w:val="none"/>
              </w:rPr>
              <w:t>分）</w:t>
            </w:r>
          </w:p>
        </w:tc>
        <w:tc>
          <w:tcPr>
            <w:tcW w:w="7055" w:type="dxa"/>
            <w:noWrap w:val="0"/>
            <w:vAlign w:val="center"/>
          </w:tcPr>
          <w:p w14:paraId="300FA658">
            <w:pPr>
              <w:keepNext w:val="0"/>
              <w:keepLines w:val="0"/>
              <w:pageBreakBefore w:val="0"/>
              <w:kinsoku/>
              <w:wordWrap/>
              <w:overflowPunct/>
              <w:topLinePunct w:val="0"/>
              <w:bidi w:val="0"/>
              <w:snapToGrid/>
              <w:spacing w:line="360" w:lineRule="exact"/>
              <w:jc w:val="left"/>
              <w:rPr>
                <w:color w:val="auto"/>
                <w:highlight w:val="none"/>
              </w:rPr>
            </w:pPr>
            <w:r>
              <w:rPr>
                <w:color w:val="auto"/>
                <w:highlight w:val="none"/>
              </w:rPr>
              <w:t>拟投入本工程</w:t>
            </w:r>
            <w:r>
              <w:rPr>
                <w:rFonts w:hint="eastAsia"/>
                <w:color w:val="auto"/>
                <w:highlight w:val="none"/>
                <w:lang w:eastAsia="zh-CN"/>
              </w:rPr>
              <w:t>的</w:t>
            </w:r>
            <w:r>
              <w:rPr>
                <w:rFonts w:hint="eastAsia"/>
                <w:color w:val="auto"/>
                <w:highlight w:val="none"/>
                <w:lang w:val="en-US" w:eastAsia="zh-CN"/>
              </w:rPr>
              <w:t>管理人员（</w:t>
            </w:r>
            <w:r>
              <w:rPr>
                <w:color w:val="auto"/>
                <w:highlight w:val="none"/>
              </w:rPr>
              <w:t>施工员、质量员、</w:t>
            </w:r>
            <w:r>
              <w:rPr>
                <w:rFonts w:hint="eastAsia"/>
                <w:color w:val="auto"/>
                <w:highlight w:val="none"/>
                <w:lang w:val="en-US" w:eastAsia="zh-CN"/>
              </w:rPr>
              <w:t>预算员</w:t>
            </w:r>
            <w:r>
              <w:rPr>
                <w:color w:val="auto"/>
                <w:highlight w:val="none"/>
              </w:rPr>
              <w:t>、材料员</w:t>
            </w:r>
            <w:r>
              <w:rPr>
                <w:rFonts w:hint="eastAsia"/>
                <w:color w:val="auto"/>
                <w:highlight w:val="none"/>
                <w:lang w:val="en-US" w:eastAsia="zh-CN"/>
              </w:rPr>
              <w:t>）</w:t>
            </w:r>
            <w:r>
              <w:rPr>
                <w:color w:val="auto"/>
                <w:highlight w:val="none"/>
              </w:rPr>
              <w:t xml:space="preserve">配备齐全且全部持证上岗的，按以下标准计分： </w:t>
            </w:r>
          </w:p>
          <w:p w14:paraId="2B1E3C29">
            <w:pPr>
              <w:keepNext w:val="0"/>
              <w:keepLines w:val="0"/>
              <w:pageBreakBefore w:val="0"/>
              <w:kinsoku/>
              <w:wordWrap/>
              <w:overflowPunct/>
              <w:topLinePunct w:val="0"/>
              <w:bidi w:val="0"/>
              <w:snapToGrid/>
              <w:spacing w:line="360" w:lineRule="exact"/>
              <w:jc w:val="left"/>
              <w:rPr>
                <w:color w:val="auto"/>
                <w:highlight w:val="none"/>
              </w:rPr>
            </w:pPr>
            <w:r>
              <w:rPr>
                <w:rFonts w:hint="eastAsia"/>
                <w:b/>
                <w:bCs/>
                <w:color w:val="auto"/>
                <w:highlight w:val="none"/>
                <w:lang w:val="en-US" w:eastAsia="zh-CN"/>
              </w:rPr>
              <w:t>一般</w:t>
            </w:r>
            <w:r>
              <w:rPr>
                <w:b/>
                <w:bCs/>
                <w:color w:val="auto"/>
                <w:highlight w:val="none"/>
              </w:rPr>
              <w:t>（</w:t>
            </w:r>
            <w:r>
              <w:rPr>
                <w:rFonts w:hint="eastAsia"/>
                <w:b/>
                <w:bCs/>
                <w:color w:val="auto"/>
                <w:highlight w:val="none"/>
                <w:lang w:val="en-US" w:eastAsia="zh-CN"/>
              </w:rPr>
              <w:t>1</w:t>
            </w:r>
            <w:r>
              <w:rPr>
                <w:b/>
                <w:bCs/>
                <w:color w:val="auto"/>
                <w:highlight w:val="none"/>
              </w:rPr>
              <w:t>分）：</w:t>
            </w:r>
            <w:r>
              <w:rPr>
                <w:color w:val="auto"/>
                <w:highlight w:val="none"/>
              </w:rPr>
              <w:t>基本满足施工需要，管理人员配备齐全。</w:t>
            </w:r>
          </w:p>
          <w:p w14:paraId="7C86E001">
            <w:pPr>
              <w:keepNext w:val="0"/>
              <w:keepLines w:val="0"/>
              <w:pageBreakBefore w:val="0"/>
              <w:kinsoku/>
              <w:wordWrap/>
              <w:overflowPunct/>
              <w:topLinePunct w:val="0"/>
              <w:bidi w:val="0"/>
              <w:snapToGrid/>
              <w:spacing w:line="360" w:lineRule="exact"/>
              <w:jc w:val="left"/>
              <w:rPr>
                <w:color w:val="auto"/>
                <w:highlight w:val="none"/>
              </w:rPr>
            </w:pPr>
            <w:r>
              <w:rPr>
                <w:b/>
                <w:bCs/>
                <w:color w:val="auto"/>
                <w:highlight w:val="none"/>
              </w:rPr>
              <w:t>良（</w:t>
            </w:r>
            <w:r>
              <w:rPr>
                <w:rFonts w:hint="eastAsia"/>
                <w:b/>
                <w:bCs/>
                <w:color w:val="auto"/>
                <w:highlight w:val="none"/>
                <w:lang w:val="en-US" w:eastAsia="zh-CN"/>
              </w:rPr>
              <w:t>3</w:t>
            </w:r>
            <w:r>
              <w:rPr>
                <w:b/>
                <w:bCs/>
                <w:color w:val="auto"/>
                <w:highlight w:val="none"/>
              </w:rPr>
              <w:t>分）：</w:t>
            </w:r>
            <w:r>
              <w:rPr>
                <w:color w:val="auto"/>
                <w:highlight w:val="none"/>
              </w:rPr>
              <w:t>满足施工需要，管理人员配备齐全且</w:t>
            </w:r>
            <w:r>
              <w:rPr>
                <w:rFonts w:hint="eastAsia"/>
                <w:color w:val="auto"/>
                <w:highlight w:val="none"/>
              </w:rPr>
              <w:t>有</w:t>
            </w:r>
            <w:r>
              <w:rPr>
                <w:color w:val="auto"/>
                <w:highlight w:val="none"/>
              </w:rPr>
              <w:t>一定的同类项目</w:t>
            </w:r>
            <w:r>
              <w:rPr>
                <w:rFonts w:hint="eastAsia"/>
                <w:color w:val="auto"/>
                <w:highlight w:val="none"/>
              </w:rPr>
              <w:t>经验</w:t>
            </w:r>
            <w:r>
              <w:rPr>
                <w:rFonts w:hint="eastAsia"/>
                <w:color w:val="auto"/>
                <w:highlight w:val="none"/>
                <w:lang w:eastAsia="zh-CN"/>
              </w:rPr>
              <w:t>，</w:t>
            </w:r>
            <w:r>
              <w:rPr>
                <w:rFonts w:hint="eastAsia"/>
                <w:color w:val="auto"/>
                <w:highlight w:val="none"/>
                <w:lang w:val="en-US" w:eastAsia="zh-CN"/>
              </w:rPr>
              <w:t>管理人员具备工程类专业中级（含）以上职称的不低于2人</w:t>
            </w:r>
            <w:r>
              <w:rPr>
                <w:color w:val="auto"/>
                <w:highlight w:val="none"/>
              </w:rPr>
              <w:t xml:space="preserve">。 </w:t>
            </w:r>
          </w:p>
          <w:p w14:paraId="42064C02">
            <w:pPr>
              <w:keepNext w:val="0"/>
              <w:keepLines w:val="0"/>
              <w:pageBreakBefore w:val="0"/>
              <w:kinsoku/>
              <w:wordWrap/>
              <w:overflowPunct/>
              <w:topLinePunct w:val="0"/>
              <w:bidi w:val="0"/>
              <w:snapToGrid/>
              <w:spacing w:line="360" w:lineRule="exact"/>
              <w:jc w:val="left"/>
              <w:rPr>
                <w:color w:val="auto"/>
                <w:highlight w:val="none"/>
              </w:rPr>
            </w:pPr>
            <w:r>
              <w:rPr>
                <w:b/>
                <w:bCs/>
                <w:color w:val="auto"/>
                <w:highlight w:val="none"/>
              </w:rPr>
              <w:t>优（</w:t>
            </w:r>
            <w:r>
              <w:rPr>
                <w:rFonts w:hint="eastAsia"/>
                <w:b/>
                <w:bCs/>
                <w:color w:val="auto"/>
                <w:highlight w:val="none"/>
                <w:lang w:val="en-US" w:eastAsia="zh-CN"/>
              </w:rPr>
              <w:t>5</w:t>
            </w:r>
            <w:r>
              <w:rPr>
                <w:b/>
                <w:bCs/>
                <w:color w:val="auto"/>
                <w:highlight w:val="none"/>
              </w:rPr>
              <w:t>分）：</w:t>
            </w:r>
            <w:r>
              <w:rPr>
                <w:color w:val="auto"/>
                <w:highlight w:val="none"/>
              </w:rPr>
              <w:t>完全满足施工需要，管理人员配备齐全且</w:t>
            </w:r>
            <w:r>
              <w:rPr>
                <w:rFonts w:hint="eastAsia"/>
                <w:color w:val="auto"/>
                <w:highlight w:val="none"/>
              </w:rPr>
              <w:t>具有丰富</w:t>
            </w:r>
            <w:r>
              <w:rPr>
                <w:rFonts w:hint="eastAsia"/>
                <w:color w:val="auto"/>
                <w:highlight w:val="none"/>
                <w:lang w:eastAsia="zh-CN"/>
              </w:rPr>
              <w:t>的</w:t>
            </w:r>
            <w:r>
              <w:rPr>
                <w:rFonts w:hint="eastAsia"/>
                <w:color w:val="auto"/>
                <w:highlight w:val="none"/>
              </w:rPr>
              <w:t>同类经验</w:t>
            </w:r>
            <w:r>
              <w:rPr>
                <w:rFonts w:hint="eastAsia"/>
                <w:color w:val="auto"/>
                <w:highlight w:val="none"/>
                <w:lang w:eastAsia="zh-CN"/>
              </w:rPr>
              <w:t>，，</w:t>
            </w:r>
            <w:r>
              <w:rPr>
                <w:rFonts w:hint="eastAsia"/>
                <w:color w:val="auto"/>
                <w:highlight w:val="none"/>
                <w:lang w:val="en-US" w:eastAsia="zh-CN"/>
              </w:rPr>
              <w:t>管理人员具备工程类专业中级（含）以上职称的不低于3人，人员到位率高，在岗时间每天不低于8小时</w:t>
            </w:r>
            <w:r>
              <w:rPr>
                <w:color w:val="auto"/>
                <w:highlight w:val="none"/>
              </w:rPr>
              <w:t>。</w:t>
            </w:r>
          </w:p>
          <w:p w14:paraId="29DB1035">
            <w:pPr>
              <w:keepNext w:val="0"/>
              <w:keepLines w:val="0"/>
              <w:pageBreakBefore w:val="0"/>
              <w:kinsoku/>
              <w:wordWrap/>
              <w:overflowPunct/>
              <w:topLinePunct w:val="0"/>
              <w:bidi w:val="0"/>
              <w:snapToGrid/>
              <w:spacing w:line="360" w:lineRule="exact"/>
              <w:jc w:val="left"/>
              <w:rPr>
                <w:rFonts w:hint="eastAsia" w:ascii="Times New Roman" w:hAnsi="Times New Roman" w:eastAsia="宋体" w:cs="Times New Roman"/>
                <w:color w:val="auto"/>
                <w:kern w:val="2"/>
                <w:sz w:val="21"/>
                <w:szCs w:val="24"/>
                <w:highlight w:val="none"/>
                <w:lang w:val="en-US" w:eastAsia="zh-CN" w:bidi="ar-SA"/>
              </w:rPr>
            </w:pPr>
            <w:r>
              <w:rPr>
                <w:rFonts w:hint="eastAsia"/>
                <w:b/>
                <w:bCs/>
                <w:color w:val="auto"/>
                <w:highlight w:val="none"/>
                <w:lang w:val="en-US" w:eastAsia="zh-CN"/>
              </w:rPr>
              <w:t>注：未提供该项方案或未达到最低档要求不得分</w:t>
            </w:r>
            <w:r>
              <w:rPr>
                <w:rFonts w:hint="eastAsia"/>
                <w:b/>
                <w:bCs/>
                <w:color w:val="auto"/>
                <w:highlight w:val="none"/>
                <w:lang w:eastAsia="zh-CN"/>
              </w:rPr>
              <w:t>。</w:t>
            </w:r>
          </w:p>
        </w:tc>
        <w:tc>
          <w:tcPr>
            <w:tcW w:w="836" w:type="dxa"/>
            <w:noWrap w:val="0"/>
            <w:vAlign w:val="center"/>
          </w:tcPr>
          <w:p w14:paraId="294585FF">
            <w:pPr>
              <w:keepNext w:val="0"/>
              <w:keepLines w:val="0"/>
              <w:pageBreakBefore w:val="0"/>
              <w:kinsoku/>
              <w:wordWrap/>
              <w:overflowPunct/>
              <w:topLinePunct w:val="0"/>
              <w:bidi w:val="0"/>
              <w:snapToGrid/>
              <w:spacing w:line="360" w:lineRule="exact"/>
              <w:jc w:val="center"/>
              <w:rPr>
                <w:rFonts w:hint="eastAsia" w:ascii="宋体" w:hAnsi="宋体" w:eastAsia="宋体" w:cs="Tahoma"/>
                <w:color w:val="auto"/>
                <w:kern w:val="0"/>
                <w:sz w:val="21"/>
                <w:szCs w:val="21"/>
                <w:highlight w:val="none"/>
                <w:lang w:val="en-US" w:eastAsia="zh-CN" w:bidi="ar-SA"/>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r>
      <w:tr w14:paraId="4ED45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shd w:val="clear" w:color="auto" w:fill="D7D7D7" w:themeFill="background1" w:themeFillShade="D8"/>
            <w:noWrap w:val="0"/>
            <w:vAlign w:val="center"/>
          </w:tcPr>
          <w:p w14:paraId="4A2D0EAC">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547" w:type="dxa"/>
            <w:gridSpan w:val="2"/>
            <w:shd w:val="clear" w:color="auto" w:fill="D7D7D7" w:themeFill="background1" w:themeFillShade="D8"/>
            <w:noWrap w:val="0"/>
            <w:vAlign w:val="center"/>
          </w:tcPr>
          <w:p w14:paraId="4FDAD49E">
            <w:pPr>
              <w:keepNext w:val="0"/>
              <w:keepLines w:val="0"/>
              <w:pageBreakBefore w:val="0"/>
              <w:widowControl/>
              <w:kinsoku/>
              <w:wordWrap/>
              <w:overflowPunct/>
              <w:topLinePunct w:val="0"/>
              <w:bidi w:val="0"/>
              <w:snapToGrid/>
              <w:spacing w:line="360" w:lineRule="exact"/>
              <w:jc w:val="center"/>
              <w:rPr>
                <w:rFonts w:hint="eastAsia" w:ascii="宋体" w:hAnsi="宋体" w:cs="Courier New"/>
                <w:bCs/>
                <w:color w:val="auto"/>
                <w:szCs w:val="21"/>
                <w:highlight w:val="none"/>
              </w:rPr>
            </w:pPr>
            <w:r>
              <w:rPr>
                <w:rFonts w:hint="eastAsia" w:ascii="宋体" w:hAnsi="宋体" w:cs="Courier New"/>
                <w:bCs/>
                <w:color w:val="auto"/>
                <w:szCs w:val="21"/>
                <w:highlight w:val="none"/>
              </w:rPr>
              <w:t>商务分</w:t>
            </w:r>
          </w:p>
        </w:tc>
        <w:tc>
          <w:tcPr>
            <w:tcW w:w="7055" w:type="dxa"/>
            <w:shd w:val="clear" w:color="auto" w:fill="D7D7D7" w:themeFill="background1" w:themeFillShade="D8"/>
            <w:noWrap w:val="0"/>
            <w:vAlign w:val="center"/>
          </w:tcPr>
          <w:p w14:paraId="59C40472">
            <w:pPr>
              <w:keepNext w:val="0"/>
              <w:keepLines w:val="0"/>
              <w:pageBreakBefore w:val="0"/>
              <w:widowControl/>
              <w:kinsoku/>
              <w:wordWrap/>
              <w:overflowPunct/>
              <w:topLinePunct w:val="0"/>
              <w:bidi w:val="0"/>
              <w:snapToGrid/>
              <w:spacing w:line="36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评审标准</w:t>
            </w:r>
          </w:p>
        </w:tc>
        <w:tc>
          <w:tcPr>
            <w:tcW w:w="836" w:type="dxa"/>
            <w:shd w:val="clear" w:color="auto" w:fill="D7D7D7" w:themeFill="background1" w:themeFillShade="D8"/>
            <w:noWrap w:val="0"/>
            <w:vAlign w:val="center"/>
          </w:tcPr>
          <w:p w14:paraId="7DA7C007">
            <w:pPr>
              <w:keepNext w:val="0"/>
              <w:keepLines w:val="0"/>
              <w:pageBreakBefore w:val="0"/>
              <w:widowControl/>
              <w:kinsoku/>
              <w:wordWrap/>
              <w:overflowPunct/>
              <w:topLinePunct w:val="0"/>
              <w:bidi w:val="0"/>
              <w:snapToGrid/>
              <w:spacing w:line="36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9</w:t>
            </w:r>
            <w:r>
              <w:rPr>
                <w:rFonts w:hint="eastAsia" w:ascii="宋体" w:hAnsi="宋体" w:cs="Tahoma"/>
                <w:color w:val="auto"/>
                <w:kern w:val="0"/>
                <w:szCs w:val="21"/>
                <w:highlight w:val="none"/>
              </w:rPr>
              <w:t>分</w:t>
            </w:r>
          </w:p>
        </w:tc>
      </w:tr>
      <w:tr w14:paraId="148F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581" w:type="dxa"/>
            <w:noWrap w:val="0"/>
            <w:vAlign w:val="center"/>
          </w:tcPr>
          <w:p w14:paraId="0DEA7294">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3.1</w:t>
            </w:r>
          </w:p>
        </w:tc>
        <w:tc>
          <w:tcPr>
            <w:tcW w:w="1547" w:type="dxa"/>
            <w:gridSpan w:val="2"/>
            <w:noWrap w:val="0"/>
            <w:vAlign w:val="center"/>
          </w:tcPr>
          <w:p w14:paraId="6445CAD4">
            <w:pPr>
              <w:keepNext w:val="0"/>
              <w:keepLines w:val="0"/>
              <w:pageBreakBefore w:val="0"/>
              <w:kinsoku/>
              <w:wordWrap/>
              <w:overflowPunct/>
              <w:topLinePunct w:val="0"/>
              <w:bidi w:val="0"/>
              <w:snapToGrid/>
              <w:spacing w:line="360" w:lineRule="exact"/>
              <w:jc w:val="center"/>
              <w:rPr>
                <w:rFonts w:hint="eastAsia" w:ascii="宋体" w:hAnsi="宋体"/>
                <w:color w:val="auto"/>
                <w:szCs w:val="21"/>
                <w:highlight w:val="none"/>
              </w:rPr>
            </w:pPr>
            <w:r>
              <w:rPr>
                <w:rFonts w:hint="eastAsia" w:ascii="宋体" w:hAnsi="宋体"/>
                <w:color w:val="auto"/>
                <w:szCs w:val="21"/>
                <w:highlight w:val="none"/>
              </w:rPr>
              <w:t>业绩</w:t>
            </w:r>
            <w:r>
              <w:rPr>
                <w:rFonts w:ascii="宋体" w:hAnsi="宋体"/>
                <w:color w:val="auto"/>
                <w:szCs w:val="21"/>
                <w:highlight w:val="none"/>
              </w:rPr>
              <w:t>分</w:t>
            </w: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7055" w:type="dxa"/>
            <w:noWrap w:val="0"/>
            <w:vAlign w:val="center"/>
          </w:tcPr>
          <w:p w14:paraId="2E186EB4">
            <w:pPr>
              <w:keepNext w:val="0"/>
              <w:keepLines w:val="0"/>
              <w:pageBreakBefore w:val="0"/>
              <w:kinsoku/>
              <w:wordWrap/>
              <w:overflowPunct/>
              <w:topLinePunct w:val="0"/>
              <w:autoSpaceDE w:val="0"/>
              <w:autoSpaceDN w:val="0"/>
              <w:bidi w:val="0"/>
              <w:adjustRightInd w:val="0"/>
              <w:snapToGrid/>
              <w:spacing w:line="360" w:lineRule="exact"/>
              <w:ind w:firstLine="306" w:firstLineChars="146"/>
              <w:rPr>
                <w:rFonts w:hint="eastAsia" w:ascii="宋体" w:hAnsi="宋体"/>
                <w:color w:val="auto"/>
                <w:kern w:val="0"/>
                <w:szCs w:val="21"/>
                <w:highlight w:val="none"/>
              </w:rPr>
            </w:pPr>
            <w:r>
              <w:rPr>
                <w:rFonts w:hint="eastAsia" w:ascii="宋体" w:hAnsi="宋体"/>
                <w:color w:val="auto"/>
                <w:kern w:val="0"/>
                <w:szCs w:val="21"/>
                <w:highlight w:val="none"/>
              </w:rPr>
              <w:t>供应商</w:t>
            </w:r>
            <w:r>
              <w:rPr>
                <w:rFonts w:hint="eastAsia" w:ascii="宋体" w:hAnsi="宋体"/>
                <w:color w:val="auto"/>
                <w:kern w:val="0"/>
                <w:szCs w:val="21"/>
                <w:highlight w:val="none"/>
                <w:lang w:val="en-US" w:eastAsia="zh-CN"/>
              </w:rPr>
              <w:t>近三年来（2023年1月以来）</w:t>
            </w:r>
            <w:r>
              <w:rPr>
                <w:rFonts w:hint="eastAsia" w:ascii="宋体" w:hAnsi="宋体"/>
                <w:color w:val="auto"/>
                <w:kern w:val="0"/>
                <w:szCs w:val="21"/>
                <w:highlight w:val="none"/>
              </w:rPr>
              <w:t>完成</w:t>
            </w:r>
            <w:r>
              <w:rPr>
                <w:rFonts w:hint="eastAsia" w:ascii="宋体" w:hAnsi="宋体"/>
                <w:color w:val="auto"/>
                <w:kern w:val="0"/>
                <w:szCs w:val="21"/>
                <w:highlight w:val="none"/>
                <w:lang w:val="en-US" w:eastAsia="zh-CN"/>
              </w:rPr>
              <w:t>或正在实施的类似钢结构工程施工</w:t>
            </w:r>
            <w:r>
              <w:rPr>
                <w:rFonts w:hint="eastAsia" w:ascii="宋体" w:hAnsi="宋体"/>
                <w:color w:val="auto"/>
                <w:kern w:val="0"/>
                <w:szCs w:val="21"/>
                <w:highlight w:val="none"/>
                <w:lang w:eastAsia="zh-CN"/>
              </w:rPr>
              <w:t>业绩的</w:t>
            </w:r>
            <w:r>
              <w:rPr>
                <w:rFonts w:hint="eastAsia" w:ascii="宋体" w:hAnsi="宋体"/>
                <w:color w:val="auto"/>
                <w:kern w:val="0"/>
                <w:szCs w:val="21"/>
                <w:highlight w:val="none"/>
              </w:rPr>
              <w:t>，每提供1个</w:t>
            </w:r>
            <w:r>
              <w:rPr>
                <w:rFonts w:hint="eastAsia" w:ascii="宋体" w:hAnsi="宋体"/>
                <w:color w:val="auto"/>
                <w:kern w:val="0"/>
                <w:szCs w:val="21"/>
                <w:highlight w:val="none"/>
                <w:lang w:val="en-US" w:eastAsia="zh-CN"/>
              </w:rPr>
              <w:t>业绩</w:t>
            </w:r>
            <w:r>
              <w:rPr>
                <w:rFonts w:hint="eastAsia"/>
                <w:color w:val="auto"/>
                <w:highlight w:val="none"/>
                <w:lang w:val="en-US" w:eastAsia="zh-CN"/>
              </w:rPr>
              <w:t>得</w:t>
            </w:r>
            <w:r>
              <w:rPr>
                <w:rFonts w:hint="default"/>
                <w:color w:val="auto"/>
                <w:highlight w:val="none"/>
                <w:lang w:val="en" w:eastAsia="zh-CN"/>
              </w:rPr>
              <w:t>3</w:t>
            </w:r>
            <w:r>
              <w:rPr>
                <w:rFonts w:hint="eastAsia"/>
                <w:color w:val="auto"/>
                <w:highlight w:val="none"/>
              </w:rPr>
              <w:t>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此项满分</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分。</w:t>
            </w:r>
          </w:p>
          <w:p w14:paraId="1084049D">
            <w:pPr>
              <w:keepNext w:val="0"/>
              <w:keepLines w:val="0"/>
              <w:pageBreakBefore w:val="0"/>
              <w:kinsoku/>
              <w:wordWrap/>
              <w:overflowPunct/>
              <w:topLinePunct w:val="0"/>
              <w:autoSpaceDE w:val="0"/>
              <w:autoSpaceDN w:val="0"/>
              <w:bidi w:val="0"/>
              <w:adjustRightInd w:val="0"/>
              <w:snapToGrid/>
              <w:spacing w:line="360" w:lineRule="exact"/>
              <w:rPr>
                <w:rFonts w:ascii="宋体" w:hAnsi="宋体" w:cs="宋体"/>
                <w:color w:val="auto"/>
                <w:szCs w:val="21"/>
                <w:highlight w:val="none"/>
              </w:rPr>
            </w:pPr>
            <w:r>
              <w:rPr>
                <w:rFonts w:hint="eastAsia" w:ascii="宋体" w:hAnsi="宋体"/>
                <w:color w:val="auto"/>
                <w:kern w:val="0"/>
                <w:szCs w:val="21"/>
                <w:highlight w:val="none"/>
              </w:rPr>
              <w:t>（以上均须在响应</w:t>
            </w:r>
            <w:r>
              <w:rPr>
                <w:rFonts w:ascii="宋体" w:hAnsi="宋体"/>
                <w:color w:val="auto"/>
                <w:kern w:val="0"/>
                <w:szCs w:val="21"/>
                <w:highlight w:val="none"/>
              </w:rPr>
              <w:t>文件中</w:t>
            </w:r>
            <w:r>
              <w:rPr>
                <w:rFonts w:hint="eastAsia" w:ascii="宋体" w:hAnsi="宋体"/>
                <w:color w:val="auto"/>
                <w:kern w:val="0"/>
                <w:szCs w:val="21"/>
                <w:highlight w:val="none"/>
              </w:rPr>
              <w:t>提供合同书复印件，复印件加盖供应商公章）</w:t>
            </w:r>
          </w:p>
        </w:tc>
        <w:tc>
          <w:tcPr>
            <w:tcW w:w="836" w:type="dxa"/>
            <w:noWrap w:val="0"/>
            <w:vAlign w:val="center"/>
          </w:tcPr>
          <w:p w14:paraId="102DF88B">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6</w:t>
            </w:r>
            <w:r>
              <w:rPr>
                <w:rFonts w:hint="eastAsia" w:ascii="宋体" w:hAnsi="宋体" w:cs="Tahoma"/>
                <w:color w:val="auto"/>
                <w:kern w:val="0"/>
                <w:szCs w:val="21"/>
                <w:highlight w:val="none"/>
              </w:rPr>
              <w:t>分</w:t>
            </w:r>
          </w:p>
        </w:tc>
      </w:tr>
      <w:tr w14:paraId="4C0C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81" w:type="dxa"/>
            <w:noWrap w:val="0"/>
            <w:vAlign w:val="center"/>
          </w:tcPr>
          <w:p w14:paraId="724DBA3D">
            <w:pPr>
              <w:keepNext w:val="0"/>
              <w:keepLines w:val="0"/>
              <w:pageBreakBefore w:val="0"/>
              <w:widowControl/>
              <w:kinsoku/>
              <w:wordWrap/>
              <w:overflowPunct/>
              <w:topLinePunct w:val="0"/>
              <w:bidi w:val="0"/>
              <w:snapToGrid/>
              <w:spacing w:line="360" w:lineRule="exact"/>
              <w:jc w:val="center"/>
              <w:rPr>
                <w:rFonts w:hint="eastAsia" w:ascii="宋体" w:hAnsi="宋体" w:cs="Tahoma"/>
                <w:color w:val="auto"/>
                <w:kern w:val="0"/>
                <w:szCs w:val="21"/>
                <w:highlight w:val="none"/>
              </w:rPr>
            </w:pPr>
            <w:r>
              <w:rPr>
                <w:rFonts w:hint="eastAsia" w:ascii="宋体" w:hAnsi="宋体" w:cs="Tahoma"/>
                <w:color w:val="auto"/>
                <w:kern w:val="0"/>
                <w:szCs w:val="21"/>
                <w:highlight w:val="none"/>
              </w:rPr>
              <w:t>3.2</w:t>
            </w:r>
          </w:p>
        </w:tc>
        <w:tc>
          <w:tcPr>
            <w:tcW w:w="1547" w:type="dxa"/>
            <w:gridSpan w:val="2"/>
            <w:noWrap w:val="0"/>
            <w:vAlign w:val="center"/>
          </w:tcPr>
          <w:p w14:paraId="71CDAE2D">
            <w:pPr>
              <w:keepNext w:val="0"/>
              <w:keepLines w:val="0"/>
              <w:pageBreakBefore w:val="0"/>
              <w:kinsoku/>
              <w:wordWrap/>
              <w:overflowPunct/>
              <w:topLinePunct w:val="0"/>
              <w:bidi w:val="0"/>
              <w:snapToGrid/>
              <w:spacing w:line="360" w:lineRule="exact"/>
              <w:jc w:val="center"/>
              <w:rPr>
                <w:rFonts w:hint="eastAsia" w:ascii="宋体" w:hAnsi="宋体"/>
                <w:color w:val="auto"/>
                <w:szCs w:val="21"/>
                <w:highlight w:val="none"/>
              </w:rPr>
            </w:pPr>
            <w:r>
              <w:rPr>
                <w:rFonts w:hint="eastAsia" w:ascii="宋体" w:hAnsi="宋体"/>
                <w:color w:val="auto"/>
                <w:szCs w:val="21"/>
                <w:highlight w:val="none"/>
              </w:rPr>
              <w:t>信誉</w:t>
            </w:r>
            <w:r>
              <w:rPr>
                <w:rFonts w:ascii="宋体" w:hAnsi="宋体"/>
                <w:color w:val="auto"/>
                <w:szCs w:val="21"/>
                <w:highlight w:val="none"/>
              </w:rPr>
              <w:t>分</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分）</w:t>
            </w:r>
          </w:p>
        </w:tc>
        <w:tc>
          <w:tcPr>
            <w:tcW w:w="7055" w:type="dxa"/>
            <w:noWrap w:val="0"/>
            <w:vAlign w:val="center"/>
          </w:tcPr>
          <w:p w14:paraId="3CB1B7DD">
            <w:pPr>
              <w:keepNext w:val="0"/>
              <w:keepLines w:val="0"/>
              <w:pageBreakBefore w:val="0"/>
              <w:numPr>
                <w:ilvl w:val="-1"/>
                <w:numId w:val="0"/>
              </w:numPr>
              <w:kinsoku/>
              <w:wordWrap/>
              <w:overflowPunct/>
              <w:topLinePunct w:val="0"/>
              <w:autoSpaceDE w:val="0"/>
              <w:autoSpaceDN w:val="0"/>
              <w:bidi w:val="0"/>
              <w:adjustRightInd w:val="0"/>
              <w:snapToGrid/>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供应商具备ISO质量管理体系、ISO环境管理体系、职业健康安全管理体系认证且在有效期内的，</w:t>
            </w:r>
            <w:r>
              <w:rPr>
                <w:rFonts w:ascii="宋体" w:hAnsi="宋体"/>
                <w:color w:val="auto"/>
                <w:kern w:val="0"/>
                <w:szCs w:val="21"/>
                <w:highlight w:val="none"/>
              </w:rPr>
              <w:t>每具备</w:t>
            </w:r>
            <w:r>
              <w:rPr>
                <w:rFonts w:hint="eastAsia" w:ascii="宋体" w:hAnsi="宋体"/>
                <w:color w:val="auto"/>
                <w:kern w:val="0"/>
                <w:szCs w:val="21"/>
                <w:highlight w:val="none"/>
              </w:rPr>
              <w:t>1个</w:t>
            </w:r>
            <w:r>
              <w:rPr>
                <w:rFonts w:ascii="宋体" w:hAnsi="宋体"/>
                <w:color w:val="auto"/>
                <w:kern w:val="0"/>
                <w:szCs w:val="21"/>
                <w:highlight w:val="none"/>
              </w:rPr>
              <w:t>认证</w:t>
            </w:r>
            <w:r>
              <w:rPr>
                <w:rFonts w:hint="eastAsia" w:ascii="宋体" w:hAnsi="宋体"/>
                <w:color w:val="auto"/>
                <w:kern w:val="0"/>
                <w:szCs w:val="21"/>
                <w:highlight w:val="none"/>
              </w:rPr>
              <w:t>得</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分，满分</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分。（响应</w:t>
            </w:r>
            <w:r>
              <w:rPr>
                <w:rFonts w:ascii="宋体" w:hAnsi="宋体"/>
                <w:color w:val="auto"/>
                <w:kern w:val="0"/>
                <w:szCs w:val="21"/>
                <w:highlight w:val="none"/>
              </w:rPr>
              <w:t>文件中</w:t>
            </w:r>
            <w:r>
              <w:rPr>
                <w:rFonts w:hint="eastAsia" w:ascii="宋体" w:hAnsi="宋体"/>
                <w:color w:val="auto"/>
                <w:kern w:val="0"/>
                <w:szCs w:val="21"/>
                <w:highlight w:val="none"/>
              </w:rPr>
              <w:t>提供认证证书复印件</w:t>
            </w:r>
            <w:r>
              <w:rPr>
                <w:rFonts w:hint="eastAsia" w:ascii="宋体" w:hAnsi="宋体"/>
                <w:color w:val="auto"/>
                <w:kern w:val="0"/>
                <w:szCs w:val="21"/>
                <w:highlight w:val="none"/>
                <w:lang w:val="en-US" w:eastAsia="zh-CN"/>
              </w:rPr>
              <w:t>和</w:t>
            </w:r>
            <w:r>
              <w:rPr>
                <w:rFonts w:hint="eastAsia" w:ascii="宋体" w:hAnsi="宋体"/>
                <w:bCs/>
                <w:color w:val="auto"/>
                <w:highlight w:val="none"/>
                <w:lang w:val="en-US" w:eastAsia="zh-CN"/>
              </w:rPr>
              <w:t>国家市场监督管理总局全国认证认可信息公共服务平台官网查询截图并加盖供应商公章</w:t>
            </w:r>
            <w:r>
              <w:rPr>
                <w:rFonts w:hint="eastAsia" w:ascii="宋体" w:hAnsi="宋体"/>
                <w:color w:val="auto"/>
                <w:kern w:val="0"/>
                <w:szCs w:val="21"/>
                <w:highlight w:val="none"/>
              </w:rPr>
              <w:t>）</w:t>
            </w:r>
          </w:p>
        </w:tc>
        <w:tc>
          <w:tcPr>
            <w:tcW w:w="836" w:type="dxa"/>
            <w:noWrap w:val="0"/>
            <w:vAlign w:val="center"/>
          </w:tcPr>
          <w:p w14:paraId="4A3FB977">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default" w:ascii="宋体" w:hAnsi="宋体" w:cs="Tahoma"/>
                <w:color w:val="auto"/>
                <w:kern w:val="0"/>
                <w:szCs w:val="21"/>
                <w:highlight w:val="none"/>
                <w:lang w:val="en" w:eastAsia="zh-CN"/>
              </w:rPr>
              <w:t>3</w:t>
            </w:r>
            <w:r>
              <w:rPr>
                <w:rFonts w:hint="eastAsia" w:ascii="宋体" w:hAnsi="宋体" w:cs="Tahoma"/>
                <w:color w:val="auto"/>
                <w:kern w:val="0"/>
                <w:szCs w:val="21"/>
                <w:highlight w:val="none"/>
              </w:rPr>
              <w:t>分</w:t>
            </w:r>
          </w:p>
        </w:tc>
      </w:tr>
      <w:tr w14:paraId="6944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183" w:type="dxa"/>
            <w:gridSpan w:val="4"/>
            <w:noWrap w:val="0"/>
            <w:vAlign w:val="top"/>
          </w:tcPr>
          <w:p w14:paraId="49F67011">
            <w:pPr>
              <w:pStyle w:val="26"/>
              <w:keepNext w:val="0"/>
              <w:keepLines w:val="0"/>
              <w:pageBreakBefore w:val="0"/>
              <w:kinsoku/>
              <w:wordWrap/>
              <w:overflowPunct/>
              <w:topLinePunct w:val="0"/>
              <w:bidi w:val="0"/>
              <w:snapToGrid/>
              <w:spacing w:line="360" w:lineRule="exact"/>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总得分＝1＋2＋3</w:t>
            </w:r>
          </w:p>
        </w:tc>
        <w:tc>
          <w:tcPr>
            <w:tcW w:w="836" w:type="dxa"/>
            <w:noWrap w:val="0"/>
            <w:vAlign w:val="center"/>
          </w:tcPr>
          <w:p w14:paraId="5583B504">
            <w:pPr>
              <w:keepNext w:val="0"/>
              <w:keepLines w:val="0"/>
              <w:pageBreakBefore w:val="0"/>
              <w:widowControl/>
              <w:kinsoku/>
              <w:wordWrap/>
              <w:overflowPunct/>
              <w:topLinePunct w:val="0"/>
              <w:bidi w:val="0"/>
              <w:snapToGrid/>
              <w:spacing w:line="36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100分</w:t>
            </w:r>
          </w:p>
        </w:tc>
      </w:tr>
    </w:tbl>
    <w:p w14:paraId="28F5817A">
      <w:pPr>
        <w:pStyle w:val="5"/>
        <w:jc w:val="center"/>
        <w:rPr>
          <w:color w:val="auto"/>
          <w:highlight w:val="none"/>
        </w:rPr>
      </w:pPr>
      <w:r>
        <w:rPr>
          <w:rFonts w:ascii="宋体" w:hAnsi="宋体" w:cs="宋体"/>
          <w:color w:val="auto"/>
          <w:highlight w:val="none"/>
        </w:rPr>
        <w:br w:type="page"/>
      </w:r>
      <w:bookmarkStart w:id="81" w:name="_Toc30067"/>
      <w:r>
        <w:rPr>
          <w:rFonts w:hint="eastAsia"/>
          <w:color w:val="auto"/>
          <w:highlight w:val="none"/>
        </w:rPr>
        <w:t>第五章工程量清单及图纸</w:t>
      </w:r>
      <w:bookmarkEnd w:id="81"/>
    </w:p>
    <w:p w14:paraId="50C8ABF1">
      <w:pPr>
        <w:pStyle w:val="6"/>
        <w:spacing w:before="0" w:after="0" w:line="360" w:lineRule="auto"/>
        <w:rPr>
          <w:color w:val="auto"/>
          <w:kern w:val="44"/>
          <w:highlight w:val="none"/>
        </w:rPr>
      </w:pPr>
      <w:bookmarkStart w:id="82" w:name="_Toc1386396751"/>
      <w:bookmarkStart w:id="83" w:name="_Toc1392571603"/>
      <w:bookmarkStart w:id="84" w:name="_Toc78449869"/>
      <w:bookmarkStart w:id="85" w:name="_Toc407135284"/>
      <w:r>
        <w:rPr>
          <w:color w:val="auto"/>
          <w:highlight w:val="none"/>
        </w:rPr>
        <w:t>1</w:t>
      </w:r>
      <w:r>
        <w:rPr>
          <w:rFonts w:hint="eastAsia"/>
          <w:color w:val="auto"/>
          <w:highlight w:val="none"/>
        </w:rPr>
        <w:t>.</w:t>
      </w:r>
      <w:r>
        <w:rPr>
          <w:rFonts w:hint="eastAsia" w:cs="黑体"/>
          <w:color w:val="auto"/>
          <w:highlight w:val="none"/>
        </w:rPr>
        <w:t>工程量清单编制说明</w:t>
      </w:r>
      <w:bookmarkEnd w:id="82"/>
      <w:bookmarkEnd w:id="83"/>
      <w:bookmarkEnd w:id="84"/>
      <w:bookmarkEnd w:id="85"/>
    </w:p>
    <w:p w14:paraId="7E6F7589">
      <w:pPr>
        <w:spacing w:line="360" w:lineRule="auto"/>
        <w:ind w:firstLine="420" w:firstLineChars="200"/>
        <w:rPr>
          <w:color w:val="auto"/>
          <w:highlight w:val="none"/>
        </w:rPr>
      </w:pPr>
      <w:r>
        <w:rPr>
          <w:color w:val="auto"/>
          <w:highlight w:val="none"/>
        </w:rPr>
        <w:t>1.1</w:t>
      </w:r>
      <w:r>
        <w:rPr>
          <w:rFonts w:hint="eastAsia" w:hAnsi="宋体" w:cs="宋体"/>
          <w:color w:val="auto"/>
          <w:highlight w:val="none"/>
        </w:rPr>
        <w:t>本工程量清单依据《建设工程工程量清单计价规范</w:t>
      </w:r>
      <w:r>
        <w:rPr>
          <w:rFonts w:hint="eastAsia" w:cs="宋体"/>
          <w:color w:val="auto"/>
          <w:highlight w:val="none"/>
        </w:rPr>
        <w:t>（</w:t>
      </w:r>
      <w:r>
        <w:rPr>
          <w:color w:val="auto"/>
          <w:highlight w:val="none"/>
        </w:rPr>
        <w:t>GB50500-2013</w:t>
      </w:r>
      <w:r>
        <w:rPr>
          <w:rFonts w:hint="eastAsia" w:cs="宋体"/>
          <w:color w:val="auto"/>
          <w:highlight w:val="none"/>
        </w:rPr>
        <w:t>）</w:t>
      </w:r>
      <w:r>
        <w:rPr>
          <w:rFonts w:hint="eastAsia" w:hAnsi="宋体" w:cs="宋体"/>
          <w:color w:val="auto"/>
          <w:highlight w:val="none"/>
        </w:rPr>
        <w:t>广西实施细则》（以下简称</w:t>
      </w:r>
      <w:r>
        <w:rPr>
          <w:color w:val="auto"/>
          <w:highlight w:val="none"/>
        </w:rPr>
        <w:t>“</w:t>
      </w:r>
      <w:r>
        <w:rPr>
          <w:rFonts w:hint="eastAsia" w:hAnsi="宋体" w:cs="宋体"/>
          <w:color w:val="auto"/>
          <w:highlight w:val="none"/>
        </w:rPr>
        <w:t>《计价规范》</w:t>
      </w:r>
      <w:r>
        <w:rPr>
          <w:color w:val="auto"/>
          <w:highlight w:val="none"/>
        </w:rPr>
        <w:t>”</w:t>
      </w:r>
      <w:r>
        <w:rPr>
          <w:rFonts w:hint="eastAsia" w:cs="宋体"/>
          <w:color w:val="auto"/>
          <w:highlight w:val="none"/>
        </w:rPr>
        <w:t>）</w:t>
      </w:r>
      <w:r>
        <w:rPr>
          <w:rFonts w:hint="eastAsia" w:hAnsi="宋体" w:cs="宋体"/>
          <w:color w:val="auto"/>
          <w:highlight w:val="none"/>
        </w:rPr>
        <w:t>、《工程量清单计算规范（</w:t>
      </w:r>
      <w:r>
        <w:rPr>
          <w:color w:val="auto"/>
          <w:highlight w:val="none"/>
        </w:rPr>
        <w:t>GB50854~50862-2013</w:t>
      </w:r>
      <w:r>
        <w:rPr>
          <w:rFonts w:hint="eastAsia" w:hAnsi="宋体" w:cs="宋体"/>
          <w:color w:val="auto"/>
          <w:highlight w:val="none"/>
        </w:rPr>
        <w:t>）》及广西实施细则（修订本）（以下简称</w:t>
      </w:r>
      <w:r>
        <w:rPr>
          <w:color w:val="auto"/>
          <w:highlight w:val="none"/>
        </w:rPr>
        <w:t>“</w:t>
      </w:r>
      <w:r>
        <w:rPr>
          <w:rFonts w:hint="eastAsia" w:hAnsi="宋体" w:cs="宋体"/>
          <w:color w:val="auto"/>
          <w:highlight w:val="none"/>
        </w:rPr>
        <w:t>《计算规范》</w:t>
      </w:r>
      <w:r>
        <w:rPr>
          <w:color w:val="auto"/>
          <w:highlight w:val="none"/>
        </w:rPr>
        <w:t>”</w:t>
      </w:r>
      <w:r>
        <w:rPr>
          <w:rFonts w:hint="eastAsia" w:hAnsi="宋体" w:cs="宋体"/>
          <w:color w:val="auto"/>
          <w:highlight w:val="none"/>
        </w:rPr>
        <w:t>）、</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号）、磋商文件</w:t>
      </w:r>
      <w:r>
        <w:rPr>
          <w:rFonts w:hint="eastAsia" w:hAnsi="宋体" w:cs="宋体"/>
          <w:color w:val="auto"/>
          <w:highlight w:val="none"/>
        </w:rPr>
        <w:t>、施工图等编制。计算规范中没有的清单项目，应在本章第</w:t>
      </w:r>
      <w:r>
        <w:rPr>
          <w:color w:val="auto"/>
          <w:highlight w:val="none"/>
        </w:rPr>
        <w:t>1.4</w:t>
      </w:r>
      <w:r>
        <w:rPr>
          <w:rFonts w:hint="eastAsia" w:hAnsi="宋体" w:cs="宋体"/>
          <w:color w:val="auto"/>
          <w:highlight w:val="none"/>
        </w:rPr>
        <w:t>款约定。</w:t>
      </w:r>
    </w:p>
    <w:p w14:paraId="40D0E949">
      <w:pPr>
        <w:spacing w:line="360" w:lineRule="auto"/>
        <w:ind w:firstLine="420" w:firstLineChars="200"/>
        <w:rPr>
          <w:color w:val="auto"/>
          <w:highlight w:val="none"/>
        </w:rPr>
      </w:pPr>
      <w:r>
        <w:rPr>
          <w:color w:val="auto"/>
          <w:highlight w:val="none"/>
        </w:rPr>
        <w:t xml:space="preserve">1.2 </w:t>
      </w:r>
      <w:r>
        <w:rPr>
          <w:rFonts w:hint="eastAsia"/>
          <w:color w:val="auto"/>
          <w:highlight w:val="none"/>
        </w:rPr>
        <w:t>工程量清单应与供应商须知、合同协议条款、合同的通用条款、合同专用条款、技术规范及图纸等文件一起结合使用。</w:t>
      </w:r>
    </w:p>
    <w:p w14:paraId="27D68ED5">
      <w:pPr>
        <w:spacing w:line="360" w:lineRule="auto"/>
        <w:ind w:firstLine="420" w:firstLineChars="200"/>
        <w:rPr>
          <w:color w:val="auto"/>
          <w:highlight w:val="none"/>
        </w:rPr>
      </w:pPr>
      <w:r>
        <w:rPr>
          <w:color w:val="auto"/>
          <w:highlight w:val="none"/>
        </w:rPr>
        <w:t xml:space="preserve">1.3 </w:t>
      </w:r>
      <w:r>
        <w:rPr>
          <w:rFonts w:hint="eastAsia" w:cs="宋体"/>
          <w:color w:val="auto"/>
          <w:highlight w:val="none"/>
        </w:rPr>
        <w:t>工程量清单是磋商文件的组成部分，是工程量清单计价的基础，作为编制招标控制价、竞标报价、计算或调整工程量、索赔等的依据之一。</w:t>
      </w:r>
    </w:p>
    <w:p w14:paraId="1D738F1D">
      <w:pPr>
        <w:spacing w:line="360" w:lineRule="auto"/>
        <w:ind w:firstLine="420" w:firstLineChars="200"/>
        <w:rPr>
          <w:color w:val="auto"/>
          <w:highlight w:val="none"/>
        </w:rPr>
      </w:pPr>
      <w:r>
        <w:rPr>
          <w:color w:val="auto"/>
          <w:highlight w:val="none"/>
        </w:rPr>
        <w:t xml:space="preserve">1.4 </w:t>
      </w:r>
      <w:r>
        <w:rPr>
          <w:rFonts w:hint="eastAsia" w:cs="宋体"/>
          <w:color w:val="auto"/>
          <w:highlight w:val="none"/>
        </w:rPr>
        <w:t>补充清单项目的特征、计量单位、工程量计算规则及工作内容说明如下：</w:t>
      </w:r>
      <w:r>
        <w:rPr>
          <w:rFonts w:hint="eastAsia"/>
          <w:color w:val="auto"/>
          <w:highlight w:val="none"/>
        </w:rPr>
        <w:t>无</w:t>
      </w:r>
      <w:r>
        <w:rPr>
          <w:rFonts w:hint="eastAsia" w:hAnsi="宋体" w:cs="宋体"/>
          <w:color w:val="auto"/>
          <w:highlight w:val="none"/>
        </w:rPr>
        <w:t>。</w:t>
      </w:r>
    </w:p>
    <w:p w14:paraId="058C5905">
      <w:pPr>
        <w:pStyle w:val="26"/>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1.5 </w:t>
      </w:r>
      <w:r>
        <w:rPr>
          <w:rFonts w:hint="eastAsia" w:ascii="Times New Roman" w:hAnsi="Times New Roman"/>
          <w:color w:val="auto"/>
          <w:sz w:val="21"/>
          <w:highlight w:val="none"/>
        </w:rPr>
        <w:t>《允许调整主要材料和工程设备一览表》（表</w:t>
      </w:r>
      <w:r>
        <w:rPr>
          <w:rFonts w:ascii="Times New Roman" w:hAnsi="Times New Roman"/>
          <w:color w:val="auto"/>
          <w:sz w:val="21"/>
          <w:highlight w:val="none"/>
        </w:rPr>
        <w:t>-22</w:t>
      </w:r>
      <w:r>
        <w:rPr>
          <w:rFonts w:hint="eastAsia" w:ascii="Times New Roman" w:hAnsi="Times New Roman"/>
          <w:color w:val="auto"/>
          <w:sz w:val="21"/>
          <w:highlight w:val="none"/>
        </w:rPr>
        <w:t>，表格编号为计价规范相应表格编号，下同）作为项目实施过程中材料和设备价格风险调整依据。</w:t>
      </w:r>
    </w:p>
    <w:p w14:paraId="3ABD5D98">
      <w:pPr>
        <w:pStyle w:val="26"/>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1.6 </w:t>
      </w:r>
      <w:r>
        <w:rPr>
          <w:rFonts w:hint="eastAsia" w:ascii="Times New Roman" w:hAnsi="Times New Roman"/>
          <w:color w:val="auto"/>
          <w:sz w:val="21"/>
          <w:highlight w:val="none"/>
        </w:rPr>
        <w:t>本工程暂列金额（约按合同造价</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u w:val="single"/>
        </w:rPr>
        <w:t>/</w:t>
      </w:r>
      <w:r>
        <w:rPr>
          <w:rFonts w:ascii="Times New Roman" w:hAnsi="Times New Roman"/>
          <w:color w:val="auto"/>
          <w:sz w:val="21"/>
          <w:highlight w:val="none"/>
          <w:u w:val="single"/>
        </w:rPr>
        <w:t xml:space="preserve">  </w:t>
      </w:r>
      <w:r>
        <w:rPr>
          <w:rFonts w:ascii="Times New Roman" w:hAnsi="Times New Roman"/>
          <w:color w:val="auto"/>
          <w:sz w:val="21"/>
          <w:highlight w:val="none"/>
        </w:rPr>
        <w:t>%</w:t>
      </w:r>
      <w:r>
        <w:rPr>
          <w:rFonts w:hint="eastAsia" w:ascii="Times New Roman" w:hAnsi="Times New Roman"/>
          <w:color w:val="auto"/>
          <w:sz w:val="21"/>
          <w:highlight w:val="none"/>
        </w:rPr>
        <w:t>计算），共</w:t>
      </w:r>
      <w:r>
        <w:rPr>
          <w:rFonts w:ascii="Times New Roman" w:hAnsi="Times New Roman"/>
          <w:color w:val="auto"/>
          <w:sz w:val="21"/>
          <w:highlight w:val="none"/>
          <w:u w:val="single"/>
        </w:rPr>
        <w:t xml:space="preserve"> /</w:t>
      </w:r>
      <w:r>
        <w:rPr>
          <w:rFonts w:hint="eastAsia" w:ascii="Times New Roman" w:hAnsi="Times New Roman"/>
          <w:color w:val="auto"/>
          <w:sz w:val="21"/>
          <w:highlight w:val="none"/>
        </w:rPr>
        <w:t>元，作为合同签订时尚未确定或者不可预见但施工中可能发生的费用。</w:t>
      </w:r>
    </w:p>
    <w:p w14:paraId="73117550">
      <w:pPr>
        <w:pStyle w:val="26"/>
        <w:spacing w:line="360" w:lineRule="auto"/>
        <w:ind w:firstLine="420" w:firstLineChars="200"/>
        <w:rPr>
          <w:rFonts w:ascii="Times New Roman" w:hAnsi="Times New Roman"/>
          <w:color w:val="auto"/>
          <w:sz w:val="21"/>
          <w:highlight w:val="none"/>
        </w:rPr>
      </w:pPr>
      <w:r>
        <w:rPr>
          <w:rFonts w:ascii="Times New Roman" w:hAnsi="Times New Roman"/>
          <w:color w:val="auto"/>
          <w:sz w:val="21"/>
          <w:highlight w:val="none"/>
        </w:rPr>
        <w:t xml:space="preserve">1.7 </w:t>
      </w:r>
      <w:r>
        <w:rPr>
          <w:rFonts w:hint="eastAsia" w:ascii="Times New Roman" w:hAnsi="Times New Roman"/>
          <w:color w:val="auto"/>
          <w:sz w:val="21"/>
          <w:highlight w:val="none"/>
        </w:rPr>
        <w:t>本工程发包人提供的材料和设备详见《发包人提供的主要材料和工程设备一览表》（表</w:t>
      </w:r>
      <w:r>
        <w:rPr>
          <w:rFonts w:ascii="Times New Roman" w:hAnsi="Times New Roman"/>
          <w:color w:val="auto"/>
          <w:sz w:val="21"/>
          <w:highlight w:val="none"/>
        </w:rPr>
        <w:t>-21</w:t>
      </w:r>
      <w:r>
        <w:rPr>
          <w:rFonts w:hint="eastAsia" w:ascii="Times New Roman" w:hAnsi="Times New Roman"/>
          <w:color w:val="auto"/>
          <w:sz w:val="21"/>
          <w:highlight w:val="none"/>
        </w:rPr>
        <w:t>）。</w:t>
      </w:r>
    </w:p>
    <w:p w14:paraId="3B4407D1">
      <w:pPr>
        <w:spacing w:line="360" w:lineRule="auto"/>
        <w:ind w:firstLine="420" w:firstLineChars="200"/>
        <w:rPr>
          <w:color w:val="auto"/>
          <w:highlight w:val="none"/>
        </w:rPr>
      </w:pPr>
      <w:r>
        <w:rPr>
          <w:color w:val="auto"/>
          <w:highlight w:val="none"/>
        </w:rPr>
        <w:t xml:space="preserve">1.8 </w:t>
      </w:r>
      <w:r>
        <w:rPr>
          <w:rFonts w:hint="eastAsia" w:cs="宋体"/>
          <w:color w:val="auto"/>
          <w:highlight w:val="none"/>
        </w:rPr>
        <w:t>本工程部分材料和设备在招标时作为暂估价计列，结算按实调整，具体内容详见《材料（工程设备）暂估单价及调整表》（表</w:t>
      </w:r>
      <w:r>
        <w:rPr>
          <w:color w:val="auto"/>
          <w:highlight w:val="none"/>
        </w:rPr>
        <w:t>12-2</w:t>
      </w:r>
      <w:r>
        <w:rPr>
          <w:rFonts w:hint="eastAsia" w:cs="宋体"/>
          <w:color w:val="auto"/>
          <w:highlight w:val="none"/>
        </w:rPr>
        <w:t>）。</w:t>
      </w:r>
    </w:p>
    <w:p w14:paraId="77A87FC1">
      <w:pPr>
        <w:spacing w:line="360" w:lineRule="auto"/>
        <w:ind w:firstLine="420" w:firstLineChars="200"/>
        <w:rPr>
          <w:color w:val="auto"/>
          <w:highlight w:val="none"/>
        </w:rPr>
      </w:pPr>
      <w:r>
        <w:rPr>
          <w:color w:val="auto"/>
          <w:highlight w:val="none"/>
        </w:rPr>
        <w:t xml:space="preserve">1.9 </w:t>
      </w:r>
      <w:r>
        <w:rPr>
          <w:rFonts w:hint="eastAsia" w:cs="宋体"/>
          <w:color w:val="auto"/>
          <w:highlight w:val="none"/>
        </w:rPr>
        <w:t>招标时暂估专业工程的价款属于暂估价，结算按实调整，具体内容详见《专业工程暂估价及结算价表》（表</w:t>
      </w:r>
      <w:r>
        <w:rPr>
          <w:color w:val="auto"/>
          <w:highlight w:val="none"/>
        </w:rPr>
        <w:t>12-3</w:t>
      </w:r>
      <w:r>
        <w:rPr>
          <w:rFonts w:hint="eastAsia" w:cs="宋体"/>
          <w:color w:val="auto"/>
          <w:highlight w:val="none"/>
        </w:rPr>
        <w:t>）。</w:t>
      </w:r>
    </w:p>
    <w:p w14:paraId="5D2802A6">
      <w:pPr>
        <w:spacing w:line="360" w:lineRule="auto"/>
        <w:ind w:firstLine="420" w:firstLineChars="200"/>
        <w:rPr>
          <w:color w:val="auto"/>
          <w:highlight w:val="none"/>
        </w:rPr>
      </w:pPr>
      <w:r>
        <w:rPr>
          <w:color w:val="auto"/>
          <w:highlight w:val="none"/>
        </w:rPr>
        <w:t xml:space="preserve">1.10 </w:t>
      </w:r>
      <w:r>
        <w:rPr>
          <w:rFonts w:hint="eastAsia" w:cs="宋体"/>
          <w:color w:val="auto"/>
          <w:highlight w:val="none"/>
        </w:rPr>
        <w:t>本工程量清单编码处标注</w:t>
      </w:r>
      <w:r>
        <w:rPr>
          <w:color w:val="auto"/>
          <w:highlight w:val="none"/>
        </w:rPr>
        <w:t>“*”</w:t>
      </w:r>
      <w:r>
        <w:rPr>
          <w:rFonts w:hint="eastAsia" w:cs="宋体"/>
          <w:color w:val="auto"/>
          <w:highlight w:val="none"/>
        </w:rPr>
        <w:t>号的清单项目作为主要清单项目，需要供应商提供</w:t>
      </w:r>
      <w:r>
        <w:rPr>
          <w:rFonts w:hint="eastAsia" w:hAnsi="宋体" w:cs="宋体"/>
          <w:color w:val="auto"/>
          <w:highlight w:val="none"/>
        </w:rPr>
        <w:t>《主要清单项目工料机分析表》（表</w:t>
      </w:r>
      <w:r>
        <w:rPr>
          <w:color w:val="auto"/>
          <w:highlight w:val="none"/>
        </w:rPr>
        <w:t>-10</w:t>
      </w:r>
      <w:r>
        <w:rPr>
          <w:rFonts w:hint="eastAsia" w:hAnsi="宋体" w:cs="宋体"/>
          <w:color w:val="auto"/>
          <w:highlight w:val="none"/>
        </w:rPr>
        <w:t>）</w:t>
      </w:r>
      <w:r>
        <w:rPr>
          <w:rFonts w:hint="eastAsia" w:cs="宋体"/>
          <w:color w:val="auto"/>
          <w:highlight w:val="none"/>
        </w:rPr>
        <w:t>。</w:t>
      </w:r>
    </w:p>
    <w:p w14:paraId="1B4548D4">
      <w:pPr>
        <w:spacing w:line="360" w:lineRule="auto"/>
        <w:ind w:firstLine="420" w:firstLineChars="200"/>
        <w:rPr>
          <w:color w:val="auto"/>
          <w:highlight w:val="none"/>
        </w:rPr>
      </w:pPr>
      <w:r>
        <w:rPr>
          <w:color w:val="auto"/>
          <w:highlight w:val="none"/>
        </w:rPr>
        <w:t xml:space="preserve">1.11 </w:t>
      </w:r>
      <w:r>
        <w:rPr>
          <w:rFonts w:hint="eastAsia" w:cs="宋体"/>
          <w:color w:val="auto"/>
          <w:highlight w:val="none"/>
        </w:rPr>
        <w:t>其它需要说明的问题：</w:t>
      </w:r>
      <w:r>
        <w:rPr>
          <w:rFonts w:hint="eastAsia"/>
          <w:color w:val="auto"/>
          <w:highlight w:val="none"/>
          <w:u w:val="single"/>
        </w:rPr>
        <w:t>无</w:t>
      </w:r>
      <w:r>
        <w:rPr>
          <w:rFonts w:hint="eastAsia" w:cs="宋体"/>
          <w:color w:val="auto"/>
          <w:highlight w:val="none"/>
        </w:rPr>
        <w:t>。</w:t>
      </w:r>
    </w:p>
    <w:p w14:paraId="3ED9BD75">
      <w:pPr>
        <w:spacing w:line="360" w:lineRule="auto"/>
        <w:ind w:firstLine="420" w:firstLineChars="200"/>
        <w:jc w:val="left"/>
        <w:rPr>
          <w:color w:val="auto"/>
          <w:highlight w:val="none"/>
        </w:rPr>
      </w:pPr>
      <w:r>
        <w:rPr>
          <w:color w:val="auto"/>
          <w:highlight w:val="none"/>
        </w:rPr>
        <w:t xml:space="preserve">1.12 </w:t>
      </w:r>
      <w:r>
        <w:rPr>
          <w:rFonts w:hint="eastAsia" w:cs="宋体"/>
          <w:color w:val="auto"/>
          <w:highlight w:val="none"/>
        </w:rPr>
        <w:t>工程量清单与磋商文件同时发布。</w:t>
      </w:r>
      <w:r>
        <w:rPr>
          <w:color w:val="auto"/>
          <w:highlight w:val="none"/>
        </w:rPr>
        <w:t xml:space="preserve"> </w:t>
      </w:r>
      <w:r>
        <w:rPr>
          <w:rFonts w:hint="eastAsia" w:cs="宋体"/>
          <w:color w:val="auto"/>
          <w:highlight w:val="none"/>
        </w:rPr>
        <w:t>一般计税法建设工程的工程量清单表格按</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w:t>
      </w:r>
      <w:r>
        <w:rPr>
          <w:rFonts w:hint="eastAsia" w:ascii="宋体" w:hAnsi="宋体" w:cs="宋体"/>
          <w:color w:val="auto"/>
          <w:highlight w:val="none"/>
        </w:rPr>
        <w:t>附件“增值税一般计税方法工程计价表”要求提供；简易计税法建设工程按照《计价规范》要求的</w:t>
      </w:r>
      <w:r>
        <w:rPr>
          <w:rFonts w:hint="eastAsia" w:cs="宋体"/>
          <w:color w:val="auto"/>
          <w:highlight w:val="none"/>
        </w:rPr>
        <w:t>表格提供，但规费和税费要按照《关于建筑业实施营业税改征增值税后广西壮族自治区建设工程计价依据调整的通知》（桂建标〔</w:t>
      </w:r>
      <w:r>
        <w:rPr>
          <w:color w:val="auto"/>
          <w:highlight w:val="none"/>
        </w:rPr>
        <w:t>2016</w:t>
      </w:r>
      <w:r>
        <w:rPr>
          <w:rFonts w:hint="eastAsia" w:cs="宋体"/>
          <w:color w:val="auto"/>
          <w:highlight w:val="none"/>
        </w:rPr>
        <w:t>〕</w:t>
      </w:r>
      <w:r>
        <w:rPr>
          <w:color w:val="auto"/>
          <w:highlight w:val="none"/>
        </w:rPr>
        <w:t>17</w:t>
      </w:r>
      <w:r>
        <w:rPr>
          <w:rFonts w:hint="eastAsia" w:cs="宋体"/>
          <w:color w:val="auto"/>
          <w:highlight w:val="none"/>
        </w:rPr>
        <w:t>号）</w:t>
      </w:r>
      <w:r>
        <w:rPr>
          <w:rFonts w:hint="eastAsia" w:ascii="宋体" w:hAnsi="宋体" w:cs="宋体"/>
          <w:color w:val="auto"/>
          <w:highlight w:val="none"/>
        </w:rPr>
        <w:t>要求调整，具体</w:t>
      </w:r>
      <w:r>
        <w:rPr>
          <w:rFonts w:hint="eastAsia" w:cs="宋体"/>
          <w:color w:val="auto"/>
          <w:highlight w:val="none"/>
        </w:rPr>
        <w:t>包括：</w:t>
      </w:r>
    </w:p>
    <w:p w14:paraId="4803DAFE">
      <w:pPr>
        <w:spacing w:line="360" w:lineRule="auto"/>
        <w:ind w:firstLine="630" w:firstLineChars="300"/>
        <w:jc w:val="left"/>
        <w:rPr>
          <w:color w:val="auto"/>
          <w:highlight w:val="none"/>
        </w:rPr>
      </w:pPr>
      <w:r>
        <w:rPr>
          <w:color w:val="auto"/>
          <w:highlight w:val="none"/>
        </w:rPr>
        <w:t xml:space="preserve">1.1 </w:t>
      </w:r>
      <w:r>
        <w:rPr>
          <w:rFonts w:hint="eastAsia" w:cs="宋体"/>
          <w:color w:val="auto"/>
          <w:highlight w:val="none"/>
        </w:rPr>
        <w:t>招标工程量清单（封</w:t>
      </w:r>
      <w:r>
        <w:rPr>
          <w:color w:val="auto"/>
          <w:highlight w:val="none"/>
        </w:rPr>
        <w:t>-1</w:t>
      </w:r>
      <w:r>
        <w:rPr>
          <w:rFonts w:hint="eastAsia" w:cs="宋体"/>
          <w:color w:val="auto"/>
          <w:highlight w:val="none"/>
        </w:rPr>
        <w:t>）</w:t>
      </w:r>
    </w:p>
    <w:p w14:paraId="11BAC6CC">
      <w:pPr>
        <w:spacing w:line="360" w:lineRule="auto"/>
        <w:ind w:firstLine="630" w:firstLineChars="300"/>
        <w:jc w:val="left"/>
        <w:rPr>
          <w:color w:val="auto"/>
          <w:highlight w:val="none"/>
        </w:rPr>
      </w:pPr>
      <w:r>
        <w:rPr>
          <w:color w:val="auto"/>
          <w:highlight w:val="none"/>
        </w:rPr>
        <w:t xml:space="preserve">1.2 </w:t>
      </w:r>
      <w:r>
        <w:rPr>
          <w:rFonts w:hint="eastAsia" w:cs="宋体"/>
          <w:color w:val="auto"/>
          <w:highlight w:val="none"/>
        </w:rPr>
        <w:t>招标工程量清单（封扉</w:t>
      </w:r>
      <w:r>
        <w:rPr>
          <w:color w:val="auto"/>
          <w:highlight w:val="none"/>
        </w:rPr>
        <w:t>-1</w:t>
      </w:r>
      <w:r>
        <w:rPr>
          <w:rFonts w:hint="eastAsia" w:cs="宋体"/>
          <w:color w:val="auto"/>
          <w:highlight w:val="none"/>
        </w:rPr>
        <w:t>）</w:t>
      </w:r>
    </w:p>
    <w:p w14:paraId="50481F27">
      <w:pPr>
        <w:spacing w:line="360" w:lineRule="auto"/>
        <w:ind w:firstLine="630" w:firstLineChars="300"/>
        <w:jc w:val="left"/>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3E795718">
      <w:pPr>
        <w:spacing w:line="360" w:lineRule="auto"/>
        <w:ind w:firstLine="630" w:firstLineChars="300"/>
        <w:jc w:val="left"/>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0DA51CEF">
      <w:pPr>
        <w:spacing w:line="360" w:lineRule="auto"/>
        <w:ind w:firstLine="630" w:firstLineChars="300"/>
        <w:jc w:val="left"/>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70FAFE23">
      <w:pPr>
        <w:spacing w:line="360" w:lineRule="auto"/>
        <w:ind w:firstLine="630" w:firstLineChars="300"/>
        <w:jc w:val="left"/>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64471E46">
      <w:pPr>
        <w:spacing w:line="360" w:lineRule="auto"/>
        <w:ind w:firstLine="630" w:firstLineChars="300"/>
        <w:jc w:val="left"/>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7D60ACC6">
      <w:pPr>
        <w:spacing w:line="360" w:lineRule="auto"/>
        <w:ind w:firstLine="630" w:firstLineChars="300"/>
        <w:jc w:val="left"/>
        <w:rPr>
          <w:color w:val="auto"/>
          <w:highlight w:val="none"/>
        </w:rPr>
      </w:pPr>
      <w:r>
        <w:rPr>
          <w:color w:val="auto"/>
          <w:highlight w:val="none"/>
        </w:rPr>
        <w:t xml:space="preserve">1.8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79CB7225">
      <w:pPr>
        <w:spacing w:line="360" w:lineRule="auto"/>
        <w:ind w:firstLine="630" w:firstLineChars="300"/>
        <w:jc w:val="left"/>
        <w:rPr>
          <w:color w:val="auto"/>
          <w:highlight w:val="none"/>
        </w:rPr>
      </w:pPr>
      <w:r>
        <w:rPr>
          <w:color w:val="auto"/>
          <w:highlight w:val="none"/>
        </w:rPr>
        <w:t xml:space="preserve">1.9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70F89168">
      <w:pPr>
        <w:spacing w:line="360" w:lineRule="auto"/>
        <w:ind w:firstLine="630" w:firstLineChars="300"/>
        <w:jc w:val="left"/>
        <w:rPr>
          <w:color w:val="auto"/>
          <w:highlight w:val="none"/>
        </w:rPr>
      </w:pPr>
      <w:r>
        <w:rPr>
          <w:color w:val="auto"/>
          <w:highlight w:val="none"/>
        </w:rPr>
        <w:t xml:space="preserve">1.10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5C75971D">
      <w:pPr>
        <w:spacing w:line="360" w:lineRule="auto"/>
        <w:ind w:firstLine="630" w:firstLineChars="300"/>
        <w:jc w:val="left"/>
        <w:rPr>
          <w:color w:val="auto"/>
          <w:highlight w:val="none"/>
        </w:rPr>
      </w:pPr>
      <w:r>
        <w:rPr>
          <w:color w:val="auto"/>
          <w:highlight w:val="none"/>
        </w:rPr>
        <w:t xml:space="preserve">1.11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31718678">
      <w:pPr>
        <w:spacing w:line="360" w:lineRule="auto"/>
        <w:ind w:firstLine="630" w:firstLineChars="300"/>
        <w:jc w:val="left"/>
        <w:rPr>
          <w:color w:val="auto"/>
          <w:highlight w:val="none"/>
        </w:rPr>
      </w:pPr>
      <w:r>
        <w:rPr>
          <w:color w:val="auto"/>
          <w:highlight w:val="none"/>
        </w:rPr>
        <w:t xml:space="preserve">1.12 </w:t>
      </w:r>
      <w:r>
        <w:rPr>
          <w:rFonts w:hint="eastAsia" w:cs="宋体"/>
          <w:color w:val="auto"/>
          <w:highlight w:val="none"/>
        </w:rPr>
        <w:t>专业工程暂估价</w:t>
      </w:r>
      <w:r>
        <w:rPr>
          <w:rFonts w:hint="eastAsia"/>
          <w:color w:val="auto"/>
          <w:highlight w:val="none"/>
        </w:rPr>
        <w:t>及结算价</w:t>
      </w:r>
      <w:r>
        <w:rPr>
          <w:rFonts w:hint="eastAsia" w:cs="宋体"/>
          <w:color w:val="auto"/>
          <w:highlight w:val="none"/>
        </w:rPr>
        <w:t>表（表</w:t>
      </w:r>
      <w:r>
        <w:rPr>
          <w:color w:val="auto"/>
          <w:highlight w:val="none"/>
        </w:rPr>
        <w:t>12-3</w:t>
      </w:r>
      <w:r>
        <w:rPr>
          <w:rFonts w:hint="eastAsia" w:cs="宋体"/>
          <w:color w:val="auto"/>
          <w:highlight w:val="none"/>
        </w:rPr>
        <w:t>）</w:t>
      </w:r>
    </w:p>
    <w:p w14:paraId="063C1C7C">
      <w:pPr>
        <w:spacing w:line="360" w:lineRule="auto"/>
        <w:ind w:firstLine="630" w:firstLineChars="300"/>
        <w:jc w:val="left"/>
        <w:rPr>
          <w:color w:val="auto"/>
          <w:highlight w:val="none"/>
        </w:rPr>
      </w:pPr>
      <w:r>
        <w:rPr>
          <w:color w:val="auto"/>
          <w:highlight w:val="none"/>
        </w:rPr>
        <w:t xml:space="preserve">1.13 </w:t>
      </w:r>
      <w:r>
        <w:rPr>
          <w:rFonts w:hint="eastAsia" w:cs="宋体"/>
          <w:color w:val="auto"/>
          <w:highlight w:val="none"/>
        </w:rPr>
        <w:t>计日工表（表</w:t>
      </w:r>
      <w:r>
        <w:rPr>
          <w:color w:val="auto"/>
          <w:highlight w:val="none"/>
        </w:rPr>
        <w:t>12-4</w:t>
      </w:r>
      <w:r>
        <w:rPr>
          <w:rFonts w:hint="eastAsia" w:cs="宋体"/>
          <w:color w:val="auto"/>
          <w:highlight w:val="none"/>
        </w:rPr>
        <w:t>）</w:t>
      </w:r>
    </w:p>
    <w:p w14:paraId="7344250B">
      <w:pPr>
        <w:spacing w:line="360" w:lineRule="auto"/>
        <w:ind w:firstLine="630" w:firstLineChars="300"/>
        <w:jc w:val="left"/>
        <w:rPr>
          <w:color w:val="auto"/>
          <w:highlight w:val="none"/>
        </w:rPr>
      </w:pPr>
      <w:r>
        <w:rPr>
          <w:color w:val="auto"/>
          <w:highlight w:val="none"/>
        </w:rPr>
        <w:t xml:space="preserve">1.14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3A04DF9B">
      <w:pPr>
        <w:spacing w:line="360" w:lineRule="auto"/>
        <w:ind w:firstLine="630" w:firstLineChars="300"/>
        <w:jc w:val="left"/>
        <w:rPr>
          <w:color w:val="auto"/>
          <w:highlight w:val="none"/>
        </w:rPr>
      </w:pPr>
      <w:r>
        <w:rPr>
          <w:color w:val="auto"/>
          <w:highlight w:val="none"/>
        </w:rPr>
        <w:t xml:space="preserve">1.15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40A582A3">
      <w:pPr>
        <w:spacing w:line="360" w:lineRule="auto"/>
        <w:ind w:firstLine="630" w:firstLineChars="300"/>
        <w:jc w:val="left"/>
        <w:rPr>
          <w:color w:val="auto"/>
          <w:highlight w:val="none"/>
        </w:rPr>
      </w:pPr>
      <w:r>
        <w:rPr>
          <w:color w:val="auto"/>
          <w:highlight w:val="none"/>
        </w:rPr>
        <w:t xml:space="preserve">1.16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5FCD1859">
      <w:pPr>
        <w:spacing w:line="360" w:lineRule="auto"/>
        <w:ind w:firstLine="630" w:firstLineChars="300"/>
        <w:jc w:val="left"/>
        <w:rPr>
          <w:color w:val="auto"/>
          <w:highlight w:val="none"/>
        </w:rPr>
      </w:pPr>
      <w:r>
        <w:rPr>
          <w:color w:val="auto"/>
          <w:highlight w:val="none"/>
        </w:rPr>
        <w:t xml:space="preserve">1.17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2F922053">
      <w:pPr>
        <w:spacing w:line="360" w:lineRule="auto"/>
        <w:ind w:firstLine="630" w:firstLineChars="300"/>
        <w:jc w:val="left"/>
        <w:rPr>
          <w:color w:val="auto"/>
          <w:highlight w:val="none"/>
        </w:rPr>
      </w:pPr>
      <w:r>
        <w:rPr>
          <w:color w:val="auto"/>
          <w:highlight w:val="none"/>
        </w:rPr>
        <w:t xml:space="preserve">1.18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w:t>
      </w:r>
    </w:p>
    <w:p w14:paraId="0C3B1B96">
      <w:pPr>
        <w:spacing w:line="360" w:lineRule="auto"/>
        <w:ind w:firstLine="630" w:firstLineChars="300"/>
        <w:jc w:val="left"/>
        <w:rPr>
          <w:rFonts w:hint="eastAsia" w:cs="宋体"/>
          <w:color w:val="auto"/>
          <w:highlight w:val="none"/>
        </w:rPr>
      </w:pPr>
      <w:r>
        <w:rPr>
          <w:color w:val="auto"/>
          <w:highlight w:val="none"/>
        </w:rPr>
        <w:t>1.19</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24272854">
      <w:pPr>
        <w:spacing w:line="360" w:lineRule="auto"/>
        <w:ind w:firstLine="630" w:firstLineChars="300"/>
        <w:jc w:val="left"/>
        <w:rPr>
          <w:rFonts w:hint="eastAsia" w:cs="宋体"/>
          <w:color w:val="auto"/>
          <w:highlight w:val="none"/>
        </w:rPr>
      </w:pPr>
      <w:r>
        <w:rPr>
          <w:rFonts w:hint="eastAsia" w:cs="宋体"/>
          <w:color w:val="auto"/>
          <w:highlight w:val="none"/>
        </w:rPr>
        <w:t>1.20本工程</w:t>
      </w:r>
      <w:r>
        <w:rPr>
          <w:rFonts w:cs="宋体"/>
          <w:color w:val="auto"/>
          <w:highlight w:val="none"/>
          <w:lang w:val="en"/>
        </w:rPr>
        <w:t>材料和工程设备</w:t>
      </w:r>
      <w:r>
        <w:rPr>
          <w:rFonts w:hint="eastAsia" w:cs="宋体"/>
          <w:color w:val="auto"/>
          <w:highlight w:val="none"/>
        </w:rPr>
        <w:t>一览表（表-24）</w:t>
      </w:r>
    </w:p>
    <w:p w14:paraId="0CE97352">
      <w:pPr>
        <w:spacing w:line="360" w:lineRule="auto"/>
        <w:ind w:firstLine="630" w:firstLineChars="300"/>
        <w:jc w:val="left"/>
        <w:rPr>
          <w:rFonts w:cs="宋体"/>
          <w:color w:val="auto"/>
          <w:highlight w:val="none"/>
        </w:rPr>
      </w:pPr>
      <w:r>
        <w:rPr>
          <w:rFonts w:hint="eastAsia" w:cs="宋体"/>
          <w:color w:val="auto"/>
          <w:highlight w:val="none"/>
        </w:rPr>
        <w:t>注：如本工程在合同中约定采用造价信息价差调整法，1.</w:t>
      </w:r>
      <w:r>
        <w:rPr>
          <w:color w:val="auto"/>
          <w:highlight w:val="none"/>
        </w:rPr>
        <w:t xml:space="preserve">18 </w:t>
      </w:r>
      <w:r>
        <w:rPr>
          <w:rFonts w:cs="宋体"/>
          <w:color w:val="auto"/>
          <w:highlight w:val="none"/>
          <w:lang w:val="en"/>
        </w:rPr>
        <w:t>允许调整</w:t>
      </w:r>
      <w:r>
        <w:rPr>
          <w:rFonts w:hint="eastAsia" w:cs="宋体"/>
          <w:color w:val="auto"/>
          <w:highlight w:val="none"/>
        </w:rPr>
        <w:t>主要材料和工程设备一览表（适用于造价信息差额调整法）（表</w:t>
      </w:r>
      <w:r>
        <w:rPr>
          <w:color w:val="auto"/>
          <w:highlight w:val="none"/>
        </w:rPr>
        <w:t>-22</w:t>
      </w:r>
      <w:r>
        <w:rPr>
          <w:rFonts w:hint="eastAsia" w:cs="宋体"/>
          <w:color w:val="auto"/>
          <w:highlight w:val="none"/>
        </w:rPr>
        <w:t>）载明的主要材料和工程设备为本工程允许调整材料和工程设备，工程量清单必须提供该表格，并应载明允许调整材料和工程设备名称型号规格、单位、风险系数、基准单价等内容，且不能提供空白表。</w:t>
      </w:r>
    </w:p>
    <w:p w14:paraId="731D1CD7">
      <w:pPr>
        <w:spacing w:line="360" w:lineRule="auto"/>
        <w:ind w:firstLine="630" w:firstLineChars="300"/>
        <w:jc w:val="left"/>
        <w:rPr>
          <w:color w:val="auto"/>
          <w:highlight w:val="none"/>
        </w:rPr>
      </w:pPr>
      <w:r>
        <w:rPr>
          <w:rFonts w:hint="eastAsia" w:cs="宋体"/>
          <w:color w:val="auto"/>
          <w:highlight w:val="none"/>
        </w:rPr>
        <w:t>以下表格视工程实际需要选用，如该工程不发生如下表格相关项目和费用，所编制工程量清单则不需列入相应表格：</w:t>
      </w:r>
    </w:p>
    <w:p w14:paraId="48C463F0">
      <w:pPr>
        <w:spacing w:line="360" w:lineRule="auto"/>
        <w:ind w:firstLine="630" w:firstLineChars="300"/>
        <w:jc w:val="left"/>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3FDF0D60">
      <w:pPr>
        <w:spacing w:line="360" w:lineRule="auto"/>
        <w:ind w:firstLine="630" w:firstLineChars="300"/>
        <w:jc w:val="left"/>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19CE98A1">
      <w:pPr>
        <w:spacing w:line="360" w:lineRule="auto"/>
        <w:ind w:firstLine="630" w:firstLineChars="300"/>
        <w:jc w:val="left"/>
        <w:rPr>
          <w:color w:val="auto"/>
          <w:highlight w:val="none"/>
        </w:rPr>
      </w:pPr>
      <w:r>
        <w:rPr>
          <w:rFonts w:hint="eastAsia" w:cs="宋体"/>
          <w:color w:val="auto"/>
          <w:highlight w:val="none"/>
        </w:rPr>
        <w:t>③材料（工程设备）暂估单价及调整表（表</w:t>
      </w:r>
      <w:r>
        <w:rPr>
          <w:color w:val="auto"/>
          <w:highlight w:val="none"/>
        </w:rPr>
        <w:t>12-2</w:t>
      </w:r>
      <w:r>
        <w:rPr>
          <w:rFonts w:hint="eastAsia" w:cs="宋体"/>
          <w:color w:val="auto"/>
          <w:highlight w:val="none"/>
        </w:rPr>
        <w:t>）</w:t>
      </w:r>
    </w:p>
    <w:p w14:paraId="20CE8AB0">
      <w:pPr>
        <w:spacing w:line="360" w:lineRule="auto"/>
        <w:ind w:firstLine="630" w:firstLineChars="300"/>
        <w:jc w:val="left"/>
        <w:rPr>
          <w:color w:val="auto"/>
          <w:highlight w:val="none"/>
        </w:rPr>
      </w:pPr>
      <w:r>
        <w:rPr>
          <w:rFonts w:hint="eastAsia" w:cs="宋体"/>
          <w:color w:val="auto"/>
          <w:highlight w:val="none"/>
        </w:rPr>
        <w:t>④专业工程暂估价表（表</w:t>
      </w:r>
      <w:r>
        <w:rPr>
          <w:color w:val="auto"/>
          <w:highlight w:val="none"/>
        </w:rPr>
        <w:t>12-3</w:t>
      </w:r>
      <w:r>
        <w:rPr>
          <w:rFonts w:hint="eastAsia" w:cs="宋体"/>
          <w:color w:val="auto"/>
          <w:highlight w:val="none"/>
        </w:rPr>
        <w:t>）</w:t>
      </w:r>
    </w:p>
    <w:p w14:paraId="178D02FF">
      <w:pPr>
        <w:spacing w:line="360" w:lineRule="auto"/>
        <w:ind w:firstLine="630" w:firstLineChars="300"/>
        <w:jc w:val="left"/>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108DAB05">
      <w:pPr>
        <w:spacing w:line="360" w:lineRule="auto"/>
        <w:ind w:firstLine="630" w:firstLineChars="300"/>
        <w:jc w:val="left"/>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4D7DE8BB">
      <w:pPr>
        <w:spacing w:line="360" w:lineRule="auto"/>
        <w:ind w:firstLine="630" w:firstLineChars="300"/>
        <w:jc w:val="left"/>
        <w:rPr>
          <w:rFonts w:cs="宋体"/>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2B6CF7F8">
      <w:pPr>
        <w:spacing w:line="360" w:lineRule="auto"/>
        <w:ind w:firstLine="630" w:firstLineChars="300"/>
        <w:rPr>
          <w:rFonts w:hint="eastAsia"/>
          <w:color w:val="auto"/>
          <w:highlight w:val="none"/>
        </w:rPr>
      </w:pPr>
      <w:r>
        <w:rPr>
          <w:color w:val="auto"/>
          <w:highlight w:val="none"/>
        </w:rPr>
        <w:fldChar w:fldCharType="begin"/>
      </w:r>
      <w:r>
        <w:rPr>
          <w:color w:val="auto"/>
          <w:highlight w:val="none"/>
        </w:rPr>
        <w:instrText xml:space="preserve"> </w:instrText>
      </w:r>
      <w:r>
        <w:rPr>
          <w:rFonts w:hint="eastAsia"/>
          <w:color w:val="auto"/>
          <w:highlight w:val="none"/>
        </w:rPr>
        <w:instrText xml:space="preserve">= 8 \* GB3</w:instrText>
      </w:r>
      <w:r>
        <w:rPr>
          <w:color w:val="auto"/>
          <w:highlight w:val="none"/>
        </w:rPr>
        <w:instrText xml:space="preserve"> </w:instrText>
      </w:r>
      <w:r>
        <w:rPr>
          <w:color w:val="auto"/>
          <w:highlight w:val="none"/>
        </w:rPr>
        <w:fldChar w:fldCharType="separate"/>
      </w:r>
      <w:r>
        <w:rPr>
          <w:rFonts w:hint="eastAsia"/>
          <w:color w:val="auto"/>
          <w:highlight w:val="none"/>
        </w:rPr>
        <w:t>⑧</w:t>
      </w:r>
      <w:r>
        <w:rPr>
          <w:color w:val="auto"/>
          <w:highlight w:val="none"/>
        </w:rPr>
        <w:fldChar w:fldCharType="end"/>
      </w:r>
      <w:r>
        <w:rPr>
          <w:color w:val="auto"/>
          <w:highlight w:val="none"/>
        </w:rPr>
        <w:t xml:space="preserve"> </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331B5ACB">
      <w:pPr>
        <w:pStyle w:val="6"/>
        <w:spacing w:before="0" w:after="0" w:line="360" w:lineRule="auto"/>
        <w:rPr>
          <w:color w:val="auto"/>
          <w:highlight w:val="none"/>
        </w:rPr>
      </w:pPr>
      <w:bookmarkStart w:id="86" w:name="_Toc78449870"/>
      <w:bookmarkStart w:id="87" w:name="_Toc990933621"/>
      <w:bookmarkStart w:id="88" w:name="_Toc347872619"/>
      <w:bookmarkStart w:id="89" w:name="_Toc407135285"/>
      <w:r>
        <w:rPr>
          <w:color w:val="auto"/>
          <w:highlight w:val="none"/>
        </w:rPr>
        <w:t>2</w:t>
      </w:r>
      <w:r>
        <w:rPr>
          <w:rFonts w:hint="eastAsia"/>
          <w:color w:val="auto"/>
          <w:highlight w:val="none"/>
        </w:rPr>
        <w:t>.</w:t>
      </w:r>
      <w:r>
        <w:rPr>
          <w:rFonts w:hint="eastAsia" w:cs="黑体"/>
          <w:color w:val="auto"/>
          <w:highlight w:val="none"/>
        </w:rPr>
        <w:t>招标控制价编制说明</w:t>
      </w:r>
      <w:bookmarkEnd w:id="86"/>
      <w:bookmarkEnd w:id="87"/>
      <w:bookmarkEnd w:id="88"/>
      <w:bookmarkEnd w:id="89"/>
    </w:p>
    <w:p w14:paraId="52DE43BE">
      <w:pPr>
        <w:spacing w:line="360" w:lineRule="auto"/>
        <w:ind w:firstLine="420" w:firstLineChars="200"/>
        <w:rPr>
          <w:color w:val="auto"/>
          <w:highlight w:val="none"/>
        </w:rPr>
      </w:pPr>
      <w:r>
        <w:rPr>
          <w:color w:val="auto"/>
          <w:highlight w:val="none"/>
        </w:rPr>
        <w:t xml:space="preserve">2.1 </w:t>
      </w:r>
      <w:r>
        <w:rPr>
          <w:rFonts w:hint="eastAsia" w:hAnsi="宋体" w:cs="宋体"/>
          <w:color w:val="auto"/>
          <w:highlight w:val="none"/>
        </w:rPr>
        <w:t>招标控制价编制依据：</w:t>
      </w:r>
    </w:p>
    <w:p w14:paraId="3CDBB1C1">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《计价规范》及《计算规范》、</w:t>
      </w:r>
      <w:r>
        <w:rPr>
          <w:rFonts w:hint="eastAsia" w:hAnsi="宋体" w:cs="宋体"/>
          <w:color w:val="auto"/>
          <w:kern w:val="0"/>
          <w:highlight w:val="none"/>
        </w:rPr>
        <w:t>《关于建筑业实施营业税改征增值税后广西壮族自治区建设工程计价依据调整的通知》（桂建标〔</w:t>
      </w:r>
      <w:r>
        <w:rPr>
          <w:rFonts w:hAnsi="宋体"/>
          <w:color w:val="auto"/>
          <w:kern w:val="0"/>
          <w:highlight w:val="none"/>
        </w:rPr>
        <w:t>2016</w:t>
      </w:r>
      <w:r>
        <w:rPr>
          <w:rFonts w:hint="eastAsia" w:hAnsi="宋体" w:cs="宋体"/>
          <w:color w:val="auto"/>
          <w:kern w:val="0"/>
          <w:highlight w:val="none"/>
        </w:rPr>
        <w:t>〕</w:t>
      </w:r>
      <w:r>
        <w:rPr>
          <w:rFonts w:hAnsi="宋体"/>
          <w:color w:val="auto"/>
          <w:kern w:val="0"/>
          <w:highlight w:val="none"/>
        </w:rPr>
        <w:t>17</w:t>
      </w:r>
      <w:r>
        <w:rPr>
          <w:rFonts w:hint="eastAsia" w:hAnsi="宋体" w:cs="宋体"/>
          <w:color w:val="auto"/>
          <w:kern w:val="0"/>
          <w:highlight w:val="none"/>
        </w:rPr>
        <w:t>号）等</w:t>
      </w:r>
      <w:r>
        <w:rPr>
          <w:rFonts w:hint="eastAsia" w:hAnsi="宋体" w:cs="宋体"/>
          <w:color w:val="auto"/>
          <w:highlight w:val="none"/>
        </w:rPr>
        <w:t>；</w:t>
      </w:r>
    </w:p>
    <w:p w14:paraId="4CFDA51A">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2</w:t>
      </w:r>
      <w:r>
        <w:rPr>
          <w:rFonts w:hint="eastAsia" w:cs="宋体"/>
          <w:color w:val="auto"/>
          <w:highlight w:val="none"/>
        </w:rPr>
        <w:t>）自治区住房城乡建设行政主管部门颁发的计价定额及有关规定：</w:t>
      </w:r>
    </w:p>
    <w:p w14:paraId="7CD303CE">
      <w:pPr>
        <w:spacing w:line="360" w:lineRule="auto"/>
        <w:ind w:firstLine="420" w:firstLineChars="200"/>
        <w:rPr>
          <w:color w:val="auto"/>
          <w:highlight w:val="none"/>
          <w:u w:val="single"/>
        </w:rPr>
      </w:pPr>
      <w:r>
        <w:rPr>
          <w:color w:val="auto"/>
          <w:highlight w:val="none"/>
          <w:u w:val="single"/>
        </w:rPr>
        <w:t>1</w:t>
      </w:r>
      <w:r>
        <w:rPr>
          <w:rFonts w:hint="eastAsia"/>
          <w:color w:val="auto"/>
          <w:highlight w:val="none"/>
          <w:u w:val="single"/>
        </w:rPr>
        <w:t>）《房屋建筑与装饰工程工程量计算规范（GB 50854-2013）》、《通用安装工程工程量计算规范（GB 50856-2013）》、《市政工程工程量计算规范（GB 50857-2013)》，《建设工程工程量计算规范广西壮族自治区实施细则（GB 50854～50862-2013）》、《建设工程工程量清单计价规范广西壮族自治区实施细则（GB 50500-2013）（修订本）》。</w:t>
      </w:r>
    </w:p>
    <w:p w14:paraId="6DD315A9">
      <w:pPr>
        <w:spacing w:line="360" w:lineRule="auto"/>
        <w:ind w:firstLine="420" w:firstLineChars="200"/>
        <w:rPr>
          <w:color w:val="auto"/>
          <w:highlight w:val="none"/>
          <w:u w:val="single"/>
        </w:rPr>
      </w:pPr>
      <w:r>
        <w:rPr>
          <w:color w:val="auto"/>
          <w:highlight w:val="none"/>
          <w:u w:val="single"/>
        </w:rPr>
        <w:t>2</w:t>
      </w:r>
      <w:r>
        <w:rPr>
          <w:rFonts w:hint="eastAsia"/>
          <w:color w:val="auto"/>
          <w:highlight w:val="none"/>
          <w:u w:val="single"/>
        </w:rPr>
        <w:t>）2013年《广西壮族自治区建筑装饰装修工程消耗量定额》、2013年《广西壮族自治区建筑装饰装修工程人工材料配合比机械台班基期价》、2015年《广西壮族自治区安装工程消耗量定额》、2011年《广西壮族自治区拆除工程消耗量定额》、2014年《广西壮族自治区市政工程消耗量定额》、2013年《广西壮族自治区园林绿化及仿古建筑工程消耗量定额》。</w:t>
      </w:r>
    </w:p>
    <w:p w14:paraId="58151958">
      <w:pPr>
        <w:spacing w:line="360" w:lineRule="auto"/>
        <w:ind w:firstLine="420" w:firstLineChars="200"/>
        <w:rPr>
          <w:color w:val="auto"/>
          <w:highlight w:val="none"/>
          <w:u w:val="single"/>
        </w:rPr>
      </w:pPr>
      <w:r>
        <w:rPr>
          <w:color w:val="auto"/>
          <w:highlight w:val="none"/>
          <w:u w:val="single"/>
        </w:rPr>
        <w:t>3)</w:t>
      </w:r>
      <w:r>
        <w:rPr>
          <w:rFonts w:hint="eastAsia"/>
          <w:color w:val="auto"/>
          <w:highlight w:val="none"/>
          <w:u w:val="single"/>
        </w:rPr>
        <w:t>费率按《广西壮族自治区建设工程费用定额》（桂建标[2016]16号）、《自治区住房城乡建设厅关于建筑业实施营业税改增值税后广西壮族自治区建设工程计价依据调整的通知（桂建标[2016]17号》、《广西壮族自治区住房城乡建设厅关于调整建设工程计价增值税税率的通知》桂建标[2018]14号及配套的相关文件的费率区间中值计取。</w:t>
      </w:r>
    </w:p>
    <w:p w14:paraId="3C861271">
      <w:pPr>
        <w:spacing w:line="360" w:lineRule="auto"/>
        <w:ind w:firstLine="420" w:firstLineChars="200"/>
        <w:rPr>
          <w:color w:val="auto"/>
          <w:highlight w:val="none"/>
          <w:u w:val="single"/>
        </w:rPr>
      </w:pPr>
      <w:r>
        <w:rPr>
          <w:color w:val="auto"/>
          <w:highlight w:val="none"/>
          <w:u w:val="single"/>
        </w:rPr>
        <w:t>4</w:t>
      </w:r>
      <w:r>
        <w:rPr>
          <w:rFonts w:hint="eastAsia"/>
          <w:color w:val="auto"/>
          <w:highlight w:val="none"/>
          <w:u w:val="single"/>
        </w:rPr>
        <w:t>）人工费及有关费率按桂建标[2018]19号文关于自治区住房城乡建设厅关于调整建设工程定额人工费及有关费率的通知。</w:t>
      </w:r>
      <w:r>
        <w:rPr>
          <w:color w:val="auto"/>
          <w:highlight w:val="none"/>
          <w:u w:val="single"/>
        </w:rPr>
        <w:cr/>
      </w:r>
      <w:r>
        <w:rPr>
          <w:rFonts w:hint="eastAsia" w:cs="宋体"/>
          <w:color w:val="auto"/>
          <w:highlight w:val="none"/>
        </w:rPr>
        <w:t>（</w:t>
      </w:r>
      <w:r>
        <w:rPr>
          <w:color w:val="auto"/>
          <w:highlight w:val="none"/>
        </w:rPr>
        <w:t>3</w:t>
      </w:r>
      <w:r>
        <w:rPr>
          <w:rFonts w:hint="eastAsia" w:cs="宋体"/>
          <w:color w:val="auto"/>
          <w:highlight w:val="none"/>
        </w:rPr>
        <w:t>）建设工程设计文件及相关资料：</w:t>
      </w:r>
      <w:r>
        <w:rPr>
          <w:rFonts w:hint="eastAsia"/>
          <w:color w:val="auto"/>
          <w:highlight w:val="none"/>
          <w:u w:val="single"/>
        </w:rPr>
        <w:t>详见</w:t>
      </w:r>
      <w:r>
        <w:rPr>
          <w:color w:val="auto"/>
          <w:highlight w:val="none"/>
          <w:u w:val="single"/>
        </w:rPr>
        <w:t>施工图纸</w:t>
      </w:r>
      <w:r>
        <w:rPr>
          <w:rFonts w:hint="eastAsia" w:cs="宋体"/>
          <w:color w:val="auto"/>
          <w:highlight w:val="none"/>
        </w:rPr>
        <w:t>。</w:t>
      </w:r>
      <w:r>
        <w:rPr>
          <w:color w:val="auto"/>
          <w:highlight w:val="none"/>
        </w:rPr>
        <w:t xml:space="preserve"> </w:t>
      </w:r>
    </w:p>
    <w:p w14:paraId="4F6C2E38">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）本工程磋商文件及工程量清单；</w:t>
      </w:r>
    </w:p>
    <w:p w14:paraId="3F17779A">
      <w:pPr>
        <w:spacing w:line="360" w:lineRule="auto"/>
        <w:ind w:firstLine="420" w:firstLineChars="200"/>
        <w:rPr>
          <w:color w:val="auto"/>
          <w:highlight w:val="none"/>
        </w:rPr>
      </w:pPr>
      <w:r>
        <w:rPr>
          <w:rFonts w:hint="eastAsia" w:cs="宋体"/>
          <w:color w:val="auto"/>
          <w:highlight w:val="none"/>
        </w:rPr>
        <w:t>（</w:t>
      </w:r>
      <w:r>
        <w:rPr>
          <w:color w:val="auto"/>
          <w:highlight w:val="none"/>
        </w:rPr>
        <w:t>5</w:t>
      </w:r>
      <w:r>
        <w:rPr>
          <w:rFonts w:hint="eastAsia" w:cs="宋体"/>
          <w:color w:val="auto"/>
          <w:highlight w:val="none"/>
        </w:rPr>
        <w:t>）与建设项目相关的标准、规范、技术资料；</w:t>
      </w:r>
    </w:p>
    <w:p w14:paraId="50C5800B">
      <w:pPr>
        <w:spacing w:line="360" w:lineRule="auto"/>
        <w:ind w:firstLine="420" w:firstLineChars="200"/>
        <w:rPr>
          <w:color w:val="auto"/>
          <w:highlight w:val="none"/>
        </w:rPr>
      </w:pPr>
      <w:r>
        <w:rPr>
          <w:rFonts w:hint="eastAsia" w:cs="宋体"/>
          <w:color w:val="auto"/>
          <w:highlight w:val="none"/>
        </w:rPr>
        <w:t>（</w:t>
      </w:r>
      <w:r>
        <w:rPr>
          <w:color w:val="auto"/>
          <w:highlight w:val="none"/>
        </w:rPr>
        <w:t>6</w:t>
      </w:r>
      <w:r>
        <w:rPr>
          <w:rFonts w:hint="eastAsia" w:cs="宋体"/>
          <w:color w:val="auto"/>
          <w:highlight w:val="none"/>
        </w:rPr>
        <w:t>）施工现场情况、工程特点及常规施工方案；</w:t>
      </w:r>
    </w:p>
    <w:p w14:paraId="6B368DF8">
      <w:pPr>
        <w:spacing w:line="360" w:lineRule="auto"/>
        <w:ind w:firstLine="420" w:firstLineChars="200"/>
        <w:rPr>
          <w:rFonts w:hAnsi="宋体"/>
          <w:color w:val="auto"/>
          <w:highlight w:val="none"/>
        </w:rPr>
      </w:pPr>
      <w:r>
        <w:rPr>
          <w:rFonts w:hint="eastAsia" w:cs="宋体"/>
          <w:color w:val="auto"/>
          <w:highlight w:val="none"/>
        </w:rPr>
        <w:t>（</w:t>
      </w:r>
      <w:r>
        <w:rPr>
          <w:color w:val="auto"/>
          <w:highlight w:val="none"/>
        </w:rPr>
        <w:t>7</w:t>
      </w:r>
      <w:r>
        <w:rPr>
          <w:rFonts w:hint="eastAsia" w:cs="宋体"/>
          <w:color w:val="auto"/>
          <w:highlight w:val="none"/>
        </w:rPr>
        <w:t>）材料价格信息</w:t>
      </w:r>
      <w:r>
        <w:rPr>
          <w:rFonts w:hint="eastAsia" w:hAnsi="宋体" w:cs="宋体"/>
          <w:color w:val="auto"/>
          <w:highlight w:val="none"/>
        </w:rPr>
        <w:t>：材料价格主要按照</w:t>
      </w:r>
      <w:r>
        <w:rPr>
          <w:rFonts w:hint="eastAsia"/>
          <w:color w:val="auto"/>
          <w:highlight w:val="none"/>
          <w:u w:val="single"/>
        </w:rPr>
        <w:t>南宁</w:t>
      </w:r>
      <w:r>
        <w:rPr>
          <w:rFonts w:hint="eastAsia" w:cs="宋体"/>
          <w:color w:val="auto"/>
          <w:highlight w:val="none"/>
        </w:rPr>
        <w:t>市建设工程造价管理机构发布的工程造价信息</w:t>
      </w:r>
      <w:r>
        <w:rPr>
          <w:rFonts w:cs="宋体"/>
          <w:color w:val="auto"/>
          <w:highlight w:val="none"/>
        </w:rPr>
        <w:t>价</w:t>
      </w:r>
      <w:r>
        <w:rPr>
          <w:rFonts w:hint="eastAsia" w:cs="宋体"/>
          <w:color w:val="auto"/>
          <w:highlight w:val="none"/>
          <w:u w:val="single"/>
          <w:lang w:val="en-US" w:eastAsia="zh-CN"/>
        </w:rPr>
        <w:t>具体详见工程量清单（另册）</w:t>
      </w:r>
      <w:r>
        <w:rPr>
          <w:rFonts w:hint="eastAsia" w:cs="宋体"/>
          <w:color w:val="auto"/>
          <w:highlight w:val="none"/>
        </w:rPr>
        <w:t>，不足部分参考市场定价</w:t>
      </w:r>
      <w:r>
        <w:rPr>
          <w:rFonts w:hint="eastAsia" w:hAnsi="宋体" w:cs="宋体"/>
          <w:color w:val="auto"/>
          <w:highlight w:val="none"/>
        </w:rPr>
        <w:t>。</w:t>
      </w:r>
    </w:p>
    <w:p w14:paraId="721649AF">
      <w:pPr>
        <w:spacing w:line="360" w:lineRule="auto"/>
        <w:ind w:firstLine="420" w:firstLineChars="200"/>
        <w:rPr>
          <w:color w:val="auto"/>
          <w:highlight w:val="none"/>
        </w:rPr>
      </w:pPr>
      <w:r>
        <w:rPr>
          <w:color w:val="auto"/>
          <w:highlight w:val="none"/>
        </w:rPr>
        <w:t xml:space="preserve">2.2 </w:t>
      </w:r>
      <w:r>
        <w:rPr>
          <w:rFonts w:hint="eastAsia" w:hAnsi="宋体" w:cs="宋体"/>
          <w:color w:val="auto"/>
          <w:highlight w:val="none"/>
        </w:rPr>
        <w:t>分部分项及单价措施项目综合单价应包括磋商文件中采购人要求供应商所承担的风险内容及其范围（幅度）产生的风险费用。</w:t>
      </w:r>
    </w:p>
    <w:p w14:paraId="7D65C748">
      <w:pPr>
        <w:spacing w:line="360" w:lineRule="auto"/>
        <w:ind w:firstLine="420"/>
        <w:rPr>
          <w:color w:val="auto"/>
          <w:highlight w:val="none"/>
        </w:rPr>
      </w:pPr>
      <w:r>
        <w:rPr>
          <w:color w:val="auto"/>
          <w:highlight w:val="none"/>
        </w:rPr>
        <w:t xml:space="preserve">2.3 </w:t>
      </w:r>
      <w:r>
        <w:rPr>
          <w:rFonts w:hint="eastAsia" w:hAnsi="宋体" w:cs="宋体"/>
          <w:color w:val="auto"/>
          <w:highlight w:val="none"/>
        </w:rPr>
        <w:t>总价措施项目应根据拟定的磋商文件和常规施工方案按《计价规范》和《计算规范》规定编制。</w:t>
      </w:r>
    </w:p>
    <w:p w14:paraId="466D96CB">
      <w:pPr>
        <w:spacing w:line="360" w:lineRule="auto"/>
        <w:ind w:firstLine="420" w:firstLineChars="200"/>
        <w:rPr>
          <w:color w:val="auto"/>
          <w:highlight w:val="none"/>
        </w:rPr>
      </w:pPr>
      <w:r>
        <w:rPr>
          <w:color w:val="auto"/>
          <w:highlight w:val="none"/>
        </w:rPr>
        <w:t xml:space="preserve">2.4 </w:t>
      </w:r>
      <w:r>
        <w:rPr>
          <w:rFonts w:hint="eastAsia" w:cs="宋体"/>
          <w:color w:val="auto"/>
          <w:highlight w:val="none"/>
        </w:rPr>
        <w:t>其他项目费应按下列规定报价：</w:t>
      </w:r>
    </w:p>
    <w:p w14:paraId="4C19A481">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127C089D">
      <w:pPr>
        <w:pStyle w:val="198"/>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3D87ADB4">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3AA9A6BE">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）计日工应按工程量清单中列出的项目和数量，根据工程特点和有关计价依据确定的综合单价计算；</w:t>
      </w:r>
    </w:p>
    <w:p w14:paraId="6990C951">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）总承包服务费应根据工程量清单列出的内容</w:t>
      </w:r>
      <w:r>
        <w:rPr>
          <w:rFonts w:hint="eastAsia" w:hAnsi="宋体" w:cs="宋体"/>
          <w:color w:val="auto"/>
          <w:highlight w:val="none"/>
        </w:rPr>
        <w:t>和要求，按自治区住房城乡建设行政主管部门颁发的计价定额及有关规定计算</w:t>
      </w:r>
      <w:r>
        <w:rPr>
          <w:rFonts w:hint="eastAsia" w:cs="宋体"/>
          <w:color w:val="auto"/>
          <w:highlight w:val="none"/>
        </w:rPr>
        <w:t>。</w:t>
      </w:r>
    </w:p>
    <w:p w14:paraId="511ED3A3">
      <w:pPr>
        <w:spacing w:line="360" w:lineRule="auto"/>
        <w:ind w:firstLine="420" w:firstLineChars="200"/>
        <w:rPr>
          <w:rFonts w:hint="eastAsia"/>
          <w:color w:val="auto"/>
          <w:highlight w:val="none"/>
        </w:rPr>
      </w:pPr>
      <w:r>
        <w:rPr>
          <w:rFonts w:hint="eastAsia"/>
          <w:color w:val="auto"/>
          <w:highlight w:val="none"/>
        </w:rPr>
        <w:t>（6）对建设单位创建优质工程的，鼓励在招标控制价和预算中按广西区工程建设定额规定计列工程优质费，并明确工程优质费不可竞争。</w:t>
      </w:r>
    </w:p>
    <w:p w14:paraId="61132212">
      <w:pPr>
        <w:spacing w:line="360" w:lineRule="auto"/>
        <w:ind w:firstLine="420" w:firstLineChars="200"/>
        <w:rPr>
          <w:color w:val="auto"/>
          <w:highlight w:val="none"/>
        </w:rPr>
      </w:pPr>
      <w:r>
        <w:rPr>
          <w:color w:val="auto"/>
          <w:highlight w:val="none"/>
        </w:rPr>
        <w:t xml:space="preserve">2.5 </w:t>
      </w:r>
      <w:r>
        <w:rPr>
          <w:rFonts w:hint="eastAsia" w:cs="宋体"/>
          <w:color w:val="auto"/>
          <w:highlight w:val="none"/>
        </w:rPr>
        <w:t>规费和增值税应按规定确定，作为不可竞争费用。</w:t>
      </w:r>
    </w:p>
    <w:p w14:paraId="654B3A1E">
      <w:pPr>
        <w:spacing w:line="360" w:lineRule="auto"/>
        <w:ind w:firstLine="420"/>
        <w:rPr>
          <w:rFonts w:hAnsi="宋体"/>
          <w:color w:val="auto"/>
          <w:highlight w:val="none"/>
        </w:rPr>
      </w:pPr>
      <w:r>
        <w:rPr>
          <w:color w:val="auto"/>
          <w:highlight w:val="none"/>
        </w:rPr>
        <w:t xml:space="preserve">2.6 </w:t>
      </w:r>
      <w:r>
        <w:rPr>
          <w:rFonts w:hint="eastAsia" w:hAnsi="宋体" w:cs="宋体"/>
          <w:color w:val="auto"/>
          <w:highlight w:val="none"/>
        </w:rPr>
        <w:t>其它需要说明的问题：</w:t>
      </w:r>
      <w:r>
        <w:rPr>
          <w:rFonts w:hint="eastAsia"/>
          <w:color w:val="auto"/>
          <w:highlight w:val="none"/>
          <w:u w:val="single"/>
        </w:rPr>
        <w:t>无</w:t>
      </w:r>
      <w:r>
        <w:rPr>
          <w:rFonts w:hint="eastAsia" w:hAnsi="宋体" w:cs="宋体"/>
          <w:color w:val="auto"/>
          <w:highlight w:val="none"/>
        </w:rPr>
        <w:t>。</w:t>
      </w:r>
    </w:p>
    <w:p w14:paraId="6C3A7B37">
      <w:pPr>
        <w:pStyle w:val="6"/>
        <w:spacing w:before="0" w:after="0" w:line="360" w:lineRule="auto"/>
        <w:rPr>
          <w:color w:val="auto"/>
          <w:highlight w:val="none"/>
        </w:rPr>
      </w:pPr>
      <w:bookmarkStart w:id="90" w:name="_Toc78449871"/>
      <w:bookmarkStart w:id="91" w:name="_Toc378483916"/>
      <w:bookmarkStart w:id="92" w:name="_Toc407135286"/>
      <w:bookmarkStart w:id="93" w:name="_Toc879821176"/>
      <w:r>
        <w:rPr>
          <w:color w:val="auto"/>
          <w:highlight w:val="none"/>
        </w:rPr>
        <w:t>3</w:t>
      </w:r>
      <w:r>
        <w:rPr>
          <w:rFonts w:hint="eastAsia"/>
          <w:color w:val="auto"/>
          <w:highlight w:val="none"/>
        </w:rPr>
        <w:t>.</w:t>
      </w:r>
      <w:r>
        <w:rPr>
          <w:rFonts w:hint="eastAsia" w:cs="黑体"/>
          <w:color w:val="auto"/>
          <w:highlight w:val="none"/>
        </w:rPr>
        <w:t>竞标报价（已标价工程量清单）编制说明</w:t>
      </w:r>
      <w:bookmarkEnd w:id="90"/>
      <w:bookmarkEnd w:id="91"/>
      <w:bookmarkEnd w:id="92"/>
      <w:bookmarkEnd w:id="93"/>
    </w:p>
    <w:p w14:paraId="1E87F6E1">
      <w:pPr>
        <w:spacing w:line="360" w:lineRule="auto"/>
        <w:ind w:firstLine="420" w:firstLineChars="200"/>
        <w:rPr>
          <w:color w:val="auto"/>
          <w:highlight w:val="none"/>
        </w:rPr>
      </w:pPr>
      <w:r>
        <w:rPr>
          <w:color w:val="auto"/>
          <w:highlight w:val="none"/>
        </w:rPr>
        <w:t xml:space="preserve">3.1 </w:t>
      </w:r>
      <w:r>
        <w:rPr>
          <w:rFonts w:hint="eastAsia" w:cs="宋体"/>
          <w:color w:val="auto"/>
          <w:highlight w:val="none"/>
        </w:rPr>
        <w:t>供应商应依据磋商文件、工程量清单以及《计价规范》、《计算规范》自主报价，自主报价</w:t>
      </w:r>
      <w:r>
        <w:rPr>
          <w:rFonts w:hint="eastAsia" w:hAnsi="宋体" w:cs="宋体"/>
          <w:color w:val="auto"/>
          <w:highlight w:val="none"/>
        </w:rPr>
        <w:t>不得违反计价规范强制性条文规定。</w:t>
      </w:r>
      <w:r>
        <w:rPr>
          <w:rFonts w:hint="eastAsia" w:cs="宋体"/>
          <w:color w:val="auto"/>
          <w:highlight w:val="none"/>
        </w:rPr>
        <w:t>供应商不得采用总价让利或以百分比让利等形式进行报价，任何优惠（或降价、让利）均应反映在相应清单项目的综合单价中。同时，不得出现任意一项单价重大让利，</w:t>
      </w:r>
      <w:r>
        <w:rPr>
          <w:rFonts w:hint="eastAsia" w:hAnsi="宋体" w:cs="宋体"/>
          <w:color w:val="auto"/>
          <w:highlight w:val="none"/>
        </w:rPr>
        <w:t>不得以自有机械闲置、自有材料等不计成本为由</w:t>
      </w:r>
      <w:r>
        <w:rPr>
          <w:rFonts w:hint="eastAsia" w:cs="宋体"/>
          <w:color w:val="auto"/>
          <w:highlight w:val="none"/>
        </w:rPr>
        <w:t>低于工程成本报价。</w:t>
      </w:r>
    </w:p>
    <w:p w14:paraId="4B4A54B8">
      <w:pPr>
        <w:spacing w:line="360" w:lineRule="auto"/>
        <w:ind w:firstLine="420" w:firstLineChars="200"/>
        <w:rPr>
          <w:rFonts w:hAnsi="宋体"/>
          <w:color w:val="auto"/>
          <w:highlight w:val="none"/>
        </w:rPr>
      </w:pPr>
      <w:r>
        <w:rPr>
          <w:color w:val="auto"/>
          <w:highlight w:val="none"/>
        </w:rPr>
        <w:t xml:space="preserve">3.2 </w:t>
      </w:r>
      <w:r>
        <w:rPr>
          <w:rFonts w:hint="eastAsia" w:cs="宋体"/>
          <w:color w:val="auto"/>
          <w:highlight w:val="none"/>
        </w:rPr>
        <w:t>供应商应按工程量清单填报价格。项目编码、项目名称、项目特征、计量单位、工程量必须与工程量清单一致，</w:t>
      </w:r>
      <w:r>
        <w:rPr>
          <w:rFonts w:hint="eastAsia" w:hAnsi="宋体" w:cs="宋体"/>
          <w:color w:val="auto"/>
          <w:highlight w:val="none"/>
        </w:rPr>
        <w:t>供应商不得对工程量清单项目进行增减调整。</w:t>
      </w:r>
    </w:p>
    <w:p w14:paraId="20AD2AED">
      <w:pPr>
        <w:spacing w:line="360" w:lineRule="auto"/>
        <w:ind w:firstLine="420" w:firstLineChars="200"/>
        <w:rPr>
          <w:color w:val="auto"/>
          <w:highlight w:val="none"/>
        </w:rPr>
      </w:pPr>
      <w:r>
        <w:rPr>
          <w:color w:val="auto"/>
          <w:highlight w:val="none"/>
        </w:rPr>
        <w:t xml:space="preserve">3.3 </w:t>
      </w:r>
      <w:r>
        <w:rPr>
          <w:rFonts w:hint="eastAsia" w:cs="宋体"/>
          <w:color w:val="auto"/>
          <w:highlight w:val="none"/>
        </w:rPr>
        <w:t>综合单价中应包含磋商文件中划分的应由供应商承担的风险范围及其费用。</w:t>
      </w:r>
    </w:p>
    <w:p w14:paraId="7E13BB98">
      <w:pPr>
        <w:spacing w:line="360" w:lineRule="auto"/>
        <w:ind w:firstLine="420" w:firstLineChars="200"/>
        <w:rPr>
          <w:rFonts w:hAnsi="宋体"/>
          <w:color w:val="auto"/>
          <w:highlight w:val="none"/>
        </w:rPr>
      </w:pPr>
      <w:r>
        <w:rPr>
          <w:color w:val="auto"/>
          <w:highlight w:val="none"/>
        </w:rPr>
        <w:t xml:space="preserve">3.4 </w:t>
      </w:r>
      <w:r>
        <w:rPr>
          <w:rFonts w:hint="eastAsia" w:hAnsi="宋体" w:cs="宋体"/>
          <w:color w:val="auto"/>
          <w:highlight w:val="none"/>
        </w:rPr>
        <w:t>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17C6FC6F">
      <w:pPr>
        <w:spacing w:line="360" w:lineRule="auto"/>
        <w:ind w:firstLine="420" w:firstLineChars="200"/>
        <w:rPr>
          <w:color w:val="auto"/>
          <w:highlight w:val="none"/>
        </w:rPr>
      </w:pPr>
      <w:r>
        <w:rPr>
          <w:color w:val="auto"/>
          <w:highlight w:val="none"/>
        </w:rPr>
        <w:t xml:space="preserve">3.5 </w:t>
      </w:r>
      <w:r>
        <w:rPr>
          <w:rFonts w:hint="eastAsia" w:hAnsi="宋体" w:cs="宋体"/>
          <w:color w:val="auto"/>
          <w:highlight w:val="none"/>
        </w:rPr>
        <w:t>总价措施项目的金额应根据磋商文件及竞标时拟定的施工组织设计或施工方案，按计价规范的规定自主确定。但</w:t>
      </w:r>
      <w:r>
        <w:rPr>
          <w:rFonts w:hint="eastAsia" w:cs="宋体"/>
          <w:color w:val="auto"/>
          <w:highlight w:val="none"/>
        </w:rPr>
        <w:t>安全文明施工费按国家、省级或行业建设主管部门的有关规定执行，作为不竞争费用单列。</w:t>
      </w:r>
    </w:p>
    <w:p w14:paraId="4078A3A2">
      <w:pPr>
        <w:spacing w:line="360" w:lineRule="auto"/>
        <w:ind w:firstLine="420" w:firstLineChars="200"/>
        <w:rPr>
          <w:color w:val="auto"/>
          <w:highlight w:val="none"/>
        </w:rPr>
      </w:pPr>
      <w:r>
        <w:rPr>
          <w:color w:val="auto"/>
          <w:highlight w:val="none"/>
        </w:rPr>
        <w:t xml:space="preserve">3.6 </w:t>
      </w:r>
      <w:r>
        <w:rPr>
          <w:rFonts w:hint="eastAsia" w:cs="宋体"/>
          <w:color w:val="auto"/>
          <w:highlight w:val="none"/>
        </w:rPr>
        <w:t>其他项目费应按下列规定报价：</w:t>
      </w:r>
    </w:p>
    <w:p w14:paraId="4A8FC88D">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）暂列金额应按工程量清单中列出的金额填写；</w:t>
      </w:r>
    </w:p>
    <w:p w14:paraId="547A62C8">
      <w:pPr>
        <w:pStyle w:val="198"/>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）材料、工程设备暂估价应按工程量清单中列出的单价计入综合单价；</w:t>
      </w:r>
    </w:p>
    <w:p w14:paraId="43DA44FD">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）专业工程暂估价应按工程量清单中列出的金额填写；</w:t>
      </w:r>
    </w:p>
    <w:p w14:paraId="17D92094">
      <w:pPr>
        <w:spacing w:line="360" w:lineRule="auto"/>
        <w:ind w:firstLine="420" w:firstLineChars="200"/>
        <w:rPr>
          <w:color w:val="auto"/>
          <w:highlight w:val="none"/>
        </w:rPr>
      </w:pPr>
      <w:r>
        <w:rPr>
          <w:rFonts w:hint="eastAsia" w:cs="宋体"/>
          <w:color w:val="auto"/>
          <w:highlight w:val="none"/>
        </w:rPr>
        <w:t>（</w:t>
      </w:r>
      <w:r>
        <w:rPr>
          <w:color w:val="auto"/>
          <w:highlight w:val="none"/>
        </w:rPr>
        <w:t>4</w:t>
      </w:r>
      <w:r>
        <w:rPr>
          <w:rFonts w:hint="eastAsia" w:cs="宋体"/>
          <w:color w:val="auto"/>
          <w:highlight w:val="none"/>
        </w:rPr>
        <w:t>）计日工应按工程量清单中列出的项目和估算数量，自主确定综合单价并计算计日工总额；计日工单价均不含规费和税金；</w:t>
      </w:r>
    </w:p>
    <w:p w14:paraId="132E2135">
      <w:pPr>
        <w:spacing w:line="360" w:lineRule="auto"/>
        <w:ind w:firstLine="420" w:firstLineChars="200"/>
        <w:rPr>
          <w:rFonts w:cs="宋体"/>
          <w:color w:val="auto"/>
          <w:highlight w:val="none"/>
        </w:rPr>
      </w:pPr>
      <w:r>
        <w:rPr>
          <w:rFonts w:hint="eastAsia" w:cs="宋体"/>
          <w:color w:val="auto"/>
          <w:highlight w:val="none"/>
        </w:rPr>
        <w:t>（</w:t>
      </w:r>
      <w:r>
        <w:rPr>
          <w:color w:val="auto"/>
          <w:highlight w:val="none"/>
        </w:rPr>
        <w:t>5</w:t>
      </w:r>
      <w:r>
        <w:rPr>
          <w:rFonts w:hint="eastAsia" w:cs="宋体"/>
          <w:color w:val="auto"/>
          <w:highlight w:val="none"/>
        </w:rPr>
        <w:t>）总承包服务费应根据工程量清单中列出的内容</w:t>
      </w:r>
      <w:r>
        <w:rPr>
          <w:rFonts w:hint="eastAsia" w:hAnsi="宋体" w:cs="宋体"/>
          <w:color w:val="auto"/>
          <w:highlight w:val="none"/>
        </w:rPr>
        <w:t>和供应材料、设备情况，按照采购人提出的协调、配合与服务要求和施工现场管理需要</w:t>
      </w:r>
      <w:r>
        <w:rPr>
          <w:rFonts w:hint="eastAsia" w:cs="宋体"/>
          <w:color w:val="auto"/>
          <w:highlight w:val="none"/>
        </w:rPr>
        <w:t>自主确定。</w:t>
      </w:r>
    </w:p>
    <w:p w14:paraId="2D20E290">
      <w:pPr>
        <w:spacing w:line="360" w:lineRule="auto"/>
        <w:ind w:firstLine="420" w:firstLineChars="200"/>
        <w:rPr>
          <w:rFonts w:hint="eastAsia"/>
          <w:color w:val="auto"/>
          <w:highlight w:val="none"/>
        </w:rPr>
      </w:pPr>
      <w:r>
        <w:rPr>
          <w:rFonts w:hint="eastAsia"/>
          <w:color w:val="auto"/>
          <w:highlight w:val="none"/>
        </w:rPr>
        <w:t>（6）对建设单位创建优质工程的，鼓励在招标控制价和预算中按我区工程建设定额规定计列工程优质费，并明确工程优质费不可竞争。</w:t>
      </w:r>
    </w:p>
    <w:p w14:paraId="405BE939">
      <w:pPr>
        <w:spacing w:line="360" w:lineRule="auto"/>
        <w:ind w:firstLine="420" w:firstLineChars="200"/>
        <w:rPr>
          <w:color w:val="auto"/>
          <w:highlight w:val="none"/>
        </w:rPr>
      </w:pPr>
      <w:r>
        <w:rPr>
          <w:color w:val="auto"/>
          <w:highlight w:val="none"/>
        </w:rPr>
        <w:t xml:space="preserve">3.7 </w:t>
      </w:r>
      <w:r>
        <w:rPr>
          <w:rFonts w:hint="eastAsia" w:cs="宋体"/>
          <w:color w:val="auto"/>
          <w:highlight w:val="none"/>
        </w:rPr>
        <w:t>规费和增值税应按规定确定，作为不可竞争费用。</w:t>
      </w:r>
    </w:p>
    <w:p w14:paraId="03C58FA3">
      <w:pPr>
        <w:spacing w:line="360" w:lineRule="auto"/>
        <w:ind w:firstLine="420" w:firstLineChars="200"/>
        <w:rPr>
          <w:color w:val="auto"/>
          <w:highlight w:val="none"/>
        </w:rPr>
      </w:pPr>
      <w:r>
        <w:rPr>
          <w:color w:val="auto"/>
          <w:highlight w:val="none"/>
        </w:rPr>
        <w:t xml:space="preserve">3.8 </w:t>
      </w:r>
      <w:r>
        <w:rPr>
          <w:rFonts w:hint="eastAsia" w:cs="宋体"/>
          <w:color w:val="auto"/>
          <w:highlight w:val="none"/>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5B38D3E4">
      <w:pPr>
        <w:spacing w:line="360" w:lineRule="auto"/>
        <w:ind w:firstLine="420" w:firstLineChars="200"/>
        <w:rPr>
          <w:color w:val="auto"/>
          <w:highlight w:val="none"/>
        </w:rPr>
      </w:pPr>
      <w:r>
        <w:rPr>
          <w:color w:val="auto"/>
          <w:highlight w:val="none"/>
        </w:rPr>
        <w:t xml:space="preserve">3.9 </w:t>
      </w:r>
      <w:r>
        <w:rPr>
          <w:rFonts w:hint="eastAsia" w:cs="宋体"/>
          <w:color w:val="auto"/>
          <w:highlight w:val="none"/>
        </w:rPr>
        <w:t>投标总价应当与分部分项工程费、措施项目费、其他项目费和规费、增值税的合计金额一致。</w:t>
      </w:r>
    </w:p>
    <w:p w14:paraId="0D502C80">
      <w:pPr>
        <w:spacing w:line="360" w:lineRule="auto"/>
        <w:ind w:firstLine="420" w:firstLineChars="200"/>
        <w:rPr>
          <w:color w:val="auto"/>
          <w:highlight w:val="none"/>
        </w:rPr>
      </w:pPr>
      <w:r>
        <w:rPr>
          <w:color w:val="auto"/>
          <w:highlight w:val="none"/>
        </w:rPr>
        <w:t>3.1</w:t>
      </w:r>
      <w:r>
        <w:rPr>
          <w:rFonts w:hint="eastAsia"/>
          <w:color w:val="auto"/>
          <w:highlight w:val="none"/>
        </w:rPr>
        <w:t>0</w:t>
      </w:r>
      <w:r>
        <w:rPr>
          <w:color w:val="auto"/>
          <w:highlight w:val="none"/>
        </w:rPr>
        <w:t xml:space="preserve"> </w:t>
      </w:r>
      <w:r>
        <w:rPr>
          <w:rFonts w:hint="eastAsia" w:cs="宋体"/>
          <w:color w:val="auto"/>
          <w:highlight w:val="none"/>
        </w:rPr>
        <w:t>供应商应按《允许调整主要材料和工程设备一览表》的内容填报，不得擅自调整材料和设备名称型号规格、单位、风险系数、基准单价。</w:t>
      </w:r>
    </w:p>
    <w:p w14:paraId="2A8E350C">
      <w:pPr>
        <w:spacing w:line="360" w:lineRule="auto"/>
        <w:ind w:firstLine="420" w:firstLineChars="200"/>
        <w:rPr>
          <w:rFonts w:hAnsi="宋体"/>
          <w:color w:val="auto"/>
          <w:highlight w:val="none"/>
        </w:rPr>
      </w:pPr>
      <w:r>
        <w:rPr>
          <w:color w:val="auto"/>
          <w:highlight w:val="none"/>
        </w:rPr>
        <w:t>3.1</w:t>
      </w:r>
      <w:r>
        <w:rPr>
          <w:rFonts w:hint="eastAsia"/>
          <w:color w:val="auto"/>
          <w:highlight w:val="none"/>
        </w:rPr>
        <w:t>1</w:t>
      </w:r>
      <w:r>
        <w:rPr>
          <w:rFonts w:hint="eastAsia" w:hAnsi="宋体" w:cs="宋体"/>
          <w:color w:val="auto"/>
          <w:highlight w:val="none"/>
        </w:rPr>
        <w:t>竞标报价</w:t>
      </w:r>
      <w:r>
        <w:rPr>
          <w:rFonts w:hint="eastAsia" w:cs="宋体"/>
          <w:color w:val="auto"/>
          <w:highlight w:val="none"/>
        </w:rPr>
        <w:t>表格按本工程工程量清单表格要求填写，并</w:t>
      </w:r>
      <w:r>
        <w:rPr>
          <w:rFonts w:hint="eastAsia" w:hAnsi="宋体" w:cs="宋体"/>
          <w:color w:val="auto"/>
          <w:highlight w:val="none"/>
        </w:rPr>
        <w:t>应按磋商文件的要求，附上《工程量清单综合单价分析表》（表</w:t>
      </w:r>
      <w:r>
        <w:rPr>
          <w:color w:val="auto"/>
          <w:highlight w:val="none"/>
        </w:rPr>
        <w:t>-09</w:t>
      </w:r>
      <w:r>
        <w:rPr>
          <w:rFonts w:hint="eastAsia" w:hAnsi="宋体" w:cs="宋体"/>
          <w:color w:val="auto"/>
          <w:highlight w:val="none"/>
        </w:rPr>
        <w:t>）和《主要清单项目工料机分析表》（表</w:t>
      </w:r>
      <w:r>
        <w:rPr>
          <w:color w:val="auto"/>
          <w:highlight w:val="none"/>
        </w:rPr>
        <w:t>-10</w:t>
      </w:r>
      <w:r>
        <w:rPr>
          <w:rFonts w:hint="eastAsia" w:hAnsi="宋体" w:cs="宋体"/>
          <w:color w:val="auto"/>
          <w:highlight w:val="none"/>
        </w:rPr>
        <w:t>）。</w:t>
      </w:r>
    </w:p>
    <w:p w14:paraId="66810755">
      <w:pPr>
        <w:spacing w:line="360" w:lineRule="auto"/>
        <w:ind w:firstLine="420" w:firstLineChars="200"/>
        <w:rPr>
          <w:color w:val="auto"/>
          <w:highlight w:val="none"/>
          <w:u w:val="single"/>
        </w:rPr>
      </w:pPr>
      <w:r>
        <w:rPr>
          <w:rFonts w:hint="eastAsia" w:cs="宋体"/>
          <w:color w:val="auto"/>
          <w:highlight w:val="none"/>
        </w:rPr>
        <w:t>未尽事宜详见本工程工程量清单、招标控制价编制说明以及现行《计价规范》等有关规定执行。</w:t>
      </w:r>
    </w:p>
    <w:p w14:paraId="520BDCAA">
      <w:pPr>
        <w:spacing w:line="360" w:lineRule="auto"/>
        <w:ind w:firstLine="420" w:firstLineChars="200"/>
        <w:rPr>
          <w:rFonts w:hint="eastAsia" w:cs="宋体"/>
          <w:color w:val="auto"/>
          <w:highlight w:val="none"/>
        </w:rPr>
      </w:pPr>
      <w:r>
        <w:rPr>
          <w:rFonts w:hint="eastAsia"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3AC373CC">
      <w:pPr>
        <w:pStyle w:val="6"/>
        <w:spacing w:before="0" w:after="0" w:line="360" w:lineRule="auto"/>
        <w:rPr>
          <w:rFonts w:hint="eastAsia" w:cs="黑体"/>
          <w:color w:val="auto"/>
          <w:highlight w:val="none"/>
        </w:rPr>
      </w:pPr>
      <w:r>
        <w:rPr>
          <w:rFonts w:hint="eastAsia" w:cs="黑体"/>
          <w:color w:val="auto"/>
          <w:highlight w:val="none"/>
        </w:rPr>
        <w:t>4.工程量</w:t>
      </w:r>
      <w:r>
        <w:rPr>
          <w:rFonts w:cs="黑体"/>
          <w:color w:val="auto"/>
          <w:highlight w:val="none"/>
        </w:rPr>
        <w:t>清单和</w:t>
      </w:r>
      <w:r>
        <w:rPr>
          <w:rFonts w:hint="eastAsia" w:cs="黑体"/>
          <w:color w:val="auto"/>
          <w:highlight w:val="none"/>
        </w:rPr>
        <w:t>图纸（另册）</w:t>
      </w:r>
    </w:p>
    <w:p w14:paraId="6BBF37B0">
      <w:pPr>
        <w:pStyle w:val="5"/>
        <w:spacing w:before="0" w:after="0" w:line="360" w:lineRule="auto"/>
        <w:jc w:val="center"/>
        <w:rPr>
          <w:rFonts w:ascii="宋体" w:hAnsi="宋体" w:cs="宋体"/>
          <w:color w:val="auto"/>
          <w:sz w:val="32"/>
          <w:szCs w:val="32"/>
          <w:highlight w:val="none"/>
        </w:rPr>
      </w:pPr>
      <w:r>
        <w:rPr>
          <w:color w:val="auto"/>
          <w:highlight w:val="none"/>
        </w:rPr>
        <w:br w:type="page"/>
      </w:r>
    </w:p>
    <w:p w14:paraId="24D6CDC3">
      <w:pPr>
        <w:pStyle w:val="7"/>
        <w:spacing w:before="0" w:after="0" w:line="360" w:lineRule="auto"/>
        <w:rPr>
          <w:color w:val="auto"/>
          <w:highlight w:val="none"/>
        </w:rPr>
      </w:pPr>
    </w:p>
    <w:p w14:paraId="48D0E2C7">
      <w:pPr>
        <w:rPr>
          <w:color w:val="auto"/>
          <w:highlight w:val="none"/>
        </w:rPr>
      </w:pPr>
    </w:p>
    <w:p w14:paraId="3AFC6EFA">
      <w:pPr>
        <w:rPr>
          <w:color w:val="auto"/>
          <w:highlight w:val="none"/>
        </w:rPr>
      </w:pPr>
    </w:p>
    <w:p w14:paraId="22B40C03">
      <w:pPr>
        <w:rPr>
          <w:color w:val="auto"/>
          <w:highlight w:val="none"/>
        </w:rPr>
      </w:pPr>
    </w:p>
    <w:p w14:paraId="1B4F0CB6">
      <w:pPr>
        <w:rPr>
          <w:color w:val="auto"/>
          <w:highlight w:val="none"/>
        </w:rPr>
      </w:pPr>
    </w:p>
    <w:p w14:paraId="6BED9C16">
      <w:pPr>
        <w:rPr>
          <w:color w:val="auto"/>
          <w:highlight w:val="none"/>
        </w:rPr>
      </w:pPr>
    </w:p>
    <w:p w14:paraId="5752E320">
      <w:pPr>
        <w:rPr>
          <w:color w:val="auto"/>
          <w:highlight w:val="none"/>
        </w:rPr>
      </w:pPr>
    </w:p>
    <w:p w14:paraId="764223E7">
      <w:pPr>
        <w:rPr>
          <w:color w:val="auto"/>
          <w:highlight w:val="none"/>
        </w:rPr>
      </w:pPr>
    </w:p>
    <w:p w14:paraId="0B2F8DE6">
      <w:pPr>
        <w:rPr>
          <w:color w:val="auto"/>
          <w:highlight w:val="none"/>
        </w:rPr>
      </w:pPr>
    </w:p>
    <w:p w14:paraId="283F7608">
      <w:pPr>
        <w:rPr>
          <w:color w:val="auto"/>
          <w:highlight w:val="none"/>
        </w:rPr>
      </w:pPr>
    </w:p>
    <w:p w14:paraId="3E178707">
      <w:pPr>
        <w:rPr>
          <w:color w:val="auto"/>
          <w:highlight w:val="none"/>
        </w:rPr>
      </w:pPr>
    </w:p>
    <w:p w14:paraId="46201EB9">
      <w:pPr>
        <w:rPr>
          <w:color w:val="auto"/>
          <w:highlight w:val="none"/>
        </w:rPr>
      </w:pPr>
    </w:p>
    <w:p w14:paraId="55D2F375">
      <w:pPr>
        <w:rPr>
          <w:color w:val="auto"/>
          <w:highlight w:val="none"/>
        </w:rPr>
      </w:pPr>
    </w:p>
    <w:p w14:paraId="7B770A96">
      <w:pPr>
        <w:rPr>
          <w:color w:val="auto"/>
          <w:highlight w:val="none"/>
        </w:rPr>
      </w:pPr>
    </w:p>
    <w:p w14:paraId="073EAA4B">
      <w:pPr>
        <w:pStyle w:val="5"/>
        <w:jc w:val="center"/>
        <w:rPr>
          <w:color w:val="auto"/>
          <w:highlight w:val="none"/>
        </w:rPr>
      </w:pPr>
      <w:bookmarkStart w:id="94" w:name="_Toc17207"/>
      <w:r>
        <w:rPr>
          <w:rFonts w:hint="eastAsia"/>
          <w:color w:val="auto"/>
          <w:highlight w:val="none"/>
        </w:rPr>
        <w:t>第六章响应文件格式</w:t>
      </w:r>
      <w:bookmarkEnd w:id="94"/>
    </w:p>
    <w:p w14:paraId="0AFABFD7">
      <w:pPr>
        <w:spacing w:line="240" w:lineRule="atLeast"/>
        <w:rPr>
          <w:rFonts w:ascii="宋体" w:hAnsi="宋体"/>
          <w:b/>
          <w:color w:val="auto"/>
          <w:sz w:val="32"/>
          <w:szCs w:val="32"/>
          <w:highlight w:val="none"/>
        </w:rPr>
      </w:pPr>
    </w:p>
    <w:p w14:paraId="76F496C3">
      <w:pPr>
        <w:spacing w:line="240" w:lineRule="atLeast"/>
        <w:rPr>
          <w:rFonts w:ascii="宋体" w:hAnsi="宋体"/>
          <w:b/>
          <w:color w:val="auto"/>
          <w:sz w:val="32"/>
          <w:szCs w:val="32"/>
          <w:highlight w:val="none"/>
        </w:rPr>
      </w:pPr>
    </w:p>
    <w:p w14:paraId="41D1A465">
      <w:pPr>
        <w:spacing w:line="240" w:lineRule="atLeast"/>
        <w:rPr>
          <w:rFonts w:ascii="宋体" w:hAnsi="宋体"/>
          <w:b/>
          <w:color w:val="auto"/>
          <w:sz w:val="32"/>
          <w:szCs w:val="32"/>
          <w:highlight w:val="none"/>
        </w:rPr>
      </w:pPr>
    </w:p>
    <w:p w14:paraId="06FEE38E">
      <w:pPr>
        <w:spacing w:line="240" w:lineRule="atLeast"/>
        <w:rPr>
          <w:rFonts w:ascii="宋体" w:hAnsi="宋体"/>
          <w:b/>
          <w:color w:val="auto"/>
          <w:sz w:val="32"/>
          <w:szCs w:val="32"/>
          <w:highlight w:val="none"/>
        </w:rPr>
      </w:pPr>
    </w:p>
    <w:p w14:paraId="304ADB1C">
      <w:pPr>
        <w:spacing w:line="240" w:lineRule="atLeast"/>
        <w:rPr>
          <w:rFonts w:ascii="宋体" w:hAnsi="宋体"/>
          <w:b/>
          <w:color w:val="auto"/>
          <w:sz w:val="32"/>
          <w:szCs w:val="32"/>
          <w:highlight w:val="none"/>
        </w:rPr>
      </w:pPr>
    </w:p>
    <w:p w14:paraId="4B4DFA3F">
      <w:pPr>
        <w:spacing w:line="240" w:lineRule="atLeast"/>
        <w:rPr>
          <w:rFonts w:ascii="宋体" w:hAnsi="宋体"/>
          <w:b/>
          <w:color w:val="auto"/>
          <w:sz w:val="32"/>
          <w:szCs w:val="32"/>
          <w:highlight w:val="none"/>
        </w:rPr>
      </w:pPr>
    </w:p>
    <w:p w14:paraId="3BFB8DB3">
      <w:pPr>
        <w:spacing w:line="240" w:lineRule="atLeast"/>
        <w:rPr>
          <w:rFonts w:ascii="宋体" w:hAnsi="宋体"/>
          <w:b/>
          <w:color w:val="auto"/>
          <w:sz w:val="32"/>
          <w:szCs w:val="32"/>
          <w:highlight w:val="none"/>
        </w:rPr>
      </w:pPr>
    </w:p>
    <w:p w14:paraId="65444C61">
      <w:pPr>
        <w:spacing w:line="240" w:lineRule="atLeast"/>
        <w:rPr>
          <w:rFonts w:ascii="宋体" w:hAnsi="宋体"/>
          <w:b/>
          <w:color w:val="auto"/>
          <w:sz w:val="32"/>
          <w:szCs w:val="32"/>
          <w:highlight w:val="none"/>
        </w:rPr>
      </w:pPr>
    </w:p>
    <w:p w14:paraId="465BEE3F">
      <w:pPr>
        <w:spacing w:line="240" w:lineRule="atLeast"/>
        <w:rPr>
          <w:rFonts w:ascii="宋体" w:hAnsi="宋体"/>
          <w:b/>
          <w:color w:val="auto"/>
          <w:sz w:val="32"/>
          <w:szCs w:val="32"/>
          <w:highlight w:val="none"/>
        </w:rPr>
      </w:pPr>
    </w:p>
    <w:p w14:paraId="29DCDEE0">
      <w:pPr>
        <w:spacing w:line="240" w:lineRule="atLeast"/>
        <w:rPr>
          <w:rFonts w:ascii="宋体" w:hAnsi="宋体"/>
          <w:b/>
          <w:color w:val="auto"/>
          <w:sz w:val="32"/>
          <w:szCs w:val="32"/>
          <w:highlight w:val="none"/>
        </w:rPr>
      </w:pPr>
    </w:p>
    <w:p w14:paraId="25357874">
      <w:pPr>
        <w:spacing w:line="240" w:lineRule="atLeast"/>
        <w:rPr>
          <w:rFonts w:ascii="宋体" w:hAnsi="宋体"/>
          <w:b/>
          <w:color w:val="auto"/>
          <w:sz w:val="32"/>
          <w:szCs w:val="32"/>
          <w:highlight w:val="none"/>
        </w:rPr>
      </w:pPr>
    </w:p>
    <w:p w14:paraId="5D61AD5F">
      <w:pPr>
        <w:snapToGrid w:val="0"/>
        <w:spacing w:before="50" w:after="50"/>
        <w:outlineLvl w:val="1"/>
        <w:rPr>
          <w:rFonts w:ascii="宋体" w:hAnsi="宋体"/>
          <w:b/>
          <w:bCs/>
          <w:color w:val="auto"/>
          <w:sz w:val="24"/>
          <w:highlight w:val="none"/>
        </w:rPr>
      </w:pPr>
    </w:p>
    <w:p w14:paraId="28EBA21E">
      <w:pPr>
        <w:snapToGrid w:val="0"/>
        <w:spacing w:beforeLines="50" w:after="50"/>
        <w:jc w:val="center"/>
        <w:rPr>
          <w:rFonts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br w:type="page"/>
      </w:r>
    </w:p>
    <w:p w14:paraId="1E4585AD">
      <w:pPr>
        <w:rPr>
          <w:b/>
          <w:color w:val="auto"/>
          <w:sz w:val="32"/>
          <w:szCs w:val="32"/>
          <w:highlight w:val="none"/>
        </w:rPr>
      </w:pPr>
      <w:bookmarkStart w:id="95" w:name="_Toc35611516"/>
      <w:bookmarkStart w:id="96" w:name="_Toc35611438"/>
      <w:bookmarkStart w:id="97" w:name="_Toc44229899"/>
      <w:bookmarkStart w:id="98" w:name="_Toc31723070"/>
      <w:bookmarkStart w:id="99" w:name="_Toc71366186"/>
      <w:bookmarkStart w:id="100" w:name="_Toc31728084"/>
      <w:r>
        <w:rPr>
          <w:rFonts w:hint="eastAsia"/>
          <w:b/>
          <w:color w:val="auto"/>
          <w:sz w:val="32"/>
          <w:szCs w:val="32"/>
          <w:highlight w:val="none"/>
        </w:rPr>
        <w:t>一、资格证明文件格式</w:t>
      </w:r>
      <w:bookmarkEnd w:id="95"/>
      <w:bookmarkEnd w:id="96"/>
      <w:bookmarkEnd w:id="97"/>
      <w:bookmarkEnd w:id="98"/>
      <w:bookmarkEnd w:id="99"/>
      <w:bookmarkEnd w:id="100"/>
    </w:p>
    <w:p w14:paraId="6900A192">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p>
    <w:p w14:paraId="0774CB0D">
      <w:pPr>
        <w:snapToGrid w:val="0"/>
        <w:spacing w:beforeLines="50" w:after="50"/>
        <w:jc w:val="center"/>
        <w:rPr>
          <w:rFonts w:ascii="宋体" w:hAnsi="宋体"/>
          <w:color w:val="auto"/>
          <w:sz w:val="44"/>
          <w:szCs w:val="44"/>
          <w:highlight w:val="none"/>
        </w:rPr>
      </w:pPr>
    </w:p>
    <w:p w14:paraId="1C11A3E3">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2C727A7">
      <w:pPr>
        <w:snapToGrid w:val="0"/>
        <w:spacing w:beforeLines="50" w:after="50"/>
        <w:rPr>
          <w:rFonts w:ascii="宋体" w:hAnsi="宋体"/>
          <w:color w:val="auto"/>
          <w:sz w:val="24"/>
          <w:szCs w:val="20"/>
          <w:highlight w:val="none"/>
        </w:rPr>
      </w:pPr>
    </w:p>
    <w:p w14:paraId="5139B913">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825735C">
      <w:pPr>
        <w:snapToGrid w:val="0"/>
        <w:spacing w:beforeLines="50" w:after="50"/>
        <w:rPr>
          <w:rFonts w:ascii="宋体" w:hAnsi="宋体"/>
          <w:bCs/>
          <w:color w:val="auto"/>
          <w:sz w:val="24"/>
          <w:szCs w:val="20"/>
          <w:highlight w:val="none"/>
        </w:rPr>
      </w:pPr>
    </w:p>
    <w:p w14:paraId="32C1DDF2">
      <w:pPr>
        <w:snapToGrid w:val="0"/>
        <w:spacing w:beforeLines="50" w:after="50"/>
        <w:rPr>
          <w:rFonts w:ascii="宋体" w:hAnsi="宋体"/>
          <w:bCs/>
          <w:color w:val="auto"/>
          <w:sz w:val="24"/>
          <w:szCs w:val="20"/>
          <w:highlight w:val="none"/>
        </w:rPr>
      </w:pPr>
    </w:p>
    <w:p w14:paraId="1405DA41">
      <w:pPr>
        <w:snapToGrid w:val="0"/>
        <w:spacing w:beforeLines="50" w:after="50"/>
        <w:rPr>
          <w:rFonts w:ascii="宋体" w:hAnsi="宋体"/>
          <w:bCs/>
          <w:color w:val="auto"/>
          <w:sz w:val="24"/>
          <w:szCs w:val="20"/>
          <w:highlight w:val="none"/>
        </w:rPr>
      </w:pPr>
    </w:p>
    <w:p w14:paraId="721452DC">
      <w:pPr>
        <w:snapToGrid w:val="0"/>
        <w:spacing w:beforeLines="50" w:after="50"/>
        <w:rPr>
          <w:rFonts w:ascii="宋体" w:hAnsi="宋体"/>
          <w:bCs/>
          <w:color w:val="auto"/>
          <w:sz w:val="24"/>
          <w:szCs w:val="20"/>
          <w:highlight w:val="none"/>
        </w:rPr>
      </w:pPr>
    </w:p>
    <w:p w14:paraId="5768DAA2">
      <w:pPr>
        <w:snapToGrid w:val="0"/>
        <w:spacing w:beforeLines="50" w:after="50"/>
        <w:rPr>
          <w:rFonts w:ascii="宋体" w:hAnsi="宋体"/>
          <w:bCs/>
          <w:color w:val="auto"/>
          <w:sz w:val="24"/>
          <w:szCs w:val="20"/>
          <w:highlight w:val="none"/>
        </w:rPr>
      </w:pPr>
    </w:p>
    <w:p w14:paraId="5D1593B9">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E51B803">
      <w:pPr>
        <w:snapToGrid w:val="0"/>
        <w:spacing w:beforeLines="50" w:after="50"/>
        <w:ind w:firstLine="720" w:firstLineChars="225"/>
        <w:rPr>
          <w:rFonts w:ascii="宋体" w:hAnsi="宋体" w:cs="仿宋_GB2312"/>
          <w:bCs/>
          <w:color w:val="auto"/>
          <w:sz w:val="32"/>
          <w:szCs w:val="32"/>
          <w:highlight w:val="none"/>
        </w:rPr>
      </w:pPr>
    </w:p>
    <w:p w14:paraId="1A2E41C2">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981F754">
      <w:pPr>
        <w:snapToGrid w:val="0"/>
        <w:spacing w:beforeLines="50" w:after="50"/>
        <w:ind w:firstLine="720" w:firstLineChars="225"/>
        <w:rPr>
          <w:rFonts w:ascii="宋体" w:hAnsi="宋体" w:cs="仿宋_GB2312"/>
          <w:bCs/>
          <w:color w:val="auto"/>
          <w:sz w:val="32"/>
          <w:szCs w:val="32"/>
          <w:highlight w:val="none"/>
        </w:rPr>
      </w:pPr>
    </w:p>
    <w:p w14:paraId="426535D0">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1B7483D3">
      <w:pPr>
        <w:snapToGrid w:val="0"/>
        <w:spacing w:beforeLines="50" w:after="50"/>
        <w:ind w:firstLine="720" w:firstLineChars="225"/>
        <w:rPr>
          <w:rFonts w:ascii="宋体" w:hAnsi="宋体" w:cs="仿宋_GB2312"/>
          <w:bCs/>
          <w:color w:val="auto"/>
          <w:sz w:val="32"/>
          <w:szCs w:val="32"/>
          <w:highlight w:val="none"/>
        </w:rPr>
      </w:pPr>
    </w:p>
    <w:p w14:paraId="364178BE">
      <w:pPr>
        <w:pStyle w:val="10"/>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5AFAFA9">
      <w:pPr>
        <w:snapToGrid w:val="0"/>
        <w:spacing w:beforeLines="50" w:after="50"/>
        <w:ind w:firstLine="640" w:firstLineChars="200"/>
        <w:rPr>
          <w:rFonts w:ascii="宋体" w:hAnsi="宋体" w:cs="仿宋_GB2312"/>
          <w:bCs/>
          <w:color w:val="auto"/>
          <w:sz w:val="32"/>
          <w:szCs w:val="32"/>
          <w:highlight w:val="none"/>
        </w:rPr>
      </w:pPr>
    </w:p>
    <w:p w14:paraId="3E18AB33">
      <w:pPr>
        <w:pStyle w:val="10"/>
        <w:snapToGrid w:val="0"/>
        <w:spacing w:before="50" w:after="50"/>
        <w:ind w:firstLine="720" w:firstLineChars="225"/>
        <w:rPr>
          <w:rFonts w:ascii="宋体" w:hAnsi="宋体" w:cs="仿宋_GB2312"/>
          <w:bCs/>
          <w:color w:val="auto"/>
          <w:sz w:val="32"/>
          <w:szCs w:val="32"/>
          <w:highlight w:val="none"/>
        </w:rPr>
      </w:pPr>
    </w:p>
    <w:p w14:paraId="32013160">
      <w:pPr>
        <w:pStyle w:val="10"/>
        <w:snapToGrid w:val="0"/>
        <w:spacing w:before="50" w:after="50"/>
        <w:ind w:firstLine="720" w:firstLineChars="225"/>
        <w:rPr>
          <w:rFonts w:ascii="宋体" w:hAnsi="宋体" w:cs="仿宋_GB2312"/>
          <w:bCs/>
          <w:color w:val="auto"/>
          <w:sz w:val="32"/>
          <w:szCs w:val="32"/>
          <w:highlight w:val="none"/>
        </w:rPr>
      </w:pPr>
    </w:p>
    <w:p w14:paraId="74D9372F">
      <w:pPr>
        <w:pStyle w:val="10"/>
        <w:snapToGrid w:val="0"/>
        <w:spacing w:before="50" w:after="50"/>
        <w:ind w:firstLine="1280" w:firstLineChars="400"/>
        <w:rPr>
          <w:rFonts w:ascii="宋体" w:hAnsi="宋体" w:cs="仿宋_GB2312"/>
          <w:bCs/>
          <w:color w:val="auto"/>
          <w:sz w:val="32"/>
          <w:szCs w:val="32"/>
          <w:highlight w:val="none"/>
        </w:rPr>
      </w:pPr>
    </w:p>
    <w:p w14:paraId="0B849E0C">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0D68AD6">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68CFB563">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D51957B">
      <w:pPr>
        <w:snapToGrid w:val="0"/>
        <w:spacing w:beforeLines="50" w:after="50"/>
        <w:rPr>
          <w:rFonts w:ascii="宋体" w:hAnsi="宋体"/>
          <w:color w:val="auto"/>
          <w:sz w:val="24"/>
          <w:szCs w:val="20"/>
          <w:highlight w:val="none"/>
        </w:rPr>
      </w:pPr>
    </w:p>
    <w:p w14:paraId="78082155">
      <w:pPr>
        <w:spacing w:line="300" w:lineRule="auto"/>
        <w:rPr>
          <w:rFonts w:ascii="宋体" w:hAnsi="宋体"/>
          <w:color w:val="auto"/>
          <w:szCs w:val="21"/>
          <w:highlight w:val="none"/>
        </w:rPr>
      </w:pPr>
    </w:p>
    <w:p w14:paraId="0B98AC03">
      <w:pPr>
        <w:spacing w:line="300" w:lineRule="auto"/>
        <w:rPr>
          <w:rFonts w:ascii="宋体" w:hAnsi="宋体"/>
          <w:color w:val="auto"/>
          <w:szCs w:val="21"/>
          <w:highlight w:val="none"/>
        </w:rPr>
      </w:pPr>
    </w:p>
    <w:p w14:paraId="2E95E7D9">
      <w:pPr>
        <w:spacing w:line="300" w:lineRule="auto"/>
        <w:rPr>
          <w:rFonts w:ascii="宋体" w:hAnsi="宋体"/>
          <w:color w:val="auto"/>
          <w:szCs w:val="21"/>
          <w:highlight w:val="none"/>
        </w:rPr>
      </w:pPr>
    </w:p>
    <w:p w14:paraId="0216D218">
      <w:pPr>
        <w:spacing w:line="300" w:lineRule="auto"/>
        <w:rPr>
          <w:rFonts w:ascii="宋体" w:hAnsi="宋体"/>
          <w:color w:val="auto"/>
          <w:szCs w:val="21"/>
          <w:highlight w:val="none"/>
        </w:rPr>
      </w:pPr>
    </w:p>
    <w:p w14:paraId="337FE337">
      <w:pPr>
        <w:spacing w:line="300" w:lineRule="auto"/>
        <w:rPr>
          <w:rFonts w:ascii="宋体" w:hAnsi="宋体"/>
          <w:color w:val="auto"/>
          <w:szCs w:val="21"/>
          <w:highlight w:val="none"/>
        </w:rPr>
      </w:pPr>
    </w:p>
    <w:p w14:paraId="6F213FFB">
      <w:pPr>
        <w:spacing w:line="300" w:lineRule="auto"/>
        <w:rPr>
          <w:rFonts w:ascii="宋体" w:hAnsi="宋体"/>
          <w:color w:val="auto"/>
          <w:szCs w:val="21"/>
          <w:highlight w:val="none"/>
        </w:rPr>
      </w:pPr>
    </w:p>
    <w:p w14:paraId="5A880AFA">
      <w:pPr>
        <w:spacing w:line="300" w:lineRule="auto"/>
        <w:rPr>
          <w:rFonts w:ascii="宋体" w:hAnsi="宋体"/>
          <w:color w:val="auto"/>
          <w:szCs w:val="21"/>
          <w:highlight w:val="none"/>
        </w:rPr>
      </w:pPr>
    </w:p>
    <w:p w14:paraId="313E5BBB">
      <w:pPr>
        <w:spacing w:line="300" w:lineRule="auto"/>
        <w:rPr>
          <w:rFonts w:ascii="宋体" w:hAnsi="宋体"/>
          <w:color w:val="auto"/>
          <w:szCs w:val="21"/>
          <w:highlight w:val="none"/>
        </w:rPr>
      </w:pPr>
    </w:p>
    <w:p w14:paraId="71F0EBC5">
      <w:pPr>
        <w:spacing w:line="300" w:lineRule="auto"/>
        <w:rPr>
          <w:rFonts w:ascii="宋体" w:hAnsi="宋体"/>
          <w:color w:val="auto"/>
          <w:szCs w:val="21"/>
          <w:highlight w:val="none"/>
        </w:rPr>
      </w:pPr>
    </w:p>
    <w:p w14:paraId="5F784E26">
      <w:pPr>
        <w:spacing w:line="300" w:lineRule="auto"/>
        <w:rPr>
          <w:rFonts w:ascii="宋体" w:hAnsi="宋体"/>
          <w:color w:val="auto"/>
          <w:szCs w:val="21"/>
          <w:highlight w:val="none"/>
        </w:rPr>
      </w:pPr>
    </w:p>
    <w:p w14:paraId="42C92374">
      <w:pPr>
        <w:spacing w:line="300" w:lineRule="auto"/>
        <w:rPr>
          <w:rFonts w:ascii="宋体" w:hAnsi="宋体"/>
          <w:color w:val="auto"/>
          <w:szCs w:val="21"/>
          <w:highlight w:val="none"/>
        </w:rPr>
      </w:pPr>
    </w:p>
    <w:p w14:paraId="62A5D225">
      <w:pPr>
        <w:spacing w:line="300" w:lineRule="auto"/>
        <w:rPr>
          <w:rFonts w:ascii="宋体" w:hAnsi="宋体"/>
          <w:color w:val="auto"/>
          <w:szCs w:val="21"/>
          <w:highlight w:val="none"/>
        </w:rPr>
      </w:pPr>
    </w:p>
    <w:p w14:paraId="3BE563AE">
      <w:pPr>
        <w:spacing w:line="300" w:lineRule="auto"/>
        <w:rPr>
          <w:rFonts w:ascii="宋体" w:hAnsi="宋体"/>
          <w:color w:val="auto"/>
          <w:szCs w:val="21"/>
          <w:highlight w:val="none"/>
        </w:rPr>
      </w:pPr>
    </w:p>
    <w:p w14:paraId="5E3D7887">
      <w:pPr>
        <w:spacing w:line="300" w:lineRule="auto"/>
        <w:rPr>
          <w:rFonts w:ascii="宋体" w:hAnsi="宋体"/>
          <w:color w:val="auto"/>
          <w:szCs w:val="21"/>
          <w:highlight w:val="none"/>
        </w:rPr>
      </w:pPr>
    </w:p>
    <w:p w14:paraId="5572BBC8">
      <w:pPr>
        <w:spacing w:line="300" w:lineRule="auto"/>
        <w:rPr>
          <w:rFonts w:ascii="宋体" w:hAnsi="宋体"/>
          <w:color w:val="auto"/>
          <w:szCs w:val="21"/>
          <w:highlight w:val="none"/>
        </w:rPr>
      </w:pPr>
    </w:p>
    <w:p w14:paraId="1946832E">
      <w:pPr>
        <w:spacing w:line="320" w:lineRule="exact"/>
        <w:jc w:val="left"/>
        <w:rPr>
          <w:rFonts w:ascii="宋体" w:hAnsi="宋体"/>
          <w:color w:val="auto"/>
          <w:szCs w:val="21"/>
          <w:highlight w:val="none"/>
        </w:rPr>
      </w:pPr>
      <w:r>
        <w:rPr>
          <w:rFonts w:ascii="宋体" w:hAnsi="宋体"/>
          <w:color w:val="auto"/>
          <w:szCs w:val="21"/>
          <w:highlight w:val="none"/>
        </w:rPr>
        <w:br w:type="page"/>
      </w:r>
    </w:p>
    <w:p w14:paraId="1BC45B8D">
      <w:pPr>
        <w:wordWrap w:val="0"/>
        <w:spacing w:beforeLines="50" w:after="50" w:line="320" w:lineRule="exact"/>
        <w:ind w:right="482" w:firstLine="210" w:firstLineChars="100"/>
        <w:contextualSpacing/>
        <w:jc w:val="center"/>
        <w:rPr>
          <w:rFonts w:ascii="宋体" w:hAnsi="宋体"/>
          <w:color w:val="auto"/>
          <w:szCs w:val="21"/>
          <w:highlight w:val="none"/>
        </w:rPr>
      </w:pPr>
    </w:p>
    <w:p w14:paraId="5219E3A9">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146629C3">
      <w:pPr>
        <w:snapToGrid w:val="0"/>
        <w:spacing w:beforeLines="50" w:after="50" w:line="360" w:lineRule="auto"/>
        <w:jc w:val="center"/>
        <w:rPr>
          <w:rFonts w:ascii="宋体" w:hAnsi="宋体"/>
          <w:b/>
          <w:color w:val="auto"/>
          <w:sz w:val="24"/>
          <w:highlight w:val="none"/>
        </w:rPr>
      </w:pPr>
    </w:p>
    <w:p w14:paraId="267F740C">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08B642F">
      <w:pPr>
        <w:spacing w:line="360" w:lineRule="auto"/>
        <w:contextualSpacing/>
        <w:jc w:val="center"/>
        <w:rPr>
          <w:rFonts w:ascii="宋体" w:hAnsi="宋体"/>
          <w:b/>
          <w:color w:val="auto"/>
          <w:sz w:val="24"/>
          <w:highlight w:val="none"/>
        </w:rPr>
      </w:pPr>
    </w:p>
    <w:tbl>
      <w:tblPr>
        <w:tblStyle w:val="45"/>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EBA2D5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DDAA73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F4C6A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8F749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5B29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6FDD5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D9EEBF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82C71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78E1C1A">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8D44A8">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686ED1">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E484A3">
            <w:pPr>
              <w:widowControl/>
              <w:spacing w:line="360" w:lineRule="auto"/>
              <w:contextualSpacing/>
              <w:jc w:val="center"/>
              <w:rPr>
                <w:rFonts w:ascii="宋体" w:hAnsi="宋体" w:cs="宋体"/>
                <w:color w:val="auto"/>
                <w:kern w:val="0"/>
                <w:sz w:val="24"/>
                <w:highlight w:val="none"/>
              </w:rPr>
            </w:pPr>
          </w:p>
        </w:tc>
      </w:tr>
      <w:tr w14:paraId="44552DD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6D67B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4E4956">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58BEAB">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6966A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C15D06">
            <w:pPr>
              <w:widowControl/>
              <w:spacing w:line="360" w:lineRule="auto"/>
              <w:contextualSpacing/>
              <w:jc w:val="center"/>
              <w:rPr>
                <w:rFonts w:ascii="宋体" w:hAnsi="宋体" w:cs="宋体"/>
                <w:color w:val="auto"/>
                <w:kern w:val="0"/>
                <w:sz w:val="24"/>
                <w:highlight w:val="none"/>
              </w:rPr>
            </w:pPr>
          </w:p>
        </w:tc>
      </w:tr>
      <w:tr w14:paraId="2622858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4F29E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E6D642">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CB5BFB">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F152AD">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296FF80">
            <w:pPr>
              <w:widowControl/>
              <w:spacing w:line="360" w:lineRule="auto"/>
              <w:contextualSpacing/>
              <w:jc w:val="center"/>
              <w:rPr>
                <w:rFonts w:ascii="宋体" w:hAnsi="宋体" w:cs="宋体"/>
                <w:color w:val="auto"/>
                <w:kern w:val="0"/>
                <w:sz w:val="24"/>
                <w:highlight w:val="none"/>
              </w:rPr>
            </w:pPr>
          </w:p>
        </w:tc>
      </w:tr>
      <w:tr w14:paraId="3D69F45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062A2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F5A1810">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E31567">
            <w:pPr>
              <w:widowControl/>
              <w:spacing w:line="360" w:lineRule="auto"/>
              <w:contextualSpacing/>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468511">
            <w:pPr>
              <w:widowControl/>
              <w:spacing w:line="360" w:lineRule="auto"/>
              <w:contextualSpacing/>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E91E90">
            <w:pPr>
              <w:widowControl/>
              <w:spacing w:line="360" w:lineRule="auto"/>
              <w:contextualSpacing/>
              <w:jc w:val="center"/>
              <w:rPr>
                <w:rFonts w:ascii="宋体" w:hAnsi="宋体" w:cs="宋体"/>
                <w:color w:val="auto"/>
                <w:kern w:val="0"/>
                <w:sz w:val="24"/>
                <w:highlight w:val="none"/>
              </w:rPr>
            </w:pPr>
          </w:p>
        </w:tc>
      </w:tr>
    </w:tbl>
    <w:p w14:paraId="6FDD8CF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50845649">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EEBDA7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61C0EB34">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CA7D2C2">
      <w:pPr>
        <w:spacing w:line="360" w:lineRule="auto"/>
        <w:ind w:firstLine="420" w:firstLineChars="200"/>
        <w:contextualSpacing/>
        <w:jc w:val="left"/>
        <w:rPr>
          <w:rFonts w:ascii="宋体" w:hAnsi="宋体" w:cs="宋体"/>
          <w:color w:val="auto"/>
          <w:szCs w:val="21"/>
          <w:highlight w:val="none"/>
        </w:rPr>
      </w:pPr>
    </w:p>
    <w:p w14:paraId="46ECD842">
      <w:pPr>
        <w:spacing w:line="360" w:lineRule="auto"/>
        <w:ind w:firstLine="560" w:firstLineChars="200"/>
        <w:contextualSpacing/>
        <w:jc w:val="left"/>
        <w:rPr>
          <w:rFonts w:ascii="宋体" w:hAnsi="宋体" w:cs="宋体"/>
          <w:color w:val="auto"/>
          <w:sz w:val="28"/>
          <w:szCs w:val="28"/>
          <w:highlight w:val="none"/>
        </w:rPr>
      </w:pPr>
    </w:p>
    <w:p w14:paraId="54C1DC42">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4C63275A">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3910CC14">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73B41F73">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7FF3FE4B">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189EBE89">
      <w:pPr>
        <w:snapToGrid w:val="0"/>
        <w:spacing w:line="360" w:lineRule="auto"/>
        <w:jc w:val="center"/>
        <w:rPr>
          <w:rFonts w:ascii="宋体" w:hAnsi="宋体"/>
          <w:b/>
          <w:color w:val="auto"/>
          <w:sz w:val="24"/>
          <w:highlight w:val="none"/>
        </w:rPr>
      </w:pPr>
    </w:p>
    <w:tbl>
      <w:tblPr>
        <w:tblStyle w:val="4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91CBC67">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91962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41991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F3790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31D7A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4F5EC1D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4BE03D">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EE590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2DD232">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19E745">
            <w:pPr>
              <w:widowControl/>
              <w:spacing w:line="360" w:lineRule="auto"/>
              <w:contextualSpacing/>
              <w:jc w:val="center"/>
              <w:rPr>
                <w:rFonts w:ascii="宋体" w:hAnsi="宋体" w:cs="宋体"/>
                <w:color w:val="auto"/>
                <w:kern w:val="0"/>
                <w:sz w:val="24"/>
                <w:highlight w:val="none"/>
              </w:rPr>
            </w:pPr>
          </w:p>
        </w:tc>
      </w:tr>
      <w:tr w14:paraId="2FFE572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647D3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4641EA">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BC8127D">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11204E">
            <w:pPr>
              <w:widowControl/>
              <w:spacing w:line="360" w:lineRule="auto"/>
              <w:contextualSpacing/>
              <w:jc w:val="center"/>
              <w:rPr>
                <w:rFonts w:ascii="宋体" w:hAnsi="宋体" w:cs="宋体"/>
                <w:color w:val="auto"/>
                <w:kern w:val="0"/>
                <w:sz w:val="24"/>
                <w:highlight w:val="none"/>
              </w:rPr>
            </w:pPr>
          </w:p>
        </w:tc>
      </w:tr>
      <w:tr w14:paraId="69E650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AC9FD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464B8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E5C6CC">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24C927">
            <w:pPr>
              <w:widowControl/>
              <w:spacing w:line="360" w:lineRule="auto"/>
              <w:contextualSpacing/>
              <w:jc w:val="center"/>
              <w:rPr>
                <w:rFonts w:ascii="宋体" w:hAnsi="宋体" w:cs="宋体"/>
                <w:color w:val="auto"/>
                <w:kern w:val="0"/>
                <w:sz w:val="24"/>
                <w:highlight w:val="none"/>
              </w:rPr>
            </w:pPr>
          </w:p>
        </w:tc>
      </w:tr>
      <w:tr w14:paraId="625B90C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638AB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312B62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438B9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8DF913">
            <w:pPr>
              <w:widowControl/>
              <w:spacing w:line="360" w:lineRule="auto"/>
              <w:contextualSpacing/>
              <w:jc w:val="center"/>
              <w:rPr>
                <w:rFonts w:ascii="宋体" w:hAnsi="宋体" w:cs="宋体"/>
                <w:color w:val="auto"/>
                <w:kern w:val="0"/>
                <w:sz w:val="24"/>
                <w:highlight w:val="none"/>
              </w:rPr>
            </w:pPr>
          </w:p>
        </w:tc>
      </w:tr>
    </w:tbl>
    <w:p w14:paraId="1CFAC26D">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544F440B">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BDCCEE4">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33F23E2">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CB23637">
      <w:pPr>
        <w:spacing w:line="360" w:lineRule="auto"/>
        <w:contextualSpacing/>
        <w:jc w:val="left"/>
        <w:rPr>
          <w:rFonts w:ascii="宋体" w:hAnsi="宋体"/>
          <w:color w:val="auto"/>
          <w:sz w:val="28"/>
          <w:szCs w:val="28"/>
          <w:highlight w:val="none"/>
        </w:rPr>
      </w:pPr>
    </w:p>
    <w:p w14:paraId="24893DF4">
      <w:pPr>
        <w:spacing w:line="360" w:lineRule="auto"/>
        <w:contextualSpacing/>
        <w:jc w:val="left"/>
        <w:rPr>
          <w:rFonts w:ascii="宋体" w:hAnsi="宋体"/>
          <w:color w:val="auto"/>
          <w:sz w:val="28"/>
          <w:szCs w:val="28"/>
          <w:highlight w:val="none"/>
        </w:rPr>
      </w:pPr>
    </w:p>
    <w:p w14:paraId="4C12A33C">
      <w:pPr>
        <w:spacing w:line="360" w:lineRule="auto"/>
        <w:contextualSpacing/>
        <w:jc w:val="left"/>
        <w:rPr>
          <w:color w:val="auto"/>
          <w:sz w:val="28"/>
          <w:szCs w:val="28"/>
          <w:highlight w:val="none"/>
        </w:rPr>
      </w:pPr>
    </w:p>
    <w:p w14:paraId="4C8E5A27">
      <w:pPr>
        <w:spacing w:line="360" w:lineRule="auto"/>
        <w:contextualSpacing/>
        <w:jc w:val="left"/>
        <w:rPr>
          <w:color w:val="auto"/>
          <w:sz w:val="28"/>
          <w:szCs w:val="28"/>
          <w:highlight w:val="none"/>
        </w:rPr>
      </w:pPr>
    </w:p>
    <w:p w14:paraId="2B7D0780">
      <w:pPr>
        <w:spacing w:line="360" w:lineRule="auto"/>
        <w:contextualSpacing/>
        <w:jc w:val="left"/>
        <w:rPr>
          <w:color w:val="auto"/>
          <w:sz w:val="28"/>
          <w:szCs w:val="28"/>
          <w:highlight w:val="none"/>
        </w:rPr>
      </w:pPr>
    </w:p>
    <w:p w14:paraId="35D0BEE6">
      <w:pPr>
        <w:spacing w:line="360" w:lineRule="auto"/>
        <w:contextualSpacing/>
        <w:jc w:val="left"/>
        <w:rPr>
          <w:rFonts w:ascii="宋体" w:hAnsi="宋体"/>
          <w:color w:val="auto"/>
          <w:sz w:val="28"/>
          <w:szCs w:val="28"/>
          <w:highlight w:val="none"/>
        </w:rPr>
      </w:pPr>
    </w:p>
    <w:p w14:paraId="684BD6FE">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0F42F0C5">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p>
    <w:p w14:paraId="7986633C">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44300952">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565ADB1B">
      <w:pPr>
        <w:spacing w:line="320" w:lineRule="exact"/>
        <w:jc w:val="center"/>
        <w:rPr>
          <w:rFonts w:ascii="宋体" w:hAnsi="宋体"/>
          <w:color w:val="auto"/>
          <w:sz w:val="24"/>
          <w:szCs w:val="20"/>
          <w:highlight w:val="none"/>
        </w:rPr>
      </w:pPr>
    </w:p>
    <w:p w14:paraId="1D94E4F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5FA21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28F3B4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2CFCD5B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3C4DF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32EF54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5C52F3B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5583F6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523B46B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A34BCB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8FF875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6512DEC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347D8DD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2C7B67A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037200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515F0CE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6BB1C9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B0B12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96D9A8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D9CCFE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AF754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w:t>
      </w:r>
    </w:p>
    <w:p w14:paraId="4395A16D">
      <w:pPr>
        <w:pStyle w:val="2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169306E1">
      <w:pPr>
        <w:pStyle w:val="2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电子邮箱：</w:t>
      </w:r>
    </w:p>
    <w:p w14:paraId="7B17E0A1">
      <w:pPr>
        <w:pStyle w:val="2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帐号：</w:t>
      </w:r>
    </w:p>
    <w:p w14:paraId="7C081D4A">
      <w:pPr>
        <w:pStyle w:val="22"/>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7939D588">
      <w:pPr>
        <w:pStyle w:val="22"/>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41F1F5BF">
      <w:pPr>
        <w:spacing w:line="360" w:lineRule="auto"/>
        <w:ind w:firstLine="482" w:firstLineChars="200"/>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6B16B09E">
      <w:pPr>
        <w:spacing w:line="360" w:lineRule="auto"/>
        <w:contextualSpacing/>
        <w:jc w:val="left"/>
        <w:rPr>
          <w:rFonts w:ascii="宋体" w:hAnsi="宋体" w:cs="宋体"/>
          <w:color w:val="auto"/>
          <w:szCs w:val="21"/>
          <w:highlight w:val="none"/>
        </w:rPr>
      </w:pPr>
    </w:p>
    <w:p w14:paraId="3AF7EB2E">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p>
    <w:p w14:paraId="0D245FE2">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p>
    <w:p w14:paraId="081DCB97">
      <w:pPr>
        <w:pStyle w:val="22"/>
        <w:tabs>
          <w:tab w:val="left" w:pos="939"/>
        </w:tabs>
        <w:spacing w:line="360" w:lineRule="auto"/>
        <w:ind w:left="0" w:leftChars="0" w:firstLine="420" w:firstLineChars="200"/>
        <w:rPr>
          <w:color w:val="auto"/>
          <w:sz w:val="24"/>
          <w:highlight w:val="none"/>
        </w:rPr>
      </w:pPr>
      <w:r>
        <w:rPr>
          <w:rFonts w:hint="eastAsia"/>
          <w:color w:val="auto"/>
          <w:highlight w:val="none"/>
          <w:u w:val="single"/>
        </w:rPr>
        <w:t xml:space="preserve">    年  月  日</w:t>
      </w:r>
    </w:p>
    <w:p w14:paraId="19FFCCBB">
      <w:pPr>
        <w:rPr>
          <w:rFonts w:hint="eastAsia" w:ascii="宋体" w:hAnsi="宋体" w:cs="方正小标宋简体"/>
          <w:b/>
          <w:color w:val="auto"/>
          <w:sz w:val="32"/>
          <w:szCs w:val="32"/>
          <w:highlight w:val="none"/>
        </w:rPr>
      </w:pPr>
      <w:r>
        <w:rPr>
          <w:rFonts w:hint="eastAsia"/>
          <w:color w:val="auto"/>
          <w:sz w:val="24"/>
          <w:highlight w:val="none"/>
        </w:rPr>
        <w:br w:type="page"/>
      </w:r>
    </w:p>
    <w:p w14:paraId="027A443E">
      <w:pPr>
        <w:spacing w:line="360" w:lineRule="auto"/>
        <w:ind w:firstLine="321" w:firstLineChars="1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3E374565">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4FD6C4A5">
      <w:pPr>
        <w:snapToGrid w:val="0"/>
        <w:spacing w:beforeLines="50" w:after="50"/>
        <w:rPr>
          <w:rFonts w:ascii="宋体" w:hAnsi="宋体"/>
          <w:bCs/>
          <w:color w:val="auto"/>
          <w:sz w:val="32"/>
          <w:szCs w:val="20"/>
          <w:highlight w:val="none"/>
        </w:rPr>
      </w:pPr>
    </w:p>
    <w:p w14:paraId="46B5F1F0">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1F1B9BB">
      <w:pPr>
        <w:snapToGrid w:val="0"/>
        <w:spacing w:beforeLines="50" w:after="50"/>
        <w:rPr>
          <w:rFonts w:ascii="宋体" w:hAnsi="宋体"/>
          <w:color w:val="auto"/>
          <w:sz w:val="24"/>
          <w:szCs w:val="20"/>
          <w:highlight w:val="none"/>
        </w:rPr>
      </w:pPr>
    </w:p>
    <w:p w14:paraId="57994A83">
      <w:pPr>
        <w:snapToGrid w:val="0"/>
        <w:spacing w:beforeLines="50" w:after="50"/>
        <w:rPr>
          <w:rFonts w:ascii="宋体" w:hAnsi="宋体"/>
          <w:color w:val="auto"/>
          <w:sz w:val="24"/>
          <w:szCs w:val="20"/>
          <w:highlight w:val="none"/>
        </w:rPr>
      </w:pPr>
    </w:p>
    <w:p w14:paraId="414790EC">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106D01CE">
      <w:pPr>
        <w:snapToGrid w:val="0"/>
        <w:spacing w:beforeLines="50" w:after="50"/>
        <w:rPr>
          <w:rFonts w:ascii="宋体" w:hAnsi="宋体"/>
          <w:bCs/>
          <w:color w:val="auto"/>
          <w:sz w:val="24"/>
          <w:szCs w:val="20"/>
          <w:highlight w:val="none"/>
        </w:rPr>
      </w:pPr>
    </w:p>
    <w:p w14:paraId="07314AE8">
      <w:pPr>
        <w:snapToGrid w:val="0"/>
        <w:spacing w:beforeLines="50" w:after="50"/>
        <w:rPr>
          <w:rFonts w:ascii="宋体" w:hAnsi="宋体"/>
          <w:bCs/>
          <w:color w:val="auto"/>
          <w:sz w:val="24"/>
          <w:szCs w:val="20"/>
          <w:highlight w:val="none"/>
        </w:rPr>
      </w:pPr>
    </w:p>
    <w:p w14:paraId="78DEC1B5">
      <w:pPr>
        <w:snapToGrid w:val="0"/>
        <w:spacing w:beforeLines="50" w:after="50"/>
        <w:rPr>
          <w:rFonts w:ascii="宋体" w:hAnsi="宋体"/>
          <w:bCs/>
          <w:color w:val="auto"/>
          <w:sz w:val="24"/>
          <w:szCs w:val="20"/>
          <w:highlight w:val="none"/>
        </w:rPr>
      </w:pPr>
    </w:p>
    <w:p w14:paraId="33B5A11F">
      <w:pPr>
        <w:snapToGrid w:val="0"/>
        <w:spacing w:beforeLines="50" w:after="50"/>
        <w:rPr>
          <w:rFonts w:ascii="宋体" w:hAnsi="宋体"/>
          <w:bCs/>
          <w:color w:val="auto"/>
          <w:sz w:val="24"/>
          <w:szCs w:val="20"/>
          <w:highlight w:val="none"/>
        </w:rPr>
      </w:pPr>
    </w:p>
    <w:p w14:paraId="51F5C3CA">
      <w:pPr>
        <w:snapToGrid w:val="0"/>
        <w:spacing w:beforeLines="50" w:after="50"/>
        <w:rPr>
          <w:rFonts w:ascii="宋体" w:hAnsi="宋体"/>
          <w:bCs/>
          <w:color w:val="auto"/>
          <w:sz w:val="24"/>
          <w:szCs w:val="20"/>
          <w:highlight w:val="none"/>
        </w:rPr>
      </w:pPr>
    </w:p>
    <w:p w14:paraId="7F5C73D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AB2456B">
      <w:pPr>
        <w:snapToGrid w:val="0"/>
        <w:spacing w:beforeLines="50" w:after="50"/>
        <w:ind w:firstLine="720" w:firstLineChars="225"/>
        <w:rPr>
          <w:rFonts w:ascii="宋体" w:hAnsi="宋体" w:cs="仿宋_GB2312"/>
          <w:bCs/>
          <w:color w:val="auto"/>
          <w:sz w:val="32"/>
          <w:szCs w:val="32"/>
          <w:highlight w:val="none"/>
        </w:rPr>
      </w:pPr>
    </w:p>
    <w:p w14:paraId="4D7B84F4">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4A7CC27">
      <w:pPr>
        <w:snapToGrid w:val="0"/>
        <w:spacing w:beforeLines="50" w:after="50"/>
        <w:ind w:firstLine="720" w:firstLineChars="225"/>
        <w:rPr>
          <w:rFonts w:ascii="宋体" w:hAnsi="宋体" w:cs="仿宋_GB2312"/>
          <w:bCs/>
          <w:color w:val="auto"/>
          <w:sz w:val="32"/>
          <w:szCs w:val="32"/>
          <w:highlight w:val="none"/>
        </w:rPr>
      </w:pPr>
    </w:p>
    <w:p w14:paraId="7858C0F7">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C861210">
      <w:pPr>
        <w:snapToGrid w:val="0"/>
        <w:spacing w:beforeLines="50" w:after="50"/>
        <w:ind w:firstLine="720" w:firstLineChars="225"/>
        <w:rPr>
          <w:rFonts w:ascii="宋体" w:hAnsi="宋体" w:cs="仿宋_GB2312"/>
          <w:bCs/>
          <w:color w:val="auto"/>
          <w:sz w:val="32"/>
          <w:szCs w:val="32"/>
          <w:highlight w:val="none"/>
        </w:rPr>
      </w:pPr>
    </w:p>
    <w:p w14:paraId="2FAD9EBE">
      <w:pPr>
        <w:pStyle w:val="10"/>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07107D0">
      <w:pPr>
        <w:pStyle w:val="10"/>
        <w:snapToGrid w:val="0"/>
        <w:spacing w:before="50" w:after="50"/>
        <w:ind w:firstLine="640" w:firstLineChars="200"/>
        <w:rPr>
          <w:rFonts w:ascii="宋体" w:hAnsi="宋体" w:cs="仿宋_GB2312"/>
          <w:bCs/>
          <w:color w:val="auto"/>
          <w:sz w:val="32"/>
          <w:szCs w:val="32"/>
          <w:highlight w:val="none"/>
        </w:rPr>
      </w:pPr>
    </w:p>
    <w:p w14:paraId="0E1D6B07">
      <w:pPr>
        <w:pStyle w:val="10"/>
        <w:snapToGrid w:val="0"/>
        <w:spacing w:before="50" w:after="50"/>
        <w:ind w:firstLine="720" w:firstLineChars="225"/>
        <w:rPr>
          <w:rFonts w:ascii="宋体" w:hAnsi="宋体" w:cs="仿宋_GB2312"/>
          <w:bCs/>
          <w:color w:val="auto"/>
          <w:sz w:val="32"/>
          <w:szCs w:val="32"/>
          <w:highlight w:val="none"/>
        </w:rPr>
      </w:pPr>
    </w:p>
    <w:p w14:paraId="61C5F123">
      <w:pPr>
        <w:pStyle w:val="10"/>
        <w:snapToGrid w:val="0"/>
        <w:spacing w:before="50" w:after="50"/>
        <w:ind w:firstLine="0"/>
        <w:rPr>
          <w:rFonts w:ascii="宋体" w:hAnsi="宋体" w:cs="仿宋_GB2312"/>
          <w:bCs/>
          <w:color w:val="auto"/>
          <w:sz w:val="32"/>
          <w:szCs w:val="32"/>
          <w:highlight w:val="none"/>
        </w:rPr>
      </w:pPr>
    </w:p>
    <w:p w14:paraId="1D4C733B">
      <w:pPr>
        <w:pStyle w:val="10"/>
        <w:snapToGrid w:val="0"/>
        <w:spacing w:before="50" w:after="50"/>
        <w:ind w:firstLine="1280" w:firstLineChars="400"/>
        <w:rPr>
          <w:rFonts w:ascii="宋体" w:hAnsi="宋体" w:cs="仿宋_GB2312"/>
          <w:bCs/>
          <w:color w:val="auto"/>
          <w:sz w:val="32"/>
          <w:szCs w:val="32"/>
          <w:highlight w:val="none"/>
        </w:rPr>
      </w:pPr>
    </w:p>
    <w:p w14:paraId="2EEDE097">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C42688F">
      <w:pPr>
        <w:snapToGrid w:val="0"/>
        <w:spacing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4B0D29BB">
      <w:pPr>
        <w:spacing w:line="520" w:lineRule="exact"/>
        <w:jc w:val="center"/>
        <w:rPr>
          <w:rFonts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宋体" w:hAnsi="宋体" w:cs="方正小标宋简体"/>
          <w:b/>
          <w:bCs/>
          <w:color w:val="auto"/>
          <w:sz w:val="32"/>
          <w:szCs w:val="32"/>
          <w:highlight w:val="none"/>
        </w:rPr>
        <w:t>竞标函及竞标函附录</w:t>
      </w:r>
    </w:p>
    <w:p w14:paraId="2E1A6C53">
      <w:pPr>
        <w:spacing w:line="520" w:lineRule="exact"/>
        <w:jc w:val="center"/>
        <w:rPr>
          <w:rFonts w:ascii="宋体" w:hAnsi="宋体" w:cs="方正小标宋简体"/>
          <w:b/>
          <w:bCs/>
          <w:color w:val="auto"/>
          <w:sz w:val="32"/>
          <w:szCs w:val="32"/>
          <w:highlight w:val="none"/>
        </w:rPr>
      </w:pPr>
    </w:p>
    <w:p w14:paraId="550B2EE1">
      <w:pPr>
        <w:spacing w:line="520" w:lineRule="exact"/>
        <w:jc w:val="center"/>
        <w:rPr>
          <w:rFonts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4065DBAE">
      <w:pPr>
        <w:spacing w:line="520" w:lineRule="exact"/>
        <w:jc w:val="center"/>
        <w:rPr>
          <w:rFonts w:ascii="宋体" w:hAnsi="宋体" w:cs="方正小标宋简体"/>
          <w:b/>
          <w:bCs/>
          <w:color w:val="auto"/>
          <w:sz w:val="32"/>
          <w:szCs w:val="32"/>
          <w:highlight w:val="none"/>
        </w:rPr>
      </w:pPr>
    </w:p>
    <w:p w14:paraId="55E08915">
      <w:pPr>
        <w:spacing w:line="360" w:lineRule="auto"/>
        <w:rPr>
          <w:color w:val="auto"/>
          <w:szCs w:val="21"/>
          <w:highlight w:val="none"/>
        </w:rPr>
      </w:pPr>
      <w:r>
        <w:rPr>
          <w:color w:val="auto"/>
          <w:szCs w:val="21"/>
          <w:highlight w:val="none"/>
        </w:rPr>
        <w:t>（</w:t>
      </w:r>
      <w:r>
        <w:rPr>
          <w:rFonts w:hint="eastAsia"/>
          <w:color w:val="auto"/>
          <w:szCs w:val="21"/>
          <w:highlight w:val="none"/>
          <w:lang w:val="zh-CN" w:bidi="zh-CN"/>
        </w:rPr>
        <w:t>采购人</w:t>
      </w:r>
      <w:r>
        <w:rPr>
          <w:color w:val="auto"/>
          <w:szCs w:val="21"/>
          <w:highlight w:val="none"/>
          <w:lang w:val="zh-CN" w:bidi="zh-CN"/>
        </w:rPr>
        <w:t>名称</w:t>
      </w:r>
      <w:r>
        <w:rPr>
          <w:color w:val="auto"/>
          <w:szCs w:val="21"/>
          <w:highlight w:val="none"/>
        </w:rPr>
        <w:t>）：</w:t>
      </w:r>
    </w:p>
    <w:p w14:paraId="62FAF48D">
      <w:pPr>
        <w:pStyle w:val="96"/>
        <w:numPr>
          <w:ilvl w:val="0"/>
          <w:numId w:val="3"/>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101" w:name="bookmark2065"/>
      <w:bookmarkEnd w:id="101"/>
      <w:r>
        <w:rPr>
          <w:rFonts w:ascii="Times New Roman" w:hAnsi="Times New Roman" w:cs="Times New Roman"/>
          <w:color w:val="auto"/>
          <w:szCs w:val="21"/>
          <w:highlight w:val="none"/>
        </w:rPr>
        <w:t>我方已仔细研究了</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文件的全部内容，愿意以人民币</w:t>
      </w:r>
      <w:r>
        <w:rPr>
          <w:rFonts w:ascii="Times New Roman" w:hAnsi="Times New Roman" w:cs="Times New Roman"/>
          <w:color w:val="auto"/>
          <w:szCs w:val="21"/>
          <w:highlight w:val="none"/>
          <w:u w:val="single"/>
        </w:rPr>
        <w:t>（大写）</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w:t>
      </w:r>
      <w:r>
        <w:rPr>
          <w:rFonts w:ascii="Times New Roman" w:hAnsi="Times New Roman" w:cs="Times New Roman"/>
          <w:color w:val="auto"/>
          <w:szCs w:val="21"/>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标总报价，工期</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rPr>
        <w:t>日历天，按合同约定实施和完成承包工程，修补工程中的任何缺陷，工程质量达到</w:t>
      </w:r>
      <w:r>
        <w:rPr>
          <w:rFonts w:hint="eastAsia" w:ascii="Times New Roman" w:hAnsi="Times New Roman" w:cs="Times New Roman"/>
          <w:color w:val="auto"/>
          <w:szCs w:val="21"/>
          <w:highlight w:val="none"/>
        </w:rPr>
        <w:t>标准</w:t>
      </w:r>
      <w:r>
        <w:rPr>
          <w:rFonts w:ascii="Times New Roman" w:hAnsi="Times New Roman" w:cs="Times New Roman"/>
          <w:color w:val="auto"/>
          <w:szCs w:val="21"/>
          <w:highlight w:val="none"/>
          <w:lang w:val="en-US" w:bidi="en-US"/>
        </w:rPr>
        <w:t>。</w:t>
      </w:r>
    </w:p>
    <w:p w14:paraId="3F2C5ABB">
      <w:pPr>
        <w:pStyle w:val="96"/>
        <w:numPr>
          <w:ilvl w:val="0"/>
          <w:numId w:val="3"/>
        </w:numPr>
        <w:tabs>
          <w:tab w:val="left" w:pos="762"/>
        </w:tabs>
        <w:ind w:firstLine="420"/>
        <w:rPr>
          <w:rFonts w:ascii="Times New Roman" w:hAnsi="Times New Roman" w:cs="Times New Roman"/>
          <w:color w:val="auto"/>
          <w:szCs w:val="21"/>
          <w:highlight w:val="none"/>
        </w:rPr>
      </w:pPr>
      <w:bookmarkStart w:id="102" w:name="bookmark2067"/>
      <w:bookmarkEnd w:id="102"/>
      <w:bookmarkStart w:id="103" w:name="bookmark2068"/>
      <w:bookmarkEnd w:id="103"/>
      <w:bookmarkStart w:id="104" w:name="bookmark2066"/>
      <w:bookmarkEnd w:id="104"/>
      <w:r>
        <w:rPr>
          <w:rFonts w:hint="eastAsia"/>
          <w:color w:val="auto"/>
          <w:highlight w:val="none"/>
        </w:rPr>
        <w:t>我方承认竞标函附录是我方竞标函的组成部分。</w:t>
      </w:r>
    </w:p>
    <w:p w14:paraId="54AA9696">
      <w:pPr>
        <w:pStyle w:val="96"/>
        <w:numPr>
          <w:ilvl w:val="0"/>
          <w:numId w:val="3"/>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578E3692">
      <w:pPr>
        <w:pStyle w:val="96"/>
        <w:tabs>
          <w:tab w:val="left" w:pos="903"/>
        </w:tabs>
        <w:ind w:firstLine="420"/>
        <w:rPr>
          <w:rFonts w:ascii="Times New Roman" w:hAnsi="Times New Roman" w:cs="Times New Roman"/>
          <w:color w:val="auto"/>
          <w:szCs w:val="21"/>
          <w:highlight w:val="none"/>
        </w:rPr>
      </w:pPr>
      <w:bookmarkStart w:id="105" w:name="bookmark2069"/>
      <w:r>
        <w:rPr>
          <w:rFonts w:ascii="Times New Roman" w:hAnsi="Times New Roman" w:cs="Times New Roman"/>
          <w:color w:val="auto"/>
          <w:szCs w:val="21"/>
          <w:highlight w:val="none"/>
        </w:rPr>
        <w:t>（</w:t>
      </w:r>
      <w:bookmarkEnd w:id="105"/>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4DA5428C">
      <w:pPr>
        <w:pStyle w:val="96"/>
        <w:tabs>
          <w:tab w:val="left" w:pos="903"/>
        </w:tabs>
        <w:ind w:firstLine="420"/>
        <w:rPr>
          <w:rFonts w:ascii="Times New Roman" w:hAnsi="Times New Roman" w:cs="Times New Roman"/>
          <w:color w:val="auto"/>
          <w:szCs w:val="21"/>
          <w:highlight w:val="none"/>
        </w:rPr>
      </w:pPr>
      <w:bookmarkStart w:id="106" w:name="bookmark2070"/>
      <w:r>
        <w:rPr>
          <w:rFonts w:ascii="Times New Roman" w:hAnsi="Times New Roman" w:cs="Times New Roman"/>
          <w:color w:val="auto"/>
          <w:szCs w:val="21"/>
          <w:highlight w:val="none"/>
        </w:rPr>
        <w:t>（</w:t>
      </w:r>
      <w:bookmarkEnd w:id="106"/>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7011BB72">
      <w:pPr>
        <w:pStyle w:val="96"/>
        <w:tabs>
          <w:tab w:val="left" w:pos="903"/>
        </w:tabs>
        <w:ind w:firstLine="420"/>
        <w:rPr>
          <w:rFonts w:ascii="Times New Roman" w:hAnsi="Times New Roman" w:cs="Times New Roman"/>
          <w:color w:val="auto"/>
          <w:szCs w:val="21"/>
          <w:highlight w:val="none"/>
        </w:rPr>
      </w:pPr>
      <w:bookmarkStart w:id="107" w:name="bookmark2071"/>
      <w:r>
        <w:rPr>
          <w:rFonts w:ascii="Times New Roman" w:hAnsi="Times New Roman" w:cs="Times New Roman"/>
          <w:color w:val="auto"/>
          <w:szCs w:val="21"/>
          <w:highlight w:val="none"/>
        </w:rPr>
        <w:t>（</w:t>
      </w:r>
      <w:bookmarkEnd w:id="107"/>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3F213E21">
      <w:pPr>
        <w:pStyle w:val="96"/>
        <w:tabs>
          <w:tab w:val="left" w:pos="903"/>
        </w:tabs>
        <w:ind w:firstLine="420"/>
        <w:rPr>
          <w:rFonts w:ascii="Times New Roman" w:hAnsi="Times New Roman" w:cs="Times New Roman"/>
          <w:color w:val="auto"/>
          <w:szCs w:val="21"/>
          <w:highlight w:val="none"/>
        </w:rPr>
      </w:pPr>
      <w:bookmarkStart w:id="108" w:name="bookmark2072"/>
      <w:r>
        <w:rPr>
          <w:rFonts w:ascii="Times New Roman" w:hAnsi="Times New Roman" w:cs="Times New Roman"/>
          <w:color w:val="auto"/>
          <w:szCs w:val="21"/>
          <w:highlight w:val="none"/>
        </w:rPr>
        <w:t>（</w:t>
      </w:r>
      <w:bookmarkEnd w:id="108"/>
      <w:r>
        <w:rPr>
          <w:rFonts w:ascii="Times New Roman" w:hAnsi="Times New Roman" w:cs="Times New Roman"/>
          <w:color w:val="auto"/>
          <w:szCs w:val="21"/>
          <w:highlight w:val="none"/>
        </w:rPr>
        <w:t>4）我方承诺在合同约定的期限内完成并移交全部合同工程。</w:t>
      </w:r>
    </w:p>
    <w:p w14:paraId="2A6A8E56">
      <w:pPr>
        <w:pStyle w:val="96"/>
        <w:numPr>
          <w:ilvl w:val="0"/>
          <w:numId w:val="3"/>
        </w:numPr>
        <w:tabs>
          <w:tab w:val="left" w:pos="762"/>
        </w:tabs>
        <w:ind w:firstLine="440"/>
        <w:rPr>
          <w:rFonts w:ascii="Times New Roman" w:hAnsi="Times New Roman" w:cs="Times New Roman"/>
          <w:color w:val="auto"/>
          <w:szCs w:val="21"/>
          <w:highlight w:val="none"/>
        </w:rPr>
      </w:pPr>
      <w:bookmarkStart w:id="109" w:name="bookmark2073"/>
      <w:bookmarkEnd w:id="109"/>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33C60D8E">
      <w:pPr>
        <w:spacing w:line="360" w:lineRule="auto"/>
        <w:ind w:firstLine="420" w:firstLineChars="200"/>
        <w:rPr>
          <w:color w:val="auto"/>
          <w:szCs w:val="21"/>
          <w:highlight w:val="none"/>
        </w:rPr>
      </w:pPr>
      <w:bookmarkStart w:id="110" w:name="bookmark2074"/>
      <w:bookmarkEnd w:id="110"/>
      <w:r>
        <w:rPr>
          <w:rFonts w:hint="eastAsia"/>
          <w:color w:val="auto"/>
          <w:szCs w:val="21"/>
          <w:highlight w:val="none"/>
        </w:rPr>
        <w:t>5.</w:t>
      </w:r>
      <w:r>
        <w:rPr>
          <w:color w:val="auto"/>
          <w:szCs w:val="21"/>
          <w:highlight w:val="none"/>
        </w:rPr>
        <w:t>（其他补充说明）。</w:t>
      </w:r>
    </w:p>
    <w:p w14:paraId="520E3FED">
      <w:pPr>
        <w:spacing w:line="360" w:lineRule="auto"/>
        <w:jc w:val="center"/>
        <w:rPr>
          <w:rFonts w:ascii="宋体" w:hAnsi="宋体" w:cs="方正小标宋简体"/>
          <w:b/>
          <w:bCs/>
          <w:color w:val="auto"/>
          <w:sz w:val="32"/>
          <w:szCs w:val="32"/>
          <w:highlight w:val="none"/>
        </w:rPr>
      </w:pPr>
    </w:p>
    <w:p w14:paraId="399A2155">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E385C36">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6D403FDC">
      <w:pPr>
        <w:spacing w:line="360" w:lineRule="auto"/>
        <w:jc w:val="center"/>
        <w:rPr>
          <w:rFonts w:ascii="宋体" w:hAnsi="宋体" w:cs="方正小标宋简体"/>
          <w:b/>
          <w:bCs/>
          <w:color w:val="auto"/>
          <w:sz w:val="32"/>
          <w:szCs w:val="32"/>
          <w:highlight w:val="none"/>
        </w:rPr>
      </w:pPr>
      <w:r>
        <w:rPr>
          <w:rFonts w:hint="eastAsia" w:ascii="宋体" w:hAnsi="宋体" w:cs="仿宋_GB2312"/>
          <w:color w:val="auto"/>
          <w:sz w:val="24"/>
          <w:highlight w:val="none"/>
        </w:rPr>
        <w:t>日期：   年   月   日</w:t>
      </w:r>
      <w:r>
        <w:rPr>
          <w:rFonts w:ascii="宋体" w:hAnsi="宋体" w:cs="方正小标宋简体"/>
          <w:b/>
          <w:bCs/>
          <w:color w:val="auto"/>
          <w:sz w:val="32"/>
          <w:szCs w:val="32"/>
          <w:highlight w:val="none"/>
        </w:rPr>
        <w:br w:type="page"/>
      </w:r>
      <w:r>
        <w:rPr>
          <w:rFonts w:hint="eastAsia" w:ascii="宋体" w:hAnsi="宋体" w:cs="方正小标宋简体"/>
          <w:b/>
          <w:bCs/>
          <w:color w:val="auto"/>
          <w:sz w:val="32"/>
          <w:szCs w:val="32"/>
          <w:highlight w:val="none"/>
        </w:rPr>
        <w:t>（二）竞标函附录</w:t>
      </w:r>
    </w:p>
    <w:p w14:paraId="2DBE6446">
      <w:pPr>
        <w:spacing w:line="360" w:lineRule="auto"/>
        <w:jc w:val="center"/>
        <w:rPr>
          <w:rFonts w:ascii="宋体" w:hAnsi="宋体"/>
          <w:b/>
          <w:bCs/>
          <w:color w:val="auto"/>
          <w:sz w:val="32"/>
          <w:szCs w:val="32"/>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800"/>
        <w:gridCol w:w="1515"/>
        <w:gridCol w:w="3630"/>
        <w:gridCol w:w="1206"/>
      </w:tblGrid>
      <w:tr w14:paraId="789E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1B86D65">
            <w:pPr>
              <w:jc w:val="center"/>
              <w:rPr>
                <w:color w:val="auto"/>
                <w:highlight w:val="none"/>
              </w:rPr>
            </w:pPr>
            <w:r>
              <w:rPr>
                <w:rFonts w:hint="eastAsia" w:cs="宋体"/>
                <w:color w:val="auto"/>
                <w:highlight w:val="none"/>
              </w:rPr>
              <w:t>序号</w:t>
            </w:r>
          </w:p>
        </w:tc>
        <w:tc>
          <w:tcPr>
            <w:tcW w:w="1800" w:type="dxa"/>
            <w:vAlign w:val="center"/>
          </w:tcPr>
          <w:p w14:paraId="4FEDFAFF">
            <w:pPr>
              <w:jc w:val="center"/>
              <w:rPr>
                <w:color w:val="auto"/>
                <w:highlight w:val="none"/>
              </w:rPr>
            </w:pPr>
            <w:r>
              <w:rPr>
                <w:rFonts w:hint="eastAsia" w:cs="宋体"/>
                <w:color w:val="auto"/>
                <w:highlight w:val="none"/>
              </w:rPr>
              <w:t>条款内容</w:t>
            </w:r>
          </w:p>
        </w:tc>
        <w:tc>
          <w:tcPr>
            <w:tcW w:w="1515" w:type="dxa"/>
            <w:vAlign w:val="center"/>
          </w:tcPr>
          <w:p w14:paraId="24B69FFE">
            <w:pPr>
              <w:jc w:val="center"/>
              <w:rPr>
                <w:color w:val="auto"/>
                <w:highlight w:val="none"/>
              </w:rPr>
            </w:pPr>
            <w:r>
              <w:rPr>
                <w:rFonts w:hint="eastAsia" w:cs="宋体"/>
                <w:color w:val="auto"/>
                <w:highlight w:val="none"/>
              </w:rPr>
              <w:t>合同条款号</w:t>
            </w:r>
          </w:p>
        </w:tc>
        <w:tc>
          <w:tcPr>
            <w:tcW w:w="3630" w:type="dxa"/>
            <w:vAlign w:val="center"/>
          </w:tcPr>
          <w:p w14:paraId="51CE89A6">
            <w:pPr>
              <w:jc w:val="center"/>
              <w:rPr>
                <w:color w:val="auto"/>
                <w:highlight w:val="none"/>
              </w:rPr>
            </w:pPr>
            <w:r>
              <w:rPr>
                <w:rFonts w:hint="eastAsia" w:cs="宋体"/>
                <w:color w:val="auto"/>
                <w:highlight w:val="none"/>
              </w:rPr>
              <w:t>约定内容</w:t>
            </w:r>
          </w:p>
        </w:tc>
        <w:tc>
          <w:tcPr>
            <w:tcW w:w="1206" w:type="dxa"/>
            <w:vAlign w:val="center"/>
          </w:tcPr>
          <w:p w14:paraId="7343B2EB">
            <w:pPr>
              <w:jc w:val="center"/>
              <w:rPr>
                <w:color w:val="auto"/>
                <w:highlight w:val="none"/>
              </w:rPr>
            </w:pPr>
            <w:r>
              <w:rPr>
                <w:rFonts w:hint="eastAsia" w:cs="宋体"/>
                <w:color w:val="auto"/>
                <w:highlight w:val="none"/>
              </w:rPr>
              <w:t>供应商响应情况</w:t>
            </w:r>
          </w:p>
        </w:tc>
      </w:tr>
      <w:tr w14:paraId="6BC4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63A01421">
            <w:pPr>
              <w:jc w:val="center"/>
              <w:rPr>
                <w:color w:val="auto"/>
                <w:highlight w:val="none"/>
              </w:rPr>
            </w:pPr>
            <w:r>
              <w:rPr>
                <w:color w:val="auto"/>
                <w:highlight w:val="none"/>
              </w:rPr>
              <w:t>1</w:t>
            </w:r>
          </w:p>
        </w:tc>
        <w:tc>
          <w:tcPr>
            <w:tcW w:w="1800" w:type="dxa"/>
            <w:vAlign w:val="center"/>
          </w:tcPr>
          <w:p w14:paraId="6FC78ABA">
            <w:pPr>
              <w:rPr>
                <w:color w:val="auto"/>
                <w:highlight w:val="none"/>
              </w:rPr>
            </w:pPr>
            <w:r>
              <w:rPr>
                <w:rFonts w:hint="eastAsia" w:cs="宋体"/>
                <w:color w:val="auto"/>
                <w:highlight w:val="none"/>
              </w:rPr>
              <w:t>项目经理</w:t>
            </w:r>
          </w:p>
        </w:tc>
        <w:tc>
          <w:tcPr>
            <w:tcW w:w="1515" w:type="dxa"/>
            <w:tcMar>
              <w:left w:w="170" w:type="dxa"/>
            </w:tcMar>
            <w:vAlign w:val="center"/>
          </w:tcPr>
          <w:p w14:paraId="6E8BDC45">
            <w:pPr>
              <w:jc w:val="center"/>
              <w:rPr>
                <w:color w:val="auto"/>
                <w:highlight w:val="none"/>
              </w:rPr>
            </w:pPr>
            <w:r>
              <w:rPr>
                <w:rFonts w:hint="eastAsia" w:cs="宋体"/>
                <w:color w:val="auto"/>
                <w:highlight w:val="none"/>
              </w:rPr>
              <w:t>专用条款</w:t>
            </w:r>
          </w:p>
        </w:tc>
        <w:tc>
          <w:tcPr>
            <w:tcW w:w="3630" w:type="dxa"/>
            <w:vAlign w:val="center"/>
          </w:tcPr>
          <w:p w14:paraId="769BE0C3">
            <w:pPr>
              <w:rPr>
                <w:color w:val="auto"/>
                <w:highlight w:val="none"/>
              </w:rPr>
            </w:pPr>
            <w:r>
              <w:rPr>
                <w:rFonts w:hint="eastAsia" w:cs="宋体"/>
                <w:color w:val="auto"/>
                <w:highlight w:val="none"/>
              </w:rPr>
              <w:t>姓名：</w:t>
            </w:r>
          </w:p>
        </w:tc>
        <w:tc>
          <w:tcPr>
            <w:tcW w:w="1206" w:type="dxa"/>
            <w:vAlign w:val="center"/>
          </w:tcPr>
          <w:p w14:paraId="59FD184A">
            <w:pPr>
              <w:jc w:val="center"/>
              <w:rPr>
                <w:color w:val="auto"/>
                <w:highlight w:val="none"/>
              </w:rPr>
            </w:pPr>
          </w:p>
        </w:tc>
      </w:tr>
      <w:tr w14:paraId="0CB6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747977F0">
            <w:pPr>
              <w:jc w:val="center"/>
              <w:rPr>
                <w:color w:val="auto"/>
                <w:highlight w:val="none"/>
              </w:rPr>
            </w:pPr>
            <w:r>
              <w:rPr>
                <w:color w:val="auto"/>
                <w:highlight w:val="none"/>
              </w:rPr>
              <w:t>2</w:t>
            </w:r>
          </w:p>
        </w:tc>
        <w:tc>
          <w:tcPr>
            <w:tcW w:w="1800" w:type="dxa"/>
            <w:vAlign w:val="center"/>
          </w:tcPr>
          <w:p w14:paraId="4D8B86DC">
            <w:pPr>
              <w:rPr>
                <w:color w:val="auto"/>
                <w:highlight w:val="none"/>
              </w:rPr>
            </w:pPr>
            <w:r>
              <w:rPr>
                <w:rFonts w:hint="eastAsia" w:cs="宋体"/>
                <w:color w:val="auto"/>
                <w:highlight w:val="none"/>
              </w:rPr>
              <w:t>竞标有效期</w:t>
            </w:r>
          </w:p>
        </w:tc>
        <w:tc>
          <w:tcPr>
            <w:tcW w:w="1515" w:type="dxa"/>
            <w:tcMar>
              <w:left w:w="170" w:type="dxa"/>
            </w:tcMar>
            <w:vAlign w:val="center"/>
          </w:tcPr>
          <w:p w14:paraId="7C2579EF">
            <w:pPr>
              <w:rPr>
                <w:color w:val="auto"/>
                <w:highlight w:val="none"/>
              </w:rPr>
            </w:pPr>
          </w:p>
        </w:tc>
        <w:tc>
          <w:tcPr>
            <w:tcW w:w="3630" w:type="dxa"/>
            <w:vAlign w:val="center"/>
          </w:tcPr>
          <w:p w14:paraId="2676D7F2">
            <w:pPr>
              <w:jc w:val="center"/>
              <w:rPr>
                <w:color w:val="auto"/>
                <w:highlight w:val="none"/>
                <w:u w:val="singl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p>
        </w:tc>
        <w:tc>
          <w:tcPr>
            <w:tcW w:w="1206" w:type="dxa"/>
            <w:vAlign w:val="center"/>
          </w:tcPr>
          <w:p w14:paraId="219BB052">
            <w:pPr>
              <w:jc w:val="center"/>
              <w:rPr>
                <w:color w:val="auto"/>
                <w:highlight w:val="none"/>
              </w:rPr>
            </w:pPr>
          </w:p>
        </w:tc>
      </w:tr>
      <w:tr w14:paraId="6A7C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64F7BCC">
            <w:pPr>
              <w:jc w:val="center"/>
              <w:rPr>
                <w:color w:val="auto"/>
                <w:highlight w:val="none"/>
              </w:rPr>
            </w:pPr>
            <w:r>
              <w:rPr>
                <w:color w:val="auto"/>
                <w:highlight w:val="none"/>
              </w:rPr>
              <w:t>3</w:t>
            </w:r>
          </w:p>
        </w:tc>
        <w:tc>
          <w:tcPr>
            <w:tcW w:w="1800" w:type="dxa"/>
            <w:vAlign w:val="center"/>
          </w:tcPr>
          <w:p w14:paraId="550ACF85">
            <w:pPr>
              <w:rPr>
                <w:color w:val="auto"/>
                <w:highlight w:val="none"/>
              </w:rPr>
            </w:pPr>
            <w:r>
              <w:rPr>
                <w:rFonts w:hint="eastAsia" w:cs="宋体"/>
                <w:color w:val="auto"/>
                <w:highlight w:val="none"/>
              </w:rPr>
              <w:t>工期</w:t>
            </w:r>
          </w:p>
        </w:tc>
        <w:tc>
          <w:tcPr>
            <w:tcW w:w="1515" w:type="dxa"/>
            <w:tcMar>
              <w:left w:w="170" w:type="dxa"/>
            </w:tcMar>
            <w:vAlign w:val="center"/>
          </w:tcPr>
          <w:p w14:paraId="029A5EDC">
            <w:pPr>
              <w:jc w:val="center"/>
              <w:rPr>
                <w:color w:val="auto"/>
                <w:highlight w:val="none"/>
              </w:rPr>
            </w:pPr>
            <w:r>
              <w:rPr>
                <w:rFonts w:hint="eastAsia" w:cs="宋体"/>
                <w:color w:val="auto"/>
                <w:highlight w:val="none"/>
              </w:rPr>
              <w:t>专用条款</w:t>
            </w:r>
          </w:p>
        </w:tc>
        <w:tc>
          <w:tcPr>
            <w:tcW w:w="3630" w:type="dxa"/>
            <w:vAlign w:val="center"/>
          </w:tcPr>
          <w:p w14:paraId="54A3788F">
            <w:pPr>
              <w:jc w:val="center"/>
              <w:rPr>
                <w:color w:val="auto"/>
                <w:highlight w:val="none"/>
              </w:rPr>
            </w:pPr>
            <w:r>
              <w:rPr>
                <w:rFonts w:hint="eastAsia"/>
                <w:color w:val="auto"/>
                <w:highlight w:val="none"/>
                <w:u w:val="single"/>
                <w:lang w:val="en-US" w:eastAsia="zh-CN"/>
              </w:rPr>
              <w:t xml:space="preserve">   </w:t>
            </w:r>
            <w:r>
              <w:rPr>
                <w:rFonts w:hint="eastAsia"/>
                <w:color w:val="auto"/>
                <w:highlight w:val="none"/>
                <w:lang w:val="en-US" w:eastAsia="zh-CN"/>
              </w:rPr>
              <w:t>日历日</w:t>
            </w:r>
          </w:p>
        </w:tc>
        <w:tc>
          <w:tcPr>
            <w:tcW w:w="1206" w:type="dxa"/>
            <w:vAlign w:val="center"/>
          </w:tcPr>
          <w:p w14:paraId="765F9E0D">
            <w:pPr>
              <w:jc w:val="center"/>
              <w:rPr>
                <w:color w:val="auto"/>
                <w:highlight w:val="none"/>
              </w:rPr>
            </w:pPr>
          </w:p>
        </w:tc>
      </w:tr>
      <w:tr w14:paraId="5BED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402B023">
            <w:pPr>
              <w:jc w:val="center"/>
              <w:rPr>
                <w:color w:val="auto"/>
                <w:highlight w:val="none"/>
              </w:rPr>
            </w:pPr>
            <w:r>
              <w:rPr>
                <w:color w:val="auto"/>
                <w:highlight w:val="none"/>
              </w:rPr>
              <w:t>4</w:t>
            </w:r>
          </w:p>
        </w:tc>
        <w:tc>
          <w:tcPr>
            <w:tcW w:w="1800" w:type="dxa"/>
            <w:vAlign w:val="center"/>
          </w:tcPr>
          <w:p w14:paraId="28F9EB9C">
            <w:pPr>
              <w:rPr>
                <w:color w:val="auto"/>
                <w:highlight w:val="none"/>
              </w:rPr>
            </w:pPr>
            <w:r>
              <w:rPr>
                <w:rFonts w:hint="eastAsia" w:cs="宋体"/>
                <w:color w:val="auto"/>
                <w:highlight w:val="none"/>
              </w:rPr>
              <w:t>缺陷责任期</w:t>
            </w:r>
          </w:p>
        </w:tc>
        <w:tc>
          <w:tcPr>
            <w:tcW w:w="1515" w:type="dxa"/>
            <w:tcMar>
              <w:left w:w="170" w:type="dxa"/>
            </w:tcMar>
            <w:vAlign w:val="center"/>
          </w:tcPr>
          <w:p w14:paraId="51D5BC23">
            <w:pPr>
              <w:jc w:val="center"/>
              <w:rPr>
                <w:color w:val="auto"/>
                <w:highlight w:val="none"/>
              </w:rPr>
            </w:pPr>
            <w:r>
              <w:rPr>
                <w:rFonts w:hint="eastAsia" w:cs="宋体"/>
                <w:color w:val="auto"/>
                <w:highlight w:val="none"/>
              </w:rPr>
              <w:t>专用条款</w:t>
            </w:r>
          </w:p>
        </w:tc>
        <w:tc>
          <w:tcPr>
            <w:tcW w:w="3630" w:type="dxa"/>
            <w:vAlign w:val="center"/>
          </w:tcPr>
          <w:p w14:paraId="0C262E88">
            <w:pPr>
              <w:jc w:val="center"/>
              <w:rPr>
                <w:color w:val="auto"/>
                <w:highlight w:val="none"/>
              </w:rPr>
            </w:pPr>
            <w:r>
              <w:rPr>
                <w:rFonts w:hint="eastAsia"/>
                <w:color w:val="auto"/>
                <w:highlight w:val="none"/>
                <w:lang w:val="en-US" w:eastAsia="zh-CN"/>
              </w:rPr>
              <w:t>2年，从验收合格之日起算</w:t>
            </w:r>
          </w:p>
        </w:tc>
        <w:tc>
          <w:tcPr>
            <w:tcW w:w="1206" w:type="dxa"/>
            <w:vAlign w:val="center"/>
          </w:tcPr>
          <w:p w14:paraId="344093A8">
            <w:pPr>
              <w:jc w:val="center"/>
              <w:rPr>
                <w:color w:val="auto"/>
                <w:highlight w:val="none"/>
              </w:rPr>
            </w:pPr>
          </w:p>
        </w:tc>
      </w:tr>
      <w:tr w14:paraId="7BE3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F97DB67">
            <w:pPr>
              <w:jc w:val="center"/>
              <w:rPr>
                <w:color w:val="auto"/>
                <w:highlight w:val="none"/>
              </w:rPr>
            </w:pPr>
            <w:r>
              <w:rPr>
                <w:color w:val="auto"/>
                <w:highlight w:val="none"/>
              </w:rPr>
              <w:t>5</w:t>
            </w:r>
          </w:p>
        </w:tc>
        <w:tc>
          <w:tcPr>
            <w:tcW w:w="1800" w:type="dxa"/>
            <w:vAlign w:val="center"/>
          </w:tcPr>
          <w:p w14:paraId="7D7313FC">
            <w:pPr>
              <w:rPr>
                <w:color w:val="auto"/>
                <w:highlight w:val="none"/>
              </w:rPr>
            </w:pPr>
            <w:r>
              <w:rPr>
                <w:rFonts w:hint="eastAsia" w:cs="宋体"/>
                <w:color w:val="auto"/>
                <w:highlight w:val="none"/>
              </w:rPr>
              <w:t>承包人履约担保金额</w:t>
            </w:r>
          </w:p>
        </w:tc>
        <w:tc>
          <w:tcPr>
            <w:tcW w:w="1515" w:type="dxa"/>
            <w:tcMar>
              <w:left w:w="170" w:type="dxa"/>
            </w:tcMar>
            <w:vAlign w:val="center"/>
          </w:tcPr>
          <w:p w14:paraId="2F6182A3">
            <w:pPr>
              <w:jc w:val="center"/>
              <w:rPr>
                <w:color w:val="auto"/>
                <w:highlight w:val="none"/>
              </w:rPr>
            </w:pPr>
            <w:r>
              <w:rPr>
                <w:rFonts w:hint="eastAsia" w:cs="宋体"/>
                <w:color w:val="auto"/>
                <w:highlight w:val="none"/>
              </w:rPr>
              <w:t>专用条款</w:t>
            </w:r>
          </w:p>
        </w:tc>
        <w:tc>
          <w:tcPr>
            <w:tcW w:w="3630" w:type="dxa"/>
            <w:vAlign w:val="center"/>
          </w:tcPr>
          <w:p w14:paraId="5F70D9FE">
            <w:pPr>
              <w:jc w:val="center"/>
              <w:rPr>
                <w:color w:val="auto"/>
                <w:highlight w:val="none"/>
              </w:rPr>
            </w:pPr>
            <w:r>
              <w:rPr>
                <w:rFonts w:hint="eastAsia" w:hAnsi="宋体" w:cs="宋体"/>
                <w:color w:val="auto"/>
                <w:highlight w:val="none"/>
                <w:u w:val="single"/>
              </w:rPr>
              <w:t>合同价款的</w:t>
            </w:r>
            <w:r>
              <w:rPr>
                <w:rFonts w:hint="eastAsia"/>
                <w:color w:val="auto"/>
                <w:highlight w:val="none"/>
                <w:u w:val="single"/>
                <w:lang w:val="en-US" w:eastAsia="zh-CN"/>
              </w:rPr>
              <w:t xml:space="preserve"> 2 </w:t>
            </w:r>
            <w:r>
              <w:rPr>
                <w:color w:val="auto"/>
                <w:highlight w:val="none"/>
                <w:u w:val="single"/>
              </w:rPr>
              <w:t>%</w:t>
            </w:r>
          </w:p>
        </w:tc>
        <w:tc>
          <w:tcPr>
            <w:tcW w:w="1206" w:type="dxa"/>
            <w:vAlign w:val="center"/>
          </w:tcPr>
          <w:p w14:paraId="77D56B72">
            <w:pPr>
              <w:jc w:val="center"/>
              <w:rPr>
                <w:color w:val="auto"/>
                <w:highlight w:val="none"/>
              </w:rPr>
            </w:pPr>
          </w:p>
        </w:tc>
      </w:tr>
      <w:tr w14:paraId="5047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E021BD4">
            <w:pPr>
              <w:jc w:val="center"/>
              <w:rPr>
                <w:color w:val="auto"/>
                <w:highlight w:val="none"/>
              </w:rPr>
            </w:pPr>
            <w:r>
              <w:rPr>
                <w:color w:val="auto"/>
                <w:highlight w:val="none"/>
              </w:rPr>
              <w:t>6</w:t>
            </w:r>
          </w:p>
        </w:tc>
        <w:tc>
          <w:tcPr>
            <w:tcW w:w="1800" w:type="dxa"/>
            <w:vAlign w:val="center"/>
          </w:tcPr>
          <w:p w14:paraId="0A999E54">
            <w:pPr>
              <w:rPr>
                <w:color w:val="auto"/>
                <w:highlight w:val="none"/>
              </w:rPr>
            </w:pPr>
            <w:r>
              <w:rPr>
                <w:rFonts w:hint="eastAsia" w:cs="宋体"/>
                <w:color w:val="auto"/>
                <w:highlight w:val="none"/>
              </w:rPr>
              <w:t>分包</w:t>
            </w:r>
          </w:p>
        </w:tc>
        <w:tc>
          <w:tcPr>
            <w:tcW w:w="1515" w:type="dxa"/>
            <w:tcMar>
              <w:left w:w="170" w:type="dxa"/>
            </w:tcMar>
            <w:vAlign w:val="center"/>
          </w:tcPr>
          <w:p w14:paraId="51EE0FB1">
            <w:pPr>
              <w:jc w:val="center"/>
              <w:rPr>
                <w:color w:val="auto"/>
                <w:highlight w:val="none"/>
              </w:rPr>
            </w:pPr>
            <w:r>
              <w:rPr>
                <w:rFonts w:hint="eastAsia" w:cs="宋体"/>
                <w:color w:val="auto"/>
                <w:highlight w:val="none"/>
              </w:rPr>
              <w:t>专用条款</w:t>
            </w:r>
          </w:p>
        </w:tc>
        <w:tc>
          <w:tcPr>
            <w:tcW w:w="3630" w:type="dxa"/>
            <w:vAlign w:val="center"/>
          </w:tcPr>
          <w:p w14:paraId="2D9096AF">
            <w:pPr>
              <w:jc w:val="center"/>
              <w:rPr>
                <w:color w:val="auto"/>
                <w:highlight w:val="none"/>
              </w:rPr>
            </w:pPr>
            <w:r>
              <w:rPr>
                <w:rFonts w:hint="eastAsia" w:cs="宋体"/>
                <w:color w:val="auto"/>
                <w:highlight w:val="none"/>
              </w:rPr>
              <w:t>见分包项目情况表</w:t>
            </w:r>
          </w:p>
        </w:tc>
        <w:tc>
          <w:tcPr>
            <w:tcW w:w="1206" w:type="dxa"/>
            <w:vAlign w:val="center"/>
          </w:tcPr>
          <w:p w14:paraId="02BD30D7">
            <w:pPr>
              <w:jc w:val="center"/>
              <w:rPr>
                <w:color w:val="auto"/>
                <w:highlight w:val="none"/>
              </w:rPr>
            </w:pPr>
          </w:p>
        </w:tc>
      </w:tr>
      <w:tr w14:paraId="6CFB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24ED60A9">
            <w:pPr>
              <w:jc w:val="center"/>
              <w:rPr>
                <w:color w:val="auto"/>
                <w:highlight w:val="none"/>
              </w:rPr>
            </w:pPr>
            <w:r>
              <w:rPr>
                <w:color w:val="auto"/>
                <w:highlight w:val="none"/>
              </w:rPr>
              <w:t>7</w:t>
            </w:r>
          </w:p>
        </w:tc>
        <w:tc>
          <w:tcPr>
            <w:tcW w:w="1800" w:type="dxa"/>
            <w:vAlign w:val="center"/>
          </w:tcPr>
          <w:p w14:paraId="47072A7C">
            <w:pPr>
              <w:rPr>
                <w:color w:val="auto"/>
                <w:highlight w:val="none"/>
              </w:rPr>
            </w:pPr>
            <w:r>
              <w:rPr>
                <w:rFonts w:hint="eastAsia" w:cs="宋体"/>
                <w:color w:val="auto"/>
                <w:highlight w:val="none"/>
              </w:rPr>
              <w:t>逾期竣工违约金</w:t>
            </w:r>
          </w:p>
        </w:tc>
        <w:tc>
          <w:tcPr>
            <w:tcW w:w="1515" w:type="dxa"/>
            <w:tcMar>
              <w:left w:w="170" w:type="dxa"/>
            </w:tcMar>
            <w:vAlign w:val="center"/>
          </w:tcPr>
          <w:p w14:paraId="078B3772">
            <w:pPr>
              <w:jc w:val="center"/>
              <w:rPr>
                <w:color w:val="auto"/>
                <w:highlight w:val="none"/>
              </w:rPr>
            </w:pPr>
            <w:r>
              <w:rPr>
                <w:rFonts w:hint="eastAsia" w:cs="宋体"/>
                <w:color w:val="auto"/>
                <w:highlight w:val="none"/>
              </w:rPr>
              <w:t>专用条款</w:t>
            </w:r>
          </w:p>
        </w:tc>
        <w:tc>
          <w:tcPr>
            <w:tcW w:w="3630" w:type="dxa"/>
            <w:vAlign w:val="center"/>
          </w:tcPr>
          <w:p w14:paraId="5CB3CA93">
            <w:pPr>
              <w:rPr>
                <w:color w:val="auto"/>
                <w:highlight w:val="none"/>
              </w:rPr>
            </w:pPr>
            <w:r>
              <w:rPr>
                <w:rFonts w:hint="eastAsia" w:ascii="宋体" w:hAnsi="宋体" w:cs="宋体"/>
                <w:color w:val="auto"/>
                <w:szCs w:val="21"/>
                <w:highlight w:val="none"/>
                <w:u w:val="single"/>
              </w:rPr>
              <w:t>单项工程结算造价扣除建安劳保费、发包人材料设备价款、暂估专业工程、暂列金额后的万分之五/天</w:t>
            </w:r>
          </w:p>
        </w:tc>
        <w:tc>
          <w:tcPr>
            <w:tcW w:w="1206" w:type="dxa"/>
            <w:vAlign w:val="center"/>
          </w:tcPr>
          <w:p w14:paraId="22664D90">
            <w:pPr>
              <w:jc w:val="center"/>
              <w:rPr>
                <w:color w:val="auto"/>
                <w:highlight w:val="none"/>
              </w:rPr>
            </w:pPr>
          </w:p>
        </w:tc>
      </w:tr>
      <w:tr w14:paraId="387C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139A4D0D">
            <w:pPr>
              <w:jc w:val="center"/>
              <w:rPr>
                <w:color w:val="auto"/>
                <w:highlight w:val="none"/>
              </w:rPr>
            </w:pPr>
            <w:r>
              <w:rPr>
                <w:color w:val="auto"/>
                <w:highlight w:val="none"/>
              </w:rPr>
              <w:t>8</w:t>
            </w:r>
          </w:p>
        </w:tc>
        <w:tc>
          <w:tcPr>
            <w:tcW w:w="1800" w:type="dxa"/>
            <w:vAlign w:val="center"/>
          </w:tcPr>
          <w:p w14:paraId="13EB4CF3">
            <w:pPr>
              <w:rPr>
                <w:color w:val="auto"/>
                <w:highlight w:val="none"/>
              </w:rPr>
            </w:pPr>
            <w:r>
              <w:rPr>
                <w:rFonts w:hint="eastAsia" w:cs="宋体"/>
                <w:color w:val="auto"/>
                <w:highlight w:val="none"/>
              </w:rPr>
              <w:t>逾期竣工违约金最高限额</w:t>
            </w:r>
          </w:p>
        </w:tc>
        <w:tc>
          <w:tcPr>
            <w:tcW w:w="1515" w:type="dxa"/>
            <w:tcMar>
              <w:left w:w="170" w:type="dxa"/>
            </w:tcMar>
            <w:vAlign w:val="center"/>
          </w:tcPr>
          <w:p w14:paraId="54D130CC">
            <w:pPr>
              <w:jc w:val="center"/>
              <w:rPr>
                <w:color w:val="auto"/>
                <w:highlight w:val="none"/>
              </w:rPr>
            </w:pPr>
            <w:r>
              <w:rPr>
                <w:rFonts w:hint="eastAsia" w:cs="宋体"/>
                <w:color w:val="auto"/>
                <w:highlight w:val="none"/>
              </w:rPr>
              <w:t>专用条款</w:t>
            </w:r>
          </w:p>
        </w:tc>
        <w:tc>
          <w:tcPr>
            <w:tcW w:w="3630" w:type="dxa"/>
            <w:vAlign w:val="center"/>
          </w:tcPr>
          <w:p w14:paraId="44D5100F">
            <w:pPr>
              <w:jc w:val="center"/>
              <w:rPr>
                <w:color w:val="auto"/>
                <w:highlight w:val="none"/>
              </w:rPr>
            </w:pPr>
            <w:r>
              <w:rPr>
                <w:rFonts w:hint="eastAsia" w:ascii="宋体" w:hAnsi="宋体" w:cs="宋体"/>
                <w:color w:val="auto"/>
                <w:szCs w:val="21"/>
                <w:highlight w:val="none"/>
                <w:u w:val="single"/>
              </w:rPr>
              <w:t>逾期竣工的单位工程结算造价扣除建安劳保费、发包人材料价款、暂估专业工程、暂列金额后的5%</w:t>
            </w:r>
          </w:p>
        </w:tc>
        <w:tc>
          <w:tcPr>
            <w:tcW w:w="1206" w:type="dxa"/>
            <w:vAlign w:val="center"/>
          </w:tcPr>
          <w:p w14:paraId="4F086867">
            <w:pPr>
              <w:jc w:val="center"/>
              <w:rPr>
                <w:color w:val="auto"/>
                <w:highlight w:val="none"/>
              </w:rPr>
            </w:pPr>
          </w:p>
        </w:tc>
      </w:tr>
      <w:tr w14:paraId="3624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AEB5965">
            <w:pPr>
              <w:jc w:val="center"/>
              <w:rPr>
                <w:color w:val="auto"/>
                <w:highlight w:val="none"/>
              </w:rPr>
            </w:pPr>
            <w:r>
              <w:rPr>
                <w:color w:val="auto"/>
                <w:highlight w:val="none"/>
              </w:rPr>
              <w:t>9</w:t>
            </w:r>
          </w:p>
        </w:tc>
        <w:tc>
          <w:tcPr>
            <w:tcW w:w="1800" w:type="dxa"/>
            <w:vAlign w:val="center"/>
          </w:tcPr>
          <w:p w14:paraId="327AC4E2">
            <w:pPr>
              <w:rPr>
                <w:color w:val="auto"/>
                <w:highlight w:val="none"/>
              </w:rPr>
            </w:pPr>
            <w:r>
              <w:rPr>
                <w:rFonts w:hint="eastAsia" w:cs="宋体"/>
                <w:color w:val="auto"/>
                <w:highlight w:val="none"/>
              </w:rPr>
              <w:t>质量标准</w:t>
            </w:r>
          </w:p>
        </w:tc>
        <w:tc>
          <w:tcPr>
            <w:tcW w:w="1515" w:type="dxa"/>
            <w:tcMar>
              <w:left w:w="170" w:type="dxa"/>
            </w:tcMar>
            <w:vAlign w:val="center"/>
          </w:tcPr>
          <w:p w14:paraId="16C012FC">
            <w:pPr>
              <w:jc w:val="center"/>
              <w:rPr>
                <w:color w:val="auto"/>
                <w:highlight w:val="none"/>
              </w:rPr>
            </w:pPr>
            <w:r>
              <w:rPr>
                <w:rFonts w:hint="eastAsia" w:cs="宋体"/>
                <w:color w:val="auto"/>
                <w:highlight w:val="none"/>
              </w:rPr>
              <w:t>专用条款</w:t>
            </w:r>
          </w:p>
        </w:tc>
        <w:tc>
          <w:tcPr>
            <w:tcW w:w="3630" w:type="dxa"/>
            <w:vAlign w:val="center"/>
          </w:tcPr>
          <w:p w14:paraId="5ADCE163">
            <w:pPr>
              <w:jc w:val="center"/>
              <w:rPr>
                <w:color w:val="auto"/>
                <w:highlight w:val="none"/>
              </w:rPr>
            </w:pPr>
            <w:r>
              <w:rPr>
                <w:rFonts w:hint="eastAsia"/>
                <w:color w:val="auto"/>
                <w:highlight w:val="none"/>
              </w:rPr>
              <w:t>合格</w:t>
            </w:r>
          </w:p>
        </w:tc>
        <w:tc>
          <w:tcPr>
            <w:tcW w:w="1206" w:type="dxa"/>
            <w:vAlign w:val="center"/>
          </w:tcPr>
          <w:p w14:paraId="56556F73">
            <w:pPr>
              <w:jc w:val="center"/>
              <w:rPr>
                <w:color w:val="auto"/>
                <w:highlight w:val="none"/>
              </w:rPr>
            </w:pPr>
          </w:p>
        </w:tc>
      </w:tr>
      <w:tr w14:paraId="05DA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690A86C0">
            <w:pPr>
              <w:jc w:val="center"/>
              <w:rPr>
                <w:rFonts w:hint="eastAsia" w:eastAsia="宋体"/>
                <w:color w:val="auto"/>
                <w:highlight w:val="none"/>
                <w:lang w:eastAsia="zh-CN"/>
              </w:rPr>
            </w:pPr>
            <w:r>
              <w:rPr>
                <w:color w:val="auto"/>
                <w:highlight w:val="none"/>
              </w:rPr>
              <w:t>1</w:t>
            </w:r>
            <w:r>
              <w:rPr>
                <w:rFonts w:hint="eastAsia"/>
                <w:color w:val="auto"/>
                <w:highlight w:val="none"/>
                <w:lang w:val="en-US" w:eastAsia="zh-CN"/>
              </w:rPr>
              <w:t>0</w:t>
            </w:r>
          </w:p>
        </w:tc>
        <w:tc>
          <w:tcPr>
            <w:tcW w:w="1800" w:type="dxa"/>
            <w:vAlign w:val="center"/>
          </w:tcPr>
          <w:p w14:paraId="0346B7C2">
            <w:pPr>
              <w:rPr>
                <w:color w:val="auto"/>
                <w:highlight w:val="none"/>
              </w:rPr>
            </w:pPr>
            <w:r>
              <w:rPr>
                <w:rFonts w:hint="eastAsia" w:cs="宋体"/>
                <w:color w:val="auto"/>
                <w:highlight w:val="none"/>
              </w:rPr>
              <w:t>质量保证金额度</w:t>
            </w:r>
          </w:p>
        </w:tc>
        <w:tc>
          <w:tcPr>
            <w:tcW w:w="1515" w:type="dxa"/>
            <w:tcMar>
              <w:left w:w="170" w:type="dxa"/>
            </w:tcMar>
            <w:vAlign w:val="center"/>
          </w:tcPr>
          <w:p w14:paraId="3DA6A56D">
            <w:pPr>
              <w:jc w:val="center"/>
              <w:rPr>
                <w:color w:val="auto"/>
                <w:highlight w:val="none"/>
              </w:rPr>
            </w:pPr>
            <w:r>
              <w:rPr>
                <w:rFonts w:hint="eastAsia" w:cs="宋体"/>
                <w:color w:val="auto"/>
                <w:highlight w:val="none"/>
              </w:rPr>
              <w:t>专用条款</w:t>
            </w:r>
          </w:p>
        </w:tc>
        <w:tc>
          <w:tcPr>
            <w:tcW w:w="3630" w:type="dxa"/>
            <w:vAlign w:val="center"/>
          </w:tcPr>
          <w:p w14:paraId="553A62B1">
            <w:pPr>
              <w:jc w:val="center"/>
              <w:rPr>
                <w:color w:val="auto"/>
                <w:highlight w:val="none"/>
              </w:rPr>
            </w:pPr>
            <w:r>
              <w:rPr>
                <w:rFonts w:hint="eastAsia" w:cs="宋体"/>
                <w:color w:val="auto"/>
                <w:highlight w:val="none"/>
              </w:rPr>
              <w:t>结算价的</w:t>
            </w:r>
            <w:r>
              <w:rPr>
                <w:color w:val="auto"/>
                <w:highlight w:val="none"/>
                <w:u w:val="single"/>
              </w:rPr>
              <w:t xml:space="preserve">  3  </w:t>
            </w:r>
            <w:r>
              <w:rPr>
                <w:color w:val="auto"/>
                <w:highlight w:val="none"/>
              </w:rPr>
              <w:t xml:space="preserve">% </w:t>
            </w:r>
          </w:p>
        </w:tc>
        <w:tc>
          <w:tcPr>
            <w:tcW w:w="1206" w:type="dxa"/>
            <w:vAlign w:val="center"/>
          </w:tcPr>
          <w:p w14:paraId="20E62DE1">
            <w:pPr>
              <w:jc w:val="center"/>
              <w:rPr>
                <w:color w:val="auto"/>
                <w:highlight w:val="none"/>
              </w:rPr>
            </w:pPr>
          </w:p>
        </w:tc>
      </w:tr>
      <w:tr w14:paraId="560F3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9" w:type="dxa"/>
            <w:vAlign w:val="center"/>
          </w:tcPr>
          <w:p w14:paraId="343C3874">
            <w:pPr>
              <w:jc w:val="center"/>
              <w:rPr>
                <w:color w:val="auto"/>
                <w:highlight w:val="none"/>
              </w:rPr>
            </w:pPr>
            <w:r>
              <w:rPr>
                <w:color w:val="auto"/>
                <w:highlight w:val="none"/>
              </w:rPr>
              <w:t>……</w:t>
            </w:r>
          </w:p>
        </w:tc>
        <w:tc>
          <w:tcPr>
            <w:tcW w:w="1800" w:type="dxa"/>
            <w:vAlign w:val="center"/>
          </w:tcPr>
          <w:p w14:paraId="2F15C92E">
            <w:pPr>
              <w:jc w:val="center"/>
              <w:rPr>
                <w:color w:val="auto"/>
                <w:highlight w:val="none"/>
              </w:rPr>
            </w:pPr>
            <w:r>
              <w:rPr>
                <w:color w:val="auto"/>
                <w:highlight w:val="none"/>
              </w:rPr>
              <w:t>……</w:t>
            </w:r>
          </w:p>
        </w:tc>
        <w:tc>
          <w:tcPr>
            <w:tcW w:w="1515" w:type="dxa"/>
            <w:tcMar>
              <w:left w:w="170" w:type="dxa"/>
            </w:tcMar>
            <w:vAlign w:val="center"/>
          </w:tcPr>
          <w:p w14:paraId="2270C1C4">
            <w:pPr>
              <w:rPr>
                <w:color w:val="auto"/>
                <w:highlight w:val="none"/>
              </w:rPr>
            </w:pPr>
          </w:p>
        </w:tc>
        <w:tc>
          <w:tcPr>
            <w:tcW w:w="3630" w:type="dxa"/>
            <w:vAlign w:val="center"/>
          </w:tcPr>
          <w:p w14:paraId="436F675C">
            <w:pPr>
              <w:jc w:val="center"/>
              <w:rPr>
                <w:color w:val="auto"/>
                <w:highlight w:val="none"/>
              </w:rPr>
            </w:pPr>
          </w:p>
        </w:tc>
        <w:tc>
          <w:tcPr>
            <w:tcW w:w="1206" w:type="dxa"/>
            <w:vAlign w:val="center"/>
          </w:tcPr>
          <w:p w14:paraId="33400E4A">
            <w:pPr>
              <w:jc w:val="center"/>
              <w:rPr>
                <w:color w:val="auto"/>
                <w:highlight w:val="none"/>
              </w:rPr>
            </w:pPr>
          </w:p>
        </w:tc>
      </w:tr>
      <w:tr w14:paraId="5748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565EB860">
            <w:pPr>
              <w:spacing w:line="360" w:lineRule="auto"/>
              <w:rPr>
                <w:color w:val="auto"/>
                <w:highlight w:val="none"/>
              </w:rPr>
            </w:pPr>
            <w:r>
              <w:rPr>
                <w:rFonts w:hint="eastAsia" w:cs="宋体"/>
                <w:color w:val="auto"/>
                <w:highlight w:val="none"/>
              </w:rPr>
              <w:t>说明：供应商在响应磋商文件中规定的实质性要求和条件的基础上，可做出其他有利于采购人的承诺。此类承诺可在本表中予以补充填写。</w:t>
            </w:r>
          </w:p>
        </w:tc>
      </w:tr>
    </w:tbl>
    <w:p w14:paraId="5F3298A2">
      <w:pPr>
        <w:spacing w:line="360" w:lineRule="auto"/>
        <w:ind w:right="-817" w:rightChars="-389" w:firstLine="2640" w:firstLineChars="1100"/>
        <w:contextualSpacing/>
        <w:rPr>
          <w:rFonts w:ascii="宋体" w:hAnsi="宋体" w:cs="仿宋_GB2312"/>
          <w:color w:val="auto"/>
          <w:sz w:val="24"/>
          <w:highlight w:val="none"/>
        </w:rPr>
      </w:pPr>
    </w:p>
    <w:p w14:paraId="011CCD19">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A4FC24B">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85A3A4B">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1B12FD68">
      <w:pPr>
        <w:spacing w:line="360" w:lineRule="auto"/>
        <w:jc w:val="center"/>
        <w:rPr>
          <w:rFonts w:ascii="方正小标宋简体" w:hAnsi="方正小标宋简体" w:eastAsia="方正小标宋简体" w:cs="方正小标宋简体"/>
          <w:bCs/>
          <w:color w:val="auto"/>
          <w:sz w:val="32"/>
          <w:szCs w:val="32"/>
          <w:highlight w:val="none"/>
        </w:rPr>
      </w:pPr>
      <w:r>
        <w:rPr>
          <w:rFonts w:ascii="宋体" w:hAnsi="宋体" w:cs="仿宋_GB2312"/>
          <w:color w:val="auto"/>
          <w:sz w:val="24"/>
          <w:highlight w:val="none"/>
        </w:rPr>
        <w:br w:type="page"/>
      </w:r>
      <w:r>
        <w:rPr>
          <w:rFonts w:hint="eastAsia" w:ascii="宋体" w:hAnsi="宋体" w:cs="方正小标宋简体"/>
          <w:b/>
          <w:bCs/>
          <w:color w:val="auto"/>
          <w:sz w:val="32"/>
          <w:szCs w:val="32"/>
          <w:highlight w:val="none"/>
        </w:rPr>
        <w:t>竞标报价表</w:t>
      </w:r>
    </w:p>
    <w:p w14:paraId="629A330C">
      <w:pPr>
        <w:spacing w:line="440" w:lineRule="exact"/>
        <w:jc w:val="center"/>
        <w:rPr>
          <w:rFonts w:ascii="方正小标宋简体" w:hAnsi="方正小标宋简体" w:eastAsia="方正小标宋简体" w:cs="方正小标宋简体"/>
          <w:bCs/>
          <w:color w:val="auto"/>
          <w:sz w:val="32"/>
          <w:szCs w:val="32"/>
          <w:highlight w:val="none"/>
        </w:rPr>
      </w:pPr>
    </w:p>
    <w:p w14:paraId="07F20D9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项目名称：项目编号：</w:t>
      </w:r>
    </w:p>
    <w:p w14:paraId="5F9A84E6">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p>
    <w:p w14:paraId="054CF1E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06C75EB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45"/>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5BD1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37D0FD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E730C3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78748D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73DD67C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388F990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6F9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7DBA2F0">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1733A9D1">
            <w:pPr>
              <w:spacing w:line="360" w:lineRule="auto"/>
              <w:contextualSpacing/>
              <w:jc w:val="left"/>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会议中心报告厅屋面钢结构修缮项目</w:t>
            </w:r>
          </w:p>
        </w:tc>
        <w:tc>
          <w:tcPr>
            <w:tcW w:w="1505" w:type="dxa"/>
            <w:tcBorders>
              <w:top w:val="single" w:color="auto" w:sz="4" w:space="0"/>
              <w:left w:val="single" w:color="auto" w:sz="4" w:space="0"/>
              <w:bottom w:val="single" w:color="auto" w:sz="4" w:space="0"/>
              <w:right w:val="single" w:color="auto" w:sz="4" w:space="0"/>
            </w:tcBorders>
            <w:vAlign w:val="center"/>
          </w:tcPr>
          <w:p w14:paraId="392702D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3107" w:type="dxa"/>
            <w:tcBorders>
              <w:top w:val="single" w:color="auto" w:sz="4" w:space="0"/>
              <w:left w:val="single" w:color="auto" w:sz="4" w:space="0"/>
              <w:bottom w:val="single" w:color="auto" w:sz="4" w:space="0"/>
              <w:right w:val="single" w:color="auto" w:sz="4" w:space="0"/>
            </w:tcBorders>
          </w:tcPr>
          <w:p w14:paraId="6F532E30">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30CBF06E">
            <w:pPr>
              <w:spacing w:line="360" w:lineRule="auto"/>
              <w:contextualSpacing/>
              <w:rPr>
                <w:rFonts w:ascii="宋体" w:hAnsi="宋体" w:cs="仿宋_GB2312"/>
                <w:color w:val="auto"/>
                <w:sz w:val="24"/>
                <w:highlight w:val="none"/>
              </w:rPr>
            </w:pPr>
          </w:p>
        </w:tc>
      </w:tr>
      <w:tr w14:paraId="162D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7E7465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lang w:val="en-US" w:eastAsia="zh-CN"/>
              </w:rPr>
              <w:t>合计：人民币大写：</w:t>
            </w:r>
            <w:r>
              <w:rPr>
                <w:rFonts w:hint="eastAsia" w:ascii="宋体" w:hAnsi="宋体" w:cs="仿宋_GB2312"/>
                <w:color w:val="auto"/>
                <w:sz w:val="24"/>
                <w:highlight w:val="none"/>
                <w:u w:val="single"/>
                <w:lang w:val="en-US" w:eastAsia="zh-CN"/>
              </w:rPr>
              <w:t xml:space="preserve">                    </w:t>
            </w:r>
          </w:p>
        </w:tc>
      </w:tr>
    </w:tbl>
    <w:p w14:paraId="3D1D7B44">
      <w:pPr>
        <w:spacing w:line="360" w:lineRule="auto"/>
        <w:contextualSpacing/>
        <w:jc w:val="left"/>
        <w:rPr>
          <w:rFonts w:ascii="宋体" w:hAnsi="宋体" w:cs="仿宋_GB2312"/>
          <w:color w:val="auto"/>
          <w:sz w:val="24"/>
          <w:highlight w:val="none"/>
        </w:rPr>
      </w:pPr>
    </w:p>
    <w:p w14:paraId="4753CFF2">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28D2C1EC">
      <w:pPr>
        <w:spacing w:line="360" w:lineRule="auto"/>
        <w:ind w:firstLine="480" w:firstLineChars="200"/>
        <w:contextualSpacing/>
        <w:jc w:val="left"/>
        <w:rPr>
          <w:rFonts w:ascii="宋体" w:hAnsi="宋体" w:cs="仿宋_GB2312"/>
          <w:color w:val="auto"/>
          <w:sz w:val="21"/>
          <w:szCs w:val="21"/>
          <w:highlight w:val="none"/>
        </w:rPr>
      </w:pPr>
      <w:r>
        <w:rPr>
          <w:rFonts w:hint="eastAsia" w:ascii="宋体" w:hAnsi="宋体" w:cs="仿宋_GB2312"/>
          <w:color w:val="auto"/>
          <w:sz w:val="24"/>
          <w:highlight w:val="none"/>
        </w:rPr>
        <w:t>1. 供应商的</w:t>
      </w:r>
      <w:r>
        <w:rPr>
          <w:rFonts w:hint="eastAsia" w:ascii="宋体" w:hAnsi="宋体" w:cs="仿宋_GB2312"/>
          <w:color w:val="auto"/>
          <w:sz w:val="21"/>
          <w:szCs w:val="21"/>
          <w:highlight w:val="none"/>
        </w:rPr>
        <w:t>报价表必须加盖供应商电子签章并由法定代表人或者委托代理人签字或者电子签名，</w:t>
      </w:r>
      <w:r>
        <w:rPr>
          <w:rFonts w:hint="eastAsia" w:ascii="宋体" w:hAnsi="宋体" w:cs="仿宋_GB2312"/>
          <w:b/>
          <w:color w:val="auto"/>
          <w:sz w:val="21"/>
          <w:szCs w:val="21"/>
          <w:highlight w:val="none"/>
        </w:rPr>
        <w:t>否则其响应文件按无效处理</w:t>
      </w:r>
      <w:r>
        <w:rPr>
          <w:rFonts w:hint="eastAsia" w:ascii="宋体" w:hAnsi="宋体" w:cs="仿宋_GB2312"/>
          <w:color w:val="auto"/>
          <w:sz w:val="21"/>
          <w:szCs w:val="21"/>
          <w:highlight w:val="none"/>
        </w:rPr>
        <w:t>。</w:t>
      </w:r>
    </w:p>
    <w:p w14:paraId="5DE50DFA">
      <w:pPr>
        <w:spacing w:line="360" w:lineRule="auto"/>
        <w:ind w:firstLine="420" w:firstLineChars="200"/>
        <w:contextualSpacing/>
        <w:jc w:val="left"/>
        <w:rPr>
          <w:rFonts w:ascii="宋体" w:hAnsi="宋体" w:cs="仿宋_GB2312"/>
          <w:b/>
          <w:color w:val="auto"/>
          <w:sz w:val="21"/>
          <w:szCs w:val="21"/>
          <w:highlight w:val="none"/>
        </w:rPr>
      </w:pPr>
      <w:r>
        <w:rPr>
          <w:rFonts w:hint="eastAsia" w:ascii="宋体" w:hAnsi="宋体" w:cs="仿宋_GB2312"/>
          <w:bCs/>
          <w:color w:val="auto"/>
          <w:sz w:val="21"/>
          <w:szCs w:val="21"/>
          <w:highlight w:val="none"/>
        </w:rPr>
        <w:t>2.</w:t>
      </w:r>
      <w:r>
        <w:rPr>
          <w:rFonts w:hint="eastAsia" w:ascii="宋体" w:hAnsi="宋体" w:cs="仿宋_GB2312"/>
          <w:color w:val="auto"/>
          <w:sz w:val="21"/>
          <w:szCs w:val="21"/>
          <w:highlight w:val="none"/>
        </w:rPr>
        <w:t xml:space="preserve"> 报价一经涂改，应在涂改处加盖供应商公章或者加盖电子签章或者由法定代表人或者授权委托人签字</w:t>
      </w:r>
      <w:r>
        <w:rPr>
          <w:rFonts w:hint="eastAsia" w:ascii="宋体" w:hAnsi="宋体"/>
          <w:color w:val="auto"/>
          <w:sz w:val="21"/>
          <w:szCs w:val="21"/>
          <w:highlight w:val="none"/>
        </w:rPr>
        <w:t>（或者电子签名）</w:t>
      </w:r>
      <w:r>
        <w:rPr>
          <w:rFonts w:hint="eastAsia" w:ascii="宋体" w:hAnsi="宋体" w:cs="仿宋_GB2312"/>
          <w:b/>
          <w:color w:val="auto"/>
          <w:sz w:val="21"/>
          <w:szCs w:val="21"/>
          <w:highlight w:val="none"/>
        </w:rPr>
        <w:t>，否则其响应文件按无效处理。</w:t>
      </w:r>
    </w:p>
    <w:p w14:paraId="61F81E6C">
      <w:pPr>
        <w:spacing w:line="360" w:lineRule="auto"/>
        <w:ind w:firstLine="420" w:firstLineChars="200"/>
        <w:contextualSpacing/>
        <w:jc w:val="left"/>
        <w:rPr>
          <w:rFonts w:ascii="宋体" w:hAnsi="宋体" w:cs="仿宋_GB2312"/>
          <w:b/>
          <w:color w:val="auto"/>
          <w:sz w:val="21"/>
          <w:szCs w:val="21"/>
          <w:highlight w:val="none"/>
        </w:rPr>
      </w:pPr>
      <w:r>
        <w:rPr>
          <w:rFonts w:ascii="宋体" w:hAnsi="宋体" w:cs="仿宋_GB2312"/>
          <w:color w:val="auto"/>
          <w:sz w:val="21"/>
          <w:szCs w:val="21"/>
          <w:highlight w:val="none"/>
        </w:rPr>
        <w:t>3</w:t>
      </w:r>
      <w:r>
        <w:rPr>
          <w:rFonts w:hint="eastAsia" w:ascii="宋体" w:hAnsi="宋体" w:cs="仿宋_GB2312"/>
          <w:color w:val="auto"/>
          <w:sz w:val="21"/>
          <w:szCs w:val="21"/>
          <w:highlight w:val="none"/>
        </w:rPr>
        <w:t>.如为联合体竞标，“供应商名称”处必须列明联合体各方名称，标注联合体牵头人名称，</w:t>
      </w:r>
      <w:r>
        <w:rPr>
          <w:rFonts w:hint="eastAsia" w:ascii="宋体" w:hAnsi="宋体" w:cs="仿宋_GB2312"/>
          <w:b/>
          <w:color w:val="auto"/>
          <w:sz w:val="21"/>
          <w:szCs w:val="21"/>
          <w:highlight w:val="none"/>
        </w:rPr>
        <w:t>否则其响应文件按无效处理。</w:t>
      </w:r>
    </w:p>
    <w:p w14:paraId="31F96437">
      <w:pPr>
        <w:spacing w:line="360" w:lineRule="auto"/>
        <w:ind w:firstLine="420" w:firstLineChars="200"/>
        <w:contextualSpacing/>
        <w:jc w:val="left"/>
        <w:rPr>
          <w:rFonts w:ascii="宋体" w:hAnsi="宋体" w:cs="仿宋_GB2312"/>
          <w:color w:val="auto"/>
          <w:sz w:val="21"/>
          <w:szCs w:val="21"/>
          <w:highlight w:val="none"/>
        </w:rPr>
      </w:pPr>
      <w:r>
        <w:rPr>
          <w:rFonts w:ascii="宋体" w:hAnsi="宋体" w:cs="仿宋_GB2312"/>
          <w:color w:val="auto"/>
          <w:sz w:val="21"/>
          <w:szCs w:val="21"/>
          <w:highlight w:val="none"/>
        </w:rPr>
        <w:t>4</w:t>
      </w:r>
      <w:r>
        <w:rPr>
          <w:rFonts w:hint="eastAsia" w:ascii="宋体" w:hAnsi="宋体" w:cs="仿宋_GB2312"/>
          <w:color w:val="auto"/>
          <w:sz w:val="21"/>
          <w:szCs w:val="21"/>
          <w:highlight w:val="none"/>
        </w:rPr>
        <w:t>. 如为联合体竞标，</w:t>
      </w:r>
      <w:r>
        <w:rPr>
          <w:rFonts w:hint="eastAsia" w:ascii="宋体" w:hAnsi="宋体"/>
          <w:color w:val="auto"/>
          <w:spacing w:val="-6"/>
          <w:sz w:val="21"/>
          <w:szCs w:val="21"/>
          <w:highlight w:val="none"/>
        </w:rPr>
        <w:t xml:space="preserve"> 盖章处须加盖联合体牵头人电子签章</w:t>
      </w:r>
      <w:r>
        <w:rPr>
          <w:rFonts w:hint="eastAsia" w:ascii="宋体" w:hAnsi="宋体" w:cs="仿宋_GB2312"/>
          <w:color w:val="auto"/>
          <w:sz w:val="21"/>
          <w:szCs w:val="21"/>
          <w:highlight w:val="none"/>
        </w:rPr>
        <w:t>，</w:t>
      </w:r>
      <w:r>
        <w:rPr>
          <w:rFonts w:hint="eastAsia" w:ascii="宋体" w:hAnsi="宋体" w:cs="仿宋_GB2312"/>
          <w:b/>
          <w:color w:val="auto"/>
          <w:sz w:val="21"/>
          <w:szCs w:val="21"/>
          <w:highlight w:val="none"/>
        </w:rPr>
        <w:t>否则其响应文件按无效处理。</w:t>
      </w:r>
    </w:p>
    <w:p w14:paraId="6DBAF4F4">
      <w:pPr>
        <w:spacing w:line="360" w:lineRule="auto"/>
        <w:ind w:firstLine="420" w:firstLineChars="200"/>
        <w:contextualSpacing/>
        <w:rPr>
          <w:rFonts w:ascii="宋体" w:hAnsi="宋体" w:cs="仿宋_GB2312"/>
          <w:color w:val="auto"/>
          <w:sz w:val="21"/>
          <w:szCs w:val="21"/>
          <w:highlight w:val="none"/>
        </w:rPr>
      </w:pPr>
      <w:r>
        <w:rPr>
          <w:rFonts w:ascii="宋体" w:hAnsi="宋体" w:cs="仿宋_GB2312"/>
          <w:color w:val="auto"/>
          <w:sz w:val="21"/>
          <w:szCs w:val="21"/>
          <w:highlight w:val="none"/>
        </w:rPr>
        <w:t>5</w:t>
      </w:r>
      <w:r>
        <w:rPr>
          <w:rFonts w:hint="eastAsia" w:ascii="宋体" w:hAnsi="宋体" w:cs="仿宋_GB2312"/>
          <w:color w:val="auto"/>
          <w:sz w:val="21"/>
          <w:szCs w:val="21"/>
          <w:highlight w:val="none"/>
        </w:rPr>
        <w:t>.</w:t>
      </w:r>
      <w:r>
        <w:rPr>
          <w:rFonts w:hint="eastAsia" w:ascii="宋体" w:hAnsi="宋体" w:cs="仿宋_GB2312"/>
          <w:color w:val="auto"/>
          <w:spacing w:val="-6"/>
          <w:sz w:val="21"/>
          <w:szCs w:val="21"/>
          <w:highlight w:val="none"/>
        </w:rPr>
        <w:t>如有多分标，分别列明各分标的报价表，</w:t>
      </w:r>
      <w:r>
        <w:rPr>
          <w:rFonts w:hint="eastAsia" w:ascii="宋体" w:hAnsi="宋体" w:cs="仿宋_GB2312"/>
          <w:b/>
          <w:color w:val="auto"/>
          <w:spacing w:val="-6"/>
          <w:sz w:val="21"/>
          <w:szCs w:val="21"/>
          <w:highlight w:val="none"/>
        </w:rPr>
        <w:t>否则其响应文件按无效处理。</w:t>
      </w:r>
    </w:p>
    <w:p w14:paraId="59A38AA1">
      <w:pPr>
        <w:spacing w:line="360" w:lineRule="auto"/>
        <w:ind w:right="-817" w:rightChars="-389"/>
        <w:contextualSpacing/>
        <w:rPr>
          <w:rFonts w:ascii="宋体" w:hAnsi="宋体" w:cs="仿宋_GB2312"/>
          <w:color w:val="auto"/>
          <w:sz w:val="21"/>
          <w:szCs w:val="21"/>
          <w:highlight w:val="none"/>
        </w:rPr>
      </w:pPr>
    </w:p>
    <w:p w14:paraId="79977A2F">
      <w:pPr>
        <w:spacing w:line="360" w:lineRule="auto"/>
        <w:ind w:right="-817" w:rightChars="-389" w:firstLine="2310" w:firstLineChars="11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 xml:space="preserve">法定代表人或者委托代理人（签字或者电子签名）：                    </w:t>
      </w:r>
    </w:p>
    <w:p w14:paraId="035257AC">
      <w:pPr>
        <w:spacing w:line="360" w:lineRule="auto"/>
        <w:ind w:right="-817" w:rightChars="-389" w:firstLine="2310" w:firstLineChars="11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 xml:space="preserve">供应商（电子签章）：      </w:t>
      </w:r>
    </w:p>
    <w:p w14:paraId="61B7121C">
      <w:pPr>
        <w:spacing w:line="360" w:lineRule="auto"/>
        <w:ind w:right="-817" w:rightChars="-389" w:firstLine="3570" w:firstLineChars="1700"/>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日期：   年   月   日</w:t>
      </w:r>
    </w:p>
    <w:p w14:paraId="7C66CA78">
      <w:pPr>
        <w:spacing w:line="360" w:lineRule="auto"/>
        <w:contextualSpacing/>
        <w:jc w:val="center"/>
        <w:rPr>
          <w:rFonts w:ascii="宋体" w:hAnsi="宋体" w:cs="仿宋_GB2312"/>
          <w:b/>
          <w:color w:val="auto"/>
          <w:sz w:val="32"/>
          <w:szCs w:val="32"/>
          <w:highlight w:val="none"/>
        </w:rPr>
      </w:pPr>
      <w:r>
        <w:rPr>
          <w:rFonts w:ascii="宋体" w:hAnsi="宋体" w:cs="仿宋_GB2312"/>
          <w:color w:val="auto"/>
          <w:sz w:val="21"/>
          <w:szCs w:val="21"/>
          <w:highlight w:val="none"/>
        </w:rPr>
        <w:br w:type="page"/>
      </w:r>
      <w:r>
        <w:rPr>
          <w:rFonts w:hint="eastAsia" w:ascii="宋体" w:hAnsi="宋体" w:cs="宋体"/>
          <w:b/>
          <w:color w:val="auto"/>
          <w:sz w:val="32"/>
          <w:szCs w:val="32"/>
          <w:highlight w:val="none"/>
        </w:rPr>
        <w:t>已标价工程量清单</w:t>
      </w:r>
    </w:p>
    <w:p w14:paraId="336F4887">
      <w:pPr>
        <w:spacing w:line="360" w:lineRule="auto"/>
        <w:ind w:firstLine="420" w:firstLineChars="200"/>
        <w:rPr>
          <w:color w:val="auto"/>
          <w:highlight w:val="none"/>
        </w:rPr>
      </w:pPr>
      <w:r>
        <w:rPr>
          <w:color w:val="auto"/>
          <w:highlight w:val="none"/>
        </w:rPr>
        <w:t xml:space="preserve">1. </w:t>
      </w:r>
      <w:r>
        <w:rPr>
          <w:rFonts w:hint="eastAsia"/>
          <w:color w:val="auto"/>
          <w:highlight w:val="none"/>
        </w:rPr>
        <w:t>已标价工程量清单应按第五章“工程量清单及图纸”中的相关表格及竞标报价说明填写。构成合同文件的已标价工程量清单包括第五章“工程量清单及图纸”有关工程量清单、竞标报价以及其他说明的内容。</w:t>
      </w:r>
    </w:p>
    <w:p w14:paraId="24CFA342">
      <w:pPr>
        <w:spacing w:line="360" w:lineRule="auto"/>
        <w:ind w:firstLine="420" w:firstLineChars="200"/>
        <w:rPr>
          <w:color w:val="auto"/>
          <w:highlight w:val="none"/>
        </w:rPr>
      </w:pPr>
      <w:r>
        <w:rPr>
          <w:color w:val="auto"/>
          <w:highlight w:val="none"/>
        </w:rPr>
        <w:t xml:space="preserve">2. </w:t>
      </w:r>
      <w:r>
        <w:rPr>
          <w:rFonts w:hint="eastAsia"/>
          <w:color w:val="auto"/>
          <w:highlight w:val="none"/>
        </w:rPr>
        <w:t>一般计税法建设工程已标价工程量清单表格按《关于建筑业实施营业税改征增值税后广西壮族自治区建设工程计价依据调整的通知》（桂建标〔</w:t>
      </w:r>
      <w:r>
        <w:rPr>
          <w:color w:val="auto"/>
          <w:highlight w:val="none"/>
        </w:rPr>
        <w:t>2016</w:t>
      </w:r>
      <w:r>
        <w:rPr>
          <w:rFonts w:hint="eastAsia"/>
          <w:color w:val="auto"/>
          <w:highlight w:val="none"/>
        </w:rPr>
        <w:t>〕</w:t>
      </w:r>
      <w:r>
        <w:rPr>
          <w:color w:val="auto"/>
          <w:highlight w:val="none"/>
        </w:rPr>
        <w:t>17</w:t>
      </w:r>
      <w:r>
        <w:rPr>
          <w:rFonts w:hint="eastAsia"/>
          <w:color w:val="auto"/>
          <w:highlight w:val="none"/>
        </w:rPr>
        <w:t>号）附件“增值税一般计税方法工程计价表”要求提供，简易计税法表格按《</w:t>
      </w:r>
      <w:r>
        <w:rPr>
          <w:color w:val="auto"/>
          <w:highlight w:val="none"/>
        </w:rPr>
        <w:t>&lt;</w:t>
      </w:r>
      <w:r>
        <w:rPr>
          <w:rFonts w:hint="eastAsia"/>
          <w:color w:val="auto"/>
          <w:highlight w:val="none"/>
        </w:rPr>
        <w:t>建设工程工程量清单计价规范</w:t>
      </w:r>
      <w:r>
        <w:rPr>
          <w:color w:val="auto"/>
          <w:highlight w:val="none"/>
        </w:rPr>
        <w:t>&gt;</w:t>
      </w:r>
      <w:r>
        <w:rPr>
          <w:rFonts w:hint="eastAsia"/>
          <w:color w:val="auto"/>
          <w:highlight w:val="none"/>
        </w:rPr>
        <w:t>（</w:t>
      </w:r>
      <w:r>
        <w:rPr>
          <w:color w:val="auto"/>
          <w:highlight w:val="none"/>
        </w:rPr>
        <w:t>GB5050-2013</w:t>
      </w:r>
      <w:r>
        <w:rPr>
          <w:rFonts w:hint="eastAsia"/>
          <w:color w:val="auto"/>
          <w:highlight w:val="none"/>
        </w:rPr>
        <w:t>）广西壮族自治区实施细则》要求的表格提供，但规费和税费按照《关于建筑业实施营业税改征增值税后广西壮族自治区建设工程计价依据调整的通知》（桂建标〔</w:t>
      </w:r>
      <w:r>
        <w:rPr>
          <w:color w:val="auto"/>
          <w:highlight w:val="none"/>
        </w:rPr>
        <w:t>2016</w:t>
      </w:r>
      <w:r>
        <w:rPr>
          <w:rFonts w:hint="eastAsia"/>
          <w:color w:val="auto"/>
          <w:highlight w:val="none"/>
        </w:rPr>
        <w:t>〕</w:t>
      </w:r>
      <w:r>
        <w:rPr>
          <w:color w:val="auto"/>
          <w:highlight w:val="none"/>
        </w:rPr>
        <w:t>17</w:t>
      </w:r>
      <w:r>
        <w:rPr>
          <w:rFonts w:hint="eastAsia"/>
          <w:color w:val="auto"/>
          <w:highlight w:val="none"/>
        </w:rPr>
        <w:t>号）、《自治区住房城乡建设厅关于调整建设工程计价增值税税率的通知》（桂建标〔2018〕14号）、《自治区住房城乡建设厅关于调整建设工程计价增值税税率的通知》（桂建标〔2019〕12号）调整，具体内容包括：</w:t>
      </w:r>
    </w:p>
    <w:p w14:paraId="35665224">
      <w:pPr>
        <w:spacing w:line="360" w:lineRule="auto"/>
        <w:ind w:firstLine="630" w:firstLineChars="300"/>
        <w:rPr>
          <w:color w:val="auto"/>
          <w:highlight w:val="none"/>
        </w:rPr>
      </w:pPr>
      <w:r>
        <w:rPr>
          <w:color w:val="auto"/>
          <w:highlight w:val="none"/>
        </w:rPr>
        <w:t xml:space="preserve">1.1 </w:t>
      </w:r>
      <w:r>
        <w:rPr>
          <w:rFonts w:hint="eastAsia" w:cs="宋体"/>
          <w:color w:val="auto"/>
          <w:highlight w:val="none"/>
        </w:rPr>
        <w:t>投标总价（封</w:t>
      </w:r>
      <w:r>
        <w:rPr>
          <w:color w:val="auto"/>
          <w:highlight w:val="none"/>
        </w:rPr>
        <w:t>-3</w:t>
      </w:r>
      <w:r>
        <w:rPr>
          <w:rFonts w:hint="eastAsia" w:cs="宋体"/>
          <w:color w:val="auto"/>
          <w:highlight w:val="none"/>
        </w:rPr>
        <w:t>）</w:t>
      </w:r>
    </w:p>
    <w:p w14:paraId="2FFC43F8">
      <w:pPr>
        <w:spacing w:line="360" w:lineRule="auto"/>
        <w:ind w:firstLine="630" w:firstLineChars="300"/>
        <w:rPr>
          <w:color w:val="auto"/>
          <w:highlight w:val="none"/>
        </w:rPr>
      </w:pPr>
      <w:r>
        <w:rPr>
          <w:color w:val="auto"/>
          <w:highlight w:val="none"/>
        </w:rPr>
        <w:t xml:space="preserve">1.2 </w:t>
      </w:r>
      <w:r>
        <w:rPr>
          <w:rFonts w:hint="eastAsia" w:cs="宋体"/>
          <w:color w:val="auto"/>
          <w:highlight w:val="none"/>
        </w:rPr>
        <w:t>投标总价（扉</w:t>
      </w:r>
      <w:r>
        <w:rPr>
          <w:color w:val="auto"/>
          <w:highlight w:val="none"/>
        </w:rPr>
        <w:t>-3</w:t>
      </w:r>
      <w:r>
        <w:rPr>
          <w:rFonts w:hint="eastAsia" w:cs="宋体"/>
          <w:color w:val="auto"/>
          <w:highlight w:val="none"/>
        </w:rPr>
        <w:t>）</w:t>
      </w:r>
    </w:p>
    <w:p w14:paraId="20873916">
      <w:pPr>
        <w:spacing w:line="360" w:lineRule="auto"/>
        <w:ind w:firstLine="630" w:firstLineChars="300"/>
        <w:rPr>
          <w:color w:val="auto"/>
          <w:highlight w:val="none"/>
        </w:rPr>
      </w:pPr>
      <w:r>
        <w:rPr>
          <w:color w:val="auto"/>
          <w:highlight w:val="none"/>
        </w:rPr>
        <w:t xml:space="preserve">1.3 </w:t>
      </w:r>
      <w:r>
        <w:rPr>
          <w:rFonts w:hint="eastAsia" w:cs="宋体"/>
          <w:color w:val="auto"/>
          <w:highlight w:val="none"/>
        </w:rPr>
        <w:t>总说明（表</w:t>
      </w:r>
      <w:r>
        <w:rPr>
          <w:color w:val="auto"/>
          <w:highlight w:val="none"/>
        </w:rPr>
        <w:t>-01</w:t>
      </w:r>
      <w:r>
        <w:rPr>
          <w:rFonts w:hint="eastAsia" w:cs="宋体"/>
          <w:color w:val="auto"/>
          <w:highlight w:val="none"/>
        </w:rPr>
        <w:t>）</w:t>
      </w:r>
    </w:p>
    <w:p w14:paraId="13E6CA3C">
      <w:pPr>
        <w:spacing w:line="360" w:lineRule="auto"/>
        <w:ind w:firstLine="630" w:firstLineChars="300"/>
        <w:rPr>
          <w:color w:val="auto"/>
          <w:highlight w:val="none"/>
        </w:rPr>
      </w:pPr>
      <w:r>
        <w:rPr>
          <w:color w:val="auto"/>
          <w:highlight w:val="none"/>
        </w:rPr>
        <w:t xml:space="preserve">1.4 </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784A6369">
      <w:pPr>
        <w:spacing w:line="360" w:lineRule="auto"/>
        <w:ind w:firstLine="630" w:firstLineChars="300"/>
        <w:rPr>
          <w:color w:val="auto"/>
          <w:highlight w:val="none"/>
        </w:rPr>
      </w:pPr>
      <w:r>
        <w:rPr>
          <w:color w:val="auto"/>
          <w:highlight w:val="none"/>
        </w:rPr>
        <w:t xml:space="preserve">1.5 </w:t>
      </w:r>
      <w:r>
        <w:rPr>
          <w:rFonts w:hint="eastAsia" w:cs="宋体"/>
          <w:color w:val="auto"/>
          <w:highlight w:val="none"/>
        </w:rPr>
        <w:t>单项工程投标报价汇总表（表</w:t>
      </w:r>
      <w:r>
        <w:rPr>
          <w:color w:val="auto"/>
          <w:highlight w:val="none"/>
        </w:rPr>
        <w:t>-03</w:t>
      </w:r>
      <w:r>
        <w:rPr>
          <w:rFonts w:hint="eastAsia" w:cs="宋体"/>
          <w:color w:val="auto"/>
          <w:highlight w:val="none"/>
        </w:rPr>
        <w:t>）</w:t>
      </w:r>
    </w:p>
    <w:p w14:paraId="0D8E18B2">
      <w:pPr>
        <w:spacing w:line="360" w:lineRule="auto"/>
        <w:ind w:firstLine="630" w:firstLineChars="300"/>
        <w:rPr>
          <w:color w:val="auto"/>
          <w:highlight w:val="none"/>
        </w:rPr>
      </w:pPr>
      <w:r>
        <w:rPr>
          <w:color w:val="auto"/>
          <w:highlight w:val="none"/>
        </w:rPr>
        <w:t xml:space="preserve">1.6 </w:t>
      </w:r>
      <w:r>
        <w:rPr>
          <w:rFonts w:hint="eastAsia" w:cs="宋体"/>
          <w:color w:val="auto"/>
          <w:highlight w:val="none"/>
        </w:rPr>
        <w:t>单位工程投标报价汇总表（表</w:t>
      </w:r>
      <w:r>
        <w:rPr>
          <w:color w:val="auto"/>
          <w:highlight w:val="none"/>
        </w:rPr>
        <w:t>-04</w:t>
      </w:r>
      <w:r>
        <w:rPr>
          <w:rFonts w:hint="eastAsia" w:cs="宋体"/>
          <w:color w:val="auto"/>
          <w:highlight w:val="none"/>
        </w:rPr>
        <w:t>）</w:t>
      </w:r>
    </w:p>
    <w:p w14:paraId="129A6EE2">
      <w:pPr>
        <w:spacing w:line="360" w:lineRule="auto"/>
        <w:ind w:firstLine="630" w:firstLineChars="300"/>
        <w:rPr>
          <w:color w:val="auto"/>
          <w:highlight w:val="none"/>
        </w:rPr>
      </w:pPr>
      <w:r>
        <w:rPr>
          <w:color w:val="auto"/>
          <w:highlight w:val="none"/>
        </w:rPr>
        <w:t xml:space="preserve">1.7 </w:t>
      </w:r>
      <w:r>
        <w:rPr>
          <w:rFonts w:hint="eastAsia" w:cs="宋体"/>
          <w:color w:val="auto"/>
          <w:highlight w:val="none"/>
        </w:rPr>
        <w:t>分部分项工程和单价措施项目清单与计价表（表</w:t>
      </w:r>
      <w:r>
        <w:rPr>
          <w:color w:val="auto"/>
          <w:highlight w:val="none"/>
        </w:rPr>
        <w:t>-08</w:t>
      </w:r>
      <w:r>
        <w:rPr>
          <w:rFonts w:hint="eastAsia" w:cs="宋体"/>
          <w:color w:val="auto"/>
          <w:highlight w:val="none"/>
        </w:rPr>
        <w:t>）</w:t>
      </w:r>
    </w:p>
    <w:p w14:paraId="785183C6">
      <w:pPr>
        <w:spacing w:line="360" w:lineRule="auto"/>
        <w:ind w:firstLine="630" w:firstLineChars="300"/>
        <w:rPr>
          <w:color w:val="auto"/>
          <w:highlight w:val="none"/>
        </w:rPr>
      </w:pPr>
      <w:r>
        <w:rPr>
          <w:color w:val="auto"/>
          <w:highlight w:val="none"/>
        </w:rPr>
        <w:t xml:space="preserve">1.8 </w:t>
      </w:r>
      <w:r>
        <w:rPr>
          <w:rFonts w:hint="eastAsia" w:cs="宋体"/>
          <w:color w:val="auto"/>
          <w:highlight w:val="none"/>
        </w:rPr>
        <w:t>工程量清单综合单价分析表（表</w:t>
      </w:r>
      <w:r>
        <w:rPr>
          <w:color w:val="auto"/>
          <w:highlight w:val="none"/>
        </w:rPr>
        <w:t>-09</w:t>
      </w:r>
      <w:r>
        <w:rPr>
          <w:rFonts w:hint="eastAsia" w:cs="宋体"/>
          <w:color w:val="auto"/>
          <w:highlight w:val="none"/>
        </w:rPr>
        <w:t>）</w:t>
      </w:r>
    </w:p>
    <w:p w14:paraId="75CE63D5">
      <w:pPr>
        <w:spacing w:line="360" w:lineRule="auto"/>
        <w:ind w:firstLine="630" w:firstLineChars="300"/>
        <w:rPr>
          <w:color w:val="auto"/>
          <w:highlight w:val="none"/>
        </w:rPr>
      </w:pPr>
      <w:r>
        <w:rPr>
          <w:color w:val="auto"/>
          <w:highlight w:val="none"/>
        </w:rPr>
        <w:t xml:space="preserve">1.9 </w:t>
      </w:r>
      <w:r>
        <w:rPr>
          <w:rFonts w:hint="eastAsia" w:cs="宋体"/>
          <w:color w:val="auto"/>
          <w:highlight w:val="none"/>
        </w:rPr>
        <w:t>主要清单项目工料机分析表（表</w:t>
      </w:r>
      <w:r>
        <w:rPr>
          <w:color w:val="auto"/>
          <w:highlight w:val="none"/>
        </w:rPr>
        <w:t>-10</w:t>
      </w:r>
      <w:r>
        <w:rPr>
          <w:rFonts w:hint="eastAsia" w:cs="宋体"/>
          <w:color w:val="auto"/>
          <w:highlight w:val="none"/>
        </w:rPr>
        <w:t>）【备注：可按要求有选择的提供】</w:t>
      </w:r>
    </w:p>
    <w:p w14:paraId="57F68AC6">
      <w:pPr>
        <w:spacing w:line="360" w:lineRule="auto"/>
        <w:ind w:firstLine="630" w:firstLineChars="300"/>
        <w:rPr>
          <w:color w:val="auto"/>
          <w:highlight w:val="none"/>
        </w:rPr>
      </w:pPr>
      <w:r>
        <w:rPr>
          <w:color w:val="auto"/>
          <w:highlight w:val="none"/>
        </w:rPr>
        <w:t xml:space="preserve">1.10 </w:t>
      </w:r>
      <w:r>
        <w:rPr>
          <w:rFonts w:hint="eastAsia" w:cs="宋体"/>
          <w:color w:val="auto"/>
          <w:highlight w:val="none"/>
        </w:rPr>
        <w:t>总价措施项目清单与计价表（表</w:t>
      </w:r>
      <w:r>
        <w:rPr>
          <w:color w:val="auto"/>
          <w:highlight w:val="none"/>
        </w:rPr>
        <w:t>-11</w:t>
      </w:r>
      <w:r>
        <w:rPr>
          <w:rFonts w:hint="eastAsia" w:cs="宋体"/>
          <w:color w:val="auto"/>
          <w:highlight w:val="none"/>
        </w:rPr>
        <w:t>）</w:t>
      </w:r>
    </w:p>
    <w:p w14:paraId="5DCD87E3">
      <w:pPr>
        <w:spacing w:line="360" w:lineRule="auto"/>
        <w:ind w:firstLine="630" w:firstLineChars="300"/>
        <w:rPr>
          <w:color w:val="auto"/>
          <w:highlight w:val="none"/>
        </w:rPr>
      </w:pPr>
      <w:r>
        <w:rPr>
          <w:color w:val="auto"/>
          <w:highlight w:val="none"/>
        </w:rPr>
        <w:t xml:space="preserve">1.11 </w:t>
      </w:r>
      <w:r>
        <w:rPr>
          <w:rFonts w:hint="eastAsia" w:cs="宋体"/>
          <w:color w:val="auto"/>
          <w:highlight w:val="none"/>
        </w:rPr>
        <w:t>其他项目清单与计价汇总表（表</w:t>
      </w:r>
      <w:r>
        <w:rPr>
          <w:color w:val="auto"/>
          <w:highlight w:val="none"/>
        </w:rPr>
        <w:t>-12</w:t>
      </w:r>
      <w:r>
        <w:rPr>
          <w:rFonts w:hint="eastAsia" w:cs="宋体"/>
          <w:color w:val="auto"/>
          <w:highlight w:val="none"/>
        </w:rPr>
        <w:t>）</w:t>
      </w:r>
    </w:p>
    <w:p w14:paraId="6A58A3D0">
      <w:pPr>
        <w:spacing w:line="360" w:lineRule="auto"/>
        <w:ind w:firstLine="630" w:firstLineChars="300"/>
        <w:rPr>
          <w:color w:val="auto"/>
          <w:highlight w:val="none"/>
        </w:rPr>
      </w:pPr>
      <w:r>
        <w:rPr>
          <w:color w:val="auto"/>
          <w:highlight w:val="none"/>
        </w:rPr>
        <w:t xml:space="preserve">1.12 </w:t>
      </w:r>
      <w:r>
        <w:rPr>
          <w:rFonts w:hint="eastAsia" w:cs="宋体"/>
          <w:color w:val="auto"/>
          <w:highlight w:val="none"/>
        </w:rPr>
        <w:t>暂列金额明细表（表</w:t>
      </w:r>
      <w:r>
        <w:rPr>
          <w:color w:val="auto"/>
          <w:highlight w:val="none"/>
        </w:rPr>
        <w:t>12-1</w:t>
      </w:r>
      <w:r>
        <w:rPr>
          <w:rFonts w:hint="eastAsia" w:cs="宋体"/>
          <w:color w:val="auto"/>
          <w:highlight w:val="none"/>
        </w:rPr>
        <w:t>）</w:t>
      </w:r>
    </w:p>
    <w:p w14:paraId="46BE1E17">
      <w:pPr>
        <w:spacing w:line="360" w:lineRule="auto"/>
        <w:ind w:firstLine="630" w:firstLineChars="300"/>
        <w:rPr>
          <w:color w:val="auto"/>
          <w:highlight w:val="none"/>
        </w:rPr>
      </w:pPr>
      <w:r>
        <w:rPr>
          <w:color w:val="auto"/>
          <w:highlight w:val="none"/>
        </w:rPr>
        <w:t xml:space="preserve">1.13 </w:t>
      </w:r>
      <w:r>
        <w:rPr>
          <w:rFonts w:hint="eastAsia" w:cs="宋体"/>
          <w:color w:val="auto"/>
          <w:highlight w:val="none"/>
        </w:rPr>
        <w:t>材料（工程设备）暂估单价及调整表（表</w:t>
      </w:r>
      <w:r>
        <w:rPr>
          <w:color w:val="auto"/>
          <w:highlight w:val="none"/>
        </w:rPr>
        <w:t>12-2</w:t>
      </w:r>
      <w:r>
        <w:rPr>
          <w:rFonts w:hint="eastAsia" w:cs="宋体"/>
          <w:color w:val="auto"/>
          <w:highlight w:val="none"/>
        </w:rPr>
        <w:t>）</w:t>
      </w:r>
    </w:p>
    <w:p w14:paraId="6A0E2047">
      <w:pPr>
        <w:spacing w:line="360" w:lineRule="auto"/>
        <w:ind w:firstLine="630" w:firstLineChars="300"/>
        <w:rPr>
          <w:color w:val="auto"/>
          <w:highlight w:val="none"/>
        </w:rPr>
      </w:pPr>
      <w:r>
        <w:rPr>
          <w:color w:val="auto"/>
          <w:highlight w:val="none"/>
        </w:rPr>
        <w:t xml:space="preserve">1.14 </w:t>
      </w:r>
      <w:r>
        <w:rPr>
          <w:rFonts w:hint="eastAsia" w:cs="宋体"/>
          <w:color w:val="auto"/>
          <w:highlight w:val="none"/>
        </w:rPr>
        <w:t>专业工程暂估价及结算价表（表</w:t>
      </w:r>
      <w:r>
        <w:rPr>
          <w:color w:val="auto"/>
          <w:highlight w:val="none"/>
        </w:rPr>
        <w:t>12-3</w:t>
      </w:r>
      <w:r>
        <w:rPr>
          <w:rFonts w:hint="eastAsia" w:cs="宋体"/>
          <w:color w:val="auto"/>
          <w:highlight w:val="none"/>
        </w:rPr>
        <w:t>）</w:t>
      </w:r>
    </w:p>
    <w:p w14:paraId="2EBFCADB">
      <w:pPr>
        <w:spacing w:line="360" w:lineRule="auto"/>
        <w:ind w:firstLine="630" w:firstLineChars="300"/>
        <w:rPr>
          <w:color w:val="auto"/>
          <w:highlight w:val="none"/>
        </w:rPr>
      </w:pPr>
      <w:r>
        <w:rPr>
          <w:color w:val="auto"/>
          <w:highlight w:val="none"/>
        </w:rPr>
        <w:t>1.15</w:t>
      </w:r>
      <w:r>
        <w:rPr>
          <w:rFonts w:hint="eastAsia" w:cs="宋体"/>
          <w:color w:val="auto"/>
          <w:highlight w:val="none"/>
        </w:rPr>
        <w:t>计日工表（表</w:t>
      </w:r>
      <w:r>
        <w:rPr>
          <w:color w:val="auto"/>
          <w:highlight w:val="none"/>
        </w:rPr>
        <w:t>12-4</w:t>
      </w:r>
      <w:r>
        <w:rPr>
          <w:rFonts w:hint="eastAsia" w:cs="宋体"/>
          <w:color w:val="auto"/>
          <w:highlight w:val="none"/>
        </w:rPr>
        <w:t>）</w:t>
      </w:r>
    </w:p>
    <w:p w14:paraId="7D3A64DB">
      <w:pPr>
        <w:spacing w:line="360" w:lineRule="auto"/>
        <w:ind w:firstLine="630" w:firstLineChars="300"/>
        <w:rPr>
          <w:color w:val="auto"/>
          <w:highlight w:val="none"/>
        </w:rPr>
      </w:pPr>
      <w:r>
        <w:rPr>
          <w:color w:val="auto"/>
          <w:highlight w:val="none"/>
        </w:rPr>
        <w:t xml:space="preserve">1.16 </w:t>
      </w:r>
      <w:r>
        <w:rPr>
          <w:rFonts w:hint="eastAsia" w:cs="宋体"/>
          <w:color w:val="auto"/>
          <w:highlight w:val="none"/>
        </w:rPr>
        <w:t>总承包服务费计价表（表</w:t>
      </w:r>
      <w:r>
        <w:rPr>
          <w:color w:val="auto"/>
          <w:highlight w:val="none"/>
        </w:rPr>
        <w:t>12-5</w:t>
      </w:r>
      <w:r>
        <w:rPr>
          <w:rFonts w:hint="eastAsia" w:cs="宋体"/>
          <w:color w:val="auto"/>
          <w:highlight w:val="none"/>
        </w:rPr>
        <w:t>）</w:t>
      </w:r>
    </w:p>
    <w:p w14:paraId="77640156">
      <w:pPr>
        <w:spacing w:line="360" w:lineRule="auto"/>
        <w:ind w:firstLine="630" w:firstLineChars="300"/>
        <w:rPr>
          <w:color w:val="auto"/>
          <w:highlight w:val="none"/>
        </w:rPr>
      </w:pPr>
      <w:r>
        <w:rPr>
          <w:color w:val="auto"/>
          <w:highlight w:val="none"/>
        </w:rPr>
        <w:t xml:space="preserve">1.17 </w:t>
      </w:r>
      <w:r>
        <w:rPr>
          <w:rFonts w:hint="eastAsia" w:cs="宋体"/>
          <w:color w:val="auto"/>
          <w:highlight w:val="none"/>
        </w:rPr>
        <w:t>税前项目清单与计价表（表</w:t>
      </w:r>
      <w:r>
        <w:rPr>
          <w:color w:val="auto"/>
          <w:highlight w:val="none"/>
        </w:rPr>
        <w:t>-14</w:t>
      </w:r>
      <w:r>
        <w:rPr>
          <w:rFonts w:hint="eastAsia" w:cs="宋体"/>
          <w:color w:val="auto"/>
          <w:highlight w:val="none"/>
        </w:rPr>
        <w:t>）</w:t>
      </w:r>
    </w:p>
    <w:p w14:paraId="6FCB4857">
      <w:pPr>
        <w:spacing w:line="360" w:lineRule="auto"/>
        <w:ind w:firstLine="630" w:firstLineChars="300"/>
        <w:rPr>
          <w:color w:val="auto"/>
          <w:highlight w:val="none"/>
        </w:rPr>
      </w:pPr>
      <w:r>
        <w:rPr>
          <w:color w:val="auto"/>
          <w:highlight w:val="none"/>
        </w:rPr>
        <w:t xml:space="preserve">1.18 </w:t>
      </w:r>
      <w:r>
        <w:rPr>
          <w:rFonts w:hint="eastAsia" w:cs="宋体"/>
          <w:color w:val="auto"/>
          <w:highlight w:val="none"/>
        </w:rPr>
        <w:t>规费、增值税计价表（表</w:t>
      </w:r>
      <w:r>
        <w:rPr>
          <w:color w:val="auto"/>
          <w:highlight w:val="none"/>
        </w:rPr>
        <w:t>-15</w:t>
      </w:r>
      <w:r>
        <w:rPr>
          <w:rFonts w:hint="eastAsia" w:cs="宋体"/>
          <w:color w:val="auto"/>
          <w:highlight w:val="none"/>
        </w:rPr>
        <w:t>）</w:t>
      </w:r>
    </w:p>
    <w:p w14:paraId="61A39F1C">
      <w:pPr>
        <w:spacing w:line="360" w:lineRule="auto"/>
        <w:ind w:firstLine="630" w:firstLineChars="300"/>
        <w:rPr>
          <w:color w:val="auto"/>
          <w:highlight w:val="none"/>
        </w:rPr>
      </w:pPr>
      <w:r>
        <w:rPr>
          <w:color w:val="auto"/>
          <w:highlight w:val="none"/>
        </w:rPr>
        <w:t xml:space="preserve">1.19 </w:t>
      </w:r>
      <w:r>
        <w:rPr>
          <w:rFonts w:hint="eastAsia" w:cs="宋体"/>
          <w:color w:val="auto"/>
          <w:highlight w:val="none"/>
        </w:rPr>
        <w:t>发包人提供主要材料和工程设备一览表（表</w:t>
      </w:r>
      <w:r>
        <w:rPr>
          <w:color w:val="auto"/>
          <w:highlight w:val="none"/>
        </w:rPr>
        <w:t>-21</w:t>
      </w:r>
      <w:r>
        <w:rPr>
          <w:rFonts w:hint="eastAsia" w:cs="宋体"/>
          <w:color w:val="auto"/>
          <w:highlight w:val="none"/>
        </w:rPr>
        <w:t>）</w:t>
      </w:r>
    </w:p>
    <w:p w14:paraId="7B78662E">
      <w:pPr>
        <w:spacing w:line="360" w:lineRule="auto"/>
        <w:ind w:firstLine="630" w:firstLineChars="300"/>
        <w:rPr>
          <w:color w:val="auto"/>
          <w:highlight w:val="none"/>
        </w:rPr>
      </w:pPr>
      <w:r>
        <w:rPr>
          <w:color w:val="auto"/>
          <w:highlight w:val="none"/>
        </w:rPr>
        <w:t xml:space="preserve">1.20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w:t>
      </w:r>
    </w:p>
    <w:p w14:paraId="0040CED5">
      <w:pPr>
        <w:spacing w:line="360" w:lineRule="auto"/>
        <w:ind w:firstLine="630" w:firstLineChars="300"/>
        <w:rPr>
          <w:color w:val="auto"/>
          <w:highlight w:val="none"/>
        </w:rPr>
      </w:pPr>
      <w:r>
        <w:rPr>
          <w:color w:val="auto"/>
          <w:highlight w:val="none"/>
        </w:rPr>
        <w:t xml:space="preserve">1.21 </w:t>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61A26619">
      <w:pPr>
        <w:spacing w:line="360" w:lineRule="auto"/>
        <w:ind w:firstLine="630" w:firstLineChars="300"/>
        <w:rPr>
          <w:color w:val="auto"/>
          <w:highlight w:val="none"/>
        </w:rPr>
      </w:pPr>
      <w:r>
        <w:rPr>
          <w:rFonts w:hint="eastAsia"/>
          <w:color w:val="auto"/>
          <w:highlight w:val="none"/>
        </w:rPr>
        <w:t>1.22</w:t>
      </w:r>
      <w:r>
        <w:rPr>
          <w:rFonts w:hint="eastAsia" w:cs="宋体"/>
          <w:color w:val="auto"/>
          <w:highlight w:val="none"/>
        </w:rPr>
        <w:t>本工程</w:t>
      </w:r>
      <w:r>
        <w:rPr>
          <w:rFonts w:cs="宋体"/>
          <w:color w:val="auto"/>
          <w:highlight w:val="none"/>
        </w:rPr>
        <w:t>材料和工程设备</w:t>
      </w:r>
      <w:r>
        <w:rPr>
          <w:rFonts w:hint="eastAsia" w:cs="宋体"/>
          <w:color w:val="auto"/>
          <w:highlight w:val="none"/>
        </w:rPr>
        <w:t>一览表（表-24）</w:t>
      </w:r>
    </w:p>
    <w:p w14:paraId="5FA13E61">
      <w:pPr>
        <w:spacing w:line="360" w:lineRule="auto"/>
        <w:rPr>
          <w:color w:val="auto"/>
          <w:highlight w:val="none"/>
        </w:rPr>
      </w:pPr>
      <w:r>
        <w:rPr>
          <w:rFonts w:hint="eastAsia" w:cs="宋体"/>
          <w:color w:val="auto"/>
          <w:highlight w:val="none"/>
        </w:rPr>
        <w:t>备注：</w:t>
      </w:r>
    </w:p>
    <w:p w14:paraId="45B67E4F">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）供应商在上传竞标报价文件时应上传纸质投标总价封面的原件扫描件。报标总价封面必须经供应商盖章，并由法定代表人（或其授权人）签字（或盖章），同时由编制人签字盖专用章。</w:t>
      </w:r>
    </w:p>
    <w:p w14:paraId="12EA53D6">
      <w:pPr>
        <w:spacing w:line="360" w:lineRule="auto"/>
        <w:ind w:firstLine="420" w:firstLineChars="200"/>
        <w:rPr>
          <w:color w:val="auto"/>
          <w:highlight w:val="none"/>
        </w:rPr>
      </w:pPr>
      <w:r>
        <w:rPr>
          <w:rFonts w:hint="eastAsia" w:cs="宋体"/>
          <w:color w:val="auto"/>
          <w:highlight w:val="none"/>
        </w:rPr>
        <w:t>（</w:t>
      </w:r>
      <w:r>
        <w:rPr>
          <w:color w:val="auto"/>
          <w:highlight w:val="none"/>
        </w:rPr>
        <w:t>2</w:t>
      </w:r>
      <w:r>
        <w:rPr>
          <w:rFonts w:hint="eastAsia" w:cs="宋体"/>
          <w:color w:val="auto"/>
          <w:highlight w:val="none"/>
        </w:rPr>
        <w:t>）</w:t>
      </w:r>
      <w:r>
        <w:rPr>
          <w:color w:val="auto"/>
          <w:highlight w:val="none"/>
        </w:rPr>
        <w:t>1.8</w:t>
      </w:r>
      <w:r>
        <w:rPr>
          <w:rFonts w:hint="eastAsia" w:cs="宋体"/>
          <w:color w:val="auto"/>
          <w:highlight w:val="none"/>
        </w:rPr>
        <w:t>工程量清单综合单价分析表和</w:t>
      </w:r>
      <w:r>
        <w:rPr>
          <w:color w:val="auto"/>
          <w:highlight w:val="none"/>
        </w:rPr>
        <w:t>1.9</w:t>
      </w:r>
      <w:r>
        <w:rPr>
          <w:rFonts w:hint="eastAsia" w:cs="宋体"/>
          <w:color w:val="auto"/>
          <w:highlight w:val="none"/>
        </w:rPr>
        <w:t>主要清单项目工料机分析表要求附上。</w:t>
      </w:r>
    </w:p>
    <w:p w14:paraId="388F1EC8">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）已标价工程量清单表格要严格按照招标工程量清单给出的表格要求和内容填报。如本工程在合同中约定采用造价信息价差调整法，1.</w:t>
      </w:r>
      <w:r>
        <w:rPr>
          <w:color w:val="auto"/>
          <w:highlight w:val="none"/>
        </w:rPr>
        <w:t xml:space="preserve">18 </w:t>
      </w:r>
      <w:r>
        <w:rPr>
          <w:rFonts w:hint="eastAsia" w:cs="宋体"/>
          <w:color w:val="auto"/>
          <w:highlight w:val="none"/>
        </w:rPr>
        <w:t>允许调整主要材料和工程设备一览表（适用于造价信息差额调整法）（表</w:t>
      </w:r>
      <w:r>
        <w:rPr>
          <w:color w:val="auto"/>
          <w:highlight w:val="none"/>
        </w:rPr>
        <w:t>-22</w:t>
      </w:r>
      <w:r>
        <w:rPr>
          <w:rFonts w:hint="eastAsia" w:cs="宋体"/>
          <w:color w:val="auto"/>
          <w:highlight w:val="none"/>
        </w:rPr>
        <w:t>）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420D0EDC">
      <w:pPr>
        <w:spacing w:line="360" w:lineRule="auto"/>
        <w:ind w:firstLine="420" w:firstLineChars="200"/>
        <w:rPr>
          <w:color w:val="auto"/>
          <w:highlight w:val="none"/>
        </w:rPr>
      </w:pPr>
      <w:r>
        <w:rPr>
          <w:rFonts w:hint="eastAsia" w:ascii="宋体" w:hAnsi="宋体" w:cs="宋体"/>
          <w:color w:val="auto"/>
          <w:highlight w:val="none"/>
        </w:rPr>
        <w:t>①</w:t>
      </w:r>
      <w:r>
        <w:rPr>
          <w:rFonts w:hint="eastAsia" w:cs="宋体"/>
          <w:color w:val="auto"/>
          <w:highlight w:val="none"/>
        </w:rPr>
        <w:t>建设项目投标报价汇总表（表</w:t>
      </w:r>
      <w:r>
        <w:rPr>
          <w:color w:val="auto"/>
          <w:highlight w:val="none"/>
        </w:rPr>
        <w:t>-02</w:t>
      </w:r>
      <w:r>
        <w:rPr>
          <w:rFonts w:hint="eastAsia" w:cs="宋体"/>
          <w:color w:val="auto"/>
          <w:highlight w:val="none"/>
        </w:rPr>
        <w:t>）</w:t>
      </w:r>
    </w:p>
    <w:p w14:paraId="111BDA44">
      <w:pPr>
        <w:spacing w:line="360" w:lineRule="auto"/>
        <w:ind w:firstLine="420" w:firstLineChars="200"/>
        <w:rPr>
          <w:color w:val="auto"/>
          <w:highlight w:val="none"/>
        </w:rPr>
      </w:pPr>
      <w:r>
        <w:rPr>
          <w:rFonts w:hint="eastAsia" w:cs="宋体"/>
          <w:color w:val="auto"/>
          <w:highlight w:val="none"/>
        </w:rPr>
        <w:t>②暂列金额明细表（表</w:t>
      </w:r>
      <w:r>
        <w:rPr>
          <w:color w:val="auto"/>
          <w:highlight w:val="none"/>
        </w:rPr>
        <w:t>12-1</w:t>
      </w:r>
      <w:r>
        <w:rPr>
          <w:rFonts w:hint="eastAsia" w:cs="宋体"/>
          <w:color w:val="auto"/>
          <w:highlight w:val="none"/>
        </w:rPr>
        <w:t>）</w:t>
      </w:r>
    </w:p>
    <w:p w14:paraId="337241DB">
      <w:pPr>
        <w:spacing w:line="360" w:lineRule="auto"/>
        <w:ind w:firstLine="420" w:firstLineChars="200"/>
        <w:rPr>
          <w:color w:val="auto"/>
          <w:highlight w:val="none"/>
        </w:rPr>
      </w:pPr>
      <w:r>
        <w:rPr>
          <w:rFonts w:hint="eastAsia" w:cs="宋体"/>
          <w:color w:val="auto"/>
          <w:highlight w:val="none"/>
        </w:rPr>
        <w:t>③材料（工程设备）暂估单位及调整表（表</w:t>
      </w:r>
      <w:r>
        <w:rPr>
          <w:color w:val="auto"/>
          <w:highlight w:val="none"/>
        </w:rPr>
        <w:t>12-2</w:t>
      </w:r>
      <w:r>
        <w:rPr>
          <w:rFonts w:hint="eastAsia" w:cs="宋体"/>
          <w:color w:val="auto"/>
          <w:highlight w:val="none"/>
        </w:rPr>
        <w:t>）</w:t>
      </w:r>
    </w:p>
    <w:p w14:paraId="01C45F4C">
      <w:pPr>
        <w:spacing w:line="360" w:lineRule="auto"/>
        <w:ind w:firstLine="420" w:firstLineChars="200"/>
        <w:rPr>
          <w:color w:val="auto"/>
          <w:highlight w:val="none"/>
        </w:rPr>
      </w:pPr>
      <w:r>
        <w:rPr>
          <w:rFonts w:hint="eastAsia" w:cs="宋体"/>
          <w:color w:val="auto"/>
          <w:highlight w:val="none"/>
        </w:rPr>
        <w:t>④专业工程暂估价及结算价表（表</w:t>
      </w:r>
      <w:r>
        <w:rPr>
          <w:color w:val="auto"/>
          <w:highlight w:val="none"/>
        </w:rPr>
        <w:t>12-3</w:t>
      </w:r>
      <w:r>
        <w:rPr>
          <w:rFonts w:hint="eastAsia" w:cs="宋体"/>
          <w:color w:val="auto"/>
          <w:highlight w:val="none"/>
        </w:rPr>
        <w:t>）</w:t>
      </w:r>
    </w:p>
    <w:p w14:paraId="3FD361B7">
      <w:pPr>
        <w:spacing w:line="360" w:lineRule="auto"/>
        <w:ind w:firstLine="420" w:firstLineChars="200"/>
        <w:rPr>
          <w:color w:val="auto"/>
          <w:highlight w:val="none"/>
        </w:rPr>
      </w:pPr>
      <w:r>
        <w:rPr>
          <w:rFonts w:hint="eastAsia" w:cs="宋体"/>
          <w:color w:val="auto"/>
          <w:highlight w:val="none"/>
        </w:rPr>
        <w:t>⑤计日工表表</w:t>
      </w:r>
      <w:r>
        <w:rPr>
          <w:color w:val="auto"/>
          <w:highlight w:val="none"/>
        </w:rPr>
        <w:t>12-4</w:t>
      </w:r>
      <w:r>
        <w:rPr>
          <w:rFonts w:hint="eastAsia" w:cs="宋体"/>
          <w:color w:val="auto"/>
          <w:highlight w:val="none"/>
        </w:rPr>
        <w:t>）</w:t>
      </w:r>
    </w:p>
    <w:p w14:paraId="6FE5419C">
      <w:pPr>
        <w:spacing w:line="360" w:lineRule="auto"/>
        <w:ind w:firstLine="420" w:firstLineChars="200"/>
        <w:rPr>
          <w:color w:val="auto"/>
          <w:highlight w:val="none"/>
        </w:rPr>
      </w:pPr>
      <w:r>
        <w:rPr>
          <w:rFonts w:hint="eastAsia" w:cs="宋体"/>
          <w:color w:val="auto"/>
          <w:highlight w:val="none"/>
        </w:rPr>
        <w:t>⑥总承包服务费计价表（表</w:t>
      </w:r>
      <w:r>
        <w:rPr>
          <w:color w:val="auto"/>
          <w:highlight w:val="none"/>
        </w:rPr>
        <w:t>12-5</w:t>
      </w:r>
      <w:r>
        <w:rPr>
          <w:rFonts w:hint="eastAsia" w:cs="宋体"/>
          <w:color w:val="auto"/>
          <w:highlight w:val="none"/>
        </w:rPr>
        <w:t>）</w:t>
      </w:r>
    </w:p>
    <w:p w14:paraId="414A3E36">
      <w:pPr>
        <w:spacing w:line="360" w:lineRule="auto"/>
        <w:ind w:firstLine="420" w:firstLineChars="200"/>
        <w:rPr>
          <w:color w:val="auto"/>
          <w:highlight w:val="none"/>
        </w:rPr>
      </w:pPr>
      <w:r>
        <w:rPr>
          <w:rFonts w:hint="eastAsia" w:cs="宋体"/>
          <w:color w:val="auto"/>
          <w:highlight w:val="none"/>
        </w:rPr>
        <w:t>⑦税前项目清单与计价表（表</w:t>
      </w:r>
      <w:r>
        <w:rPr>
          <w:color w:val="auto"/>
          <w:highlight w:val="none"/>
        </w:rPr>
        <w:t>-14</w:t>
      </w:r>
      <w:r>
        <w:rPr>
          <w:rFonts w:hint="eastAsia" w:cs="宋体"/>
          <w:color w:val="auto"/>
          <w:highlight w:val="none"/>
        </w:rPr>
        <w:t>）</w:t>
      </w:r>
    </w:p>
    <w:p w14:paraId="514925CE">
      <w:pPr>
        <w:spacing w:line="360" w:lineRule="auto"/>
        <w:ind w:firstLine="420" w:firstLineChars="200"/>
        <w:rPr>
          <w:rFonts w:cs="宋体"/>
          <w:color w:val="auto"/>
          <w:highlight w:val="none"/>
        </w:rPr>
      </w:pPr>
      <w:r>
        <w:rPr>
          <w:color w:val="auto"/>
          <w:highlight w:val="none"/>
        </w:rPr>
        <w:fldChar w:fldCharType="begin"/>
      </w:r>
      <w:r>
        <w:rPr>
          <w:rFonts w:hint="eastAsia"/>
          <w:color w:val="auto"/>
          <w:highlight w:val="none"/>
        </w:rPr>
        <w:instrText xml:space="preserve">= 8 \* GB3</w:instrText>
      </w:r>
      <w:r>
        <w:rPr>
          <w:color w:val="auto"/>
          <w:highlight w:val="none"/>
        </w:rPr>
        <w:fldChar w:fldCharType="separate"/>
      </w:r>
      <w:r>
        <w:rPr>
          <w:rFonts w:hint="eastAsia"/>
          <w:color w:val="auto"/>
          <w:highlight w:val="none"/>
        </w:rPr>
        <w:t>⑧</w:t>
      </w:r>
      <w:r>
        <w:rPr>
          <w:color w:val="auto"/>
          <w:highlight w:val="none"/>
        </w:rPr>
        <w:fldChar w:fldCharType="end"/>
      </w:r>
      <w:r>
        <w:rPr>
          <w:rFonts w:hint="eastAsia" w:cs="宋体"/>
          <w:color w:val="auto"/>
          <w:highlight w:val="none"/>
        </w:rPr>
        <w:t>允许调整主要材料和工程设备一览表（适用于价格指数差额调整法）（表</w:t>
      </w:r>
      <w:r>
        <w:rPr>
          <w:color w:val="auto"/>
          <w:highlight w:val="none"/>
        </w:rPr>
        <w:t>-23</w:t>
      </w:r>
      <w:r>
        <w:rPr>
          <w:rFonts w:hint="eastAsia" w:cs="宋体"/>
          <w:color w:val="auto"/>
          <w:highlight w:val="none"/>
        </w:rPr>
        <w:t>）</w:t>
      </w:r>
    </w:p>
    <w:p w14:paraId="79A21FC6">
      <w:pPr>
        <w:spacing w:line="360" w:lineRule="auto"/>
        <w:ind w:firstLine="420" w:firstLineChars="200"/>
        <w:contextualSpacing/>
        <w:jc w:val="left"/>
        <w:rPr>
          <w:rFonts w:hAnsi="宋体" w:cs="宋体"/>
          <w:color w:val="auto"/>
          <w:kern w:val="0"/>
          <w:highlight w:val="none"/>
        </w:rPr>
      </w:pPr>
      <w:r>
        <w:rPr>
          <w:rFonts w:hint="eastAsia" w:cs="宋体"/>
          <w:color w:val="auto"/>
          <w:highlight w:val="none"/>
        </w:rPr>
        <w:t>注：</w:t>
      </w:r>
      <w:r>
        <w:rPr>
          <w:rFonts w:hint="eastAsia" w:hAnsi="宋体" w:cs="宋体"/>
          <w:color w:val="auto"/>
          <w:kern w:val="0"/>
          <w:highlight w:val="none"/>
        </w:rPr>
        <w:t>因2021年《广西壮族自治区园林绿化及仿古建筑工程费用定额》采用全费用综合单价形式，故园林绿化及仿古建筑工程的已标价工程量清单</w:t>
      </w:r>
      <w:r>
        <w:rPr>
          <w:rFonts w:hint="eastAsia" w:cs="黑体"/>
          <w:color w:val="auto"/>
          <w:highlight w:val="none"/>
        </w:rPr>
        <w:t>采用</w:t>
      </w:r>
      <w:r>
        <w:rPr>
          <w:rFonts w:hint="eastAsia" w:hAnsi="宋体" w:cs="宋体"/>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32E8DE1F">
      <w:pPr>
        <w:jc w:val="center"/>
        <w:rPr>
          <w:rFonts w:ascii="方正小标宋简体" w:hAnsi="方正小标宋简体" w:eastAsia="方正小标宋简体" w:cs="方正小标宋简体"/>
          <w:color w:val="auto"/>
          <w:sz w:val="44"/>
          <w:szCs w:val="44"/>
          <w:highlight w:val="none"/>
        </w:rPr>
      </w:pPr>
      <w:r>
        <w:rPr>
          <w:rFonts w:ascii="宋体" w:hAnsi="宋体"/>
          <w:b/>
          <w:bCs/>
          <w:color w:val="auto"/>
          <w:sz w:val="32"/>
          <w:szCs w:val="32"/>
          <w:highlight w:val="none"/>
        </w:rPr>
        <w:br w:type="page"/>
      </w:r>
      <w:bookmarkStart w:id="111" w:name="_Toc71365926"/>
      <w:r>
        <w:rPr>
          <w:rFonts w:hint="eastAsia" w:ascii="方正小标宋简体" w:hAnsi="方正小标宋简体" w:eastAsia="方正小标宋简体" w:cs="方正小标宋简体"/>
          <w:color w:val="auto"/>
          <w:sz w:val="44"/>
          <w:szCs w:val="44"/>
          <w:highlight w:val="none"/>
        </w:rPr>
        <w:t>中小企业声明函（工程）</w:t>
      </w:r>
      <w:bookmarkEnd w:id="111"/>
    </w:p>
    <w:p w14:paraId="52BC07F0">
      <w:pPr>
        <w:spacing w:before="2" w:line="500" w:lineRule="exact"/>
        <w:ind w:firstLine="708" w:firstLineChars="294"/>
        <w:rPr>
          <w:rFonts w:ascii="宋体" w:hAnsi="宋体" w:cs="宋体"/>
          <w:b/>
          <w:bCs/>
          <w:color w:val="auto"/>
          <w:sz w:val="24"/>
          <w:highlight w:val="none"/>
        </w:rPr>
      </w:pPr>
    </w:p>
    <w:p w14:paraId="6B349EBE">
      <w:pPr>
        <w:pStyle w:val="21"/>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51810277">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29DE5A8">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ADA18B4">
      <w:pPr>
        <w:pStyle w:val="2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1EC4B47D">
      <w:pPr>
        <w:pStyle w:val="2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2616520E">
      <w:pPr>
        <w:pStyle w:val="21"/>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7FE4B009">
      <w:pPr>
        <w:pStyle w:val="21"/>
        <w:spacing w:before="56" w:line="500" w:lineRule="exact"/>
        <w:ind w:right="1808" w:firstLine="705" w:firstLineChars="294"/>
        <w:rPr>
          <w:rFonts w:ascii="宋体" w:hAnsi="宋体"/>
          <w:color w:val="auto"/>
          <w:sz w:val="24"/>
          <w:highlight w:val="none"/>
        </w:rPr>
      </w:pPr>
    </w:p>
    <w:p w14:paraId="71638951">
      <w:pPr>
        <w:pStyle w:val="21"/>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 xml:space="preserve">企业名称（章）： </w:t>
      </w:r>
    </w:p>
    <w:p w14:paraId="5C64DF22">
      <w:pPr>
        <w:pStyle w:val="21"/>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42E8E61E">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728A9F1">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BAABF51">
      <w:pPr>
        <w:spacing w:line="360" w:lineRule="auto"/>
        <w:contextualSpacing/>
        <w:rPr>
          <w:rFonts w:ascii="仿宋_GB2312" w:hAnsi="仿宋_GB2312" w:eastAsia="仿宋_GB2312" w:cs="仿宋_GB2312"/>
          <w:color w:val="auto"/>
          <w:sz w:val="32"/>
          <w:szCs w:val="32"/>
          <w:highlight w:val="none"/>
        </w:rPr>
      </w:pPr>
    </w:p>
    <w:p w14:paraId="6EFEFCD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3FC181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4652B4AA">
      <w:pPr>
        <w:spacing w:line="360" w:lineRule="auto"/>
        <w:contextualSpacing/>
        <w:rPr>
          <w:rFonts w:ascii="宋体" w:hAnsi="宋体" w:cs="仿宋_GB2312"/>
          <w:color w:val="auto"/>
          <w:sz w:val="24"/>
          <w:highlight w:val="none"/>
        </w:rPr>
      </w:pPr>
    </w:p>
    <w:p w14:paraId="26298B9D">
      <w:pPr>
        <w:spacing w:line="360" w:lineRule="auto"/>
        <w:contextualSpacing/>
        <w:rPr>
          <w:rFonts w:ascii="宋体" w:hAnsi="宋体" w:cs="仿宋_GB2312"/>
          <w:color w:val="auto"/>
          <w:sz w:val="24"/>
          <w:highlight w:val="none"/>
        </w:rPr>
      </w:pPr>
    </w:p>
    <w:p w14:paraId="070219DC">
      <w:pPr>
        <w:spacing w:line="360" w:lineRule="auto"/>
        <w:contextualSpacing/>
        <w:rPr>
          <w:rFonts w:ascii="宋体" w:hAnsi="宋体" w:cs="仿宋_GB2312"/>
          <w:color w:val="auto"/>
          <w:sz w:val="24"/>
          <w:highlight w:val="none"/>
        </w:rPr>
      </w:pPr>
    </w:p>
    <w:p w14:paraId="0DAC94ED">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0F2C392F">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1120C93">
      <w:pPr>
        <w:spacing w:line="360" w:lineRule="auto"/>
        <w:contextualSpacing/>
        <w:rPr>
          <w:rFonts w:ascii="宋体" w:hAnsi="宋体" w:cs="仿宋_GB2312"/>
          <w:color w:val="auto"/>
          <w:sz w:val="24"/>
          <w:highlight w:val="none"/>
        </w:rPr>
      </w:pPr>
    </w:p>
    <w:p w14:paraId="72556504">
      <w:pPr>
        <w:spacing w:line="360" w:lineRule="auto"/>
        <w:contextualSpacing/>
        <w:rPr>
          <w:rFonts w:ascii="宋体" w:hAnsi="宋体" w:cs="仿宋_GB2312"/>
          <w:color w:val="auto"/>
          <w:sz w:val="24"/>
          <w:highlight w:val="none"/>
        </w:rPr>
      </w:pPr>
    </w:p>
    <w:p w14:paraId="6A12CE9F">
      <w:pPr>
        <w:spacing w:line="360" w:lineRule="auto"/>
        <w:contextualSpacing/>
        <w:rPr>
          <w:rFonts w:ascii="宋体" w:hAnsi="宋体" w:cs="仿宋_GB2312"/>
          <w:color w:val="auto"/>
          <w:sz w:val="24"/>
          <w:highlight w:val="none"/>
        </w:rPr>
      </w:pPr>
    </w:p>
    <w:p w14:paraId="2C6C3B6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F129483">
      <w:pPr>
        <w:rPr>
          <w:rFonts w:hint="eastAsia"/>
          <w:color w:val="auto"/>
          <w:sz w:val="24"/>
          <w:highlight w:val="none"/>
        </w:rPr>
      </w:pPr>
    </w:p>
    <w:p w14:paraId="277336D0">
      <w:pPr>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br w:type="page"/>
      </w:r>
    </w:p>
    <w:p w14:paraId="5D040A2C">
      <w:pPr>
        <w:spacing w:line="360" w:lineRule="auto"/>
        <w:ind w:right="420"/>
        <w:contextualSpacing/>
        <w:jc w:val="center"/>
        <w:rPr>
          <w:rFonts w:ascii="宋体" w:hAnsi="宋体"/>
          <w:b/>
          <w:bCs/>
          <w:color w:val="auto"/>
          <w:sz w:val="32"/>
          <w:szCs w:val="32"/>
          <w:highlight w:val="none"/>
        </w:rPr>
      </w:pPr>
    </w:p>
    <w:p w14:paraId="59E2F450">
      <w:pPr>
        <w:spacing w:line="360" w:lineRule="auto"/>
        <w:ind w:firstLine="643" w:firstLineChars="200"/>
        <w:contextualSpacing/>
        <w:jc w:val="center"/>
        <w:rPr>
          <w:rFonts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7B9D94D2">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51B9488F">
      <w:pPr>
        <w:snapToGrid w:val="0"/>
        <w:spacing w:beforeLines="50" w:after="50"/>
        <w:rPr>
          <w:rFonts w:ascii="宋体" w:hAnsi="宋体"/>
          <w:bCs/>
          <w:color w:val="auto"/>
          <w:sz w:val="32"/>
          <w:szCs w:val="20"/>
          <w:highlight w:val="none"/>
        </w:rPr>
      </w:pPr>
    </w:p>
    <w:p w14:paraId="0EC6A68A">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00461C9B">
      <w:pPr>
        <w:snapToGrid w:val="0"/>
        <w:spacing w:beforeLines="50" w:after="50"/>
        <w:rPr>
          <w:rFonts w:ascii="宋体" w:hAnsi="宋体"/>
          <w:color w:val="auto"/>
          <w:sz w:val="24"/>
          <w:szCs w:val="20"/>
          <w:highlight w:val="none"/>
        </w:rPr>
      </w:pPr>
    </w:p>
    <w:p w14:paraId="47382996">
      <w:pPr>
        <w:snapToGrid w:val="0"/>
        <w:spacing w:beforeLines="50" w:after="50"/>
        <w:rPr>
          <w:rFonts w:ascii="宋体" w:hAnsi="宋体"/>
          <w:color w:val="auto"/>
          <w:sz w:val="24"/>
          <w:szCs w:val="20"/>
          <w:highlight w:val="none"/>
        </w:rPr>
      </w:pPr>
    </w:p>
    <w:p w14:paraId="3A3A2FA9">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AF0DCCB">
      <w:pPr>
        <w:snapToGrid w:val="0"/>
        <w:spacing w:beforeLines="50" w:after="50"/>
        <w:rPr>
          <w:rFonts w:ascii="宋体" w:hAnsi="宋体"/>
          <w:bCs/>
          <w:color w:val="auto"/>
          <w:sz w:val="24"/>
          <w:szCs w:val="20"/>
          <w:highlight w:val="none"/>
        </w:rPr>
      </w:pPr>
    </w:p>
    <w:p w14:paraId="13EFEB39">
      <w:pPr>
        <w:snapToGrid w:val="0"/>
        <w:spacing w:beforeLines="50" w:after="50"/>
        <w:rPr>
          <w:rFonts w:ascii="宋体" w:hAnsi="宋体"/>
          <w:bCs/>
          <w:color w:val="auto"/>
          <w:sz w:val="24"/>
          <w:szCs w:val="20"/>
          <w:highlight w:val="none"/>
        </w:rPr>
      </w:pPr>
    </w:p>
    <w:p w14:paraId="54A5B48C">
      <w:pPr>
        <w:snapToGrid w:val="0"/>
        <w:spacing w:beforeLines="50" w:after="50"/>
        <w:rPr>
          <w:rFonts w:ascii="宋体" w:hAnsi="宋体"/>
          <w:bCs/>
          <w:color w:val="auto"/>
          <w:sz w:val="24"/>
          <w:szCs w:val="20"/>
          <w:highlight w:val="none"/>
        </w:rPr>
      </w:pPr>
    </w:p>
    <w:p w14:paraId="2BF0D59C">
      <w:pPr>
        <w:snapToGrid w:val="0"/>
        <w:spacing w:beforeLines="50" w:after="50"/>
        <w:rPr>
          <w:rFonts w:ascii="宋体" w:hAnsi="宋体"/>
          <w:bCs/>
          <w:color w:val="auto"/>
          <w:sz w:val="24"/>
          <w:szCs w:val="20"/>
          <w:highlight w:val="none"/>
        </w:rPr>
      </w:pPr>
    </w:p>
    <w:p w14:paraId="18EAFC4B">
      <w:pPr>
        <w:snapToGrid w:val="0"/>
        <w:spacing w:beforeLines="50" w:after="50"/>
        <w:rPr>
          <w:rFonts w:ascii="宋体" w:hAnsi="宋体"/>
          <w:bCs/>
          <w:color w:val="auto"/>
          <w:sz w:val="24"/>
          <w:szCs w:val="20"/>
          <w:highlight w:val="none"/>
        </w:rPr>
      </w:pPr>
    </w:p>
    <w:p w14:paraId="582A4F78">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24598E55">
      <w:pPr>
        <w:snapToGrid w:val="0"/>
        <w:spacing w:beforeLines="50" w:after="50"/>
        <w:ind w:firstLine="720" w:firstLineChars="225"/>
        <w:rPr>
          <w:rFonts w:ascii="宋体" w:hAnsi="宋体" w:cs="仿宋_GB2312"/>
          <w:bCs/>
          <w:color w:val="auto"/>
          <w:sz w:val="32"/>
          <w:szCs w:val="32"/>
          <w:highlight w:val="none"/>
        </w:rPr>
      </w:pPr>
    </w:p>
    <w:p w14:paraId="3F0EDC05">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6A48B5B">
      <w:pPr>
        <w:snapToGrid w:val="0"/>
        <w:spacing w:beforeLines="50" w:after="50"/>
        <w:ind w:firstLine="720" w:firstLineChars="225"/>
        <w:rPr>
          <w:rFonts w:ascii="宋体" w:hAnsi="宋体" w:cs="仿宋_GB2312"/>
          <w:bCs/>
          <w:color w:val="auto"/>
          <w:sz w:val="32"/>
          <w:szCs w:val="32"/>
          <w:highlight w:val="none"/>
        </w:rPr>
      </w:pPr>
    </w:p>
    <w:p w14:paraId="6040110A">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2C7B9A91">
      <w:pPr>
        <w:snapToGrid w:val="0"/>
        <w:spacing w:beforeLines="50" w:after="50"/>
        <w:ind w:firstLine="720" w:firstLineChars="225"/>
        <w:rPr>
          <w:rFonts w:ascii="宋体" w:hAnsi="宋体" w:cs="仿宋_GB2312"/>
          <w:bCs/>
          <w:color w:val="auto"/>
          <w:sz w:val="32"/>
          <w:szCs w:val="32"/>
          <w:highlight w:val="none"/>
        </w:rPr>
      </w:pPr>
    </w:p>
    <w:p w14:paraId="0B2418B0">
      <w:pPr>
        <w:pStyle w:val="10"/>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7791387">
      <w:pPr>
        <w:pStyle w:val="10"/>
        <w:snapToGrid w:val="0"/>
        <w:spacing w:before="50" w:after="50"/>
        <w:ind w:firstLine="640" w:firstLineChars="200"/>
        <w:rPr>
          <w:rFonts w:ascii="宋体" w:hAnsi="宋体" w:cs="仿宋_GB2312"/>
          <w:bCs/>
          <w:color w:val="auto"/>
          <w:sz w:val="32"/>
          <w:szCs w:val="32"/>
          <w:highlight w:val="none"/>
        </w:rPr>
      </w:pPr>
    </w:p>
    <w:p w14:paraId="7971B425">
      <w:pPr>
        <w:pStyle w:val="10"/>
        <w:snapToGrid w:val="0"/>
        <w:spacing w:before="50" w:after="50"/>
        <w:ind w:firstLine="720" w:firstLineChars="225"/>
        <w:rPr>
          <w:rFonts w:ascii="宋体" w:hAnsi="宋体" w:cs="仿宋_GB2312"/>
          <w:bCs/>
          <w:color w:val="auto"/>
          <w:sz w:val="32"/>
          <w:szCs w:val="32"/>
          <w:highlight w:val="none"/>
        </w:rPr>
      </w:pPr>
    </w:p>
    <w:p w14:paraId="277751D7">
      <w:pPr>
        <w:pStyle w:val="10"/>
        <w:snapToGrid w:val="0"/>
        <w:spacing w:before="50" w:after="50"/>
        <w:ind w:firstLine="0"/>
        <w:rPr>
          <w:rFonts w:ascii="宋体" w:hAnsi="宋体" w:cs="仿宋_GB2312"/>
          <w:bCs/>
          <w:color w:val="auto"/>
          <w:sz w:val="32"/>
          <w:szCs w:val="32"/>
          <w:highlight w:val="none"/>
        </w:rPr>
      </w:pPr>
    </w:p>
    <w:p w14:paraId="3C20C67A">
      <w:pPr>
        <w:pStyle w:val="10"/>
        <w:snapToGrid w:val="0"/>
        <w:spacing w:before="50" w:after="50"/>
        <w:ind w:firstLine="1280" w:firstLineChars="400"/>
        <w:rPr>
          <w:rFonts w:ascii="宋体" w:hAnsi="宋体" w:cs="仿宋_GB2312"/>
          <w:bCs/>
          <w:color w:val="auto"/>
          <w:sz w:val="32"/>
          <w:szCs w:val="32"/>
          <w:highlight w:val="none"/>
        </w:rPr>
      </w:pPr>
    </w:p>
    <w:p w14:paraId="21899152">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D793453">
      <w:pPr>
        <w:snapToGrid w:val="0"/>
        <w:spacing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ABEE074">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C472B0B">
      <w:pPr>
        <w:spacing w:line="400" w:lineRule="exact"/>
        <w:rPr>
          <w:rFonts w:ascii="仿宋_GB2312" w:hAnsi="仿宋_GB2312" w:eastAsia="仿宋_GB2312" w:cs="仿宋_GB2312"/>
          <w:color w:val="auto"/>
          <w:sz w:val="32"/>
          <w:szCs w:val="32"/>
          <w:highlight w:val="none"/>
        </w:rPr>
      </w:pPr>
    </w:p>
    <w:p w14:paraId="577DE14A">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3FC9F91B">
      <w:pPr>
        <w:spacing w:line="360" w:lineRule="auto"/>
        <w:ind w:firstLine="640" w:firstLineChars="200"/>
        <w:contextualSpacing/>
        <w:rPr>
          <w:rFonts w:ascii="仿宋_GB2312" w:hAnsi="仿宋_GB2312" w:eastAsia="仿宋_GB2312" w:cs="仿宋_GB2312"/>
          <w:color w:val="auto"/>
          <w:sz w:val="32"/>
          <w:szCs w:val="32"/>
          <w:highlight w:val="none"/>
        </w:rPr>
      </w:pPr>
    </w:p>
    <w:p w14:paraId="52398EF5">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4068E3D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D3E51E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4027400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075294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4DFBB55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75D002A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14450826">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547E3C8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6B12E2F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E2BDA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523DAD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4F7061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6F5A706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5EF6017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69EA031">
      <w:pPr>
        <w:spacing w:line="360" w:lineRule="auto"/>
        <w:ind w:firstLine="480" w:firstLineChars="200"/>
        <w:contextualSpacing/>
        <w:rPr>
          <w:rFonts w:ascii="宋体" w:hAnsi="宋体" w:cs="仿宋_GB2312"/>
          <w:color w:val="auto"/>
          <w:sz w:val="24"/>
          <w:highlight w:val="none"/>
        </w:rPr>
      </w:pPr>
    </w:p>
    <w:p w14:paraId="02BB16F8">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62FCA3A">
      <w:pPr>
        <w:spacing w:line="360" w:lineRule="auto"/>
        <w:contextualSpacing/>
        <w:rPr>
          <w:rFonts w:ascii="宋体" w:hAnsi="宋体" w:cs="仿宋_GB2312"/>
          <w:color w:val="auto"/>
          <w:sz w:val="24"/>
          <w:highlight w:val="none"/>
        </w:rPr>
      </w:pPr>
    </w:p>
    <w:p w14:paraId="0A6B257C">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7B468A23">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178B82C8">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71C2F780">
      <w:pPr>
        <w:spacing w:line="360" w:lineRule="auto"/>
        <w:ind w:left="540"/>
        <w:contextualSpacing/>
        <w:rPr>
          <w:rFonts w:ascii="仿宋_GB2312" w:hAnsi="仿宋_GB2312" w:eastAsia="仿宋_GB2312" w:cs="仿宋_GB2312"/>
          <w:color w:val="auto"/>
          <w:sz w:val="32"/>
          <w:szCs w:val="32"/>
          <w:highlight w:val="none"/>
        </w:rPr>
      </w:pPr>
    </w:p>
    <w:p w14:paraId="7B23920A">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p>
    <w:p w14:paraId="0B8E157F">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p>
    <w:p w14:paraId="6400BA0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名：性     别：</w:t>
      </w:r>
    </w:p>
    <w:p w14:paraId="5C944609">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龄：职     务：</w:t>
      </w:r>
    </w:p>
    <w:p w14:paraId="61BE671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p>
    <w:p w14:paraId="2DC2083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13A2D25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660FBA44">
      <w:pPr>
        <w:spacing w:line="360" w:lineRule="auto"/>
        <w:ind w:left="540"/>
        <w:contextualSpacing/>
        <w:rPr>
          <w:rFonts w:ascii="宋体" w:hAnsi="宋体" w:cs="仿宋_GB2312"/>
          <w:color w:val="auto"/>
          <w:sz w:val="24"/>
          <w:highlight w:val="none"/>
        </w:rPr>
      </w:pPr>
    </w:p>
    <w:p w14:paraId="333B48AA">
      <w:pPr>
        <w:spacing w:line="360" w:lineRule="auto"/>
        <w:ind w:left="540"/>
        <w:contextualSpacing/>
        <w:rPr>
          <w:rFonts w:ascii="宋体" w:hAnsi="宋体" w:cs="仿宋_GB2312"/>
          <w:color w:val="auto"/>
          <w:sz w:val="24"/>
          <w:highlight w:val="none"/>
        </w:rPr>
      </w:pPr>
    </w:p>
    <w:p w14:paraId="08DD1B91">
      <w:pPr>
        <w:spacing w:line="360" w:lineRule="auto"/>
        <w:ind w:left="540"/>
        <w:contextualSpacing/>
        <w:rPr>
          <w:rFonts w:ascii="宋体" w:hAnsi="宋体" w:cs="仿宋_GB2312"/>
          <w:color w:val="auto"/>
          <w:sz w:val="24"/>
          <w:highlight w:val="none"/>
        </w:rPr>
      </w:pPr>
    </w:p>
    <w:p w14:paraId="74C1F76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附件：法定代表人有效身份证正反面扫描件</w:t>
      </w:r>
    </w:p>
    <w:p w14:paraId="1285D847">
      <w:pPr>
        <w:spacing w:line="360" w:lineRule="auto"/>
        <w:ind w:left="540"/>
        <w:contextualSpacing/>
        <w:rPr>
          <w:rFonts w:ascii="宋体" w:hAnsi="宋体" w:cs="仿宋_GB2312"/>
          <w:color w:val="auto"/>
          <w:sz w:val="24"/>
          <w:highlight w:val="none"/>
        </w:rPr>
      </w:pPr>
    </w:p>
    <w:p w14:paraId="1B02399F">
      <w:pPr>
        <w:spacing w:line="360" w:lineRule="auto"/>
        <w:ind w:left="540" w:firstLine="3000" w:firstLineChars="1250"/>
        <w:contextualSpacing/>
        <w:jc w:val="left"/>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54C03BDE">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1C032EF5">
      <w:pPr>
        <w:spacing w:line="360" w:lineRule="auto"/>
        <w:contextualSpacing/>
        <w:jc w:val="center"/>
        <w:rPr>
          <w:rFonts w:ascii="宋体" w:hAnsi="宋体" w:cs="仿宋_GB2312"/>
          <w:b/>
          <w:color w:val="auto"/>
          <w:sz w:val="24"/>
          <w:highlight w:val="none"/>
        </w:rPr>
      </w:pPr>
    </w:p>
    <w:p w14:paraId="0D1301BD">
      <w:pPr>
        <w:spacing w:line="360" w:lineRule="auto"/>
        <w:contextualSpacing/>
        <w:jc w:val="left"/>
        <w:rPr>
          <w:rFonts w:ascii="宋体" w:hAnsi="宋体" w:cs="仿宋_GB2312"/>
          <w:color w:val="auto"/>
          <w:sz w:val="24"/>
          <w:highlight w:val="none"/>
        </w:rPr>
      </w:pPr>
    </w:p>
    <w:p w14:paraId="700B8DD6">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注：联合体竞标的只需牵头人出具。</w:t>
      </w:r>
    </w:p>
    <w:p w14:paraId="2CBC9AEE">
      <w:pPr>
        <w:adjustRightInd w:val="0"/>
        <w:snapToGrid w:val="0"/>
        <w:spacing w:line="300" w:lineRule="auto"/>
        <w:jc w:val="left"/>
        <w:rPr>
          <w:rFonts w:ascii="宋体" w:hAnsi="宋体"/>
          <w:b/>
          <w:color w:val="auto"/>
          <w:szCs w:val="21"/>
          <w:highlight w:val="none"/>
        </w:rPr>
      </w:pPr>
    </w:p>
    <w:p w14:paraId="46CD4C92">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2293D876">
      <w:pPr>
        <w:spacing w:line="520" w:lineRule="exact"/>
        <w:jc w:val="center"/>
        <w:rPr>
          <w:rFonts w:ascii="方正小标宋简体" w:hAnsi="方正小标宋简体" w:eastAsia="方正小标宋简体" w:cs="方正小标宋简体"/>
          <w:color w:val="auto"/>
          <w:sz w:val="44"/>
          <w:szCs w:val="44"/>
          <w:highlight w:val="none"/>
        </w:rPr>
      </w:pPr>
      <w:bookmarkStart w:id="112" w:name="_Hlk65853643"/>
      <w:r>
        <w:rPr>
          <w:rFonts w:hint="eastAsia" w:ascii="方正小标宋简体" w:hAnsi="方正小标宋简体" w:eastAsia="方正小标宋简体" w:cs="方正小标宋简体"/>
          <w:color w:val="auto"/>
          <w:sz w:val="44"/>
          <w:szCs w:val="44"/>
          <w:highlight w:val="none"/>
        </w:rPr>
        <w:t>授权委托书</w:t>
      </w:r>
    </w:p>
    <w:p w14:paraId="025872BB">
      <w:pPr>
        <w:spacing w:line="52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3F506B29">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5CB691B">
      <w:pPr>
        <w:spacing w:line="520" w:lineRule="exact"/>
        <w:rPr>
          <w:rFonts w:ascii="仿宋_GB2312" w:hAnsi="仿宋_GB2312" w:eastAsia="仿宋_GB2312" w:cs="仿宋_GB2312"/>
          <w:color w:val="auto"/>
          <w:sz w:val="32"/>
          <w:szCs w:val="32"/>
          <w:highlight w:val="none"/>
        </w:rPr>
      </w:pPr>
    </w:p>
    <w:p w14:paraId="5063CB36">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B7FD3B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2C12D479">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1D8F8C8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071689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34A7AB1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附：法定代表人身份证明书及委托代理人有效身份证正反面扫描件</w:t>
      </w:r>
    </w:p>
    <w:p w14:paraId="082FF116">
      <w:pPr>
        <w:spacing w:line="360" w:lineRule="auto"/>
        <w:rPr>
          <w:rFonts w:ascii="宋体" w:hAnsi="宋体" w:cs="仿宋_GB2312"/>
          <w:color w:val="auto"/>
          <w:sz w:val="24"/>
          <w:highlight w:val="none"/>
        </w:rPr>
      </w:pPr>
    </w:p>
    <w:p w14:paraId="71F7202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02D95B7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85ED829">
      <w:pPr>
        <w:spacing w:line="360" w:lineRule="auto"/>
        <w:contextualSpacing/>
        <w:rPr>
          <w:rFonts w:ascii="宋体" w:hAnsi="宋体" w:cs="仿宋_GB2312"/>
          <w:color w:val="auto"/>
          <w:sz w:val="24"/>
          <w:highlight w:val="none"/>
        </w:rPr>
      </w:pPr>
    </w:p>
    <w:p w14:paraId="0BFED8CD">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33B6F450">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1DA23F09">
      <w:pPr>
        <w:spacing w:line="360" w:lineRule="auto"/>
        <w:rPr>
          <w:rFonts w:ascii="宋体" w:hAnsi="宋体" w:cs="仿宋_GB2312"/>
          <w:color w:val="auto"/>
          <w:sz w:val="24"/>
          <w:highlight w:val="none"/>
        </w:rPr>
      </w:pPr>
    </w:p>
    <w:p w14:paraId="0AAFBBA6">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21E937BB">
      <w:pPr>
        <w:spacing w:line="360" w:lineRule="auto"/>
        <w:ind w:firstLine="420" w:firstLineChars="200"/>
        <w:jc w:val="left"/>
        <w:rPr>
          <w:rFonts w:ascii="仿宋_GB2312" w:hAnsi="仿宋_GB2312" w:eastAsia="仿宋_GB2312" w:cs="仿宋_GB2312"/>
          <w:color w:val="auto"/>
          <w:szCs w:val="21"/>
          <w:highlight w:val="none"/>
        </w:rPr>
      </w:pPr>
    </w:p>
    <w:p w14:paraId="72BEAED8">
      <w:pPr>
        <w:spacing w:line="500" w:lineRule="exact"/>
        <w:jc w:val="center"/>
        <w:rPr>
          <w:rFonts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444341DA">
      <w:pPr>
        <w:spacing w:line="500" w:lineRule="exact"/>
        <w:jc w:val="center"/>
        <w:rPr>
          <w:rFonts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（联合体竞标格式）</w:t>
      </w:r>
    </w:p>
    <w:p w14:paraId="503FE1AA">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75467F0A">
      <w:pPr>
        <w:spacing w:line="500" w:lineRule="exact"/>
        <w:jc w:val="center"/>
        <w:rPr>
          <w:rFonts w:ascii="方正小标宋简体" w:hAnsi="方正小标宋简体" w:eastAsia="方正小标宋简体" w:cs="方正小标宋简体"/>
          <w:color w:val="auto"/>
          <w:sz w:val="44"/>
          <w:szCs w:val="44"/>
          <w:highlight w:val="none"/>
        </w:rPr>
      </w:pPr>
    </w:p>
    <w:p w14:paraId="644AFDAD">
      <w:pPr>
        <w:spacing w:line="500" w:lineRule="exact"/>
        <w:jc w:val="center"/>
        <w:rPr>
          <w:rFonts w:ascii="仿宋_GB2312" w:hAnsi="仿宋_GB2312" w:eastAsia="仿宋_GB2312" w:cs="仿宋_GB2312"/>
          <w:color w:val="auto"/>
          <w:sz w:val="32"/>
          <w:szCs w:val="32"/>
          <w:highlight w:val="none"/>
        </w:rPr>
      </w:pPr>
    </w:p>
    <w:p w14:paraId="14334595">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1163AEE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59113C9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078CBA9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BB643F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附：法定代表人身份证明书及委托代理人有效身份证正反面扫描件</w:t>
      </w:r>
    </w:p>
    <w:p w14:paraId="4920E03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47E4B206">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67DD6047">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41591B7">
      <w:pPr>
        <w:spacing w:line="360" w:lineRule="auto"/>
        <w:contextualSpacing/>
        <w:rPr>
          <w:rFonts w:ascii="宋体" w:hAnsi="宋体" w:cs="仿宋_GB2312"/>
          <w:color w:val="auto"/>
          <w:sz w:val="24"/>
          <w:highlight w:val="none"/>
        </w:rPr>
      </w:pPr>
    </w:p>
    <w:p w14:paraId="27CAF4D1">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3393B42C">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A03698D">
      <w:pPr>
        <w:spacing w:line="360" w:lineRule="auto"/>
        <w:contextualSpacing/>
        <w:rPr>
          <w:rFonts w:ascii="宋体" w:hAnsi="宋体" w:cs="仿宋_GB2312"/>
          <w:color w:val="auto"/>
          <w:sz w:val="24"/>
          <w:highlight w:val="none"/>
        </w:rPr>
      </w:pPr>
    </w:p>
    <w:p w14:paraId="19DD247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bookmarkEnd w:id="112"/>
    <w:p w14:paraId="4539539A">
      <w:pPr>
        <w:spacing w:line="500" w:lineRule="exact"/>
        <w:jc w:val="center"/>
        <w:rPr>
          <w:rFonts w:ascii="方正小标宋简体" w:hAnsi="方正小标宋简体" w:eastAsia="方正小标宋简体" w:cs="方正小标宋简体"/>
          <w:bCs/>
          <w:color w:val="auto"/>
          <w:sz w:val="44"/>
          <w:szCs w:val="44"/>
          <w:highlight w:val="none"/>
        </w:rPr>
      </w:pPr>
      <w:r>
        <w:rPr>
          <w:rFonts w:hint="eastAsia"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施工组织设计</w:t>
      </w:r>
    </w:p>
    <w:p w14:paraId="666AC498">
      <w:pPr>
        <w:spacing w:line="360" w:lineRule="auto"/>
        <w:ind w:firstLine="420" w:firstLineChars="200"/>
        <w:rPr>
          <w:rFonts w:cs="宋体"/>
          <w:color w:val="auto"/>
          <w:highlight w:val="none"/>
        </w:rPr>
      </w:pPr>
      <w:r>
        <w:rPr>
          <w:rFonts w:hint="eastAsia"/>
          <w:color w:val="auto"/>
          <w:highlight w:val="none"/>
        </w:rPr>
        <w:t>1.</w:t>
      </w:r>
      <w:r>
        <w:rPr>
          <w:color w:val="auto"/>
          <w:highlight w:val="none"/>
        </w:rPr>
        <w:t>施工组织</w:t>
      </w:r>
      <w:r>
        <w:rPr>
          <w:rFonts w:hint="eastAsia"/>
          <w:color w:val="auto"/>
          <w:highlight w:val="none"/>
        </w:rPr>
        <w:t>设计</w:t>
      </w:r>
      <w:r>
        <w:rPr>
          <w:rFonts w:hint="eastAsia" w:ascii="宋体" w:hAnsi="宋体"/>
          <w:color w:val="auto"/>
          <w:highlight w:val="none"/>
        </w:rPr>
        <w:t>应</w:t>
      </w:r>
      <w:r>
        <w:rPr>
          <w:rFonts w:hint="eastAsia"/>
          <w:color w:val="auto"/>
          <w:highlight w:val="none"/>
        </w:rPr>
        <w:t>以下内容顺序编制，可</w:t>
      </w:r>
      <w:r>
        <w:rPr>
          <w:rFonts w:hint="eastAsia" w:ascii="宋体" w:hAnsi="宋体"/>
          <w:color w:val="auto"/>
          <w:highlight w:val="none"/>
        </w:rPr>
        <w:t>采用文字并结合图表形式说明施工方法，</w:t>
      </w:r>
      <w:r>
        <w:rPr>
          <w:color w:val="auto"/>
          <w:highlight w:val="none"/>
        </w:rPr>
        <w:t>施工组织</w:t>
      </w:r>
      <w:r>
        <w:rPr>
          <w:rFonts w:hint="eastAsia"/>
          <w:color w:val="auto"/>
          <w:highlight w:val="none"/>
        </w:rPr>
        <w:t>设计具体</w:t>
      </w:r>
      <w:r>
        <w:rPr>
          <w:color w:val="auto"/>
          <w:highlight w:val="none"/>
        </w:rPr>
        <w:t>内容</w:t>
      </w:r>
      <w:r>
        <w:rPr>
          <w:rFonts w:hint="eastAsia" w:cs="宋体"/>
          <w:color w:val="auto"/>
          <w:highlight w:val="none"/>
        </w:rPr>
        <w:t>如下：</w:t>
      </w:r>
    </w:p>
    <w:p w14:paraId="12DD3A74">
      <w:pPr>
        <w:spacing w:line="360" w:lineRule="auto"/>
        <w:ind w:firstLine="420" w:firstLineChars="200"/>
        <w:rPr>
          <w:color w:val="auto"/>
          <w:highlight w:val="none"/>
        </w:rPr>
      </w:pPr>
      <w:r>
        <w:rPr>
          <w:rFonts w:hint="eastAsia"/>
          <w:color w:val="auto"/>
          <w:highlight w:val="none"/>
        </w:rPr>
        <w:t>（1）概述</w:t>
      </w:r>
    </w:p>
    <w:p w14:paraId="424B3473">
      <w:pPr>
        <w:spacing w:line="360" w:lineRule="auto"/>
        <w:ind w:firstLine="420" w:firstLineChars="200"/>
        <w:rPr>
          <w:color w:val="auto"/>
          <w:highlight w:val="none"/>
        </w:rPr>
      </w:pPr>
      <w:r>
        <w:rPr>
          <w:rFonts w:hint="eastAsia"/>
          <w:color w:val="auto"/>
          <w:highlight w:val="none"/>
        </w:rPr>
        <w:t>（2）主要施工方法；</w:t>
      </w:r>
    </w:p>
    <w:p w14:paraId="75CD32B9">
      <w:pPr>
        <w:spacing w:line="360" w:lineRule="auto"/>
        <w:ind w:firstLine="420" w:firstLineChars="200"/>
        <w:rPr>
          <w:color w:val="auto"/>
          <w:highlight w:val="none"/>
        </w:rPr>
      </w:pPr>
      <w:r>
        <w:rPr>
          <w:rFonts w:hint="eastAsia"/>
          <w:color w:val="auto"/>
          <w:highlight w:val="none"/>
        </w:rPr>
        <w:t>（3）拟投入的主要物资计划</w:t>
      </w:r>
    </w:p>
    <w:p w14:paraId="4E9653BC">
      <w:pPr>
        <w:spacing w:line="360" w:lineRule="auto"/>
        <w:ind w:firstLine="420" w:firstLineChars="200"/>
        <w:rPr>
          <w:color w:val="auto"/>
          <w:highlight w:val="none"/>
        </w:rPr>
      </w:pPr>
      <w:r>
        <w:rPr>
          <w:rFonts w:hint="eastAsia"/>
          <w:color w:val="auto"/>
          <w:highlight w:val="none"/>
        </w:rPr>
        <w:t>（</w:t>
      </w:r>
      <w:r>
        <w:rPr>
          <w:color w:val="auto"/>
          <w:highlight w:val="none"/>
        </w:rPr>
        <w:t>4</w:t>
      </w:r>
      <w:r>
        <w:rPr>
          <w:rFonts w:hint="eastAsia"/>
          <w:color w:val="auto"/>
          <w:highlight w:val="none"/>
        </w:rPr>
        <w:t>）劳动力安排计划；</w:t>
      </w:r>
    </w:p>
    <w:p w14:paraId="2F968BCD">
      <w:pPr>
        <w:spacing w:line="360" w:lineRule="auto"/>
        <w:ind w:firstLine="420" w:firstLineChars="200"/>
        <w:rPr>
          <w:color w:val="auto"/>
          <w:highlight w:val="none"/>
        </w:rPr>
      </w:pPr>
      <w:r>
        <w:rPr>
          <w:rFonts w:hint="eastAsia"/>
          <w:color w:val="auto"/>
          <w:highlight w:val="none"/>
        </w:rPr>
        <w:t>（</w:t>
      </w:r>
      <w:r>
        <w:rPr>
          <w:color w:val="auto"/>
          <w:highlight w:val="none"/>
        </w:rPr>
        <w:t>5</w:t>
      </w:r>
      <w:r>
        <w:rPr>
          <w:rFonts w:hint="eastAsia"/>
          <w:color w:val="auto"/>
          <w:highlight w:val="none"/>
        </w:rPr>
        <w:t>）确保工程质量的技术组织措施；</w:t>
      </w:r>
    </w:p>
    <w:p w14:paraId="74629B56">
      <w:pPr>
        <w:spacing w:line="360" w:lineRule="auto"/>
        <w:ind w:firstLine="420" w:firstLineChars="200"/>
        <w:rPr>
          <w:color w:val="auto"/>
          <w:highlight w:val="none"/>
        </w:rPr>
      </w:pPr>
      <w:r>
        <w:rPr>
          <w:rFonts w:hint="eastAsia"/>
          <w:color w:val="auto"/>
          <w:highlight w:val="none"/>
        </w:rPr>
        <w:t>（</w:t>
      </w:r>
      <w:r>
        <w:rPr>
          <w:color w:val="auto"/>
          <w:highlight w:val="none"/>
        </w:rPr>
        <w:t>6</w:t>
      </w:r>
      <w:r>
        <w:rPr>
          <w:rFonts w:hint="eastAsia"/>
          <w:color w:val="auto"/>
          <w:highlight w:val="none"/>
        </w:rPr>
        <w:t>）确保安全生产的技术组织措施；</w:t>
      </w:r>
    </w:p>
    <w:p w14:paraId="2F60EDA0">
      <w:pPr>
        <w:spacing w:line="360" w:lineRule="auto"/>
        <w:ind w:firstLine="420" w:firstLineChars="200"/>
        <w:rPr>
          <w:color w:val="auto"/>
          <w:highlight w:val="none"/>
        </w:rPr>
      </w:pPr>
      <w:r>
        <w:rPr>
          <w:rFonts w:hint="eastAsia"/>
          <w:color w:val="auto"/>
          <w:highlight w:val="none"/>
        </w:rPr>
        <w:t>（</w:t>
      </w:r>
      <w:r>
        <w:rPr>
          <w:color w:val="auto"/>
          <w:highlight w:val="none"/>
        </w:rPr>
        <w:t>7</w:t>
      </w:r>
      <w:r>
        <w:rPr>
          <w:rFonts w:hint="eastAsia"/>
          <w:color w:val="auto"/>
          <w:highlight w:val="none"/>
        </w:rPr>
        <w:t>）确保工期的技术组织措施；</w:t>
      </w:r>
    </w:p>
    <w:p w14:paraId="550CD024">
      <w:pPr>
        <w:spacing w:line="360" w:lineRule="auto"/>
        <w:ind w:firstLine="420" w:firstLineChars="200"/>
        <w:rPr>
          <w:color w:val="auto"/>
          <w:highlight w:val="none"/>
        </w:rPr>
      </w:pPr>
      <w:r>
        <w:rPr>
          <w:rFonts w:hint="eastAsia"/>
          <w:color w:val="auto"/>
          <w:highlight w:val="none"/>
        </w:rPr>
        <w:t>（</w:t>
      </w:r>
      <w:r>
        <w:rPr>
          <w:color w:val="auto"/>
          <w:highlight w:val="none"/>
        </w:rPr>
        <w:t>8</w:t>
      </w:r>
      <w:r>
        <w:rPr>
          <w:rFonts w:hint="eastAsia"/>
          <w:color w:val="auto"/>
          <w:highlight w:val="none"/>
        </w:rPr>
        <w:t>）确保文明施工的技术组织措施；</w:t>
      </w:r>
    </w:p>
    <w:p w14:paraId="42416E12">
      <w:pPr>
        <w:spacing w:line="360" w:lineRule="auto"/>
        <w:ind w:firstLine="420" w:firstLineChars="200"/>
        <w:rPr>
          <w:color w:val="auto"/>
          <w:highlight w:val="none"/>
        </w:rPr>
      </w:pPr>
      <w:r>
        <w:rPr>
          <w:rFonts w:hint="eastAsia"/>
          <w:color w:val="auto"/>
          <w:highlight w:val="none"/>
        </w:rPr>
        <w:t>（</w:t>
      </w:r>
      <w:r>
        <w:rPr>
          <w:color w:val="auto"/>
          <w:highlight w:val="none"/>
        </w:rPr>
        <w:t>9</w:t>
      </w:r>
      <w:r>
        <w:rPr>
          <w:rFonts w:hint="eastAsia"/>
          <w:color w:val="auto"/>
          <w:highlight w:val="none"/>
        </w:rPr>
        <w:t>）工程施工的重点和难点及保证措施；</w:t>
      </w:r>
    </w:p>
    <w:p w14:paraId="249D0338">
      <w:pPr>
        <w:spacing w:line="360" w:lineRule="auto"/>
        <w:ind w:firstLine="420" w:firstLineChars="200"/>
        <w:rPr>
          <w:color w:val="auto"/>
          <w:highlight w:val="none"/>
        </w:rPr>
      </w:pPr>
      <w:r>
        <w:rPr>
          <w:rFonts w:hint="eastAsia"/>
          <w:color w:val="auto"/>
          <w:highlight w:val="none"/>
        </w:rPr>
        <w:t>（1</w:t>
      </w:r>
      <w:r>
        <w:rPr>
          <w:color w:val="auto"/>
          <w:highlight w:val="none"/>
        </w:rPr>
        <w:t>0</w:t>
      </w:r>
      <w:r>
        <w:rPr>
          <w:rFonts w:hint="eastAsia"/>
          <w:color w:val="auto"/>
          <w:highlight w:val="none"/>
        </w:rPr>
        <w:t>）施工总平面布置图；</w:t>
      </w:r>
    </w:p>
    <w:p w14:paraId="4390F7FC">
      <w:pPr>
        <w:spacing w:line="360" w:lineRule="auto"/>
        <w:ind w:firstLine="420" w:firstLineChars="200"/>
        <w:rPr>
          <w:color w:val="auto"/>
          <w:highlight w:val="none"/>
        </w:rPr>
      </w:pPr>
      <w:r>
        <w:rPr>
          <w:rFonts w:hint="eastAsia"/>
          <w:color w:val="auto"/>
          <w:highlight w:val="none"/>
        </w:rPr>
        <w:t>（1</w:t>
      </w:r>
      <w:r>
        <w:rPr>
          <w:color w:val="auto"/>
          <w:highlight w:val="none"/>
        </w:rPr>
        <w:t>1</w:t>
      </w:r>
      <w:r>
        <w:rPr>
          <w:rFonts w:hint="eastAsia"/>
          <w:color w:val="auto"/>
          <w:highlight w:val="none"/>
        </w:rPr>
        <w:t>）其他（</w:t>
      </w:r>
      <w:r>
        <w:rPr>
          <w:color w:val="auto"/>
          <w:highlight w:val="none"/>
        </w:rPr>
        <w:t>如有）</w:t>
      </w:r>
      <w:r>
        <w:rPr>
          <w:rFonts w:hint="eastAsia"/>
          <w:color w:val="auto"/>
          <w:highlight w:val="none"/>
        </w:rPr>
        <w:t>（与第四章“评审程序、评审方法和评审标准”中的评审</w:t>
      </w:r>
      <w:r>
        <w:rPr>
          <w:color w:val="auto"/>
          <w:highlight w:val="none"/>
        </w:rPr>
        <w:t>标准一致</w:t>
      </w:r>
      <w:r>
        <w:rPr>
          <w:rFonts w:hint="eastAsia"/>
          <w:color w:val="auto"/>
          <w:highlight w:val="none"/>
        </w:rPr>
        <w:t>）</w:t>
      </w:r>
    </w:p>
    <w:p w14:paraId="2097E4C7">
      <w:pPr>
        <w:spacing w:line="360" w:lineRule="auto"/>
        <w:ind w:firstLine="420" w:firstLineChars="200"/>
        <w:rPr>
          <w:color w:val="auto"/>
          <w:highlight w:val="none"/>
        </w:rPr>
      </w:pPr>
      <w:r>
        <w:rPr>
          <w:rFonts w:hint="eastAsia"/>
          <w:color w:val="auto"/>
          <w:highlight w:val="none"/>
        </w:rPr>
        <w:t>2. 技术标</w:t>
      </w:r>
      <w:r>
        <w:rPr>
          <w:color w:val="auto"/>
          <w:highlight w:val="none"/>
        </w:rPr>
        <w:t>施工组织</w:t>
      </w:r>
      <w:r>
        <w:rPr>
          <w:rFonts w:hint="eastAsia"/>
          <w:color w:val="auto"/>
          <w:highlight w:val="none"/>
        </w:rPr>
        <w:t>设计除采用文字表述外可附下列图表，图表及格式要求附后。</w:t>
      </w:r>
    </w:p>
    <w:p w14:paraId="01564D67">
      <w:pPr>
        <w:spacing w:line="360" w:lineRule="auto"/>
        <w:ind w:firstLine="420" w:firstLineChars="200"/>
        <w:rPr>
          <w:color w:val="auto"/>
          <w:highlight w:val="none"/>
        </w:rPr>
      </w:pPr>
      <w:r>
        <w:rPr>
          <w:rFonts w:hint="eastAsia"/>
          <w:color w:val="auto"/>
          <w:highlight w:val="none"/>
        </w:rPr>
        <w:t>附表一劳动力计划表</w:t>
      </w:r>
    </w:p>
    <w:p w14:paraId="691EC5B2">
      <w:pPr>
        <w:spacing w:line="360" w:lineRule="auto"/>
        <w:ind w:firstLine="420" w:firstLineChars="200"/>
        <w:rPr>
          <w:color w:val="auto"/>
          <w:highlight w:val="none"/>
        </w:rPr>
      </w:pPr>
      <w:r>
        <w:rPr>
          <w:rFonts w:hint="eastAsia"/>
          <w:color w:val="auto"/>
          <w:highlight w:val="none"/>
        </w:rPr>
        <w:t>附表二计划开、竣工日期和施工进度计划（网络图或横道图）</w:t>
      </w:r>
    </w:p>
    <w:p w14:paraId="55F95942">
      <w:pPr>
        <w:spacing w:line="360" w:lineRule="auto"/>
        <w:ind w:firstLine="420" w:firstLineChars="200"/>
        <w:rPr>
          <w:color w:val="auto"/>
          <w:highlight w:val="none"/>
        </w:rPr>
      </w:pPr>
      <w:r>
        <w:rPr>
          <w:rFonts w:hint="eastAsia"/>
          <w:color w:val="auto"/>
          <w:highlight w:val="none"/>
        </w:rPr>
        <w:t>附表三施工总平面图</w:t>
      </w:r>
    </w:p>
    <w:p w14:paraId="42641D0A">
      <w:pPr>
        <w:spacing w:line="360" w:lineRule="auto"/>
        <w:ind w:firstLine="420" w:firstLineChars="200"/>
        <w:rPr>
          <w:color w:val="auto"/>
          <w:highlight w:val="none"/>
        </w:rPr>
      </w:pPr>
      <w:r>
        <w:rPr>
          <w:rFonts w:hint="eastAsia"/>
          <w:color w:val="auto"/>
          <w:highlight w:val="none"/>
        </w:rPr>
        <w:t>附表四临时用地表</w:t>
      </w:r>
    </w:p>
    <w:p w14:paraId="7386DDD0">
      <w:pPr>
        <w:spacing w:line="360" w:lineRule="auto"/>
        <w:ind w:firstLine="420" w:firstLineChars="200"/>
        <w:rPr>
          <w:color w:val="auto"/>
          <w:highlight w:val="none"/>
        </w:rPr>
      </w:pPr>
    </w:p>
    <w:p w14:paraId="6D3B2489">
      <w:pPr>
        <w:rPr>
          <w:color w:val="auto"/>
          <w:highlight w:val="none"/>
        </w:rPr>
      </w:pPr>
      <w:r>
        <w:rPr>
          <w:rFonts w:hint="eastAsia" w:cs="宋体"/>
          <w:color w:val="auto"/>
          <w:highlight w:val="none"/>
        </w:rPr>
        <w:t>附表一：劳动力计划表</w:t>
      </w:r>
    </w:p>
    <w:p w14:paraId="4D6735DD">
      <w:pPr>
        <w:ind w:firstLine="7245" w:firstLineChars="3450"/>
        <w:rPr>
          <w:color w:val="auto"/>
          <w:highlight w:val="none"/>
        </w:rPr>
      </w:pPr>
      <w:r>
        <w:rPr>
          <w:rFonts w:hint="eastAsia" w:cs="宋体"/>
          <w:color w:val="auto"/>
          <w:highlight w:val="none"/>
        </w:rPr>
        <w:t>单位：人</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6341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CD1A004">
            <w:pPr>
              <w:spacing w:line="360" w:lineRule="auto"/>
              <w:jc w:val="center"/>
              <w:rPr>
                <w:color w:val="auto"/>
                <w:highlight w:val="none"/>
              </w:rPr>
            </w:pPr>
            <w:r>
              <w:rPr>
                <w:rFonts w:hint="eastAsia" w:cs="宋体"/>
                <w:color w:val="auto"/>
                <w:highlight w:val="none"/>
              </w:rPr>
              <w:t>工种</w:t>
            </w:r>
          </w:p>
        </w:tc>
        <w:tc>
          <w:tcPr>
            <w:tcW w:w="7248" w:type="dxa"/>
            <w:gridSpan w:val="6"/>
            <w:vAlign w:val="center"/>
          </w:tcPr>
          <w:p w14:paraId="4220BCB2">
            <w:pPr>
              <w:spacing w:line="360" w:lineRule="auto"/>
              <w:jc w:val="center"/>
              <w:rPr>
                <w:color w:val="auto"/>
                <w:highlight w:val="none"/>
              </w:rPr>
            </w:pPr>
            <w:r>
              <w:rPr>
                <w:rFonts w:hint="eastAsia" w:cs="宋体"/>
                <w:color w:val="auto"/>
                <w:highlight w:val="none"/>
              </w:rPr>
              <w:t>按工程施工阶段投入劳动力情况</w:t>
            </w:r>
          </w:p>
        </w:tc>
      </w:tr>
      <w:tr w14:paraId="1553B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292B19D">
            <w:pPr>
              <w:spacing w:line="360" w:lineRule="auto"/>
              <w:jc w:val="center"/>
              <w:rPr>
                <w:color w:val="auto"/>
                <w:highlight w:val="none"/>
              </w:rPr>
            </w:pPr>
          </w:p>
        </w:tc>
        <w:tc>
          <w:tcPr>
            <w:tcW w:w="961" w:type="dxa"/>
            <w:vAlign w:val="center"/>
          </w:tcPr>
          <w:p w14:paraId="5E99DE21">
            <w:pPr>
              <w:spacing w:line="360" w:lineRule="auto"/>
              <w:jc w:val="center"/>
              <w:rPr>
                <w:color w:val="auto"/>
                <w:highlight w:val="none"/>
              </w:rPr>
            </w:pPr>
          </w:p>
        </w:tc>
        <w:tc>
          <w:tcPr>
            <w:tcW w:w="1257" w:type="dxa"/>
            <w:vAlign w:val="center"/>
          </w:tcPr>
          <w:p w14:paraId="0A2DEB50">
            <w:pPr>
              <w:spacing w:line="360" w:lineRule="auto"/>
              <w:jc w:val="center"/>
              <w:rPr>
                <w:color w:val="auto"/>
                <w:highlight w:val="none"/>
              </w:rPr>
            </w:pPr>
          </w:p>
        </w:tc>
        <w:tc>
          <w:tcPr>
            <w:tcW w:w="1257" w:type="dxa"/>
            <w:vAlign w:val="center"/>
          </w:tcPr>
          <w:p w14:paraId="5BD796A0">
            <w:pPr>
              <w:spacing w:line="360" w:lineRule="auto"/>
              <w:jc w:val="center"/>
              <w:rPr>
                <w:color w:val="auto"/>
                <w:highlight w:val="none"/>
              </w:rPr>
            </w:pPr>
          </w:p>
        </w:tc>
        <w:tc>
          <w:tcPr>
            <w:tcW w:w="1258" w:type="dxa"/>
            <w:vAlign w:val="center"/>
          </w:tcPr>
          <w:p w14:paraId="072D8AA6">
            <w:pPr>
              <w:spacing w:line="360" w:lineRule="auto"/>
              <w:jc w:val="center"/>
              <w:rPr>
                <w:color w:val="auto"/>
                <w:highlight w:val="none"/>
              </w:rPr>
            </w:pPr>
          </w:p>
        </w:tc>
        <w:tc>
          <w:tcPr>
            <w:tcW w:w="1257" w:type="dxa"/>
            <w:vAlign w:val="center"/>
          </w:tcPr>
          <w:p w14:paraId="3DDFE9A6">
            <w:pPr>
              <w:spacing w:line="360" w:lineRule="auto"/>
              <w:jc w:val="center"/>
              <w:rPr>
                <w:color w:val="auto"/>
                <w:highlight w:val="none"/>
              </w:rPr>
            </w:pPr>
          </w:p>
        </w:tc>
        <w:tc>
          <w:tcPr>
            <w:tcW w:w="1258" w:type="dxa"/>
            <w:vAlign w:val="center"/>
          </w:tcPr>
          <w:p w14:paraId="508B66F7">
            <w:pPr>
              <w:spacing w:line="360" w:lineRule="auto"/>
              <w:jc w:val="center"/>
              <w:rPr>
                <w:color w:val="auto"/>
                <w:highlight w:val="none"/>
              </w:rPr>
            </w:pPr>
          </w:p>
        </w:tc>
      </w:tr>
      <w:tr w14:paraId="34B0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1200EAD">
            <w:pPr>
              <w:spacing w:line="360" w:lineRule="auto"/>
              <w:jc w:val="center"/>
              <w:rPr>
                <w:color w:val="auto"/>
                <w:highlight w:val="none"/>
              </w:rPr>
            </w:pPr>
          </w:p>
        </w:tc>
        <w:tc>
          <w:tcPr>
            <w:tcW w:w="961" w:type="dxa"/>
            <w:vAlign w:val="center"/>
          </w:tcPr>
          <w:p w14:paraId="55C205BA">
            <w:pPr>
              <w:spacing w:line="360" w:lineRule="auto"/>
              <w:jc w:val="center"/>
              <w:rPr>
                <w:color w:val="auto"/>
                <w:highlight w:val="none"/>
              </w:rPr>
            </w:pPr>
          </w:p>
        </w:tc>
        <w:tc>
          <w:tcPr>
            <w:tcW w:w="1257" w:type="dxa"/>
            <w:vAlign w:val="center"/>
          </w:tcPr>
          <w:p w14:paraId="7246D4D2">
            <w:pPr>
              <w:spacing w:line="360" w:lineRule="auto"/>
              <w:jc w:val="center"/>
              <w:rPr>
                <w:color w:val="auto"/>
                <w:highlight w:val="none"/>
              </w:rPr>
            </w:pPr>
          </w:p>
        </w:tc>
        <w:tc>
          <w:tcPr>
            <w:tcW w:w="1257" w:type="dxa"/>
            <w:vAlign w:val="center"/>
          </w:tcPr>
          <w:p w14:paraId="20E79F90">
            <w:pPr>
              <w:spacing w:line="360" w:lineRule="auto"/>
              <w:jc w:val="center"/>
              <w:rPr>
                <w:color w:val="auto"/>
                <w:highlight w:val="none"/>
              </w:rPr>
            </w:pPr>
          </w:p>
        </w:tc>
        <w:tc>
          <w:tcPr>
            <w:tcW w:w="1258" w:type="dxa"/>
            <w:vAlign w:val="center"/>
          </w:tcPr>
          <w:p w14:paraId="1344077F">
            <w:pPr>
              <w:spacing w:line="360" w:lineRule="auto"/>
              <w:jc w:val="center"/>
              <w:rPr>
                <w:color w:val="auto"/>
                <w:highlight w:val="none"/>
              </w:rPr>
            </w:pPr>
          </w:p>
        </w:tc>
        <w:tc>
          <w:tcPr>
            <w:tcW w:w="1257" w:type="dxa"/>
            <w:vAlign w:val="center"/>
          </w:tcPr>
          <w:p w14:paraId="28FA8566">
            <w:pPr>
              <w:spacing w:line="360" w:lineRule="auto"/>
              <w:jc w:val="center"/>
              <w:rPr>
                <w:color w:val="auto"/>
                <w:highlight w:val="none"/>
              </w:rPr>
            </w:pPr>
          </w:p>
        </w:tc>
        <w:tc>
          <w:tcPr>
            <w:tcW w:w="1258" w:type="dxa"/>
            <w:vAlign w:val="center"/>
          </w:tcPr>
          <w:p w14:paraId="0FE214C0">
            <w:pPr>
              <w:spacing w:line="360" w:lineRule="auto"/>
              <w:jc w:val="center"/>
              <w:rPr>
                <w:color w:val="auto"/>
                <w:highlight w:val="none"/>
              </w:rPr>
            </w:pPr>
          </w:p>
        </w:tc>
      </w:tr>
      <w:tr w14:paraId="6F356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37C0A5AC">
            <w:pPr>
              <w:spacing w:line="360" w:lineRule="auto"/>
              <w:jc w:val="center"/>
              <w:rPr>
                <w:color w:val="auto"/>
                <w:highlight w:val="none"/>
              </w:rPr>
            </w:pPr>
          </w:p>
        </w:tc>
        <w:tc>
          <w:tcPr>
            <w:tcW w:w="961" w:type="dxa"/>
            <w:vAlign w:val="center"/>
          </w:tcPr>
          <w:p w14:paraId="29ADE136">
            <w:pPr>
              <w:spacing w:line="360" w:lineRule="auto"/>
              <w:jc w:val="center"/>
              <w:rPr>
                <w:color w:val="auto"/>
                <w:highlight w:val="none"/>
              </w:rPr>
            </w:pPr>
          </w:p>
        </w:tc>
        <w:tc>
          <w:tcPr>
            <w:tcW w:w="1257" w:type="dxa"/>
            <w:vAlign w:val="center"/>
          </w:tcPr>
          <w:p w14:paraId="6C7838FF">
            <w:pPr>
              <w:spacing w:line="360" w:lineRule="auto"/>
              <w:jc w:val="center"/>
              <w:rPr>
                <w:color w:val="auto"/>
                <w:highlight w:val="none"/>
              </w:rPr>
            </w:pPr>
          </w:p>
        </w:tc>
        <w:tc>
          <w:tcPr>
            <w:tcW w:w="1257" w:type="dxa"/>
            <w:vAlign w:val="center"/>
          </w:tcPr>
          <w:p w14:paraId="44A52375">
            <w:pPr>
              <w:spacing w:line="360" w:lineRule="auto"/>
              <w:jc w:val="center"/>
              <w:rPr>
                <w:color w:val="auto"/>
                <w:highlight w:val="none"/>
              </w:rPr>
            </w:pPr>
          </w:p>
        </w:tc>
        <w:tc>
          <w:tcPr>
            <w:tcW w:w="1258" w:type="dxa"/>
            <w:vAlign w:val="center"/>
          </w:tcPr>
          <w:p w14:paraId="14599AAF">
            <w:pPr>
              <w:spacing w:line="360" w:lineRule="auto"/>
              <w:jc w:val="center"/>
              <w:rPr>
                <w:color w:val="auto"/>
                <w:highlight w:val="none"/>
              </w:rPr>
            </w:pPr>
          </w:p>
        </w:tc>
        <w:tc>
          <w:tcPr>
            <w:tcW w:w="1257" w:type="dxa"/>
            <w:vAlign w:val="center"/>
          </w:tcPr>
          <w:p w14:paraId="418BD855">
            <w:pPr>
              <w:spacing w:line="360" w:lineRule="auto"/>
              <w:jc w:val="center"/>
              <w:rPr>
                <w:color w:val="auto"/>
                <w:highlight w:val="none"/>
              </w:rPr>
            </w:pPr>
          </w:p>
        </w:tc>
        <w:tc>
          <w:tcPr>
            <w:tcW w:w="1258" w:type="dxa"/>
            <w:vAlign w:val="center"/>
          </w:tcPr>
          <w:p w14:paraId="03CCFDF3">
            <w:pPr>
              <w:spacing w:line="360" w:lineRule="auto"/>
              <w:jc w:val="center"/>
              <w:rPr>
                <w:color w:val="auto"/>
                <w:highlight w:val="none"/>
              </w:rPr>
            </w:pPr>
          </w:p>
        </w:tc>
      </w:tr>
      <w:tr w14:paraId="3DAA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B7D080F">
            <w:pPr>
              <w:spacing w:line="360" w:lineRule="auto"/>
              <w:jc w:val="center"/>
              <w:rPr>
                <w:color w:val="auto"/>
                <w:highlight w:val="none"/>
              </w:rPr>
            </w:pPr>
          </w:p>
        </w:tc>
        <w:tc>
          <w:tcPr>
            <w:tcW w:w="961" w:type="dxa"/>
            <w:vAlign w:val="center"/>
          </w:tcPr>
          <w:p w14:paraId="56438241">
            <w:pPr>
              <w:spacing w:line="360" w:lineRule="auto"/>
              <w:jc w:val="center"/>
              <w:rPr>
                <w:color w:val="auto"/>
                <w:highlight w:val="none"/>
              </w:rPr>
            </w:pPr>
          </w:p>
        </w:tc>
        <w:tc>
          <w:tcPr>
            <w:tcW w:w="1257" w:type="dxa"/>
            <w:vAlign w:val="center"/>
          </w:tcPr>
          <w:p w14:paraId="706E7670">
            <w:pPr>
              <w:spacing w:line="360" w:lineRule="auto"/>
              <w:jc w:val="center"/>
              <w:rPr>
                <w:color w:val="auto"/>
                <w:highlight w:val="none"/>
              </w:rPr>
            </w:pPr>
          </w:p>
        </w:tc>
        <w:tc>
          <w:tcPr>
            <w:tcW w:w="1257" w:type="dxa"/>
            <w:vAlign w:val="center"/>
          </w:tcPr>
          <w:p w14:paraId="0FE5301F">
            <w:pPr>
              <w:spacing w:line="360" w:lineRule="auto"/>
              <w:jc w:val="center"/>
              <w:rPr>
                <w:color w:val="auto"/>
                <w:highlight w:val="none"/>
              </w:rPr>
            </w:pPr>
          </w:p>
        </w:tc>
        <w:tc>
          <w:tcPr>
            <w:tcW w:w="1258" w:type="dxa"/>
            <w:vAlign w:val="center"/>
          </w:tcPr>
          <w:p w14:paraId="672E7069">
            <w:pPr>
              <w:spacing w:line="360" w:lineRule="auto"/>
              <w:jc w:val="center"/>
              <w:rPr>
                <w:color w:val="auto"/>
                <w:highlight w:val="none"/>
              </w:rPr>
            </w:pPr>
          </w:p>
        </w:tc>
        <w:tc>
          <w:tcPr>
            <w:tcW w:w="1257" w:type="dxa"/>
            <w:vAlign w:val="center"/>
          </w:tcPr>
          <w:p w14:paraId="4CF8B76D">
            <w:pPr>
              <w:spacing w:line="360" w:lineRule="auto"/>
              <w:jc w:val="center"/>
              <w:rPr>
                <w:color w:val="auto"/>
                <w:highlight w:val="none"/>
              </w:rPr>
            </w:pPr>
          </w:p>
        </w:tc>
        <w:tc>
          <w:tcPr>
            <w:tcW w:w="1258" w:type="dxa"/>
            <w:vAlign w:val="center"/>
          </w:tcPr>
          <w:p w14:paraId="6BFF9B21">
            <w:pPr>
              <w:spacing w:line="360" w:lineRule="auto"/>
              <w:jc w:val="center"/>
              <w:rPr>
                <w:color w:val="auto"/>
                <w:highlight w:val="none"/>
              </w:rPr>
            </w:pPr>
          </w:p>
        </w:tc>
      </w:tr>
      <w:tr w14:paraId="4216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4DACDA07">
            <w:pPr>
              <w:spacing w:line="360" w:lineRule="auto"/>
              <w:jc w:val="center"/>
              <w:rPr>
                <w:color w:val="auto"/>
                <w:highlight w:val="none"/>
              </w:rPr>
            </w:pPr>
          </w:p>
        </w:tc>
        <w:tc>
          <w:tcPr>
            <w:tcW w:w="961" w:type="dxa"/>
            <w:vAlign w:val="center"/>
          </w:tcPr>
          <w:p w14:paraId="39426837">
            <w:pPr>
              <w:spacing w:line="360" w:lineRule="auto"/>
              <w:jc w:val="center"/>
              <w:rPr>
                <w:color w:val="auto"/>
                <w:highlight w:val="none"/>
              </w:rPr>
            </w:pPr>
          </w:p>
        </w:tc>
        <w:tc>
          <w:tcPr>
            <w:tcW w:w="1257" w:type="dxa"/>
            <w:vAlign w:val="center"/>
          </w:tcPr>
          <w:p w14:paraId="5E331B26">
            <w:pPr>
              <w:spacing w:line="360" w:lineRule="auto"/>
              <w:jc w:val="center"/>
              <w:rPr>
                <w:color w:val="auto"/>
                <w:highlight w:val="none"/>
              </w:rPr>
            </w:pPr>
          </w:p>
        </w:tc>
        <w:tc>
          <w:tcPr>
            <w:tcW w:w="1257" w:type="dxa"/>
            <w:vAlign w:val="center"/>
          </w:tcPr>
          <w:p w14:paraId="3875C360">
            <w:pPr>
              <w:spacing w:line="360" w:lineRule="auto"/>
              <w:jc w:val="center"/>
              <w:rPr>
                <w:color w:val="auto"/>
                <w:highlight w:val="none"/>
              </w:rPr>
            </w:pPr>
          </w:p>
        </w:tc>
        <w:tc>
          <w:tcPr>
            <w:tcW w:w="1258" w:type="dxa"/>
            <w:vAlign w:val="center"/>
          </w:tcPr>
          <w:p w14:paraId="7ABAD146">
            <w:pPr>
              <w:spacing w:line="360" w:lineRule="auto"/>
              <w:jc w:val="center"/>
              <w:rPr>
                <w:color w:val="auto"/>
                <w:highlight w:val="none"/>
              </w:rPr>
            </w:pPr>
          </w:p>
        </w:tc>
        <w:tc>
          <w:tcPr>
            <w:tcW w:w="1257" w:type="dxa"/>
            <w:vAlign w:val="center"/>
          </w:tcPr>
          <w:p w14:paraId="3122AE96">
            <w:pPr>
              <w:spacing w:line="360" w:lineRule="auto"/>
              <w:jc w:val="center"/>
              <w:rPr>
                <w:color w:val="auto"/>
                <w:highlight w:val="none"/>
              </w:rPr>
            </w:pPr>
          </w:p>
        </w:tc>
        <w:tc>
          <w:tcPr>
            <w:tcW w:w="1258" w:type="dxa"/>
            <w:vAlign w:val="center"/>
          </w:tcPr>
          <w:p w14:paraId="15CB6119">
            <w:pPr>
              <w:spacing w:line="360" w:lineRule="auto"/>
              <w:jc w:val="center"/>
              <w:rPr>
                <w:color w:val="auto"/>
                <w:highlight w:val="none"/>
              </w:rPr>
            </w:pPr>
          </w:p>
        </w:tc>
      </w:tr>
      <w:tr w14:paraId="2B5A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EA655FC">
            <w:pPr>
              <w:spacing w:line="360" w:lineRule="auto"/>
              <w:jc w:val="center"/>
              <w:rPr>
                <w:color w:val="auto"/>
                <w:highlight w:val="none"/>
              </w:rPr>
            </w:pPr>
          </w:p>
        </w:tc>
        <w:tc>
          <w:tcPr>
            <w:tcW w:w="961" w:type="dxa"/>
            <w:vAlign w:val="center"/>
          </w:tcPr>
          <w:p w14:paraId="7880CEE2">
            <w:pPr>
              <w:spacing w:line="360" w:lineRule="auto"/>
              <w:jc w:val="center"/>
              <w:rPr>
                <w:color w:val="auto"/>
                <w:highlight w:val="none"/>
              </w:rPr>
            </w:pPr>
          </w:p>
        </w:tc>
        <w:tc>
          <w:tcPr>
            <w:tcW w:w="1257" w:type="dxa"/>
            <w:vAlign w:val="center"/>
          </w:tcPr>
          <w:p w14:paraId="0AFB82C9">
            <w:pPr>
              <w:spacing w:line="360" w:lineRule="auto"/>
              <w:jc w:val="center"/>
              <w:rPr>
                <w:color w:val="auto"/>
                <w:highlight w:val="none"/>
              </w:rPr>
            </w:pPr>
          </w:p>
        </w:tc>
        <w:tc>
          <w:tcPr>
            <w:tcW w:w="1257" w:type="dxa"/>
            <w:vAlign w:val="center"/>
          </w:tcPr>
          <w:p w14:paraId="4F118D79">
            <w:pPr>
              <w:spacing w:line="360" w:lineRule="auto"/>
              <w:jc w:val="center"/>
              <w:rPr>
                <w:color w:val="auto"/>
                <w:highlight w:val="none"/>
              </w:rPr>
            </w:pPr>
          </w:p>
        </w:tc>
        <w:tc>
          <w:tcPr>
            <w:tcW w:w="1258" w:type="dxa"/>
            <w:vAlign w:val="center"/>
          </w:tcPr>
          <w:p w14:paraId="7C0097CF">
            <w:pPr>
              <w:spacing w:line="360" w:lineRule="auto"/>
              <w:jc w:val="center"/>
              <w:rPr>
                <w:color w:val="auto"/>
                <w:highlight w:val="none"/>
              </w:rPr>
            </w:pPr>
          </w:p>
        </w:tc>
        <w:tc>
          <w:tcPr>
            <w:tcW w:w="1257" w:type="dxa"/>
            <w:vAlign w:val="center"/>
          </w:tcPr>
          <w:p w14:paraId="27558BB3">
            <w:pPr>
              <w:spacing w:line="360" w:lineRule="auto"/>
              <w:jc w:val="center"/>
              <w:rPr>
                <w:color w:val="auto"/>
                <w:highlight w:val="none"/>
              </w:rPr>
            </w:pPr>
          </w:p>
        </w:tc>
        <w:tc>
          <w:tcPr>
            <w:tcW w:w="1258" w:type="dxa"/>
            <w:vAlign w:val="center"/>
          </w:tcPr>
          <w:p w14:paraId="450FCB4E">
            <w:pPr>
              <w:spacing w:line="360" w:lineRule="auto"/>
              <w:jc w:val="center"/>
              <w:rPr>
                <w:color w:val="auto"/>
                <w:highlight w:val="none"/>
              </w:rPr>
            </w:pPr>
          </w:p>
        </w:tc>
      </w:tr>
    </w:tbl>
    <w:p w14:paraId="3E55625D">
      <w:pPr>
        <w:rPr>
          <w:color w:val="auto"/>
          <w:highlight w:val="none"/>
        </w:rPr>
      </w:pPr>
    </w:p>
    <w:p w14:paraId="71DF8049">
      <w:pPr>
        <w:rPr>
          <w:b/>
          <w:bCs/>
          <w:color w:val="auto"/>
          <w:highlight w:val="none"/>
        </w:rPr>
      </w:pPr>
    </w:p>
    <w:p w14:paraId="0D4C9E77">
      <w:pPr>
        <w:rPr>
          <w:color w:val="auto"/>
          <w:highlight w:val="none"/>
        </w:rPr>
      </w:pPr>
      <w:r>
        <w:rPr>
          <w:rFonts w:hint="eastAsia" w:cs="宋体"/>
          <w:color w:val="auto"/>
          <w:highlight w:val="none"/>
        </w:rPr>
        <w:t>附表二：计划开、竣工日期和施工进度计划（网络图或横道图）</w:t>
      </w:r>
    </w:p>
    <w:p w14:paraId="7D11024C">
      <w:pPr>
        <w:spacing w:line="460" w:lineRule="exact"/>
        <w:ind w:left="-6" w:firstLine="420"/>
        <w:rPr>
          <w:color w:val="auto"/>
          <w:highlight w:val="none"/>
        </w:rPr>
      </w:pPr>
      <w:r>
        <w:rPr>
          <w:color w:val="auto"/>
          <w:highlight w:val="none"/>
        </w:rPr>
        <w:t xml:space="preserve">1. </w:t>
      </w:r>
      <w:r>
        <w:rPr>
          <w:rFonts w:hint="eastAsia" w:cs="宋体"/>
          <w:color w:val="auto"/>
          <w:highlight w:val="none"/>
        </w:rPr>
        <w:t>供应商应提交施工进度计划，说明按磋商文件要求的工期进行施工的各个关键日期。成交的供应商还应按合同条件有关条款的要求提交详细的施工进度计划。</w:t>
      </w:r>
    </w:p>
    <w:p w14:paraId="0AFABC4A">
      <w:pPr>
        <w:spacing w:line="460" w:lineRule="exact"/>
        <w:ind w:left="-6" w:firstLine="420"/>
        <w:rPr>
          <w:color w:val="auto"/>
          <w:highlight w:val="none"/>
        </w:rPr>
      </w:pPr>
      <w:r>
        <w:rPr>
          <w:color w:val="auto"/>
          <w:highlight w:val="none"/>
        </w:rPr>
        <w:t xml:space="preserve">2. </w:t>
      </w:r>
      <w:r>
        <w:rPr>
          <w:rFonts w:hint="eastAsia" w:cs="宋体"/>
          <w:color w:val="auto"/>
          <w:highlight w:val="none"/>
        </w:rPr>
        <w:t>施工进度计划可采用网络图（或横道图）表示，说明计划开工日期和各分项工程各阶段的完工日期和分包合同签订的日期。</w:t>
      </w:r>
    </w:p>
    <w:p w14:paraId="03C67353">
      <w:pPr>
        <w:spacing w:line="460" w:lineRule="exact"/>
        <w:ind w:left="-6" w:firstLine="420"/>
        <w:rPr>
          <w:color w:val="auto"/>
          <w:highlight w:val="none"/>
        </w:rPr>
      </w:pPr>
      <w:r>
        <w:rPr>
          <w:color w:val="auto"/>
          <w:highlight w:val="none"/>
        </w:rPr>
        <w:t xml:space="preserve">3. </w:t>
      </w:r>
      <w:r>
        <w:rPr>
          <w:rFonts w:hint="eastAsia" w:cs="宋体"/>
          <w:color w:val="auto"/>
          <w:highlight w:val="none"/>
        </w:rPr>
        <w:t>施工进度计划应与施工组织设计相适应。</w:t>
      </w:r>
    </w:p>
    <w:p w14:paraId="39F32594">
      <w:pPr>
        <w:spacing w:line="360" w:lineRule="auto"/>
        <w:ind w:left="-6" w:firstLine="420"/>
        <w:rPr>
          <w:color w:val="auto"/>
          <w:highlight w:val="none"/>
        </w:rPr>
      </w:pPr>
    </w:p>
    <w:p w14:paraId="4FE38B35">
      <w:pPr>
        <w:rPr>
          <w:color w:val="auto"/>
          <w:highlight w:val="none"/>
        </w:rPr>
      </w:pPr>
    </w:p>
    <w:p w14:paraId="646E40A6">
      <w:pPr>
        <w:rPr>
          <w:color w:val="auto"/>
          <w:highlight w:val="none"/>
        </w:rPr>
      </w:pPr>
      <w:r>
        <w:rPr>
          <w:rFonts w:hint="eastAsia" w:cs="宋体"/>
          <w:color w:val="auto"/>
          <w:highlight w:val="none"/>
        </w:rPr>
        <w:t>附表三：施工总平面图</w:t>
      </w:r>
    </w:p>
    <w:p w14:paraId="05C99C58">
      <w:pPr>
        <w:spacing w:line="460" w:lineRule="exact"/>
        <w:ind w:firstLine="420" w:firstLineChars="200"/>
        <w:rPr>
          <w:color w:val="auto"/>
          <w:highlight w:val="none"/>
        </w:rPr>
      </w:pPr>
      <w:r>
        <w:rPr>
          <w:rFonts w:hint="eastAsia"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3DAC845C">
      <w:pPr>
        <w:rPr>
          <w:color w:val="auto"/>
          <w:highlight w:val="none"/>
        </w:rPr>
      </w:pPr>
    </w:p>
    <w:p w14:paraId="51B0B329">
      <w:pPr>
        <w:rPr>
          <w:color w:val="auto"/>
          <w:highlight w:val="none"/>
        </w:rPr>
      </w:pPr>
    </w:p>
    <w:p w14:paraId="30AAA5BC">
      <w:pPr>
        <w:rPr>
          <w:color w:val="auto"/>
          <w:highlight w:val="none"/>
        </w:rPr>
      </w:pPr>
      <w:r>
        <w:rPr>
          <w:rFonts w:hint="eastAsia" w:cs="宋体"/>
          <w:color w:val="auto"/>
          <w:highlight w:val="none"/>
        </w:rPr>
        <w:t>附表四：临时用地表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38E3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6CDFCE97">
            <w:pPr>
              <w:jc w:val="center"/>
              <w:rPr>
                <w:color w:val="auto"/>
                <w:highlight w:val="none"/>
              </w:rPr>
            </w:pPr>
            <w:r>
              <w:rPr>
                <w:rFonts w:hint="eastAsia" w:cs="宋体"/>
                <w:color w:val="auto"/>
                <w:highlight w:val="none"/>
              </w:rPr>
              <w:t>用途</w:t>
            </w:r>
          </w:p>
        </w:tc>
        <w:tc>
          <w:tcPr>
            <w:tcW w:w="2357" w:type="dxa"/>
            <w:vAlign w:val="center"/>
          </w:tcPr>
          <w:p w14:paraId="2E5B5EC4">
            <w:pPr>
              <w:jc w:val="center"/>
              <w:rPr>
                <w:color w:val="auto"/>
                <w:highlight w:val="none"/>
              </w:rPr>
            </w:pPr>
            <w:r>
              <w:rPr>
                <w:rFonts w:hint="eastAsia" w:cs="宋体"/>
                <w:color w:val="auto"/>
                <w:highlight w:val="none"/>
              </w:rPr>
              <w:t>面积（平方米）</w:t>
            </w:r>
          </w:p>
        </w:tc>
        <w:tc>
          <w:tcPr>
            <w:tcW w:w="2356" w:type="dxa"/>
            <w:vAlign w:val="center"/>
          </w:tcPr>
          <w:p w14:paraId="3979554A">
            <w:pPr>
              <w:jc w:val="center"/>
              <w:rPr>
                <w:color w:val="auto"/>
                <w:highlight w:val="none"/>
              </w:rPr>
            </w:pPr>
            <w:r>
              <w:rPr>
                <w:rFonts w:hint="eastAsia" w:cs="宋体"/>
                <w:color w:val="auto"/>
                <w:highlight w:val="none"/>
              </w:rPr>
              <w:t>位置</w:t>
            </w:r>
          </w:p>
        </w:tc>
        <w:tc>
          <w:tcPr>
            <w:tcW w:w="2136" w:type="dxa"/>
            <w:vAlign w:val="center"/>
          </w:tcPr>
          <w:p w14:paraId="3498C332">
            <w:pPr>
              <w:jc w:val="center"/>
              <w:rPr>
                <w:color w:val="auto"/>
                <w:highlight w:val="none"/>
              </w:rPr>
            </w:pPr>
            <w:r>
              <w:rPr>
                <w:rFonts w:hint="eastAsia" w:cs="宋体"/>
                <w:color w:val="auto"/>
                <w:highlight w:val="none"/>
              </w:rPr>
              <w:t>需用时间</w:t>
            </w:r>
          </w:p>
        </w:tc>
      </w:tr>
      <w:tr w14:paraId="6255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EBC83C0">
            <w:pPr>
              <w:rPr>
                <w:color w:val="auto"/>
                <w:highlight w:val="none"/>
              </w:rPr>
            </w:pPr>
          </w:p>
        </w:tc>
        <w:tc>
          <w:tcPr>
            <w:tcW w:w="2357" w:type="dxa"/>
          </w:tcPr>
          <w:p w14:paraId="70F8860C">
            <w:pPr>
              <w:rPr>
                <w:color w:val="auto"/>
                <w:highlight w:val="none"/>
              </w:rPr>
            </w:pPr>
          </w:p>
        </w:tc>
        <w:tc>
          <w:tcPr>
            <w:tcW w:w="2356" w:type="dxa"/>
          </w:tcPr>
          <w:p w14:paraId="413E6ED6">
            <w:pPr>
              <w:rPr>
                <w:color w:val="auto"/>
                <w:highlight w:val="none"/>
              </w:rPr>
            </w:pPr>
          </w:p>
        </w:tc>
        <w:tc>
          <w:tcPr>
            <w:tcW w:w="2136" w:type="dxa"/>
          </w:tcPr>
          <w:p w14:paraId="259DCFA0">
            <w:pPr>
              <w:rPr>
                <w:color w:val="auto"/>
                <w:highlight w:val="none"/>
              </w:rPr>
            </w:pPr>
          </w:p>
        </w:tc>
      </w:tr>
      <w:tr w14:paraId="628E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A8EE2E0">
            <w:pPr>
              <w:rPr>
                <w:color w:val="auto"/>
                <w:highlight w:val="none"/>
              </w:rPr>
            </w:pPr>
          </w:p>
        </w:tc>
        <w:tc>
          <w:tcPr>
            <w:tcW w:w="2357" w:type="dxa"/>
          </w:tcPr>
          <w:p w14:paraId="499B6F23">
            <w:pPr>
              <w:rPr>
                <w:color w:val="auto"/>
                <w:highlight w:val="none"/>
              </w:rPr>
            </w:pPr>
          </w:p>
        </w:tc>
        <w:tc>
          <w:tcPr>
            <w:tcW w:w="2356" w:type="dxa"/>
          </w:tcPr>
          <w:p w14:paraId="03495B34">
            <w:pPr>
              <w:rPr>
                <w:color w:val="auto"/>
                <w:highlight w:val="none"/>
              </w:rPr>
            </w:pPr>
          </w:p>
        </w:tc>
        <w:tc>
          <w:tcPr>
            <w:tcW w:w="2136" w:type="dxa"/>
          </w:tcPr>
          <w:p w14:paraId="7C5262A4">
            <w:pPr>
              <w:rPr>
                <w:color w:val="auto"/>
                <w:highlight w:val="none"/>
              </w:rPr>
            </w:pPr>
          </w:p>
        </w:tc>
      </w:tr>
      <w:tr w14:paraId="7ECE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2950E776">
            <w:pPr>
              <w:rPr>
                <w:color w:val="auto"/>
                <w:highlight w:val="none"/>
              </w:rPr>
            </w:pPr>
          </w:p>
        </w:tc>
        <w:tc>
          <w:tcPr>
            <w:tcW w:w="2357" w:type="dxa"/>
          </w:tcPr>
          <w:p w14:paraId="05B4D9FF">
            <w:pPr>
              <w:rPr>
                <w:color w:val="auto"/>
                <w:highlight w:val="none"/>
              </w:rPr>
            </w:pPr>
          </w:p>
        </w:tc>
        <w:tc>
          <w:tcPr>
            <w:tcW w:w="2356" w:type="dxa"/>
          </w:tcPr>
          <w:p w14:paraId="39A28D4F">
            <w:pPr>
              <w:rPr>
                <w:color w:val="auto"/>
                <w:highlight w:val="none"/>
              </w:rPr>
            </w:pPr>
          </w:p>
        </w:tc>
        <w:tc>
          <w:tcPr>
            <w:tcW w:w="2136" w:type="dxa"/>
          </w:tcPr>
          <w:p w14:paraId="2DFE58D0">
            <w:pPr>
              <w:rPr>
                <w:color w:val="auto"/>
                <w:highlight w:val="none"/>
              </w:rPr>
            </w:pPr>
          </w:p>
        </w:tc>
      </w:tr>
      <w:tr w14:paraId="6D51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4FE23FD">
            <w:pPr>
              <w:rPr>
                <w:color w:val="auto"/>
                <w:highlight w:val="none"/>
              </w:rPr>
            </w:pPr>
          </w:p>
        </w:tc>
        <w:tc>
          <w:tcPr>
            <w:tcW w:w="2357" w:type="dxa"/>
          </w:tcPr>
          <w:p w14:paraId="584F788B">
            <w:pPr>
              <w:rPr>
                <w:color w:val="auto"/>
                <w:highlight w:val="none"/>
              </w:rPr>
            </w:pPr>
          </w:p>
        </w:tc>
        <w:tc>
          <w:tcPr>
            <w:tcW w:w="2356" w:type="dxa"/>
          </w:tcPr>
          <w:p w14:paraId="5FA00C3C">
            <w:pPr>
              <w:rPr>
                <w:color w:val="auto"/>
                <w:highlight w:val="none"/>
              </w:rPr>
            </w:pPr>
          </w:p>
        </w:tc>
        <w:tc>
          <w:tcPr>
            <w:tcW w:w="2136" w:type="dxa"/>
          </w:tcPr>
          <w:p w14:paraId="03BE0181">
            <w:pPr>
              <w:rPr>
                <w:color w:val="auto"/>
                <w:highlight w:val="none"/>
              </w:rPr>
            </w:pPr>
          </w:p>
        </w:tc>
      </w:tr>
    </w:tbl>
    <w:p w14:paraId="24A30D49">
      <w:pPr>
        <w:spacing w:line="360" w:lineRule="auto"/>
        <w:ind w:firstLine="880" w:firstLineChars="200"/>
        <w:rPr>
          <w:rFonts w:ascii="方正小标宋简体" w:hAnsi="方正小标宋简体" w:eastAsia="方正小标宋简体" w:cs="方正小标宋简体"/>
          <w:bCs/>
          <w:color w:val="auto"/>
          <w:sz w:val="44"/>
          <w:szCs w:val="44"/>
          <w:highlight w:val="none"/>
        </w:rPr>
      </w:pPr>
    </w:p>
    <w:p w14:paraId="5DE44256">
      <w:pPr>
        <w:spacing w:line="36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4F75B4C7">
      <w:pPr>
        <w:spacing w:line="360" w:lineRule="auto"/>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拟分包项目情况表</w:t>
      </w:r>
    </w:p>
    <w:p w14:paraId="1039B996">
      <w:pPr>
        <w:spacing w:line="520" w:lineRule="exact"/>
        <w:rPr>
          <w:rFonts w:ascii="仿宋_GB2312" w:hAnsi="仿宋_GB2312" w:eastAsia="仿宋_GB2312" w:cs="仿宋_GB2312"/>
          <w:color w:val="auto"/>
          <w:sz w:val="32"/>
          <w:szCs w:val="32"/>
          <w:highlight w:val="none"/>
        </w:rPr>
      </w:pPr>
    </w:p>
    <w:p w14:paraId="12A70B89">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693"/>
        <w:gridCol w:w="751"/>
        <w:gridCol w:w="950"/>
        <w:gridCol w:w="1123"/>
        <w:gridCol w:w="1090"/>
        <w:gridCol w:w="1197"/>
        <w:gridCol w:w="1268"/>
        <w:gridCol w:w="673"/>
      </w:tblGrid>
      <w:tr w14:paraId="3BF9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5D23A33F">
            <w:pPr>
              <w:jc w:val="center"/>
              <w:rPr>
                <w:color w:val="auto"/>
                <w:highlight w:val="none"/>
              </w:rPr>
            </w:pPr>
            <w:r>
              <w:rPr>
                <w:rFonts w:hint="eastAsia" w:cs="宋体"/>
                <w:color w:val="auto"/>
                <w:highlight w:val="none"/>
              </w:rPr>
              <w:t>序号</w:t>
            </w:r>
          </w:p>
        </w:tc>
        <w:tc>
          <w:tcPr>
            <w:tcW w:w="1693" w:type="dxa"/>
            <w:vMerge w:val="restart"/>
            <w:tcMar>
              <w:left w:w="108" w:type="dxa"/>
              <w:right w:w="108" w:type="dxa"/>
            </w:tcMar>
            <w:vAlign w:val="center"/>
          </w:tcPr>
          <w:p w14:paraId="7959FD22">
            <w:pPr>
              <w:jc w:val="center"/>
              <w:rPr>
                <w:color w:val="auto"/>
                <w:highlight w:val="none"/>
              </w:rPr>
            </w:pPr>
            <w:r>
              <w:rPr>
                <w:rFonts w:hint="eastAsia" w:cs="宋体"/>
                <w:color w:val="auto"/>
                <w:highlight w:val="none"/>
              </w:rPr>
              <w:t>拟分包项目名称、范围及理由</w:t>
            </w:r>
          </w:p>
        </w:tc>
        <w:tc>
          <w:tcPr>
            <w:tcW w:w="6379" w:type="dxa"/>
            <w:gridSpan w:val="6"/>
            <w:tcMar>
              <w:left w:w="108" w:type="dxa"/>
              <w:right w:w="108" w:type="dxa"/>
            </w:tcMar>
            <w:vAlign w:val="center"/>
          </w:tcPr>
          <w:p w14:paraId="2BF7C7D8">
            <w:pPr>
              <w:jc w:val="center"/>
              <w:rPr>
                <w:rFonts w:cs="宋体"/>
                <w:color w:val="auto"/>
                <w:highlight w:val="none"/>
              </w:rPr>
            </w:pPr>
            <w:r>
              <w:rPr>
                <w:rFonts w:hint="eastAsia" w:cs="宋体"/>
                <w:color w:val="auto"/>
                <w:highlight w:val="none"/>
              </w:rPr>
              <w:t>拟选分包人</w:t>
            </w:r>
          </w:p>
        </w:tc>
        <w:tc>
          <w:tcPr>
            <w:tcW w:w="673" w:type="dxa"/>
            <w:vMerge w:val="restart"/>
            <w:tcMar>
              <w:left w:w="108" w:type="dxa"/>
              <w:right w:w="108" w:type="dxa"/>
            </w:tcMar>
            <w:vAlign w:val="center"/>
          </w:tcPr>
          <w:p w14:paraId="64A37B31">
            <w:pPr>
              <w:jc w:val="center"/>
              <w:rPr>
                <w:color w:val="auto"/>
                <w:highlight w:val="none"/>
              </w:rPr>
            </w:pPr>
            <w:r>
              <w:rPr>
                <w:rFonts w:hint="eastAsia" w:cs="宋体"/>
                <w:color w:val="auto"/>
                <w:highlight w:val="none"/>
              </w:rPr>
              <w:t>备注</w:t>
            </w:r>
          </w:p>
        </w:tc>
      </w:tr>
      <w:tr w14:paraId="1EB1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27404C42">
            <w:pPr>
              <w:jc w:val="center"/>
              <w:rPr>
                <w:color w:val="auto"/>
                <w:highlight w:val="none"/>
              </w:rPr>
            </w:pPr>
          </w:p>
        </w:tc>
        <w:tc>
          <w:tcPr>
            <w:tcW w:w="1693" w:type="dxa"/>
            <w:vMerge w:val="continue"/>
            <w:tcMar>
              <w:left w:w="108" w:type="dxa"/>
              <w:right w:w="108" w:type="dxa"/>
            </w:tcMar>
            <w:vAlign w:val="center"/>
          </w:tcPr>
          <w:p w14:paraId="1CC07D14">
            <w:pPr>
              <w:jc w:val="center"/>
              <w:rPr>
                <w:color w:val="auto"/>
                <w:highlight w:val="none"/>
              </w:rPr>
            </w:pPr>
          </w:p>
        </w:tc>
        <w:tc>
          <w:tcPr>
            <w:tcW w:w="1701" w:type="dxa"/>
            <w:gridSpan w:val="2"/>
            <w:tcMar>
              <w:left w:w="108" w:type="dxa"/>
              <w:right w:w="108" w:type="dxa"/>
            </w:tcMar>
            <w:vAlign w:val="center"/>
          </w:tcPr>
          <w:p w14:paraId="4A55A234">
            <w:pPr>
              <w:jc w:val="center"/>
              <w:rPr>
                <w:color w:val="auto"/>
                <w:highlight w:val="none"/>
              </w:rPr>
            </w:pPr>
            <w:r>
              <w:rPr>
                <w:rFonts w:hint="eastAsia" w:cs="宋体"/>
                <w:color w:val="auto"/>
                <w:highlight w:val="none"/>
              </w:rPr>
              <w:t>拟选分包人名称</w:t>
            </w:r>
          </w:p>
        </w:tc>
        <w:tc>
          <w:tcPr>
            <w:tcW w:w="1123" w:type="dxa"/>
            <w:tcMar>
              <w:left w:w="108" w:type="dxa"/>
              <w:right w:w="108" w:type="dxa"/>
            </w:tcMar>
            <w:vAlign w:val="center"/>
          </w:tcPr>
          <w:p w14:paraId="28100F8D">
            <w:pPr>
              <w:jc w:val="center"/>
              <w:rPr>
                <w:color w:val="auto"/>
                <w:highlight w:val="none"/>
              </w:rPr>
            </w:pPr>
            <w:r>
              <w:rPr>
                <w:rFonts w:hint="eastAsia" w:cs="宋体"/>
                <w:color w:val="auto"/>
                <w:highlight w:val="none"/>
              </w:rPr>
              <w:t>注册地点</w:t>
            </w:r>
          </w:p>
        </w:tc>
        <w:tc>
          <w:tcPr>
            <w:tcW w:w="1090" w:type="dxa"/>
            <w:tcMar>
              <w:left w:w="108" w:type="dxa"/>
              <w:right w:w="108" w:type="dxa"/>
            </w:tcMar>
            <w:vAlign w:val="center"/>
          </w:tcPr>
          <w:p w14:paraId="11FB4EBB">
            <w:pPr>
              <w:jc w:val="center"/>
              <w:rPr>
                <w:color w:val="auto"/>
                <w:highlight w:val="none"/>
              </w:rPr>
            </w:pPr>
            <w:r>
              <w:rPr>
                <w:rFonts w:hint="eastAsia" w:cs="宋体"/>
                <w:color w:val="auto"/>
                <w:highlight w:val="none"/>
              </w:rPr>
              <w:t>企业资质</w:t>
            </w:r>
          </w:p>
        </w:tc>
        <w:tc>
          <w:tcPr>
            <w:tcW w:w="1197" w:type="dxa"/>
            <w:tcMar>
              <w:left w:w="108" w:type="dxa"/>
              <w:right w:w="108" w:type="dxa"/>
            </w:tcMar>
            <w:vAlign w:val="center"/>
          </w:tcPr>
          <w:p w14:paraId="46E6A736">
            <w:pPr>
              <w:jc w:val="center"/>
              <w:rPr>
                <w:color w:val="auto"/>
                <w:highlight w:val="none"/>
              </w:rPr>
            </w:pPr>
            <w:r>
              <w:rPr>
                <w:rFonts w:hint="eastAsia" w:cs="宋体"/>
                <w:color w:val="auto"/>
                <w:highlight w:val="none"/>
              </w:rPr>
              <w:t>有关业绩</w:t>
            </w:r>
          </w:p>
        </w:tc>
        <w:tc>
          <w:tcPr>
            <w:tcW w:w="1268" w:type="dxa"/>
            <w:vAlign w:val="center"/>
          </w:tcPr>
          <w:p w14:paraId="1B87E653">
            <w:pPr>
              <w:jc w:val="center"/>
              <w:rPr>
                <w:rFonts w:cs="宋体"/>
                <w:color w:val="auto"/>
                <w:highlight w:val="none"/>
              </w:rPr>
            </w:pPr>
            <w:r>
              <w:rPr>
                <w:rFonts w:hint="eastAsia" w:cs="宋体"/>
                <w:color w:val="auto"/>
                <w:highlight w:val="none"/>
              </w:rPr>
              <w:t>拟分包金额</w:t>
            </w:r>
          </w:p>
        </w:tc>
        <w:tc>
          <w:tcPr>
            <w:tcW w:w="673" w:type="dxa"/>
            <w:vMerge w:val="continue"/>
            <w:tcMar>
              <w:left w:w="108" w:type="dxa"/>
              <w:right w:w="108" w:type="dxa"/>
            </w:tcMar>
            <w:vAlign w:val="center"/>
          </w:tcPr>
          <w:p w14:paraId="15F54A25">
            <w:pPr>
              <w:jc w:val="center"/>
              <w:rPr>
                <w:color w:val="auto"/>
                <w:highlight w:val="none"/>
              </w:rPr>
            </w:pPr>
          </w:p>
        </w:tc>
      </w:tr>
      <w:tr w14:paraId="1B7A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08A2CD35">
            <w:pPr>
              <w:jc w:val="center"/>
              <w:rPr>
                <w:color w:val="auto"/>
                <w:highlight w:val="none"/>
              </w:rPr>
            </w:pPr>
          </w:p>
        </w:tc>
        <w:tc>
          <w:tcPr>
            <w:tcW w:w="1693" w:type="dxa"/>
            <w:vMerge w:val="restart"/>
            <w:tcMar>
              <w:left w:w="108" w:type="dxa"/>
              <w:right w:w="108" w:type="dxa"/>
            </w:tcMar>
            <w:vAlign w:val="center"/>
          </w:tcPr>
          <w:p w14:paraId="2D4FF254">
            <w:pPr>
              <w:jc w:val="center"/>
              <w:rPr>
                <w:color w:val="auto"/>
                <w:highlight w:val="none"/>
              </w:rPr>
            </w:pPr>
          </w:p>
        </w:tc>
        <w:tc>
          <w:tcPr>
            <w:tcW w:w="751" w:type="dxa"/>
            <w:tcMar>
              <w:left w:w="108" w:type="dxa"/>
              <w:right w:w="108" w:type="dxa"/>
            </w:tcMar>
            <w:vAlign w:val="center"/>
          </w:tcPr>
          <w:p w14:paraId="1C24EF1F">
            <w:pPr>
              <w:jc w:val="center"/>
              <w:rPr>
                <w:color w:val="auto"/>
                <w:highlight w:val="none"/>
              </w:rPr>
            </w:pPr>
            <w:r>
              <w:rPr>
                <w:color w:val="auto"/>
                <w:highlight w:val="none"/>
              </w:rPr>
              <w:t>1</w:t>
            </w:r>
          </w:p>
        </w:tc>
        <w:tc>
          <w:tcPr>
            <w:tcW w:w="950" w:type="dxa"/>
            <w:tcMar>
              <w:left w:w="108" w:type="dxa"/>
              <w:right w:w="108" w:type="dxa"/>
            </w:tcMar>
            <w:vAlign w:val="center"/>
          </w:tcPr>
          <w:p w14:paraId="2D6432C7">
            <w:pPr>
              <w:jc w:val="center"/>
              <w:rPr>
                <w:color w:val="auto"/>
                <w:highlight w:val="none"/>
              </w:rPr>
            </w:pPr>
          </w:p>
        </w:tc>
        <w:tc>
          <w:tcPr>
            <w:tcW w:w="1123" w:type="dxa"/>
            <w:tcMar>
              <w:left w:w="108" w:type="dxa"/>
              <w:right w:w="108" w:type="dxa"/>
            </w:tcMar>
            <w:vAlign w:val="center"/>
          </w:tcPr>
          <w:p w14:paraId="04C833CC">
            <w:pPr>
              <w:jc w:val="center"/>
              <w:rPr>
                <w:color w:val="auto"/>
                <w:highlight w:val="none"/>
              </w:rPr>
            </w:pPr>
          </w:p>
        </w:tc>
        <w:tc>
          <w:tcPr>
            <w:tcW w:w="1090" w:type="dxa"/>
            <w:tcMar>
              <w:left w:w="108" w:type="dxa"/>
              <w:right w:w="108" w:type="dxa"/>
            </w:tcMar>
            <w:vAlign w:val="center"/>
          </w:tcPr>
          <w:p w14:paraId="54E818DE">
            <w:pPr>
              <w:jc w:val="center"/>
              <w:rPr>
                <w:color w:val="auto"/>
                <w:highlight w:val="none"/>
              </w:rPr>
            </w:pPr>
          </w:p>
        </w:tc>
        <w:tc>
          <w:tcPr>
            <w:tcW w:w="1197" w:type="dxa"/>
            <w:tcMar>
              <w:left w:w="108" w:type="dxa"/>
              <w:right w:w="108" w:type="dxa"/>
            </w:tcMar>
            <w:vAlign w:val="center"/>
          </w:tcPr>
          <w:p w14:paraId="1004014D">
            <w:pPr>
              <w:jc w:val="center"/>
              <w:rPr>
                <w:color w:val="auto"/>
                <w:highlight w:val="none"/>
              </w:rPr>
            </w:pPr>
          </w:p>
        </w:tc>
        <w:tc>
          <w:tcPr>
            <w:tcW w:w="1268" w:type="dxa"/>
            <w:vAlign w:val="center"/>
          </w:tcPr>
          <w:p w14:paraId="6D69710E">
            <w:pPr>
              <w:jc w:val="center"/>
              <w:rPr>
                <w:color w:val="auto"/>
                <w:highlight w:val="none"/>
              </w:rPr>
            </w:pPr>
          </w:p>
        </w:tc>
        <w:tc>
          <w:tcPr>
            <w:tcW w:w="673" w:type="dxa"/>
            <w:tcMar>
              <w:left w:w="108" w:type="dxa"/>
              <w:right w:w="108" w:type="dxa"/>
            </w:tcMar>
            <w:vAlign w:val="center"/>
          </w:tcPr>
          <w:p w14:paraId="74C50962">
            <w:pPr>
              <w:jc w:val="center"/>
              <w:rPr>
                <w:color w:val="auto"/>
                <w:highlight w:val="none"/>
              </w:rPr>
            </w:pPr>
          </w:p>
        </w:tc>
      </w:tr>
      <w:tr w14:paraId="4E7F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802918F">
            <w:pPr>
              <w:jc w:val="center"/>
              <w:rPr>
                <w:color w:val="auto"/>
                <w:highlight w:val="none"/>
              </w:rPr>
            </w:pPr>
          </w:p>
        </w:tc>
        <w:tc>
          <w:tcPr>
            <w:tcW w:w="1693" w:type="dxa"/>
            <w:vMerge w:val="continue"/>
            <w:tcMar>
              <w:left w:w="108" w:type="dxa"/>
              <w:right w:w="108" w:type="dxa"/>
            </w:tcMar>
            <w:vAlign w:val="center"/>
          </w:tcPr>
          <w:p w14:paraId="6A29CF74">
            <w:pPr>
              <w:jc w:val="center"/>
              <w:rPr>
                <w:color w:val="auto"/>
                <w:highlight w:val="none"/>
              </w:rPr>
            </w:pPr>
          </w:p>
        </w:tc>
        <w:tc>
          <w:tcPr>
            <w:tcW w:w="751" w:type="dxa"/>
            <w:tcMar>
              <w:left w:w="108" w:type="dxa"/>
              <w:right w:w="108" w:type="dxa"/>
            </w:tcMar>
            <w:vAlign w:val="center"/>
          </w:tcPr>
          <w:p w14:paraId="2E02A169">
            <w:pPr>
              <w:jc w:val="center"/>
              <w:rPr>
                <w:color w:val="auto"/>
                <w:highlight w:val="none"/>
              </w:rPr>
            </w:pPr>
            <w:r>
              <w:rPr>
                <w:color w:val="auto"/>
                <w:highlight w:val="none"/>
              </w:rPr>
              <w:t>2</w:t>
            </w:r>
          </w:p>
        </w:tc>
        <w:tc>
          <w:tcPr>
            <w:tcW w:w="950" w:type="dxa"/>
            <w:tcMar>
              <w:left w:w="108" w:type="dxa"/>
              <w:right w:w="108" w:type="dxa"/>
            </w:tcMar>
            <w:vAlign w:val="center"/>
          </w:tcPr>
          <w:p w14:paraId="6D76C7AD">
            <w:pPr>
              <w:jc w:val="center"/>
              <w:rPr>
                <w:color w:val="auto"/>
                <w:highlight w:val="none"/>
              </w:rPr>
            </w:pPr>
          </w:p>
        </w:tc>
        <w:tc>
          <w:tcPr>
            <w:tcW w:w="1123" w:type="dxa"/>
            <w:tcMar>
              <w:left w:w="108" w:type="dxa"/>
              <w:right w:w="108" w:type="dxa"/>
            </w:tcMar>
            <w:vAlign w:val="center"/>
          </w:tcPr>
          <w:p w14:paraId="7C4BDA40">
            <w:pPr>
              <w:jc w:val="center"/>
              <w:rPr>
                <w:color w:val="auto"/>
                <w:highlight w:val="none"/>
              </w:rPr>
            </w:pPr>
          </w:p>
        </w:tc>
        <w:tc>
          <w:tcPr>
            <w:tcW w:w="1090" w:type="dxa"/>
            <w:tcMar>
              <w:left w:w="108" w:type="dxa"/>
              <w:right w:w="108" w:type="dxa"/>
            </w:tcMar>
            <w:vAlign w:val="center"/>
          </w:tcPr>
          <w:p w14:paraId="4E1FA584">
            <w:pPr>
              <w:jc w:val="center"/>
              <w:rPr>
                <w:color w:val="auto"/>
                <w:highlight w:val="none"/>
              </w:rPr>
            </w:pPr>
          </w:p>
        </w:tc>
        <w:tc>
          <w:tcPr>
            <w:tcW w:w="1197" w:type="dxa"/>
            <w:tcMar>
              <w:left w:w="108" w:type="dxa"/>
              <w:right w:w="108" w:type="dxa"/>
            </w:tcMar>
            <w:vAlign w:val="center"/>
          </w:tcPr>
          <w:p w14:paraId="730F59A6">
            <w:pPr>
              <w:jc w:val="center"/>
              <w:rPr>
                <w:color w:val="auto"/>
                <w:highlight w:val="none"/>
              </w:rPr>
            </w:pPr>
          </w:p>
        </w:tc>
        <w:tc>
          <w:tcPr>
            <w:tcW w:w="1268" w:type="dxa"/>
          </w:tcPr>
          <w:p w14:paraId="41056770">
            <w:pPr>
              <w:jc w:val="center"/>
              <w:rPr>
                <w:color w:val="auto"/>
                <w:highlight w:val="none"/>
              </w:rPr>
            </w:pPr>
          </w:p>
        </w:tc>
        <w:tc>
          <w:tcPr>
            <w:tcW w:w="673" w:type="dxa"/>
            <w:tcMar>
              <w:left w:w="108" w:type="dxa"/>
              <w:right w:w="108" w:type="dxa"/>
            </w:tcMar>
            <w:vAlign w:val="center"/>
          </w:tcPr>
          <w:p w14:paraId="0E191B16">
            <w:pPr>
              <w:jc w:val="center"/>
              <w:rPr>
                <w:color w:val="auto"/>
                <w:highlight w:val="none"/>
              </w:rPr>
            </w:pPr>
          </w:p>
        </w:tc>
      </w:tr>
      <w:tr w14:paraId="02CB3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47C90308">
            <w:pPr>
              <w:jc w:val="center"/>
              <w:rPr>
                <w:color w:val="auto"/>
                <w:highlight w:val="none"/>
              </w:rPr>
            </w:pPr>
          </w:p>
        </w:tc>
        <w:tc>
          <w:tcPr>
            <w:tcW w:w="1693" w:type="dxa"/>
            <w:vMerge w:val="continue"/>
            <w:tcMar>
              <w:left w:w="108" w:type="dxa"/>
              <w:right w:w="108" w:type="dxa"/>
            </w:tcMar>
            <w:vAlign w:val="center"/>
          </w:tcPr>
          <w:p w14:paraId="1C2EBEC6">
            <w:pPr>
              <w:jc w:val="center"/>
              <w:rPr>
                <w:color w:val="auto"/>
                <w:highlight w:val="none"/>
              </w:rPr>
            </w:pPr>
          </w:p>
        </w:tc>
        <w:tc>
          <w:tcPr>
            <w:tcW w:w="751" w:type="dxa"/>
            <w:tcMar>
              <w:left w:w="108" w:type="dxa"/>
              <w:right w:w="108" w:type="dxa"/>
            </w:tcMar>
            <w:vAlign w:val="center"/>
          </w:tcPr>
          <w:p w14:paraId="3BC589F1">
            <w:pPr>
              <w:jc w:val="center"/>
              <w:rPr>
                <w:color w:val="auto"/>
                <w:highlight w:val="none"/>
              </w:rPr>
            </w:pPr>
            <w:r>
              <w:rPr>
                <w:color w:val="auto"/>
                <w:highlight w:val="none"/>
              </w:rPr>
              <w:t>3</w:t>
            </w:r>
          </w:p>
        </w:tc>
        <w:tc>
          <w:tcPr>
            <w:tcW w:w="950" w:type="dxa"/>
            <w:tcMar>
              <w:left w:w="108" w:type="dxa"/>
              <w:right w:w="108" w:type="dxa"/>
            </w:tcMar>
            <w:vAlign w:val="center"/>
          </w:tcPr>
          <w:p w14:paraId="13E0F11D">
            <w:pPr>
              <w:jc w:val="center"/>
              <w:rPr>
                <w:color w:val="auto"/>
                <w:highlight w:val="none"/>
              </w:rPr>
            </w:pPr>
          </w:p>
        </w:tc>
        <w:tc>
          <w:tcPr>
            <w:tcW w:w="1123" w:type="dxa"/>
            <w:tcMar>
              <w:left w:w="108" w:type="dxa"/>
              <w:right w:w="108" w:type="dxa"/>
            </w:tcMar>
            <w:vAlign w:val="center"/>
          </w:tcPr>
          <w:p w14:paraId="2AADD928">
            <w:pPr>
              <w:jc w:val="center"/>
              <w:rPr>
                <w:color w:val="auto"/>
                <w:highlight w:val="none"/>
              </w:rPr>
            </w:pPr>
          </w:p>
        </w:tc>
        <w:tc>
          <w:tcPr>
            <w:tcW w:w="1090" w:type="dxa"/>
            <w:tcMar>
              <w:left w:w="108" w:type="dxa"/>
              <w:right w:w="108" w:type="dxa"/>
            </w:tcMar>
            <w:vAlign w:val="center"/>
          </w:tcPr>
          <w:p w14:paraId="0185FB15">
            <w:pPr>
              <w:jc w:val="center"/>
              <w:rPr>
                <w:color w:val="auto"/>
                <w:highlight w:val="none"/>
              </w:rPr>
            </w:pPr>
          </w:p>
        </w:tc>
        <w:tc>
          <w:tcPr>
            <w:tcW w:w="1197" w:type="dxa"/>
            <w:tcMar>
              <w:left w:w="108" w:type="dxa"/>
              <w:right w:w="108" w:type="dxa"/>
            </w:tcMar>
            <w:vAlign w:val="center"/>
          </w:tcPr>
          <w:p w14:paraId="7763C54E">
            <w:pPr>
              <w:jc w:val="center"/>
              <w:rPr>
                <w:color w:val="auto"/>
                <w:highlight w:val="none"/>
              </w:rPr>
            </w:pPr>
          </w:p>
        </w:tc>
        <w:tc>
          <w:tcPr>
            <w:tcW w:w="1268" w:type="dxa"/>
          </w:tcPr>
          <w:p w14:paraId="68F1ED66">
            <w:pPr>
              <w:jc w:val="center"/>
              <w:rPr>
                <w:color w:val="auto"/>
                <w:highlight w:val="none"/>
              </w:rPr>
            </w:pPr>
          </w:p>
        </w:tc>
        <w:tc>
          <w:tcPr>
            <w:tcW w:w="673" w:type="dxa"/>
            <w:tcMar>
              <w:left w:w="108" w:type="dxa"/>
              <w:right w:w="108" w:type="dxa"/>
            </w:tcMar>
            <w:vAlign w:val="center"/>
          </w:tcPr>
          <w:p w14:paraId="146B60CD">
            <w:pPr>
              <w:jc w:val="center"/>
              <w:rPr>
                <w:color w:val="auto"/>
                <w:highlight w:val="none"/>
              </w:rPr>
            </w:pPr>
          </w:p>
        </w:tc>
      </w:tr>
      <w:tr w14:paraId="2DB4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4303EBE">
            <w:pPr>
              <w:jc w:val="center"/>
              <w:rPr>
                <w:color w:val="auto"/>
                <w:highlight w:val="none"/>
              </w:rPr>
            </w:pPr>
          </w:p>
        </w:tc>
        <w:tc>
          <w:tcPr>
            <w:tcW w:w="1693" w:type="dxa"/>
            <w:vMerge w:val="restart"/>
            <w:tcMar>
              <w:left w:w="108" w:type="dxa"/>
              <w:right w:w="108" w:type="dxa"/>
            </w:tcMar>
            <w:vAlign w:val="center"/>
          </w:tcPr>
          <w:p w14:paraId="359076A5">
            <w:pPr>
              <w:jc w:val="center"/>
              <w:rPr>
                <w:color w:val="auto"/>
                <w:highlight w:val="none"/>
              </w:rPr>
            </w:pPr>
          </w:p>
        </w:tc>
        <w:tc>
          <w:tcPr>
            <w:tcW w:w="751" w:type="dxa"/>
            <w:tcMar>
              <w:left w:w="108" w:type="dxa"/>
              <w:right w:w="108" w:type="dxa"/>
            </w:tcMar>
            <w:vAlign w:val="center"/>
          </w:tcPr>
          <w:p w14:paraId="0DD6F9A0">
            <w:pPr>
              <w:jc w:val="center"/>
              <w:rPr>
                <w:color w:val="auto"/>
                <w:highlight w:val="none"/>
              </w:rPr>
            </w:pPr>
            <w:r>
              <w:rPr>
                <w:color w:val="auto"/>
                <w:highlight w:val="none"/>
              </w:rPr>
              <w:t>1</w:t>
            </w:r>
          </w:p>
        </w:tc>
        <w:tc>
          <w:tcPr>
            <w:tcW w:w="950" w:type="dxa"/>
            <w:tcMar>
              <w:left w:w="108" w:type="dxa"/>
              <w:right w:w="108" w:type="dxa"/>
            </w:tcMar>
            <w:vAlign w:val="center"/>
          </w:tcPr>
          <w:p w14:paraId="23D90D38">
            <w:pPr>
              <w:jc w:val="center"/>
              <w:rPr>
                <w:color w:val="auto"/>
                <w:highlight w:val="none"/>
              </w:rPr>
            </w:pPr>
          </w:p>
        </w:tc>
        <w:tc>
          <w:tcPr>
            <w:tcW w:w="1123" w:type="dxa"/>
            <w:tcMar>
              <w:left w:w="108" w:type="dxa"/>
              <w:right w:w="108" w:type="dxa"/>
            </w:tcMar>
            <w:vAlign w:val="center"/>
          </w:tcPr>
          <w:p w14:paraId="34659CFB">
            <w:pPr>
              <w:jc w:val="center"/>
              <w:rPr>
                <w:color w:val="auto"/>
                <w:highlight w:val="none"/>
              </w:rPr>
            </w:pPr>
          </w:p>
        </w:tc>
        <w:tc>
          <w:tcPr>
            <w:tcW w:w="1090" w:type="dxa"/>
            <w:tcMar>
              <w:left w:w="108" w:type="dxa"/>
              <w:right w:w="108" w:type="dxa"/>
            </w:tcMar>
            <w:vAlign w:val="center"/>
          </w:tcPr>
          <w:p w14:paraId="2AB2ADF0">
            <w:pPr>
              <w:jc w:val="center"/>
              <w:rPr>
                <w:color w:val="auto"/>
                <w:highlight w:val="none"/>
              </w:rPr>
            </w:pPr>
          </w:p>
        </w:tc>
        <w:tc>
          <w:tcPr>
            <w:tcW w:w="1197" w:type="dxa"/>
            <w:tcMar>
              <w:left w:w="108" w:type="dxa"/>
              <w:right w:w="108" w:type="dxa"/>
            </w:tcMar>
            <w:vAlign w:val="center"/>
          </w:tcPr>
          <w:p w14:paraId="7895BC06">
            <w:pPr>
              <w:jc w:val="center"/>
              <w:rPr>
                <w:color w:val="auto"/>
                <w:highlight w:val="none"/>
              </w:rPr>
            </w:pPr>
          </w:p>
        </w:tc>
        <w:tc>
          <w:tcPr>
            <w:tcW w:w="1268" w:type="dxa"/>
          </w:tcPr>
          <w:p w14:paraId="329CA77B">
            <w:pPr>
              <w:jc w:val="center"/>
              <w:rPr>
                <w:color w:val="auto"/>
                <w:highlight w:val="none"/>
              </w:rPr>
            </w:pPr>
          </w:p>
        </w:tc>
        <w:tc>
          <w:tcPr>
            <w:tcW w:w="673" w:type="dxa"/>
            <w:tcMar>
              <w:left w:w="108" w:type="dxa"/>
              <w:right w:w="108" w:type="dxa"/>
            </w:tcMar>
            <w:vAlign w:val="center"/>
          </w:tcPr>
          <w:p w14:paraId="06D7517C">
            <w:pPr>
              <w:jc w:val="center"/>
              <w:rPr>
                <w:color w:val="auto"/>
                <w:highlight w:val="none"/>
              </w:rPr>
            </w:pPr>
          </w:p>
        </w:tc>
      </w:tr>
      <w:tr w14:paraId="3FEC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07E763D">
            <w:pPr>
              <w:jc w:val="center"/>
              <w:rPr>
                <w:color w:val="auto"/>
                <w:highlight w:val="none"/>
              </w:rPr>
            </w:pPr>
          </w:p>
        </w:tc>
        <w:tc>
          <w:tcPr>
            <w:tcW w:w="1693" w:type="dxa"/>
            <w:vMerge w:val="continue"/>
            <w:tcMar>
              <w:left w:w="108" w:type="dxa"/>
              <w:right w:w="108" w:type="dxa"/>
            </w:tcMar>
            <w:vAlign w:val="center"/>
          </w:tcPr>
          <w:p w14:paraId="1E7A1C8C">
            <w:pPr>
              <w:jc w:val="center"/>
              <w:rPr>
                <w:color w:val="auto"/>
                <w:highlight w:val="none"/>
              </w:rPr>
            </w:pPr>
          </w:p>
        </w:tc>
        <w:tc>
          <w:tcPr>
            <w:tcW w:w="751" w:type="dxa"/>
            <w:tcMar>
              <w:left w:w="108" w:type="dxa"/>
              <w:right w:w="108" w:type="dxa"/>
            </w:tcMar>
            <w:vAlign w:val="center"/>
          </w:tcPr>
          <w:p w14:paraId="57345E39">
            <w:pPr>
              <w:jc w:val="center"/>
              <w:rPr>
                <w:color w:val="auto"/>
                <w:highlight w:val="none"/>
              </w:rPr>
            </w:pPr>
            <w:r>
              <w:rPr>
                <w:color w:val="auto"/>
                <w:highlight w:val="none"/>
              </w:rPr>
              <w:t>2</w:t>
            </w:r>
          </w:p>
        </w:tc>
        <w:tc>
          <w:tcPr>
            <w:tcW w:w="950" w:type="dxa"/>
            <w:tcMar>
              <w:left w:w="108" w:type="dxa"/>
              <w:right w:w="108" w:type="dxa"/>
            </w:tcMar>
            <w:vAlign w:val="center"/>
          </w:tcPr>
          <w:p w14:paraId="09145F65">
            <w:pPr>
              <w:jc w:val="center"/>
              <w:rPr>
                <w:color w:val="auto"/>
                <w:highlight w:val="none"/>
              </w:rPr>
            </w:pPr>
          </w:p>
        </w:tc>
        <w:tc>
          <w:tcPr>
            <w:tcW w:w="1123" w:type="dxa"/>
            <w:tcMar>
              <w:left w:w="108" w:type="dxa"/>
              <w:right w:w="108" w:type="dxa"/>
            </w:tcMar>
            <w:vAlign w:val="center"/>
          </w:tcPr>
          <w:p w14:paraId="2DBA89DC">
            <w:pPr>
              <w:jc w:val="center"/>
              <w:rPr>
                <w:color w:val="auto"/>
                <w:highlight w:val="none"/>
              </w:rPr>
            </w:pPr>
          </w:p>
        </w:tc>
        <w:tc>
          <w:tcPr>
            <w:tcW w:w="1090" w:type="dxa"/>
            <w:tcMar>
              <w:left w:w="108" w:type="dxa"/>
              <w:right w:w="108" w:type="dxa"/>
            </w:tcMar>
            <w:vAlign w:val="center"/>
          </w:tcPr>
          <w:p w14:paraId="74E951E0">
            <w:pPr>
              <w:jc w:val="center"/>
              <w:rPr>
                <w:color w:val="auto"/>
                <w:highlight w:val="none"/>
              </w:rPr>
            </w:pPr>
          </w:p>
        </w:tc>
        <w:tc>
          <w:tcPr>
            <w:tcW w:w="1197" w:type="dxa"/>
            <w:tcMar>
              <w:left w:w="108" w:type="dxa"/>
              <w:right w:w="108" w:type="dxa"/>
            </w:tcMar>
            <w:vAlign w:val="center"/>
          </w:tcPr>
          <w:p w14:paraId="7AD82D67">
            <w:pPr>
              <w:jc w:val="center"/>
              <w:rPr>
                <w:color w:val="auto"/>
                <w:highlight w:val="none"/>
              </w:rPr>
            </w:pPr>
          </w:p>
        </w:tc>
        <w:tc>
          <w:tcPr>
            <w:tcW w:w="1268" w:type="dxa"/>
          </w:tcPr>
          <w:p w14:paraId="6496FACC">
            <w:pPr>
              <w:jc w:val="center"/>
              <w:rPr>
                <w:color w:val="auto"/>
                <w:highlight w:val="none"/>
              </w:rPr>
            </w:pPr>
          </w:p>
        </w:tc>
        <w:tc>
          <w:tcPr>
            <w:tcW w:w="673" w:type="dxa"/>
            <w:tcMar>
              <w:left w:w="108" w:type="dxa"/>
              <w:right w:w="108" w:type="dxa"/>
            </w:tcMar>
            <w:vAlign w:val="center"/>
          </w:tcPr>
          <w:p w14:paraId="61629CDC">
            <w:pPr>
              <w:jc w:val="center"/>
              <w:rPr>
                <w:color w:val="auto"/>
                <w:highlight w:val="none"/>
              </w:rPr>
            </w:pPr>
          </w:p>
        </w:tc>
      </w:tr>
      <w:tr w14:paraId="5362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CC4CB7F">
            <w:pPr>
              <w:jc w:val="center"/>
              <w:rPr>
                <w:color w:val="auto"/>
                <w:highlight w:val="none"/>
              </w:rPr>
            </w:pPr>
          </w:p>
        </w:tc>
        <w:tc>
          <w:tcPr>
            <w:tcW w:w="1693" w:type="dxa"/>
            <w:vMerge w:val="continue"/>
            <w:tcMar>
              <w:left w:w="108" w:type="dxa"/>
              <w:right w:w="108" w:type="dxa"/>
            </w:tcMar>
            <w:vAlign w:val="center"/>
          </w:tcPr>
          <w:p w14:paraId="241A9FD9">
            <w:pPr>
              <w:jc w:val="center"/>
              <w:rPr>
                <w:color w:val="auto"/>
                <w:highlight w:val="none"/>
              </w:rPr>
            </w:pPr>
          </w:p>
        </w:tc>
        <w:tc>
          <w:tcPr>
            <w:tcW w:w="751" w:type="dxa"/>
            <w:tcMar>
              <w:left w:w="108" w:type="dxa"/>
              <w:right w:w="108" w:type="dxa"/>
            </w:tcMar>
            <w:vAlign w:val="center"/>
          </w:tcPr>
          <w:p w14:paraId="3BD2B675">
            <w:pPr>
              <w:jc w:val="center"/>
              <w:rPr>
                <w:color w:val="auto"/>
                <w:highlight w:val="none"/>
              </w:rPr>
            </w:pPr>
            <w:r>
              <w:rPr>
                <w:color w:val="auto"/>
                <w:highlight w:val="none"/>
              </w:rPr>
              <w:t>3</w:t>
            </w:r>
          </w:p>
        </w:tc>
        <w:tc>
          <w:tcPr>
            <w:tcW w:w="950" w:type="dxa"/>
            <w:tcMar>
              <w:left w:w="108" w:type="dxa"/>
              <w:right w:w="108" w:type="dxa"/>
            </w:tcMar>
            <w:vAlign w:val="center"/>
          </w:tcPr>
          <w:p w14:paraId="1DCA19DC">
            <w:pPr>
              <w:jc w:val="center"/>
              <w:rPr>
                <w:color w:val="auto"/>
                <w:highlight w:val="none"/>
              </w:rPr>
            </w:pPr>
          </w:p>
        </w:tc>
        <w:tc>
          <w:tcPr>
            <w:tcW w:w="1123" w:type="dxa"/>
            <w:tcMar>
              <w:left w:w="108" w:type="dxa"/>
              <w:right w:w="108" w:type="dxa"/>
            </w:tcMar>
            <w:vAlign w:val="center"/>
          </w:tcPr>
          <w:p w14:paraId="68E69B84">
            <w:pPr>
              <w:jc w:val="center"/>
              <w:rPr>
                <w:color w:val="auto"/>
                <w:highlight w:val="none"/>
              </w:rPr>
            </w:pPr>
          </w:p>
        </w:tc>
        <w:tc>
          <w:tcPr>
            <w:tcW w:w="1090" w:type="dxa"/>
            <w:tcMar>
              <w:left w:w="108" w:type="dxa"/>
              <w:right w:w="108" w:type="dxa"/>
            </w:tcMar>
            <w:vAlign w:val="center"/>
          </w:tcPr>
          <w:p w14:paraId="7C87634B">
            <w:pPr>
              <w:jc w:val="center"/>
              <w:rPr>
                <w:color w:val="auto"/>
                <w:highlight w:val="none"/>
              </w:rPr>
            </w:pPr>
          </w:p>
        </w:tc>
        <w:tc>
          <w:tcPr>
            <w:tcW w:w="1197" w:type="dxa"/>
            <w:tcMar>
              <w:left w:w="108" w:type="dxa"/>
              <w:right w:w="108" w:type="dxa"/>
            </w:tcMar>
            <w:vAlign w:val="center"/>
          </w:tcPr>
          <w:p w14:paraId="3D6D0203">
            <w:pPr>
              <w:jc w:val="center"/>
              <w:rPr>
                <w:color w:val="auto"/>
                <w:highlight w:val="none"/>
              </w:rPr>
            </w:pPr>
          </w:p>
        </w:tc>
        <w:tc>
          <w:tcPr>
            <w:tcW w:w="1268" w:type="dxa"/>
          </w:tcPr>
          <w:p w14:paraId="18276908">
            <w:pPr>
              <w:jc w:val="center"/>
              <w:rPr>
                <w:color w:val="auto"/>
                <w:highlight w:val="none"/>
              </w:rPr>
            </w:pPr>
          </w:p>
        </w:tc>
        <w:tc>
          <w:tcPr>
            <w:tcW w:w="673" w:type="dxa"/>
            <w:tcMar>
              <w:left w:w="108" w:type="dxa"/>
              <w:right w:w="108" w:type="dxa"/>
            </w:tcMar>
            <w:vAlign w:val="center"/>
          </w:tcPr>
          <w:p w14:paraId="26443625">
            <w:pPr>
              <w:jc w:val="center"/>
              <w:rPr>
                <w:color w:val="auto"/>
                <w:highlight w:val="none"/>
              </w:rPr>
            </w:pPr>
          </w:p>
        </w:tc>
      </w:tr>
    </w:tbl>
    <w:p w14:paraId="165829FC">
      <w:pPr>
        <w:spacing w:line="440" w:lineRule="exact"/>
        <w:ind w:right="420" w:firstLine="480" w:firstLineChars="200"/>
        <w:rPr>
          <w:rFonts w:cs="宋体"/>
          <w:color w:val="auto"/>
          <w:sz w:val="24"/>
          <w:highlight w:val="none"/>
        </w:rPr>
      </w:pPr>
      <w:r>
        <w:rPr>
          <w:rFonts w:hint="eastAsia" w:cs="宋体"/>
          <w:color w:val="auto"/>
          <w:sz w:val="24"/>
          <w:highlight w:val="none"/>
        </w:rPr>
        <w:t>备注：1.若无分包计划，则供应商应在本表填写“无”。</w:t>
      </w:r>
    </w:p>
    <w:p w14:paraId="6DD28AD2">
      <w:pPr>
        <w:spacing w:line="440" w:lineRule="exact"/>
        <w:ind w:right="420" w:firstLine="1200" w:firstLineChars="500"/>
        <w:rPr>
          <w:color w:val="auto"/>
          <w:sz w:val="24"/>
          <w:highlight w:val="none"/>
        </w:rPr>
      </w:pPr>
      <w:r>
        <w:rPr>
          <w:rFonts w:hint="eastAsia" w:cs="宋体"/>
          <w:color w:val="auto"/>
          <w:sz w:val="24"/>
          <w:highlight w:val="none"/>
        </w:rPr>
        <w:t>2.本表所列分包仅限于承包人自行施工范围内的非主体、非关键工程。</w:t>
      </w:r>
    </w:p>
    <w:p w14:paraId="776076AB">
      <w:pPr>
        <w:adjustRightInd w:val="0"/>
        <w:spacing w:line="360" w:lineRule="auto"/>
        <w:contextualSpacing/>
        <w:rPr>
          <w:rFonts w:ascii="宋体" w:hAnsi="宋体" w:cs="仿宋_GB2312"/>
          <w:color w:val="auto"/>
          <w:sz w:val="24"/>
          <w:highlight w:val="none"/>
        </w:rPr>
      </w:pPr>
    </w:p>
    <w:p w14:paraId="6FDCFB0F">
      <w:pPr>
        <w:spacing w:line="360" w:lineRule="auto"/>
        <w:ind w:right="-817" w:rightChars="-389"/>
        <w:contextualSpacing/>
        <w:rPr>
          <w:rFonts w:ascii="宋体" w:hAnsi="宋体" w:cs="仿宋_GB2312"/>
          <w:color w:val="auto"/>
          <w:sz w:val="24"/>
          <w:highlight w:val="none"/>
        </w:rPr>
      </w:pPr>
    </w:p>
    <w:p w14:paraId="04E33AA4">
      <w:pPr>
        <w:spacing w:line="360" w:lineRule="auto"/>
        <w:ind w:right="-817" w:rightChars="-389"/>
        <w:contextualSpacing/>
        <w:rPr>
          <w:rFonts w:ascii="宋体" w:hAnsi="宋体" w:cs="仿宋_GB2312"/>
          <w:color w:val="auto"/>
          <w:sz w:val="24"/>
          <w:highlight w:val="none"/>
        </w:rPr>
      </w:pPr>
    </w:p>
    <w:p w14:paraId="295D223A">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7BC63E3">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DFB002F">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6E592C9">
      <w:pPr>
        <w:adjustRightInd w:val="0"/>
        <w:snapToGrid w:val="0"/>
        <w:spacing w:line="300" w:lineRule="auto"/>
        <w:jc w:val="center"/>
        <w:rPr>
          <w:rFonts w:ascii="宋体" w:hAnsi="宋体"/>
          <w:b/>
          <w:color w:val="auto"/>
          <w:sz w:val="44"/>
          <w:szCs w:val="44"/>
          <w:highlight w:val="none"/>
        </w:rPr>
      </w:pPr>
      <w:r>
        <w:rPr>
          <w:rFonts w:ascii="宋体" w:hAnsi="宋体" w:cs="仿宋_GB2312"/>
          <w:color w:val="auto"/>
          <w:sz w:val="24"/>
          <w:highlight w:val="none"/>
        </w:rPr>
        <w:br w:type="page"/>
      </w:r>
      <w:r>
        <w:rPr>
          <w:rFonts w:hint="eastAsia" w:ascii="方正小标宋简体" w:hAnsi="方正小标宋简体" w:eastAsia="方正小标宋简体" w:cs="方正小标宋简体"/>
          <w:bCs/>
          <w:color w:val="auto"/>
          <w:sz w:val="44"/>
          <w:szCs w:val="44"/>
          <w:highlight w:val="none"/>
        </w:rPr>
        <w:t>项目管理机构配备情况表及主要人员简历表</w:t>
      </w:r>
    </w:p>
    <w:p w14:paraId="323F0D74">
      <w:pPr>
        <w:snapToGrid w:val="0"/>
        <w:spacing w:beforeLines="50" w:after="50"/>
        <w:jc w:val="center"/>
        <w:rPr>
          <w:rFonts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4FA1B2F2">
      <w:pPr>
        <w:pStyle w:val="26"/>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9A4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1412DB7D">
            <w:pPr>
              <w:ind w:left="223" w:hanging="222" w:hangingChars="106"/>
              <w:jc w:val="center"/>
              <w:rPr>
                <w:color w:val="auto"/>
                <w:highlight w:val="none"/>
              </w:rPr>
            </w:pPr>
            <w:r>
              <w:rPr>
                <w:color w:val="auto"/>
                <w:highlight w:val="none"/>
              </w:rPr>
              <w:t>岗位</w:t>
            </w:r>
          </w:p>
        </w:tc>
        <w:tc>
          <w:tcPr>
            <w:tcW w:w="670" w:type="dxa"/>
            <w:vMerge w:val="restart"/>
            <w:vAlign w:val="center"/>
          </w:tcPr>
          <w:p w14:paraId="67BAEF6D">
            <w:pPr>
              <w:ind w:left="223" w:hanging="222" w:hangingChars="106"/>
              <w:jc w:val="center"/>
              <w:rPr>
                <w:color w:val="auto"/>
                <w:highlight w:val="none"/>
              </w:rPr>
            </w:pPr>
            <w:r>
              <w:rPr>
                <w:color w:val="auto"/>
                <w:highlight w:val="none"/>
              </w:rPr>
              <w:t>姓名</w:t>
            </w:r>
          </w:p>
        </w:tc>
        <w:tc>
          <w:tcPr>
            <w:tcW w:w="829" w:type="dxa"/>
            <w:vMerge w:val="restart"/>
            <w:vAlign w:val="center"/>
          </w:tcPr>
          <w:p w14:paraId="34FD0874">
            <w:pPr>
              <w:jc w:val="center"/>
              <w:rPr>
                <w:color w:val="auto"/>
                <w:highlight w:val="none"/>
              </w:rPr>
            </w:pPr>
            <w:r>
              <w:rPr>
                <w:color w:val="auto"/>
                <w:highlight w:val="none"/>
              </w:rPr>
              <w:t>身份证号</w:t>
            </w:r>
          </w:p>
        </w:tc>
        <w:tc>
          <w:tcPr>
            <w:tcW w:w="816" w:type="dxa"/>
            <w:vMerge w:val="restart"/>
            <w:vAlign w:val="center"/>
          </w:tcPr>
          <w:p w14:paraId="2BE9009D">
            <w:pPr>
              <w:ind w:left="223" w:hanging="222" w:hangingChars="106"/>
              <w:jc w:val="center"/>
              <w:rPr>
                <w:color w:val="auto"/>
                <w:highlight w:val="none"/>
              </w:rPr>
            </w:pPr>
            <w:r>
              <w:rPr>
                <w:color w:val="auto"/>
                <w:highlight w:val="none"/>
              </w:rPr>
              <w:t>职称</w:t>
            </w:r>
          </w:p>
        </w:tc>
        <w:tc>
          <w:tcPr>
            <w:tcW w:w="4188" w:type="dxa"/>
            <w:gridSpan w:val="4"/>
            <w:vAlign w:val="center"/>
          </w:tcPr>
          <w:p w14:paraId="34E376A5">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2156E9C7">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175C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3184EF95">
            <w:pPr>
              <w:ind w:left="223" w:hanging="222" w:hangingChars="106"/>
              <w:jc w:val="center"/>
              <w:rPr>
                <w:color w:val="auto"/>
                <w:highlight w:val="none"/>
              </w:rPr>
            </w:pPr>
          </w:p>
        </w:tc>
        <w:tc>
          <w:tcPr>
            <w:tcW w:w="670" w:type="dxa"/>
            <w:vMerge w:val="continue"/>
            <w:vAlign w:val="center"/>
          </w:tcPr>
          <w:p w14:paraId="6C5D75F4">
            <w:pPr>
              <w:ind w:left="223" w:hanging="222" w:hangingChars="106"/>
              <w:jc w:val="center"/>
              <w:rPr>
                <w:color w:val="auto"/>
                <w:highlight w:val="none"/>
              </w:rPr>
            </w:pPr>
          </w:p>
        </w:tc>
        <w:tc>
          <w:tcPr>
            <w:tcW w:w="829" w:type="dxa"/>
            <w:vMerge w:val="continue"/>
            <w:vAlign w:val="center"/>
          </w:tcPr>
          <w:p w14:paraId="0B3BB139">
            <w:pPr>
              <w:ind w:left="223" w:hanging="222" w:hangingChars="106"/>
              <w:jc w:val="center"/>
              <w:rPr>
                <w:color w:val="auto"/>
                <w:highlight w:val="none"/>
              </w:rPr>
            </w:pPr>
          </w:p>
        </w:tc>
        <w:tc>
          <w:tcPr>
            <w:tcW w:w="816" w:type="dxa"/>
            <w:vMerge w:val="continue"/>
            <w:vAlign w:val="center"/>
          </w:tcPr>
          <w:p w14:paraId="6815A92E">
            <w:pPr>
              <w:ind w:left="223" w:hanging="222" w:hangingChars="106"/>
              <w:jc w:val="center"/>
              <w:rPr>
                <w:color w:val="auto"/>
                <w:highlight w:val="none"/>
              </w:rPr>
            </w:pPr>
          </w:p>
        </w:tc>
        <w:tc>
          <w:tcPr>
            <w:tcW w:w="1148" w:type="dxa"/>
            <w:vAlign w:val="center"/>
          </w:tcPr>
          <w:p w14:paraId="56283B84">
            <w:pPr>
              <w:ind w:left="223" w:hanging="222" w:hangingChars="106"/>
              <w:jc w:val="center"/>
              <w:rPr>
                <w:color w:val="auto"/>
                <w:highlight w:val="none"/>
              </w:rPr>
            </w:pPr>
            <w:r>
              <w:rPr>
                <w:color w:val="auto"/>
                <w:highlight w:val="none"/>
              </w:rPr>
              <w:t>证书名称</w:t>
            </w:r>
          </w:p>
        </w:tc>
        <w:tc>
          <w:tcPr>
            <w:tcW w:w="1148" w:type="dxa"/>
            <w:vAlign w:val="center"/>
          </w:tcPr>
          <w:p w14:paraId="32C47977">
            <w:pPr>
              <w:ind w:left="223" w:hanging="222" w:hangingChars="106"/>
              <w:jc w:val="center"/>
              <w:rPr>
                <w:color w:val="auto"/>
                <w:highlight w:val="none"/>
              </w:rPr>
            </w:pPr>
            <w:r>
              <w:rPr>
                <w:color w:val="auto"/>
                <w:highlight w:val="none"/>
              </w:rPr>
              <w:t>级别</w:t>
            </w:r>
          </w:p>
        </w:tc>
        <w:tc>
          <w:tcPr>
            <w:tcW w:w="1148" w:type="dxa"/>
            <w:vAlign w:val="center"/>
          </w:tcPr>
          <w:p w14:paraId="03697F12">
            <w:pPr>
              <w:ind w:left="223" w:hanging="222" w:hangingChars="106"/>
              <w:jc w:val="center"/>
              <w:rPr>
                <w:color w:val="auto"/>
                <w:highlight w:val="none"/>
              </w:rPr>
            </w:pPr>
            <w:r>
              <w:rPr>
                <w:color w:val="auto"/>
                <w:highlight w:val="none"/>
              </w:rPr>
              <w:t>证号</w:t>
            </w:r>
          </w:p>
        </w:tc>
        <w:tc>
          <w:tcPr>
            <w:tcW w:w="744" w:type="dxa"/>
            <w:vAlign w:val="center"/>
          </w:tcPr>
          <w:p w14:paraId="3C1BB5EE">
            <w:pPr>
              <w:ind w:left="223" w:hanging="222" w:hangingChars="106"/>
              <w:jc w:val="center"/>
              <w:rPr>
                <w:color w:val="auto"/>
                <w:highlight w:val="none"/>
              </w:rPr>
            </w:pPr>
            <w:r>
              <w:rPr>
                <w:color w:val="auto"/>
                <w:highlight w:val="none"/>
              </w:rPr>
              <w:t>专业</w:t>
            </w:r>
          </w:p>
        </w:tc>
        <w:tc>
          <w:tcPr>
            <w:tcW w:w="1167" w:type="dxa"/>
            <w:vAlign w:val="center"/>
          </w:tcPr>
          <w:p w14:paraId="1C1CCA6F">
            <w:pPr>
              <w:jc w:val="center"/>
              <w:rPr>
                <w:color w:val="auto"/>
                <w:highlight w:val="none"/>
              </w:rPr>
            </w:pPr>
            <w:r>
              <w:rPr>
                <w:rFonts w:hint="eastAsia"/>
                <w:color w:val="auto"/>
                <w:highlight w:val="none"/>
              </w:rPr>
              <w:t>完工/在建</w:t>
            </w:r>
          </w:p>
        </w:tc>
        <w:tc>
          <w:tcPr>
            <w:tcW w:w="1276" w:type="dxa"/>
            <w:vAlign w:val="center"/>
          </w:tcPr>
          <w:p w14:paraId="5EAB8485">
            <w:pPr>
              <w:jc w:val="center"/>
              <w:rPr>
                <w:color w:val="auto"/>
                <w:highlight w:val="none"/>
              </w:rPr>
            </w:pPr>
            <w:r>
              <w:rPr>
                <w:color w:val="auto"/>
                <w:highlight w:val="none"/>
              </w:rPr>
              <w:t>主要项目</w:t>
            </w:r>
          </w:p>
          <w:p w14:paraId="24A64A60">
            <w:pPr>
              <w:jc w:val="center"/>
              <w:rPr>
                <w:color w:val="auto"/>
                <w:highlight w:val="none"/>
              </w:rPr>
            </w:pPr>
            <w:r>
              <w:rPr>
                <w:color w:val="auto"/>
                <w:highlight w:val="none"/>
              </w:rPr>
              <w:t>名称</w:t>
            </w:r>
          </w:p>
        </w:tc>
      </w:tr>
      <w:tr w14:paraId="12DA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50E747E">
            <w:pPr>
              <w:pStyle w:val="1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1233C536">
            <w:pPr>
              <w:ind w:left="223" w:hanging="222" w:hangingChars="106"/>
              <w:jc w:val="center"/>
              <w:rPr>
                <w:color w:val="auto"/>
                <w:szCs w:val="21"/>
                <w:highlight w:val="none"/>
              </w:rPr>
            </w:pPr>
          </w:p>
        </w:tc>
        <w:tc>
          <w:tcPr>
            <w:tcW w:w="829" w:type="dxa"/>
            <w:vAlign w:val="center"/>
          </w:tcPr>
          <w:p w14:paraId="76B56B5D">
            <w:pPr>
              <w:ind w:left="223" w:hanging="222" w:hangingChars="106"/>
              <w:jc w:val="center"/>
              <w:rPr>
                <w:color w:val="auto"/>
                <w:szCs w:val="21"/>
                <w:highlight w:val="none"/>
              </w:rPr>
            </w:pPr>
          </w:p>
        </w:tc>
        <w:tc>
          <w:tcPr>
            <w:tcW w:w="816" w:type="dxa"/>
            <w:vAlign w:val="center"/>
          </w:tcPr>
          <w:p w14:paraId="3F2D2C48">
            <w:pPr>
              <w:ind w:left="223" w:hanging="222" w:hangingChars="106"/>
              <w:jc w:val="center"/>
              <w:rPr>
                <w:color w:val="auto"/>
                <w:szCs w:val="21"/>
                <w:highlight w:val="none"/>
              </w:rPr>
            </w:pPr>
          </w:p>
        </w:tc>
        <w:tc>
          <w:tcPr>
            <w:tcW w:w="1148" w:type="dxa"/>
            <w:vAlign w:val="center"/>
          </w:tcPr>
          <w:p w14:paraId="2924F403">
            <w:pPr>
              <w:ind w:left="223" w:hanging="222" w:hangingChars="106"/>
              <w:jc w:val="center"/>
              <w:rPr>
                <w:color w:val="auto"/>
                <w:szCs w:val="21"/>
                <w:highlight w:val="none"/>
              </w:rPr>
            </w:pPr>
          </w:p>
        </w:tc>
        <w:tc>
          <w:tcPr>
            <w:tcW w:w="1148" w:type="dxa"/>
            <w:vAlign w:val="center"/>
          </w:tcPr>
          <w:p w14:paraId="11EC4C2D">
            <w:pPr>
              <w:ind w:left="223" w:hanging="222" w:hangingChars="106"/>
              <w:jc w:val="center"/>
              <w:rPr>
                <w:color w:val="auto"/>
                <w:szCs w:val="21"/>
                <w:highlight w:val="none"/>
              </w:rPr>
            </w:pPr>
          </w:p>
        </w:tc>
        <w:tc>
          <w:tcPr>
            <w:tcW w:w="1148" w:type="dxa"/>
            <w:vAlign w:val="center"/>
          </w:tcPr>
          <w:p w14:paraId="6416694D">
            <w:pPr>
              <w:ind w:left="223" w:hanging="222" w:hangingChars="106"/>
              <w:jc w:val="center"/>
              <w:rPr>
                <w:color w:val="auto"/>
                <w:szCs w:val="21"/>
                <w:highlight w:val="none"/>
              </w:rPr>
            </w:pPr>
          </w:p>
        </w:tc>
        <w:tc>
          <w:tcPr>
            <w:tcW w:w="744" w:type="dxa"/>
            <w:vAlign w:val="center"/>
          </w:tcPr>
          <w:p w14:paraId="4AEAD37D">
            <w:pPr>
              <w:ind w:left="223" w:hanging="222" w:hangingChars="106"/>
              <w:jc w:val="center"/>
              <w:rPr>
                <w:color w:val="auto"/>
                <w:szCs w:val="21"/>
                <w:highlight w:val="none"/>
              </w:rPr>
            </w:pPr>
          </w:p>
        </w:tc>
        <w:tc>
          <w:tcPr>
            <w:tcW w:w="1167" w:type="dxa"/>
            <w:vAlign w:val="center"/>
          </w:tcPr>
          <w:p w14:paraId="24D70121">
            <w:pPr>
              <w:ind w:left="223" w:hanging="222" w:hangingChars="106"/>
              <w:jc w:val="center"/>
              <w:rPr>
                <w:color w:val="auto"/>
                <w:szCs w:val="21"/>
                <w:highlight w:val="none"/>
              </w:rPr>
            </w:pPr>
          </w:p>
        </w:tc>
        <w:tc>
          <w:tcPr>
            <w:tcW w:w="1276" w:type="dxa"/>
            <w:vAlign w:val="center"/>
          </w:tcPr>
          <w:p w14:paraId="64FB5EC2">
            <w:pPr>
              <w:ind w:left="223" w:hanging="222" w:hangingChars="106"/>
              <w:jc w:val="center"/>
              <w:rPr>
                <w:color w:val="auto"/>
                <w:szCs w:val="21"/>
                <w:highlight w:val="none"/>
              </w:rPr>
            </w:pPr>
          </w:p>
        </w:tc>
      </w:tr>
      <w:tr w14:paraId="05CAD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5FDBF575">
            <w:pPr>
              <w:pStyle w:val="1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28561CF6">
            <w:pPr>
              <w:ind w:left="223" w:hanging="222" w:hangingChars="106"/>
              <w:jc w:val="center"/>
              <w:rPr>
                <w:color w:val="auto"/>
                <w:szCs w:val="21"/>
                <w:highlight w:val="none"/>
              </w:rPr>
            </w:pPr>
          </w:p>
        </w:tc>
        <w:tc>
          <w:tcPr>
            <w:tcW w:w="829" w:type="dxa"/>
            <w:vAlign w:val="center"/>
          </w:tcPr>
          <w:p w14:paraId="0F7C2DB1">
            <w:pPr>
              <w:ind w:left="223" w:hanging="222" w:hangingChars="106"/>
              <w:jc w:val="center"/>
              <w:rPr>
                <w:color w:val="auto"/>
                <w:szCs w:val="21"/>
                <w:highlight w:val="none"/>
              </w:rPr>
            </w:pPr>
          </w:p>
        </w:tc>
        <w:tc>
          <w:tcPr>
            <w:tcW w:w="816" w:type="dxa"/>
            <w:vAlign w:val="center"/>
          </w:tcPr>
          <w:p w14:paraId="63B177EF">
            <w:pPr>
              <w:ind w:left="223" w:hanging="222" w:hangingChars="106"/>
              <w:jc w:val="center"/>
              <w:rPr>
                <w:color w:val="auto"/>
                <w:szCs w:val="21"/>
                <w:highlight w:val="none"/>
              </w:rPr>
            </w:pPr>
          </w:p>
        </w:tc>
        <w:tc>
          <w:tcPr>
            <w:tcW w:w="1148" w:type="dxa"/>
            <w:vAlign w:val="center"/>
          </w:tcPr>
          <w:p w14:paraId="623B3F08">
            <w:pPr>
              <w:ind w:left="223" w:hanging="222" w:hangingChars="106"/>
              <w:jc w:val="center"/>
              <w:rPr>
                <w:color w:val="auto"/>
                <w:szCs w:val="21"/>
                <w:highlight w:val="none"/>
              </w:rPr>
            </w:pPr>
          </w:p>
        </w:tc>
        <w:tc>
          <w:tcPr>
            <w:tcW w:w="1148" w:type="dxa"/>
            <w:vAlign w:val="center"/>
          </w:tcPr>
          <w:p w14:paraId="177B9DAD">
            <w:pPr>
              <w:ind w:left="223" w:hanging="222" w:hangingChars="106"/>
              <w:jc w:val="center"/>
              <w:rPr>
                <w:color w:val="auto"/>
                <w:szCs w:val="21"/>
                <w:highlight w:val="none"/>
              </w:rPr>
            </w:pPr>
          </w:p>
        </w:tc>
        <w:tc>
          <w:tcPr>
            <w:tcW w:w="1148" w:type="dxa"/>
            <w:vAlign w:val="center"/>
          </w:tcPr>
          <w:p w14:paraId="162190EA">
            <w:pPr>
              <w:ind w:left="223" w:hanging="222" w:hangingChars="106"/>
              <w:jc w:val="center"/>
              <w:rPr>
                <w:color w:val="auto"/>
                <w:szCs w:val="21"/>
                <w:highlight w:val="none"/>
              </w:rPr>
            </w:pPr>
          </w:p>
        </w:tc>
        <w:tc>
          <w:tcPr>
            <w:tcW w:w="744" w:type="dxa"/>
            <w:vAlign w:val="center"/>
          </w:tcPr>
          <w:p w14:paraId="1E6A3355">
            <w:pPr>
              <w:ind w:left="223" w:hanging="222" w:hangingChars="106"/>
              <w:jc w:val="center"/>
              <w:rPr>
                <w:color w:val="auto"/>
                <w:szCs w:val="21"/>
                <w:highlight w:val="none"/>
              </w:rPr>
            </w:pPr>
          </w:p>
        </w:tc>
        <w:tc>
          <w:tcPr>
            <w:tcW w:w="1167" w:type="dxa"/>
            <w:vAlign w:val="center"/>
          </w:tcPr>
          <w:p w14:paraId="4DE04342">
            <w:pPr>
              <w:ind w:left="223" w:hanging="222" w:hangingChars="106"/>
              <w:jc w:val="center"/>
              <w:rPr>
                <w:color w:val="auto"/>
                <w:szCs w:val="21"/>
                <w:highlight w:val="none"/>
              </w:rPr>
            </w:pPr>
          </w:p>
        </w:tc>
        <w:tc>
          <w:tcPr>
            <w:tcW w:w="1276" w:type="dxa"/>
            <w:vAlign w:val="center"/>
          </w:tcPr>
          <w:p w14:paraId="59BB262C">
            <w:pPr>
              <w:ind w:left="223" w:hanging="222" w:hangingChars="106"/>
              <w:jc w:val="center"/>
              <w:rPr>
                <w:color w:val="auto"/>
                <w:szCs w:val="21"/>
                <w:highlight w:val="none"/>
              </w:rPr>
            </w:pPr>
          </w:p>
        </w:tc>
      </w:tr>
      <w:tr w14:paraId="149E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67F32F6">
            <w:pPr>
              <w:pStyle w:val="1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0E47A943">
            <w:pPr>
              <w:ind w:left="223" w:hanging="222" w:hangingChars="106"/>
              <w:jc w:val="center"/>
              <w:rPr>
                <w:color w:val="auto"/>
                <w:szCs w:val="21"/>
                <w:highlight w:val="none"/>
              </w:rPr>
            </w:pPr>
          </w:p>
        </w:tc>
        <w:tc>
          <w:tcPr>
            <w:tcW w:w="829" w:type="dxa"/>
            <w:vAlign w:val="center"/>
          </w:tcPr>
          <w:p w14:paraId="5E6A570E">
            <w:pPr>
              <w:ind w:left="223" w:hanging="222" w:hangingChars="106"/>
              <w:jc w:val="center"/>
              <w:rPr>
                <w:color w:val="auto"/>
                <w:szCs w:val="21"/>
                <w:highlight w:val="none"/>
              </w:rPr>
            </w:pPr>
          </w:p>
        </w:tc>
        <w:tc>
          <w:tcPr>
            <w:tcW w:w="816" w:type="dxa"/>
            <w:vAlign w:val="center"/>
          </w:tcPr>
          <w:p w14:paraId="135B7E50">
            <w:pPr>
              <w:ind w:left="223" w:hanging="222" w:hangingChars="106"/>
              <w:jc w:val="center"/>
              <w:rPr>
                <w:color w:val="auto"/>
                <w:szCs w:val="21"/>
                <w:highlight w:val="none"/>
              </w:rPr>
            </w:pPr>
          </w:p>
        </w:tc>
        <w:tc>
          <w:tcPr>
            <w:tcW w:w="1148" w:type="dxa"/>
            <w:vAlign w:val="center"/>
          </w:tcPr>
          <w:p w14:paraId="523E3DC5">
            <w:pPr>
              <w:ind w:left="223" w:hanging="222" w:hangingChars="106"/>
              <w:jc w:val="center"/>
              <w:rPr>
                <w:color w:val="auto"/>
                <w:szCs w:val="21"/>
                <w:highlight w:val="none"/>
              </w:rPr>
            </w:pPr>
          </w:p>
        </w:tc>
        <w:tc>
          <w:tcPr>
            <w:tcW w:w="1148" w:type="dxa"/>
            <w:vAlign w:val="center"/>
          </w:tcPr>
          <w:p w14:paraId="1D109B7A">
            <w:pPr>
              <w:ind w:left="223" w:hanging="222" w:hangingChars="106"/>
              <w:jc w:val="center"/>
              <w:rPr>
                <w:color w:val="auto"/>
                <w:szCs w:val="21"/>
                <w:highlight w:val="none"/>
              </w:rPr>
            </w:pPr>
          </w:p>
        </w:tc>
        <w:tc>
          <w:tcPr>
            <w:tcW w:w="1148" w:type="dxa"/>
            <w:vAlign w:val="center"/>
          </w:tcPr>
          <w:p w14:paraId="7D7C7E30">
            <w:pPr>
              <w:ind w:left="223" w:hanging="222" w:hangingChars="106"/>
              <w:jc w:val="center"/>
              <w:rPr>
                <w:color w:val="auto"/>
                <w:szCs w:val="21"/>
                <w:highlight w:val="none"/>
              </w:rPr>
            </w:pPr>
          </w:p>
        </w:tc>
        <w:tc>
          <w:tcPr>
            <w:tcW w:w="744" w:type="dxa"/>
            <w:vAlign w:val="center"/>
          </w:tcPr>
          <w:p w14:paraId="674BC77B">
            <w:pPr>
              <w:ind w:left="223" w:hanging="222" w:hangingChars="106"/>
              <w:jc w:val="center"/>
              <w:rPr>
                <w:color w:val="auto"/>
                <w:szCs w:val="21"/>
                <w:highlight w:val="none"/>
              </w:rPr>
            </w:pPr>
          </w:p>
        </w:tc>
        <w:tc>
          <w:tcPr>
            <w:tcW w:w="1167" w:type="dxa"/>
            <w:vAlign w:val="center"/>
          </w:tcPr>
          <w:p w14:paraId="17A65E7C">
            <w:pPr>
              <w:ind w:left="223" w:hanging="222" w:hangingChars="106"/>
              <w:jc w:val="center"/>
              <w:rPr>
                <w:color w:val="auto"/>
                <w:szCs w:val="21"/>
                <w:highlight w:val="none"/>
              </w:rPr>
            </w:pPr>
          </w:p>
        </w:tc>
        <w:tc>
          <w:tcPr>
            <w:tcW w:w="1276" w:type="dxa"/>
            <w:vAlign w:val="center"/>
          </w:tcPr>
          <w:p w14:paraId="329ED951">
            <w:pPr>
              <w:ind w:left="223" w:hanging="222" w:hangingChars="106"/>
              <w:jc w:val="center"/>
              <w:rPr>
                <w:color w:val="auto"/>
                <w:szCs w:val="21"/>
                <w:highlight w:val="none"/>
              </w:rPr>
            </w:pPr>
          </w:p>
        </w:tc>
      </w:tr>
      <w:tr w14:paraId="1A26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4A2AFED">
            <w:pPr>
              <w:pStyle w:val="171"/>
              <w:spacing w:line="240" w:lineRule="auto"/>
              <w:ind w:firstLine="0"/>
              <w:rPr>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3434137D">
            <w:pPr>
              <w:ind w:left="223" w:hanging="222" w:hangingChars="106"/>
              <w:jc w:val="center"/>
              <w:rPr>
                <w:color w:val="auto"/>
                <w:szCs w:val="21"/>
                <w:highlight w:val="none"/>
              </w:rPr>
            </w:pPr>
          </w:p>
        </w:tc>
        <w:tc>
          <w:tcPr>
            <w:tcW w:w="829" w:type="dxa"/>
            <w:vAlign w:val="center"/>
          </w:tcPr>
          <w:p w14:paraId="51D3FA17">
            <w:pPr>
              <w:ind w:left="223" w:hanging="222" w:hangingChars="106"/>
              <w:jc w:val="center"/>
              <w:rPr>
                <w:color w:val="auto"/>
                <w:szCs w:val="21"/>
                <w:highlight w:val="none"/>
              </w:rPr>
            </w:pPr>
          </w:p>
        </w:tc>
        <w:tc>
          <w:tcPr>
            <w:tcW w:w="816" w:type="dxa"/>
            <w:vAlign w:val="center"/>
          </w:tcPr>
          <w:p w14:paraId="340F548F">
            <w:pPr>
              <w:ind w:left="223" w:hanging="222" w:hangingChars="106"/>
              <w:jc w:val="center"/>
              <w:rPr>
                <w:color w:val="auto"/>
                <w:szCs w:val="21"/>
                <w:highlight w:val="none"/>
              </w:rPr>
            </w:pPr>
          </w:p>
        </w:tc>
        <w:tc>
          <w:tcPr>
            <w:tcW w:w="1148" w:type="dxa"/>
            <w:vAlign w:val="center"/>
          </w:tcPr>
          <w:p w14:paraId="1858322A">
            <w:pPr>
              <w:ind w:left="223" w:hanging="222" w:hangingChars="106"/>
              <w:jc w:val="center"/>
              <w:rPr>
                <w:color w:val="auto"/>
                <w:szCs w:val="21"/>
                <w:highlight w:val="none"/>
              </w:rPr>
            </w:pPr>
          </w:p>
        </w:tc>
        <w:tc>
          <w:tcPr>
            <w:tcW w:w="1148" w:type="dxa"/>
            <w:vAlign w:val="center"/>
          </w:tcPr>
          <w:p w14:paraId="1CEB47F7">
            <w:pPr>
              <w:ind w:left="223" w:hanging="222" w:hangingChars="106"/>
              <w:jc w:val="center"/>
              <w:rPr>
                <w:color w:val="auto"/>
                <w:szCs w:val="21"/>
                <w:highlight w:val="none"/>
              </w:rPr>
            </w:pPr>
          </w:p>
        </w:tc>
        <w:tc>
          <w:tcPr>
            <w:tcW w:w="1148" w:type="dxa"/>
            <w:vAlign w:val="center"/>
          </w:tcPr>
          <w:p w14:paraId="6A4D2646">
            <w:pPr>
              <w:ind w:left="223" w:hanging="222" w:hangingChars="106"/>
              <w:jc w:val="center"/>
              <w:rPr>
                <w:color w:val="auto"/>
                <w:szCs w:val="21"/>
                <w:highlight w:val="none"/>
              </w:rPr>
            </w:pPr>
          </w:p>
        </w:tc>
        <w:tc>
          <w:tcPr>
            <w:tcW w:w="744" w:type="dxa"/>
            <w:vAlign w:val="center"/>
          </w:tcPr>
          <w:p w14:paraId="5744FAFA">
            <w:pPr>
              <w:ind w:left="223" w:hanging="222" w:hangingChars="106"/>
              <w:jc w:val="center"/>
              <w:rPr>
                <w:color w:val="auto"/>
                <w:szCs w:val="21"/>
                <w:highlight w:val="none"/>
              </w:rPr>
            </w:pPr>
          </w:p>
        </w:tc>
        <w:tc>
          <w:tcPr>
            <w:tcW w:w="1167" w:type="dxa"/>
            <w:vAlign w:val="center"/>
          </w:tcPr>
          <w:p w14:paraId="27C20635">
            <w:pPr>
              <w:ind w:left="223" w:hanging="222" w:hangingChars="106"/>
              <w:jc w:val="center"/>
              <w:rPr>
                <w:color w:val="auto"/>
                <w:szCs w:val="21"/>
                <w:highlight w:val="none"/>
              </w:rPr>
            </w:pPr>
          </w:p>
        </w:tc>
        <w:tc>
          <w:tcPr>
            <w:tcW w:w="1276" w:type="dxa"/>
            <w:vAlign w:val="center"/>
          </w:tcPr>
          <w:p w14:paraId="4E90104F">
            <w:pPr>
              <w:ind w:left="223" w:hanging="222" w:hangingChars="106"/>
              <w:jc w:val="center"/>
              <w:rPr>
                <w:color w:val="auto"/>
                <w:szCs w:val="21"/>
                <w:highlight w:val="none"/>
              </w:rPr>
            </w:pPr>
          </w:p>
        </w:tc>
      </w:tr>
      <w:tr w14:paraId="62F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AC6CE22">
            <w:pPr>
              <w:jc w:val="left"/>
              <w:rPr>
                <w:color w:val="auto"/>
                <w:szCs w:val="21"/>
                <w:highlight w:val="none"/>
              </w:rPr>
            </w:pPr>
            <w:r>
              <w:rPr>
                <w:rFonts w:hint="eastAsia"/>
                <w:color w:val="auto"/>
                <w:szCs w:val="21"/>
                <w:highlight w:val="none"/>
              </w:rPr>
              <w:t>5.</w:t>
            </w:r>
            <w:r>
              <w:rPr>
                <w:color w:val="auto"/>
                <w:szCs w:val="21"/>
                <w:highlight w:val="none"/>
              </w:rPr>
              <w:t>质量员</w:t>
            </w:r>
          </w:p>
        </w:tc>
        <w:tc>
          <w:tcPr>
            <w:tcW w:w="670" w:type="dxa"/>
            <w:vAlign w:val="center"/>
          </w:tcPr>
          <w:p w14:paraId="1FC760B3">
            <w:pPr>
              <w:ind w:left="223" w:hanging="222" w:hangingChars="106"/>
              <w:jc w:val="center"/>
              <w:rPr>
                <w:color w:val="auto"/>
                <w:szCs w:val="21"/>
                <w:highlight w:val="none"/>
              </w:rPr>
            </w:pPr>
          </w:p>
        </w:tc>
        <w:tc>
          <w:tcPr>
            <w:tcW w:w="829" w:type="dxa"/>
            <w:vAlign w:val="center"/>
          </w:tcPr>
          <w:p w14:paraId="745B26FF">
            <w:pPr>
              <w:ind w:left="223" w:hanging="222" w:hangingChars="106"/>
              <w:jc w:val="center"/>
              <w:rPr>
                <w:color w:val="auto"/>
                <w:szCs w:val="21"/>
                <w:highlight w:val="none"/>
              </w:rPr>
            </w:pPr>
          </w:p>
        </w:tc>
        <w:tc>
          <w:tcPr>
            <w:tcW w:w="816" w:type="dxa"/>
            <w:vAlign w:val="center"/>
          </w:tcPr>
          <w:p w14:paraId="35796D7E">
            <w:pPr>
              <w:ind w:left="223" w:hanging="222" w:hangingChars="106"/>
              <w:jc w:val="center"/>
              <w:rPr>
                <w:color w:val="auto"/>
                <w:szCs w:val="21"/>
                <w:highlight w:val="none"/>
              </w:rPr>
            </w:pPr>
          </w:p>
        </w:tc>
        <w:tc>
          <w:tcPr>
            <w:tcW w:w="1148" w:type="dxa"/>
            <w:vAlign w:val="center"/>
          </w:tcPr>
          <w:p w14:paraId="513CA8F4">
            <w:pPr>
              <w:ind w:left="223" w:hanging="222" w:hangingChars="106"/>
              <w:jc w:val="center"/>
              <w:rPr>
                <w:color w:val="auto"/>
                <w:szCs w:val="21"/>
                <w:highlight w:val="none"/>
              </w:rPr>
            </w:pPr>
          </w:p>
        </w:tc>
        <w:tc>
          <w:tcPr>
            <w:tcW w:w="1148" w:type="dxa"/>
            <w:vAlign w:val="center"/>
          </w:tcPr>
          <w:p w14:paraId="70F06CAA">
            <w:pPr>
              <w:ind w:left="223" w:hanging="222" w:hangingChars="106"/>
              <w:jc w:val="center"/>
              <w:rPr>
                <w:color w:val="auto"/>
                <w:szCs w:val="21"/>
                <w:highlight w:val="none"/>
              </w:rPr>
            </w:pPr>
          </w:p>
        </w:tc>
        <w:tc>
          <w:tcPr>
            <w:tcW w:w="1148" w:type="dxa"/>
            <w:vAlign w:val="center"/>
          </w:tcPr>
          <w:p w14:paraId="1A255940">
            <w:pPr>
              <w:ind w:left="223" w:hanging="222" w:hangingChars="106"/>
              <w:jc w:val="center"/>
              <w:rPr>
                <w:color w:val="auto"/>
                <w:szCs w:val="21"/>
                <w:highlight w:val="none"/>
              </w:rPr>
            </w:pPr>
          </w:p>
        </w:tc>
        <w:tc>
          <w:tcPr>
            <w:tcW w:w="744" w:type="dxa"/>
            <w:vAlign w:val="center"/>
          </w:tcPr>
          <w:p w14:paraId="011A1CA7">
            <w:pPr>
              <w:ind w:left="223" w:hanging="222" w:hangingChars="106"/>
              <w:jc w:val="center"/>
              <w:rPr>
                <w:color w:val="auto"/>
                <w:szCs w:val="21"/>
                <w:highlight w:val="none"/>
              </w:rPr>
            </w:pPr>
          </w:p>
        </w:tc>
        <w:tc>
          <w:tcPr>
            <w:tcW w:w="1167" w:type="dxa"/>
            <w:vAlign w:val="center"/>
          </w:tcPr>
          <w:p w14:paraId="65B01DCD">
            <w:pPr>
              <w:ind w:left="223" w:hanging="222" w:hangingChars="106"/>
              <w:jc w:val="center"/>
              <w:rPr>
                <w:color w:val="auto"/>
                <w:szCs w:val="21"/>
                <w:highlight w:val="none"/>
              </w:rPr>
            </w:pPr>
          </w:p>
        </w:tc>
        <w:tc>
          <w:tcPr>
            <w:tcW w:w="1276" w:type="dxa"/>
            <w:vAlign w:val="center"/>
          </w:tcPr>
          <w:p w14:paraId="57EBFFF3">
            <w:pPr>
              <w:ind w:left="223" w:hanging="222" w:hangingChars="106"/>
              <w:jc w:val="center"/>
              <w:rPr>
                <w:color w:val="auto"/>
                <w:szCs w:val="21"/>
                <w:highlight w:val="none"/>
              </w:rPr>
            </w:pPr>
          </w:p>
        </w:tc>
      </w:tr>
      <w:tr w14:paraId="3E63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83E5088">
            <w:pPr>
              <w:jc w:val="left"/>
              <w:rPr>
                <w:color w:val="auto"/>
                <w:szCs w:val="21"/>
                <w:highlight w:val="none"/>
              </w:rPr>
            </w:pPr>
            <w:r>
              <w:rPr>
                <w:rFonts w:hint="eastAsia"/>
                <w:color w:val="auto"/>
                <w:szCs w:val="21"/>
                <w:highlight w:val="none"/>
              </w:rPr>
              <w:t>6.材料员</w:t>
            </w:r>
          </w:p>
        </w:tc>
        <w:tc>
          <w:tcPr>
            <w:tcW w:w="670" w:type="dxa"/>
            <w:vAlign w:val="center"/>
          </w:tcPr>
          <w:p w14:paraId="4AC90DD8">
            <w:pPr>
              <w:ind w:left="223" w:hanging="222" w:hangingChars="106"/>
              <w:jc w:val="center"/>
              <w:rPr>
                <w:color w:val="auto"/>
                <w:szCs w:val="21"/>
                <w:highlight w:val="none"/>
              </w:rPr>
            </w:pPr>
          </w:p>
        </w:tc>
        <w:tc>
          <w:tcPr>
            <w:tcW w:w="829" w:type="dxa"/>
            <w:vAlign w:val="center"/>
          </w:tcPr>
          <w:p w14:paraId="65E07AEC">
            <w:pPr>
              <w:ind w:left="223" w:hanging="222" w:hangingChars="106"/>
              <w:jc w:val="center"/>
              <w:rPr>
                <w:color w:val="auto"/>
                <w:szCs w:val="21"/>
                <w:highlight w:val="none"/>
              </w:rPr>
            </w:pPr>
          </w:p>
        </w:tc>
        <w:tc>
          <w:tcPr>
            <w:tcW w:w="816" w:type="dxa"/>
            <w:vAlign w:val="center"/>
          </w:tcPr>
          <w:p w14:paraId="29000CFB">
            <w:pPr>
              <w:ind w:left="223" w:hanging="222" w:hangingChars="106"/>
              <w:jc w:val="center"/>
              <w:rPr>
                <w:color w:val="auto"/>
                <w:szCs w:val="21"/>
                <w:highlight w:val="none"/>
              </w:rPr>
            </w:pPr>
          </w:p>
        </w:tc>
        <w:tc>
          <w:tcPr>
            <w:tcW w:w="1148" w:type="dxa"/>
            <w:vAlign w:val="center"/>
          </w:tcPr>
          <w:p w14:paraId="5BCC576B">
            <w:pPr>
              <w:ind w:left="223" w:hanging="222" w:hangingChars="106"/>
              <w:jc w:val="center"/>
              <w:rPr>
                <w:color w:val="auto"/>
                <w:szCs w:val="21"/>
                <w:highlight w:val="none"/>
              </w:rPr>
            </w:pPr>
          </w:p>
        </w:tc>
        <w:tc>
          <w:tcPr>
            <w:tcW w:w="1148" w:type="dxa"/>
            <w:vAlign w:val="center"/>
          </w:tcPr>
          <w:p w14:paraId="7BE993D6">
            <w:pPr>
              <w:ind w:left="223" w:hanging="222" w:hangingChars="106"/>
              <w:jc w:val="center"/>
              <w:rPr>
                <w:color w:val="auto"/>
                <w:szCs w:val="21"/>
                <w:highlight w:val="none"/>
              </w:rPr>
            </w:pPr>
          </w:p>
        </w:tc>
        <w:tc>
          <w:tcPr>
            <w:tcW w:w="1148" w:type="dxa"/>
            <w:vAlign w:val="center"/>
          </w:tcPr>
          <w:p w14:paraId="6C299115">
            <w:pPr>
              <w:ind w:left="223" w:hanging="222" w:hangingChars="106"/>
              <w:jc w:val="center"/>
              <w:rPr>
                <w:color w:val="auto"/>
                <w:szCs w:val="21"/>
                <w:highlight w:val="none"/>
              </w:rPr>
            </w:pPr>
          </w:p>
        </w:tc>
        <w:tc>
          <w:tcPr>
            <w:tcW w:w="744" w:type="dxa"/>
            <w:vAlign w:val="center"/>
          </w:tcPr>
          <w:p w14:paraId="49E3154E">
            <w:pPr>
              <w:ind w:left="223" w:hanging="222" w:hangingChars="106"/>
              <w:jc w:val="center"/>
              <w:rPr>
                <w:color w:val="auto"/>
                <w:szCs w:val="21"/>
                <w:highlight w:val="none"/>
              </w:rPr>
            </w:pPr>
          </w:p>
        </w:tc>
        <w:tc>
          <w:tcPr>
            <w:tcW w:w="1167" w:type="dxa"/>
            <w:vAlign w:val="center"/>
          </w:tcPr>
          <w:p w14:paraId="34755A63">
            <w:pPr>
              <w:ind w:left="223" w:hanging="222" w:hangingChars="106"/>
              <w:jc w:val="center"/>
              <w:rPr>
                <w:color w:val="auto"/>
                <w:szCs w:val="21"/>
                <w:highlight w:val="none"/>
              </w:rPr>
            </w:pPr>
          </w:p>
        </w:tc>
        <w:tc>
          <w:tcPr>
            <w:tcW w:w="1276" w:type="dxa"/>
            <w:vAlign w:val="center"/>
          </w:tcPr>
          <w:p w14:paraId="1AA35189">
            <w:pPr>
              <w:ind w:left="223" w:hanging="222" w:hangingChars="106"/>
              <w:jc w:val="center"/>
              <w:rPr>
                <w:color w:val="auto"/>
                <w:szCs w:val="21"/>
                <w:highlight w:val="none"/>
              </w:rPr>
            </w:pPr>
          </w:p>
        </w:tc>
      </w:tr>
      <w:tr w14:paraId="0184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0B83172A">
            <w:pPr>
              <w:ind w:left="223" w:hanging="222" w:hangingChars="106"/>
              <w:jc w:val="left"/>
              <w:rPr>
                <w:rFonts w:hint="eastAsia" w:eastAsia="宋体"/>
                <w:color w:val="auto"/>
                <w:szCs w:val="21"/>
                <w:highlight w:val="none"/>
                <w:lang w:val="en" w:eastAsia="zh-CN"/>
              </w:rPr>
            </w:pPr>
            <w:r>
              <w:rPr>
                <w:rFonts w:hint="default"/>
                <w:color w:val="auto"/>
                <w:szCs w:val="21"/>
                <w:highlight w:val="none"/>
                <w:lang w:val="en"/>
              </w:rPr>
              <w:t>7.</w:t>
            </w:r>
            <w:r>
              <w:rPr>
                <w:rFonts w:hint="eastAsia"/>
                <w:color w:val="auto"/>
                <w:szCs w:val="21"/>
                <w:highlight w:val="none"/>
                <w:lang w:val="en" w:eastAsia="zh-CN"/>
              </w:rPr>
              <w:t>预算员</w:t>
            </w:r>
          </w:p>
        </w:tc>
        <w:tc>
          <w:tcPr>
            <w:tcW w:w="670" w:type="dxa"/>
            <w:vAlign w:val="center"/>
          </w:tcPr>
          <w:p w14:paraId="3FA08675">
            <w:pPr>
              <w:ind w:left="223" w:hanging="222" w:hangingChars="106"/>
              <w:jc w:val="center"/>
              <w:rPr>
                <w:color w:val="auto"/>
                <w:szCs w:val="21"/>
                <w:highlight w:val="none"/>
              </w:rPr>
            </w:pPr>
          </w:p>
        </w:tc>
        <w:tc>
          <w:tcPr>
            <w:tcW w:w="829" w:type="dxa"/>
            <w:vAlign w:val="center"/>
          </w:tcPr>
          <w:p w14:paraId="06D55B41">
            <w:pPr>
              <w:ind w:left="223" w:hanging="222" w:hangingChars="106"/>
              <w:jc w:val="center"/>
              <w:rPr>
                <w:color w:val="auto"/>
                <w:szCs w:val="21"/>
                <w:highlight w:val="none"/>
              </w:rPr>
            </w:pPr>
          </w:p>
        </w:tc>
        <w:tc>
          <w:tcPr>
            <w:tcW w:w="816" w:type="dxa"/>
            <w:vAlign w:val="center"/>
          </w:tcPr>
          <w:p w14:paraId="02042CE2">
            <w:pPr>
              <w:ind w:left="223" w:hanging="222" w:hangingChars="106"/>
              <w:jc w:val="center"/>
              <w:rPr>
                <w:color w:val="auto"/>
                <w:szCs w:val="21"/>
                <w:highlight w:val="none"/>
              </w:rPr>
            </w:pPr>
          </w:p>
        </w:tc>
        <w:tc>
          <w:tcPr>
            <w:tcW w:w="1148" w:type="dxa"/>
            <w:vAlign w:val="center"/>
          </w:tcPr>
          <w:p w14:paraId="1E295529">
            <w:pPr>
              <w:ind w:left="223" w:hanging="222" w:hangingChars="106"/>
              <w:jc w:val="center"/>
              <w:rPr>
                <w:color w:val="auto"/>
                <w:szCs w:val="21"/>
                <w:highlight w:val="none"/>
              </w:rPr>
            </w:pPr>
          </w:p>
        </w:tc>
        <w:tc>
          <w:tcPr>
            <w:tcW w:w="1148" w:type="dxa"/>
            <w:vAlign w:val="center"/>
          </w:tcPr>
          <w:p w14:paraId="7F76F4C9">
            <w:pPr>
              <w:ind w:left="223" w:hanging="222" w:hangingChars="106"/>
              <w:jc w:val="center"/>
              <w:rPr>
                <w:color w:val="auto"/>
                <w:szCs w:val="21"/>
                <w:highlight w:val="none"/>
              </w:rPr>
            </w:pPr>
          </w:p>
        </w:tc>
        <w:tc>
          <w:tcPr>
            <w:tcW w:w="1148" w:type="dxa"/>
            <w:vAlign w:val="center"/>
          </w:tcPr>
          <w:p w14:paraId="6F61064A">
            <w:pPr>
              <w:ind w:left="223" w:hanging="222" w:hangingChars="106"/>
              <w:jc w:val="center"/>
              <w:rPr>
                <w:color w:val="auto"/>
                <w:szCs w:val="21"/>
                <w:highlight w:val="none"/>
              </w:rPr>
            </w:pPr>
          </w:p>
        </w:tc>
        <w:tc>
          <w:tcPr>
            <w:tcW w:w="744" w:type="dxa"/>
            <w:vAlign w:val="center"/>
          </w:tcPr>
          <w:p w14:paraId="6F0BA5F9">
            <w:pPr>
              <w:ind w:left="223" w:hanging="222" w:hangingChars="106"/>
              <w:jc w:val="center"/>
              <w:rPr>
                <w:color w:val="auto"/>
                <w:szCs w:val="21"/>
                <w:highlight w:val="none"/>
              </w:rPr>
            </w:pPr>
          </w:p>
        </w:tc>
        <w:tc>
          <w:tcPr>
            <w:tcW w:w="1167" w:type="dxa"/>
            <w:vAlign w:val="center"/>
          </w:tcPr>
          <w:p w14:paraId="291D6E1E">
            <w:pPr>
              <w:ind w:left="223" w:hanging="222" w:hangingChars="106"/>
              <w:jc w:val="center"/>
              <w:rPr>
                <w:color w:val="auto"/>
                <w:szCs w:val="21"/>
                <w:highlight w:val="none"/>
              </w:rPr>
            </w:pPr>
          </w:p>
        </w:tc>
        <w:tc>
          <w:tcPr>
            <w:tcW w:w="1276" w:type="dxa"/>
            <w:vAlign w:val="center"/>
          </w:tcPr>
          <w:p w14:paraId="357E88C4">
            <w:pPr>
              <w:ind w:left="223" w:hanging="222" w:hangingChars="106"/>
              <w:jc w:val="center"/>
              <w:rPr>
                <w:color w:val="auto"/>
                <w:szCs w:val="21"/>
                <w:highlight w:val="none"/>
              </w:rPr>
            </w:pPr>
          </w:p>
        </w:tc>
      </w:tr>
      <w:tr w14:paraId="365A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794DC994">
            <w:pPr>
              <w:ind w:left="223" w:hanging="222" w:hangingChars="106"/>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2C97B679">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备注：</w:t>
      </w:r>
    </w:p>
    <w:p w14:paraId="1F4C5986">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69967D5D">
      <w:pPr>
        <w:spacing w:line="360" w:lineRule="auto"/>
        <w:ind w:firstLine="480" w:firstLineChars="200"/>
        <w:contextualSpacing/>
        <w:jc w:val="left"/>
        <w:rPr>
          <w:rFonts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供应商应当在本表后附所有管理人员的身份证、职称证、执业或职业资格证书并加盖供应商电子签章。</w:t>
      </w:r>
    </w:p>
    <w:p w14:paraId="107D0750">
      <w:pPr>
        <w:spacing w:line="360" w:lineRule="auto"/>
        <w:ind w:firstLine="480" w:firstLineChars="200"/>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73692E26">
      <w:pPr>
        <w:spacing w:line="360" w:lineRule="auto"/>
        <w:ind w:firstLine="560" w:firstLineChars="200"/>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       日 期：</w:t>
      </w:r>
    </w:p>
    <w:p w14:paraId="3971D5F9">
      <w:pPr>
        <w:spacing w:line="360" w:lineRule="auto"/>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（二）拟投入的主要人员简历表</w:t>
      </w:r>
    </w:p>
    <w:p w14:paraId="1DCB4068">
      <w:pPr>
        <w:spacing w:line="360" w:lineRule="auto"/>
        <w:ind w:firstLine="643" w:firstLineChars="200"/>
        <w:jc w:val="center"/>
        <w:rPr>
          <w:color w:val="auto"/>
          <w:highlight w:val="none"/>
          <w:u w:val="single"/>
        </w:rPr>
      </w:pPr>
      <w:r>
        <w:rPr>
          <w:rFonts w:hint="eastAsia" w:cs="宋体"/>
          <w:b/>
          <w:color w:val="auto"/>
          <w:sz w:val="32"/>
          <w:szCs w:val="32"/>
          <w:highlight w:val="none"/>
        </w:rPr>
        <w:t>项目经理简历表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242D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3B8B9714">
            <w:pPr>
              <w:jc w:val="center"/>
              <w:rPr>
                <w:color w:val="auto"/>
                <w:highlight w:val="none"/>
              </w:rPr>
            </w:pPr>
            <w:r>
              <w:rPr>
                <w:rFonts w:hint="eastAsia" w:cs="宋体"/>
                <w:color w:val="auto"/>
                <w:highlight w:val="none"/>
              </w:rPr>
              <w:t>姓名</w:t>
            </w:r>
          </w:p>
        </w:tc>
        <w:tc>
          <w:tcPr>
            <w:tcW w:w="2318" w:type="dxa"/>
            <w:gridSpan w:val="5"/>
            <w:vAlign w:val="center"/>
          </w:tcPr>
          <w:p w14:paraId="599D6627">
            <w:pPr>
              <w:jc w:val="center"/>
              <w:rPr>
                <w:color w:val="auto"/>
                <w:highlight w:val="none"/>
              </w:rPr>
            </w:pPr>
          </w:p>
        </w:tc>
        <w:tc>
          <w:tcPr>
            <w:tcW w:w="1893" w:type="dxa"/>
            <w:gridSpan w:val="5"/>
            <w:vAlign w:val="center"/>
          </w:tcPr>
          <w:p w14:paraId="17740990">
            <w:pPr>
              <w:jc w:val="center"/>
              <w:rPr>
                <w:color w:val="auto"/>
                <w:highlight w:val="none"/>
              </w:rPr>
            </w:pPr>
            <w:r>
              <w:rPr>
                <w:rFonts w:hint="eastAsia" w:cs="宋体"/>
                <w:color w:val="auto"/>
                <w:highlight w:val="none"/>
              </w:rPr>
              <w:t>性别</w:t>
            </w:r>
          </w:p>
        </w:tc>
        <w:tc>
          <w:tcPr>
            <w:tcW w:w="1585" w:type="dxa"/>
            <w:gridSpan w:val="3"/>
            <w:vAlign w:val="center"/>
          </w:tcPr>
          <w:p w14:paraId="145D95B0">
            <w:pPr>
              <w:jc w:val="center"/>
              <w:rPr>
                <w:color w:val="auto"/>
                <w:highlight w:val="none"/>
              </w:rPr>
            </w:pPr>
          </w:p>
        </w:tc>
        <w:tc>
          <w:tcPr>
            <w:tcW w:w="1108" w:type="dxa"/>
            <w:vAlign w:val="center"/>
          </w:tcPr>
          <w:p w14:paraId="586B340E">
            <w:pPr>
              <w:jc w:val="center"/>
              <w:rPr>
                <w:color w:val="auto"/>
                <w:highlight w:val="none"/>
              </w:rPr>
            </w:pPr>
            <w:r>
              <w:rPr>
                <w:rFonts w:hint="eastAsia" w:cs="宋体"/>
                <w:color w:val="auto"/>
                <w:highlight w:val="none"/>
              </w:rPr>
              <w:t>年龄</w:t>
            </w:r>
          </w:p>
        </w:tc>
        <w:tc>
          <w:tcPr>
            <w:tcW w:w="1531" w:type="dxa"/>
            <w:gridSpan w:val="4"/>
            <w:vAlign w:val="center"/>
          </w:tcPr>
          <w:p w14:paraId="433E77EA">
            <w:pPr>
              <w:jc w:val="center"/>
              <w:rPr>
                <w:color w:val="auto"/>
                <w:highlight w:val="none"/>
              </w:rPr>
            </w:pPr>
          </w:p>
        </w:tc>
      </w:tr>
      <w:tr w14:paraId="0BA9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044BD7B4">
            <w:pPr>
              <w:jc w:val="center"/>
              <w:rPr>
                <w:color w:val="auto"/>
                <w:highlight w:val="none"/>
              </w:rPr>
            </w:pPr>
            <w:r>
              <w:rPr>
                <w:rFonts w:hint="eastAsia" w:cs="宋体"/>
                <w:color w:val="auto"/>
                <w:highlight w:val="none"/>
              </w:rPr>
              <w:t>岗位</w:t>
            </w:r>
          </w:p>
        </w:tc>
        <w:tc>
          <w:tcPr>
            <w:tcW w:w="2318" w:type="dxa"/>
            <w:gridSpan w:val="5"/>
            <w:vAlign w:val="center"/>
          </w:tcPr>
          <w:p w14:paraId="3A9CE8B2">
            <w:pPr>
              <w:jc w:val="center"/>
              <w:rPr>
                <w:color w:val="auto"/>
                <w:highlight w:val="none"/>
              </w:rPr>
            </w:pPr>
            <w:r>
              <w:rPr>
                <w:rFonts w:hint="eastAsia"/>
                <w:color w:val="auto"/>
                <w:highlight w:val="none"/>
              </w:rPr>
              <w:t>项目经理</w:t>
            </w:r>
          </w:p>
        </w:tc>
        <w:tc>
          <w:tcPr>
            <w:tcW w:w="1893" w:type="dxa"/>
            <w:gridSpan w:val="5"/>
            <w:vAlign w:val="center"/>
          </w:tcPr>
          <w:p w14:paraId="3D3B71A8">
            <w:pPr>
              <w:jc w:val="center"/>
              <w:rPr>
                <w:color w:val="auto"/>
                <w:highlight w:val="none"/>
              </w:rPr>
            </w:pPr>
            <w:r>
              <w:rPr>
                <w:rFonts w:hint="eastAsia" w:cs="宋体"/>
                <w:color w:val="auto"/>
                <w:highlight w:val="none"/>
              </w:rPr>
              <w:t>职称</w:t>
            </w:r>
          </w:p>
        </w:tc>
        <w:tc>
          <w:tcPr>
            <w:tcW w:w="1585" w:type="dxa"/>
            <w:gridSpan w:val="3"/>
            <w:vAlign w:val="center"/>
          </w:tcPr>
          <w:p w14:paraId="7B206B1D">
            <w:pPr>
              <w:jc w:val="center"/>
              <w:rPr>
                <w:color w:val="auto"/>
                <w:highlight w:val="none"/>
              </w:rPr>
            </w:pPr>
          </w:p>
        </w:tc>
        <w:tc>
          <w:tcPr>
            <w:tcW w:w="1108" w:type="dxa"/>
            <w:vAlign w:val="center"/>
          </w:tcPr>
          <w:p w14:paraId="2709D9E6">
            <w:pPr>
              <w:jc w:val="center"/>
              <w:rPr>
                <w:color w:val="auto"/>
                <w:highlight w:val="none"/>
              </w:rPr>
            </w:pPr>
            <w:r>
              <w:rPr>
                <w:rFonts w:hint="eastAsia" w:cs="宋体"/>
                <w:color w:val="auto"/>
                <w:highlight w:val="none"/>
              </w:rPr>
              <w:t>学历</w:t>
            </w:r>
          </w:p>
        </w:tc>
        <w:tc>
          <w:tcPr>
            <w:tcW w:w="1531" w:type="dxa"/>
            <w:gridSpan w:val="4"/>
            <w:vAlign w:val="center"/>
          </w:tcPr>
          <w:p w14:paraId="68C5A543">
            <w:pPr>
              <w:jc w:val="center"/>
              <w:rPr>
                <w:color w:val="auto"/>
                <w:highlight w:val="none"/>
              </w:rPr>
            </w:pPr>
          </w:p>
        </w:tc>
      </w:tr>
      <w:tr w14:paraId="5225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7AEF7E85">
            <w:pPr>
              <w:jc w:val="center"/>
              <w:rPr>
                <w:rFonts w:cs="宋体"/>
                <w:color w:val="auto"/>
                <w:highlight w:val="none"/>
              </w:rPr>
            </w:pPr>
            <w:r>
              <w:rPr>
                <w:rFonts w:hint="eastAsia" w:cs="宋体"/>
                <w:color w:val="auto"/>
                <w:highlight w:val="none"/>
              </w:rPr>
              <w:t>从业开始时间</w:t>
            </w:r>
          </w:p>
        </w:tc>
        <w:tc>
          <w:tcPr>
            <w:tcW w:w="2318" w:type="dxa"/>
            <w:gridSpan w:val="5"/>
            <w:vAlign w:val="center"/>
          </w:tcPr>
          <w:p w14:paraId="2DD27FB2">
            <w:pPr>
              <w:jc w:val="center"/>
              <w:rPr>
                <w:color w:val="auto"/>
                <w:highlight w:val="none"/>
              </w:rPr>
            </w:pPr>
          </w:p>
        </w:tc>
        <w:tc>
          <w:tcPr>
            <w:tcW w:w="1893" w:type="dxa"/>
            <w:gridSpan w:val="5"/>
            <w:vAlign w:val="center"/>
          </w:tcPr>
          <w:p w14:paraId="30C3ED5E">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287A2FCF">
            <w:pPr>
              <w:jc w:val="center"/>
              <w:rPr>
                <w:color w:val="auto"/>
                <w:highlight w:val="none"/>
              </w:rPr>
            </w:pPr>
          </w:p>
        </w:tc>
        <w:tc>
          <w:tcPr>
            <w:tcW w:w="1108" w:type="dxa"/>
            <w:vAlign w:val="center"/>
          </w:tcPr>
          <w:p w14:paraId="289D624F">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11ACF6AE">
            <w:pPr>
              <w:jc w:val="center"/>
              <w:rPr>
                <w:color w:val="auto"/>
                <w:highlight w:val="none"/>
              </w:rPr>
            </w:pPr>
          </w:p>
        </w:tc>
      </w:tr>
      <w:tr w14:paraId="5FF7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467267B">
            <w:pPr>
              <w:jc w:val="center"/>
              <w:rPr>
                <w:color w:val="auto"/>
                <w:highlight w:val="none"/>
              </w:rPr>
            </w:pPr>
            <w:r>
              <w:rPr>
                <w:rFonts w:hint="eastAsia" w:cs="宋体"/>
                <w:color w:val="auto"/>
                <w:highlight w:val="none"/>
              </w:rPr>
              <w:t>担任项目经理年限</w:t>
            </w:r>
          </w:p>
        </w:tc>
        <w:tc>
          <w:tcPr>
            <w:tcW w:w="2563" w:type="dxa"/>
            <w:gridSpan w:val="6"/>
            <w:vAlign w:val="center"/>
          </w:tcPr>
          <w:p w14:paraId="43B534A1">
            <w:pPr>
              <w:jc w:val="center"/>
              <w:rPr>
                <w:color w:val="auto"/>
                <w:highlight w:val="none"/>
              </w:rPr>
            </w:pPr>
          </w:p>
        </w:tc>
        <w:tc>
          <w:tcPr>
            <w:tcW w:w="1209" w:type="dxa"/>
            <w:vAlign w:val="center"/>
          </w:tcPr>
          <w:p w14:paraId="30259ED2">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5EF952DE">
            <w:pPr>
              <w:jc w:val="center"/>
              <w:rPr>
                <w:color w:val="auto"/>
                <w:highlight w:val="none"/>
              </w:rPr>
            </w:pPr>
          </w:p>
        </w:tc>
      </w:tr>
      <w:tr w14:paraId="24BF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3FB70EBB">
            <w:pPr>
              <w:jc w:val="center"/>
              <w:rPr>
                <w:color w:val="auto"/>
                <w:highlight w:val="none"/>
              </w:rPr>
            </w:pPr>
            <w:r>
              <w:rPr>
                <w:rFonts w:hint="eastAsia"/>
                <w:color w:val="auto"/>
                <w:highlight w:val="none"/>
              </w:rPr>
              <w:t>证书名称</w:t>
            </w:r>
          </w:p>
        </w:tc>
        <w:tc>
          <w:tcPr>
            <w:tcW w:w="1275" w:type="dxa"/>
            <w:gridSpan w:val="2"/>
            <w:vAlign w:val="center"/>
          </w:tcPr>
          <w:p w14:paraId="7C5D540B">
            <w:pPr>
              <w:jc w:val="center"/>
              <w:rPr>
                <w:color w:val="auto"/>
                <w:highlight w:val="none"/>
              </w:rPr>
            </w:pPr>
            <w:r>
              <w:rPr>
                <w:rFonts w:hint="eastAsia"/>
                <w:color w:val="auto"/>
                <w:highlight w:val="none"/>
              </w:rPr>
              <w:t>注册专业</w:t>
            </w:r>
          </w:p>
        </w:tc>
        <w:tc>
          <w:tcPr>
            <w:tcW w:w="1222" w:type="dxa"/>
            <w:gridSpan w:val="3"/>
            <w:vAlign w:val="center"/>
          </w:tcPr>
          <w:p w14:paraId="4941C2DB">
            <w:pPr>
              <w:jc w:val="center"/>
              <w:rPr>
                <w:color w:val="auto"/>
                <w:highlight w:val="none"/>
              </w:rPr>
            </w:pPr>
            <w:r>
              <w:rPr>
                <w:color w:val="auto"/>
                <w:highlight w:val="none"/>
              </w:rPr>
              <w:t>级别</w:t>
            </w:r>
          </w:p>
        </w:tc>
        <w:tc>
          <w:tcPr>
            <w:tcW w:w="1417" w:type="dxa"/>
            <w:gridSpan w:val="3"/>
            <w:vAlign w:val="center"/>
          </w:tcPr>
          <w:p w14:paraId="7AE96AC1">
            <w:pPr>
              <w:jc w:val="center"/>
              <w:rPr>
                <w:color w:val="auto"/>
                <w:highlight w:val="none"/>
              </w:rPr>
            </w:pPr>
            <w:r>
              <w:rPr>
                <w:rFonts w:hint="eastAsia" w:cs="宋体"/>
                <w:color w:val="auto"/>
                <w:highlight w:val="none"/>
              </w:rPr>
              <w:t>证书编号</w:t>
            </w:r>
          </w:p>
        </w:tc>
        <w:tc>
          <w:tcPr>
            <w:tcW w:w="1418" w:type="dxa"/>
            <w:gridSpan w:val="3"/>
            <w:vAlign w:val="center"/>
          </w:tcPr>
          <w:p w14:paraId="2DD122A1">
            <w:pPr>
              <w:jc w:val="center"/>
              <w:rPr>
                <w:color w:val="auto"/>
                <w:highlight w:val="none"/>
              </w:rPr>
            </w:pPr>
            <w:r>
              <w:rPr>
                <w:rFonts w:hint="eastAsia"/>
                <w:color w:val="auto"/>
                <w:highlight w:val="none"/>
              </w:rPr>
              <w:t>注册时间</w:t>
            </w:r>
          </w:p>
        </w:tc>
        <w:tc>
          <w:tcPr>
            <w:tcW w:w="1632" w:type="dxa"/>
            <w:gridSpan w:val="4"/>
            <w:vAlign w:val="center"/>
          </w:tcPr>
          <w:p w14:paraId="2A0B02A5">
            <w:pPr>
              <w:jc w:val="center"/>
              <w:rPr>
                <w:color w:val="auto"/>
                <w:highlight w:val="none"/>
              </w:rPr>
            </w:pPr>
            <w:r>
              <w:rPr>
                <w:rFonts w:hint="eastAsia"/>
                <w:color w:val="auto"/>
                <w:highlight w:val="none"/>
              </w:rPr>
              <w:t>注册单位</w:t>
            </w:r>
          </w:p>
        </w:tc>
        <w:tc>
          <w:tcPr>
            <w:tcW w:w="1416" w:type="dxa"/>
            <w:gridSpan w:val="2"/>
            <w:vAlign w:val="center"/>
          </w:tcPr>
          <w:p w14:paraId="453299F3">
            <w:pPr>
              <w:jc w:val="center"/>
              <w:rPr>
                <w:color w:val="auto"/>
                <w:highlight w:val="none"/>
              </w:rPr>
            </w:pPr>
            <w:r>
              <w:rPr>
                <w:rFonts w:hint="eastAsia"/>
                <w:color w:val="auto"/>
                <w:highlight w:val="none"/>
              </w:rPr>
              <w:t>注册有效期</w:t>
            </w:r>
          </w:p>
        </w:tc>
      </w:tr>
      <w:tr w14:paraId="5251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8680B0A">
            <w:pPr>
              <w:jc w:val="center"/>
              <w:rPr>
                <w:color w:val="auto"/>
                <w:highlight w:val="none"/>
              </w:rPr>
            </w:pPr>
          </w:p>
        </w:tc>
        <w:tc>
          <w:tcPr>
            <w:tcW w:w="1275" w:type="dxa"/>
            <w:gridSpan w:val="2"/>
            <w:vAlign w:val="center"/>
          </w:tcPr>
          <w:p w14:paraId="16E3B0CB">
            <w:pPr>
              <w:jc w:val="center"/>
              <w:rPr>
                <w:color w:val="auto"/>
                <w:highlight w:val="none"/>
              </w:rPr>
            </w:pPr>
          </w:p>
        </w:tc>
        <w:tc>
          <w:tcPr>
            <w:tcW w:w="1222" w:type="dxa"/>
            <w:gridSpan w:val="3"/>
            <w:vAlign w:val="center"/>
          </w:tcPr>
          <w:p w14:paraId="5D8BC683">
            <w:pPr>
              <w:jc w:val="center"/>
              <w:rPr>
                <w:rFonts w:cs="宋体"/>
                <w:color w:val="auto"/>
                <w:highlight w:val="none"/>
              </w:rPr>
            </w:pPr>
          </w:p>
        </w:tc>
        <w:tc>
          <w:tcPr>
            <w:tcW w:w="1417" w:type="dxa"/>
            <w:gridSpan w:val="3"/>
            <w:vAlign w:val="center"/>
          </w:tcPr>
          <w:p w14:paraId="1FD65564">
            <w:pPr>
              <w:jc w:val="center"/>
              <w:rPr>
                <w:color w:val="auto"/>
                <w:highlight w:val="none"/>
              </w:rPr>
            </w:pPr>
          </w:p>
        </w:tc>
        <w:tc>
          <w:tcPr>
            <w:tcW w:w="1418" w:type="dxa"/>
            <w:gridSpan w:val="3"/>
            <w:vAlign w:val="center"/>
          </w:tcPr>
          <w:p w14:paraId="7B6EF23D">
            <w:pPr>
              <w:jc w:val="center"/>
              <w:rPr>
                <w:color w:val="auto"/>
                <w:highlight w:val="none"/>
              </w:rPr>
            </w:pPr>
          </w:p>
        </w:tc>
        <w:tc>
          <w:tcPr>
            <w:tcW w:w="1632" w:type="dxa"/>
            <w:gridSpan w:val="4"/>
            <w:vAlign w:val="center"/>
          </w:tcPr>
          <w:p w14:paraId="76FC39FB">
            <w:pPr>
              <w:jc w:val="center"/>
              <w:rPr>
                <w:color w:val="auto"/>
                <w:highlight w:val="none"/>
              </w:rPr>
            </w:pPr>
          </w:p>
        </w:tc>
        <w:tc>
          <w:tcPr>
            <w:tcW w:w="1416" w:type="dxa"/>
            <w:gridSpan w:val="2"/>
            <w:vAlign w:val="center"/>
          </w:tcPr>
          <w:p w14:paraId="5246FCB4">
            <w:pPr>
              <w:jc w:val="center"/>
              <w:rPr>
                <w:color w:val="auto"/>
                <w:highlight w:val="none"/>
              </w:rPr>
            </w:pPr>
          </w:p>
        </w:tc>
      </w:tr>
      <w:tr w14:paraId="13AE7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13D3CC00">
            <w:pPr>
              <w:jc w:val="center"/>
              <w:rPr>
                <w:color w:val="auto"/>
                <w:highlight w:val="none"/>
              </w:rPr>
            </w:pPr>
            <w:r>
              <w:rPr>
                <w:rFonts w:hint="eastAsia"/>
                <w:color w:val="auto"/>
                <w:highlight w:val="none"/>
              </w:rPr>
              <w:t>安全生产考核合格证书</w:t>
            </w:r>
          </w:p>
        </w:tc>
        <w:tc>
          <w:tcPr>
            <w:tcW w:w="1275" w:type="dxa"/>
            <w:gridSpan w:val="2"/>
            <w:vAlign w:val="center"/>
          </w:tcPr>
          <w:p w14:paraId="76C3F090">
            <w:pPr>
              <w:jc w:val="center"/>
              <w:rPr>
                <w:color w:val="auto"/>
                <w:highlight w:val="none"/>
              </w:rPr>
            </w:pPr>
          </w:p>
        </w:tc>
        <w:tc>
          <w:tcPr>
            <w:tcW w:w="1222" w:type="dxa"/>
            <w:gridSpan w:val="3"/>
            <w:vAlign w:val="center"/>
          </w:tcPr>
          <w:p w14:paraId="67BCE0BA">
            <w:pPr>
              <w:jc w:val="center"/>
              <w:rPr>
                <w:rFonts w:cs="宋体"/>
                <w:color w:val="auto"/>
                <w:highlight w:val="none"/>
              </w:rPr>
            </w:pPr>
            <w:r>
              <w:rPr>
                <w:rFonts w:hint="eastAsia"/>
                <w:color w:val="auto"/>
                <w:highlight w:val="none"/>
              </w:rPr>
              <w:t>B类</w:t>
            </w:r>
          </w:p>
        </w:tc>
        <w:tc>
          <w:tcPr>
            <w:tcW w:w="1417" w:type="dxa"/>
            <w:gridSpan w:val="3"/>
            <w:vAlign w:val="center"/>
          </w:tcPr>
          <w:p w14:paraId="2D7F8F2B">
            <w:pPr>
              <w:jc w:val="center"/>
              <w:rPr>
                <w:color w:val="auto"/>
                <w:highlight w:val="none"/>
              </w:rPr>
            </w:pPr>
          </w:p>
        </w:tc>
        <w:tc>
          <w:tcPr>
            <w:tcW w:w="1418" w:type="dxa"/>
            <w:gridSpan w:val="3"/>
            <w:vAlign w:val="center"/>
          </w:tcPr>
          <w:p w14:paraId="68EE6A21">
            <w:pPr>
              <w:jc w:val="center"/>
              <w:rPr>
                <w:color w:val="auto"/>
                <w:highlight w:val="none"/>
              </w:rPr>
            </w:pPr>
          </w:p>
        </w:tc>
        <w:tc>
          <w:tcPr>
            <w:tcW w:w="1632" w:type="dxa"/>
            <w:gridSpan w:val="4"/>
            <w:vAlign w:val="center"/>
          </w:tcPr>
          <w:p w14:paraId="64C9AFC5">
            <w:pPr>
              <w:jc w:val="center"/>
              <w:rPr>
                <w:color w:val="auto"/>
                <w:highlight w:val="none"/>
              </w:rPr>
            </w:pPr>
          </w:p>
        </w:tc>
        <w:tc>
          <w:tcPr>
            <w:tcW w:w="1416" w:type="dxa"/>
            <w:gridSpan w:val="2"/>
            <w:vAlign w:val="center"/>
          </w:tcPr>
          <w:p w14:paraId="4E143ECB">
            <w:pPr>
              <w:jc w:val="center"/>
              <w:rPr>
                <w:color w:val="auto"/>
                <w:highlight w:val="none"/>
              </w:rPr>
            </w:pPr>
          </w:p>
        </w:tc>
      </w:tr>
      <w:tr w14:paraId="77A1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289DA9A9">
            <w:pPr>
              <w:jc w:val="center"/>
              <w:rPr>
                <w:color w:val="auto"/>
                <w:highlight w:val="none"/>
              </w:rPr>
            </w:pPr>
            <w:r>
              <w:rPr>
                <w:rFonts w:hint="eastAsia" w:cs="宋体"/>
                <w:color w:val="auto"/>
                <w:highlight w:val="none"/>
              </w:rPr>
              <w:t>在建和已完工程项目情况</w:t>
            </w:r>
          </w:p>
        </w:tc>
      </w:tr>
      <w:tr w14:paraId="3404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4BE3E692">
            <w:pPr>
              <w:jc w:val="center"/>
              <w:rPr>
                <w:color w:val="auto"/>
                <w:highlight w:val="none"/>
              </w:rPr>
            </w:pPr>
          </w:p>
        </w:tc>
        <w:tc>
          <w:tcPr>
            <w:tcW w:w="1548" w:type="dxa"/>
            <w:gridSpan w:val="2"/>
            <w:vAlign w:val="center"/>
          </w:tcPr>
          <w:p w14:paraId="72359139">
            <w:pPr>
              <w:jc w:val="center"/>
              <w:rPr>
                <w:color w:val="auto"/>
                <w:highlight w:val="none"/>
              </w:rPr>
            </w:pPr>
            <w:r>
              <w:rPr>
                <w:rFonts w:hint="eastAsia"/>
                <w:color w:val="auto"/>
                <w:highlight w:val="none"/>
              </w:rPr>
              <w:t>项目1</w:t>
            </w:r>
          </w:p>
        </w:tc>
        <w:tc>
          <w:tcPr>
            <w:tcW w:w="1837" w:type="dxa"/>
            <w:gridSpan w:val="4"/>
            <w:vAlign w:val="center"/>
          </w:tcPr>
          <w:p w14:paraId="79EBA5DF">
            <w:pPr>
              <w:jc w:val="center"/>
              <w:rPr>
                <w:color w:val="auto"/>
                <w:highlight w:val="none"/>
              </w:rPr>
            </w:pPr>
            <w:r>
              <w:rPr>
                <w:rFonts w:hint="eastAsia"/>
                <w:color w:val="auto"/>
                <w:highlight w:val="none"/>
              </w:rPr>
              <w:t>项目2</w:t>
            </w:r>
          </w:p>
        </w:tc>
        <w:tc>
          <w:tcPr>
            <w:tcW w:w="1472" w:type="dxa"/>
            <w:gridSpan w:val="3"/>
            <w:vAlign w:val="center"/>
          </w:tcPr>
          <w:p w14:paraId="62D2A893">
            <w:pPr>
              <w:jc w:val="center"/>
              <w:rPr>
                <w:color w:val="auto"/>
                <w:highlight w:val="none"/>
              </w:rPr>
            </w:pPr>
            <w:r>
              <w:rPr>
                <w:rFonts w:hint="eastAsia"/>
                <w:color w:val="auto"/>
                <w:highlight w:val="none"/>
              </w:rPr>
              <w:t>项目3</w:t>
            </w:r>
          </w:p>
        </w:tc>
        <w:tc>
          <w:tcPr>
            <w:tcW w:w="1641" w:type="dxa"/>
            <w:gridSpan w:val="4"/>
            <w:vAlign w:val="center"/>
          </w:tcPr>
          <w:p w14:paraId="0E6EF9EA">
            <w:pPr>
              <w:jc w:val="center"/>
              <w:rPr>
                <w:color w:val="auto"/>
                <w:highlight w:val="none"/>
              </w:rPr>
            </w:pPr>
            <w:r>
              <w:rPr>
                <w:rFonts w:hint="eastAsia"/>
                <w:color w:val="auto"/>
                <w:highlight w:val="none"/>
              </w:rPr>
              <w:t>项目4</w:t>
            </w:r>
          </w:p>
        </w:tc>
        <w:tc>
          <w:tcPr>
            <w:tcW w:w="1484" w:type="dxa"/>
            <w:gridSpan w:val="2"/>
            <w:vAlign w:val="center"/>
          </w:tcPr>
          <w:p w14:paraId="22DE880E">
            <w:pPr>
              <w:jc w:val="center"/>
              <w:rPr>
                <w:color w:val="auto"/>
                <w:highlight w:val="none"/>
              </w:rPr>
            </w:pPr>
            <w:r>
              <w:rPr>
                <w:rFonts w:hint="eastAsia"/>
                <w:color w:val="auto"/>
                <w:highlight w:val="none"/>
              </w:rPr>
              <w:t>……</w:t>
            </w:r>
          </w:p>
        </w:tc>
      </w:tr>
      <w:tr w14:paraId="30EC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1337D5A">
            <w:pPr>
              <w:jc w:val="center"/>
              <w:rPr>
                <w:color w:val="auto"/>
                <w:highlight w:val="none"/>
              </w:rPr>
            </w:pPr>
            <w:r>
              <w:rPr>
                <w:rFonts w:hint="eastAsia"/>
                <w:color w:val="auto"/>
                <w:highlight w:val="none"/>
              </w:rPr>
              <w:t>项目名称</w:t>
            </w:r>
          </w:p>
        </w:tc>
        <w:tc>
          <w:tcPr>
            <w:tcW w:w="1548" w:type="dxa"/>
            <w:gridSpan w:val="2"/>
            <w:vAlign w:val="center"/>
          </w:tcPr>
          <w:p w14:paraId="3D41B442">
            <w:pPr>
              <w:jc w:val="center"/>
              <w:rPr>
                <w:color w:val="auto"/>
                <w:highlight w:val="none"/>
              </w:rPr>
            </w:pPr>
          </w:p>
        </w:tc>
        <w:tc>
          <w:tcPr>
            <w:tcW w:w="1837" w:type="dxa"/>
            <w:gridSpan w:val="4"/>
            <w:vAlign w:val="center"/>
          </w:tcPr>
          <w:p w14:paraId="5358FE17">
            <w:pPr>
              <w:jc w:val="center"/>
              <w:rPr>
                <w:color w:val="auto"/>
                <w:highlight w:val="none"/>
              </w:rPr>
            </w:pPr>
          </w:p>
        </w:tc>
        <w:tc>
          <w:tcPr>
            <w:tcW w:w="1472" w:type="dxa"/>
            <w:gridSpan w:val="3"/>
            <w:vAlign w:val="center"/>
          </w:tcPr>
          <w:p w14:paraId="6CF97D19">
            <w:pPr>
              <w:jc w:val="center"/>
              <w:rPr>
                <w:color w:val="auto"/>
                <w:highlight w:val="none"/>
              </w:rPr>
            </w:pPr>
          </w:p>
        </w:tc>
        <w:tc>
          <w:tcPr>
            <w:tcW w:w="1641" w:type="dxa"/>
            <w:gridSpan w:val="4"/>
            <w:vAlign w:val="center"/>
          </w:tcPr>
          <w:p w14:paraId="4D817466">
            <w:pPr>
              <w:jc w:val="center"/>
              <w:rPr>
                <w:color w:val="auto"/>
                <w:highlight w:val="none"/>
              </w:rPr>
            </w:pPr>
          </w:p>
        </w:tc>
        <w:tc>
          <w:tcPr>
            <w:tcW w:w="1484" w:type="dxa"/>
            <w:gridSpan w:val="2"/>
            <w:vAlign w:val="center"/>
          </w:tcPr>
          <w:p w14:paraId="26B871B4">
            <w:pPr>
              <w:jc w:val="center"/>
              <w:rPr>
                <w:color w:val="auto"/>
                <w:highlight w:val="none"/>
              </w:rPr>
            </w:pPr>
          </w:p>
        </w:tc>
      </w:tr>
      <w:tr w14:paraId="205F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3D705D0">
            <w:pPr>
              <w:jc w:val="center"/>
              <w:rPr>
                <w:color w:val="auto"/>
                <w:highlight w:val="none"/>
              </w:rPr>
            </w:pPr>
            <w:r>
              <w:rPr>
                <w:rFonts w:hint="eastAsia" w:cs="宋体"/>
                <w:color w:val="auto"/>
                <w:highlight w:val="none"/>
              </w:rPr>
              <w:t>建设单位</w:t>
            </w:r>
          </w:p>
        </w:tc>
        <w:tc>
          <w:tcPr>
            <w:tcW w:w="1548" w:type="dxa"/>
            <w:gridSpan w:val="2"/>
            <w:vAlign w:val="center"/>
          </w:tcPr>
          <w:p w14:paraId="49F05696">
            <w:pPr>
              <w:jc w:val="center"/>
              <w:rPr>
                <w:color w:val="auto"/>
                <w:highlight w:val="none"/>
              </w:rPr>
            </w:pPr>
          </w:p>
        </w:tc>
        <w:tc>
          <w:tcPr>
            <w:tcW w:w="1837" w:type="dxa"/>
            <w:gridSpan w:val="4"/>
            <w:vAlign w:val="center"/>
          </w:tcPr>
          <w:p w14:paraId="3EEFA1B9">
            <w:pPr>
              <w:jc w:val="center"/>
              <w:rPr>
                <w:color w:val="auto"/>
                <w:highlight w:val="none"/>
              </w:rPr>
            </w:pPr>
          </w:p>
        </w:tc>
        <w:tc>
          <w:tcPr>
            <w:tcW w:w="1472" w:type="dxa"/>
            <w:gridSpan w:val="3"/>
            <w:vAlign w:val="center"/>
          </w:tcPr>
          <w:p w14:paraId="2EAACFAF">
            <w:pPr>
              <w:jc w:val="center"/>
              <w:rPr>
                <w:color w:val="auto"/>
                <w:highlight w:val="none"/>
              </w:rPr>
            </w:pPr>
          </w:p>
        </w:tc>
        <w:tc>
          <w:tcPr>
            <w:tcW w:w="1641" w:type="dxa"/>
            <w:gridSpan w:val="4"/>
            <w:vAlign w:val="center"/>
          </w:tcPr>
          <w:p w14:paraId="3BEF2E08">
            <w:pPr>
              <w:jc w:val="center"/>
              <w:rPr>
                <w:color w:val="auto"/>
                <w:highlight w:val="none"/>
              </w:rPr>
            </w:pPr>
          </w:p>
        </w:tc>
        <w:tc>
          <w:tcPr>
            <w:tcW w:w="1484" w:type="dxa"/>
            <w:gridSpan w:val="2"/>
            <w:vAlign w:val="center"/>
          </w:tcPr>
          <w:p w14:paraId="36620414">
            <w:pPr>
              <w:jc w:val="center"/>
              <w:rPr>
                <w:color w:val="auto"/>
                <w:highlight w:val="none"/>
              </w:rPr>
            </w:pPr>
          </w:p>
        </w:tc>
      </w:tr>
      <w:tr w14:paraId="2EC08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E2D3D1D">
            <w:pPr>
              <w:jc w:val="center"/>
              <w:rPr>
                <w:color w:val="auto"/>
                <w:highlight w:val="none"/>
              </w:rPr>
            </w:pPr>
            <w:r>
              <w:rPr>
                <w:rFonts w:hint="eastAsia" w:cs="宋体"/>
                <w:color w:val="auto"/>
                <w:highlight w:val="none"/>
              </w:rPr>
              <w:t>建设规模</w:t>
            </w:r>
          </w:p>
        </w:tc>
        <w:tc>
          <w:tcPr>
            <w:tcW w:w="1548" w:type="dxa"/>
            <w:gridSpan w:val="2"/>
            <w:vAlign w:val="center"/>
          </w:tcPr>
          <w:p w14:paraId="1F1FB088">
            <w:pPr>
              <w:jc w:val="center"/>
              <w:rPr>
                <w:color w:val="auto"/>
                <w:highlight w:val="none"/>
              </w:rPr>
            </w:pPr>
          </w:p>
        </w:tc>
        <w:tc>
          <w:tcPr>
            <w:tcW w:w="1837" w:type="dxa"/>
            <w:gridSpan w:val="4"/>
            <w:vAlign w:val="center"/>
          </w:tcPr>
          <w:p w14:paraId="6702E64C">
            <w:pPr>
              <w:jc w:val="center"/>
              <w:rPr>
                <w:color w:val="auto"/>
                <w:highlight w:val="none"/>
              </w:rPr>
            </w:pPr>
          </w:p>
        </w:tc>
        <w:tc>
          <w:tcPr>
            <w:tcW w:w="1472" w:type="dxa"/>
            <w:gridSpan w:val="3"/>
            <w:vAlign w:val="center"/>
          </w:tcPr>
          <w:p w14:paraId="2E65AF90">
            <w:pPr>
              <w:jc w:val="center"/>
              <w:rPr>
                <w:color w:val="auto"/>
                <w:highlight w:val="none"/>
              </w:rPr>
            </w:pPr>
          </w:p>
        </w:tc>
        <w:tc>
          <w:tcPr>
            <w:tcW w:w="1641" w:type="dxa"/>
            <w:gridSpan w:val="4"/>
            <w:vAlign w:val="center"/>
          </w:tcPr>
          <w:p w14:paraId="5CA0E07C">
            <w:pPr>
              <w:jc w:val="center"/>
              <w:rPr>
                <w:color w:val="auto"/>
                <w:highlight w:val="none"/>
              </w:rPr>
            </w:pPr>
          </w:p>
        </w:tc>
        <w:tc>
          <w:tcPr>
            <w:tcW w:w="1484" w:type="dxa"/>
            <w:gridSpan w:val="2"/>
            <w:vAlign w:val="center"/>
          </w:tcPr>
          <w:p w14:paraId="2B914F1C">
            <w:pPr>
              <w:jc w:val="center"/>
              <w:rPr>
                <w:color w:val="auto"/>
                <w:highlight w:val="none"/>
              </w:rPr>
            </w:pPr>
          </w:p>
        </w:tc>
      </w:tr>
      <w:tr w14:paraId="4447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155FFA3">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25B297BC">
            <w:pPr>
              <w:jc w:val="center"/>
              <w:rPr>
                <w:color w:val="auto"/>
                <w:highlight w:val="none"/>
              </w:rPr>
            </w:pPr>
          </w:p>
        </w:tc>
        <w:tc>
          <w:tcPr>
            <w:tcW w:w="1837" w:type="dxa"/>
            <w:gridSpan w:val="4"/>
            <w:vAlign w:val="center"/>
          </w:tcPr>
          <w:p w14:paraId="081A191A">
            <w:pPr>
              <w:jc w:val="center"/>
              <w:rPr>
                <w:color w:val="auto"/>
                <w:highlight w:val="none"/>
              </w:rPr>
            </w:pPr>
          </w:p>
        </w:tc>
        <w:tc>
          <w:tcPr>
            <w:tcW w:w="1472" w:type="dxa"/>
            <w:gridSpan w:val="3"/>
            <w:vAlign w:val="center"/>
          </w:tcPr>
          <w:p w14:paraId="4308743F">
            <w:pPr>
              <w:jc w:val="center"/>
              <w:rPr>
                <w:color w:val="auto"/>
                <w:highlight w:val="none"/>
              </w:rPr>
            </w:pPr>
          </w:p>
        </w:tc>
        <w:tc>
          <w:tcPr>
            <w:tcW w:w="1641" w:type="dxa"/>
            <w:gridSpan w:val="4"/>
            <w:vAlign w:val="center"/>
          </w:tcPr>
          <w:p w14:paraId="0BFEA466">
            <w:pPr>
              <w:jc w:val="center"/>
              <w:rPr>
                <w:color w:val="auto"/>
                <w:highlight w:val="none"/>
              </w:rPr>
            </w:pPr>
          </w:p>
        </w:tc>
        <w:tc>
          <w:tcPr>
            <w:tcW w:w="1484" w:type="dxa"/>
            <w:gridSpan w:val="2"/>
            <w:vAlign w:val="center"/>
          </w:tcPr>
          <w:p w14:paraId="5AEFD9F5">
            <w:pPr>
              <w:jc w:val="center"/>
              <w:rPr>
                <w:color w:val="auto"/>
                <w:highlight w:val="none"/>
              </w:rPr>
            </w:pPr>
          </w:p>
        </w:tc>
      </w:tr>
      <w:tr w14:paraId="451F8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8978E2A">
            <w:pPr>
              <w:jc w:val="center"/>
              <w:rPr>
                <w:color w:val="auto"/>
                <w:highlight w:val="none"/>
              </w:rPr>
            </w:pPr>
            <w:r>
              <w:rPr>
                <w:rFonts w:hint="eastAsia" w:cs="宋体"/>
                <w:color w:val="auto"/>
                <w:highlight w:val="none"/>
              </w:rPr>
              <w:t>竣工日期</w:t>
            </w:r>
          </w:p>
        </w:tc>
        <w:tc>
          <w:tcPr>
            <w:tcW w:w="1548" w:type="dxa"/>
            <w:gridSpan w:val="2"/>
            <w:vAlign w:val="center"/>
          </w:tcPr>
          <w:p w14:paraId="02598B50">
            <w:pPr>
              <w:jc w:val="center"/>
              <w:rPr>
                <w:color w:val="auto"/>
                <w:highlight w:val="none"/>
              </w:rPr>
            </w:pPr>
          </w:p>
        </w:tc>
        <w:tc>
          <w:tcPr>
            <w:tcW w:w="1837" w:type="dxa"/>
            <w:gridSpan w:val="4"/>
            <w:vAlign w:val="center"/>
          </w:tcPr>
          <w:p w14:paraId="06E5AE06">
            <w:pPr>
              <w:jc w:val="center"/>
              <w:rPr>
                <w:color w:val="auto"/>
                <w:highlight w:val="none"/>
              </w:rPr>
            </w:pPr>
          </w:p>
        </w:tc>
        <w:tc>
          <w:tcPr>
            <w:tcW w:w="1472" w:type="dxa"/>
            <w:gridSpan w:val="3"/>
            <w:vAlign w:val="center"/>
          </w:tcPr>
          <w:p w14:paraId="0871F11C">
            <w:pPr>
              <w:jc w:val="center"/>
              <w:rPr>
                <w:color w:val="auto"/>
                <w:highlight w:val="none"/>
              </w:rPr>
            </w:pPr>
          </w:p>
        </w:tc>
        <w:tc>
          <w:tcPr>
            <w:tcW w:w="1641" w:type="dxa"/>
            <w:gridSpan w:val="4"/>
            <w:vAlign w:val="center"/>
          </w:tcPr>
          <w:p w14:paraId="67AC6B9D">
            <w:pPr>
              <w:jc w:val="center"/>
              <w:rPr>
                <w:color w:val="auto"/>
                <w:highlight w:val="none"/>
              </w:rPr>
            </w:pPr>
          </w:p>
        </w:tc>
        <w:tc>
          <w:tcPr>
            <w:tcW w:w="1484" w:type="dxa"/>
            <w:gridSpan w:val="2"/>
            <w:vAlign w:val="center"/>
          </w:tcPr>
          <w:p w14:paraId="22AE6E47">
            <w:pPr>
              <w:jc w:val="center"/>
              <w:rPr>
                <w:color w:val="auto"/>
                <w:highlight w:val="none"/>
              </w:rPr>
            </w:pPr>
          </w:p>
        </w:tc>
      </w:tr>
      <w:tr w14:paraId="0D50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9D979E4">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187C1186">
            <w:pPr>
              <w:jc w:val="center"/>
              <w:rPr>
                <w:color w:val="auto"/>
                <w:highlight w:val="none"/>
              </w:rPr>
            </w:pPr>
          </w:p>
        </w:tc>
        <w:tc>
          <w:tcPr>
            <w:tcW w:w="1837" w:type="dxa"/>
            <w:gridSpan w:val="4"/>
            <w:vAlign w:val="center"/>
          </w:tcPr>
          <w:p w14:paraId="3FB6B303">
            <w:pPr>
              <w:jc w:val="center"/>
              <w:rPr>
                <w:color w:val="auto"/>
                <w:highlight w:val="none"/>
              </w:rPr>
            </w:pPr>
          </w:p>
        </w:tc>
        <w:tc>
          <w:tcPr>
            <w:tcW w:w="1472" w:type="dxa"/>
            <w:gridSpan w:val="3"/>
            <w:vAlign w:val="center"/>
          </w:tcPr>
          <w:p w14:paraId="6217423D">
            <w:pPr>
              <w:jc w:val="center"/>
              <w:rPr>
                <w:color w:val="auto"/>
                <w:highlight w:val="none"/>
              </w:rPr>
            </w:pPr>
          </w:p>
        </w:tc>
        <w:tc>
          <w:tcPr>
            <w:tcW w:w="1641" w:type="dxa"/>
            <w:gridSpan w:val="4"/>
            <w:vAlign w:val="center"/>
          </w:tcPr>
          <w:p w14:paraId="47E1E0C3">
            <w:pPr>
              <w:jc w:val="center"/>
              <w:rPr>
                <w:color w:val="auto"/>
                <w:highlight w:val="none"/>
              </w:rPr>
            </w:pPr>
          </w:p>
        </w:tc>
        <w:tc>
          <w:tcPr>
            <w:tcW w:w="1484" w:type="dxa"/>
            <w:gridSpan w:val="2"/>
            <w:vAlign w:val="center"/>
          </w:tcPr>
          <w:p w14:paraId="70F415AD">
            <w:pPr>
              <w:jc w:val="center"/>
              <w:rPr>
                <w:color w:val="auto"/>
                <w:highlight w:val="none"/>
              </w:rPr>
            </w:pPr>
          </w:p>
        </w:tc>
      </w:tr>
      <w:tr w14:paraId="6BED7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D043808">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394875A4">
            <w:pPr>
              <w:jc w:val="center"/>
              <w:rPr>
                <w:color w:val="auto"/>
                <w:highlight w:val="none"/>
              </w:rPr>
            </w:pPr>
          </w:p>
        </w:tc>
        <w:tc>
          <w:tcPr>
            <w:tcW w:w="1837" w:type="dxa"/>
            <w:gridSpan w:val="4"/>
            <w:vAlign w:val="center"/>
          </w:tcPr>
          <w:p w14:paraId="0ECE387B">
            <w:pPr>
              <w:jc w:val="center"/>
              <w:rPr>
                <w:color w:val="auto"/>
                <w:highlight w:val="none"/>
              </w:rPr>
            </w:pPr>
          </w:p>
        </w:tc>
        <w:tc>
          <w:tcPr>
            <w:tcW w:w="1472" w:type="dxa"/>
            <w:gridSpan w:val="3"/>
            <w:vAlign w:val="center"/>
          </w:tcPr>
          <w:p w14:paraId="256C61D5">
            <w:pPr>
              <w:jc w:val="center"/>
              <w:rPr>
                <w:color w:val="auto"/>
                <w:highlight w:val="none"/>
              </w:rPr>
            </w:pPr>
          </w:p>
        </w:tc>
        <w:tc>
          <w:tcPr>
            <w:tcW w:w="1641" w:type="dxa"/>
            <w:gridSpan w:val="4"/>
            <w:vAlign w:val="center"/>
          </w:tcPr>
          <w:p w14:paraId="2DDDD540">
            <w:pPr>
              <w:jc w:val="center"/>
              <w:rPr>
                <w:color w:val="auto"/>
                <w:highlight w:val="none"/>
              </w:rPr>
            </w:pPr>
          </w:p>
        </w:tc>
        <w:tc>
          <w:tcPr>
            <w:tcW w:w="1484" w:type="dxa"/>
            <w:gridSpan w:val="2"/>
            <w:vAlign w:val="center"/>
          </w:tcPr>
          <w:p w14:paraId="3D8C7C58">
            <w:pPr>
              <w:jc w:val="center"/>
              <w:rPr>
                <w:color w:val="auto"/>
                <w:highlight w:val="none"/>
              </w:rPr>
            </w:pPr>
          </w:p>
        </w:tc>
      </w:tr>
      <w:tr w14:paraId="7E22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0AB40580">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3B77C8F9">
            <w:pPr>
              <w:jc w:val="center"/>
              <w:rPr>
                <w:color w:val="auto"/>
                <w:highlight w:val="none"/>
              </w:rPr>
            </w:pPr>
          </w:p>
        </w:tc>
        <w:tc>
          <w:tcPr>
            <w:tcW w:w="1837" w:type="dxa"/>
            <w:gridSpan w:val="4"/>
            <w:vAlign w:val="center"/>
          </w:tcPr>
          <w:p w14:paraId="503AFEE6">
            <w:pPr>
              <w:jc w:val="center"/>
              <w:rPr>
                <w:color w:val="auto"/>
                <w:highlight w:val="none"/>
              </w:rPr>
            </w:pPr>
          </w:p>
        </w:tc>
        <w:tc>
          <w:tcPr>
            <w:tcW w:w="1472" w:type="dxa"/>
            <w:gridSpan w:val="3"/>
            <w:vAlign w:val="center"/>
          </w:tcPr>
          <w:p w14:paraId="23C49026">
            <w:pPr>
              <w:jc w:val="center"/>
              <w:rPr>
                <w:color w:val="auto"/>
                <w:highlight w:val="none"/>
              </w:rPr>
            </w:pPr>
          </w:p>
        </w:tc>
        <w:tc>
          <w:tcPr>
            <w:tcW w:w="1641" w:type="dxa"/>
            <w:gridSpan w:val="4"/>
            <w:vAlign w:val="center"/>
          </w:tcPr>
          <w:p w14:paraId="67C0A54F">
            <w:pPr>
              <w:jc w:val="center"/>
              <w:rPr>
                <w:color w:val="auto"/>
                <w:highlight w:val="none"/>
              </w:rPr>
            </w:pPr>
          </w:p>
        </w:tc>
        <w:tc>
          <w:tcPr>
            <w:tcW w:w="1484" w:type="dxa"/>
            <w:gridSpan w:val="2"/>
            <w:vAlign w:val="center"/>
          </w:tcPr>
          <w:p w14:paraId="4BBFB93F">
            <w:pPr>
              <w:jc w:val="center"/>
              <w:rPr>
                <w:color w:val="auto"/>
                <w:highlight w:val="none"/>
              </w:rPr>
            </w:pPr>
          </w:p>
        </w:tc>
      </w:tr>
      <w:tr w14:paraId="466D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DF5EBB3">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498E366A">
            <w:pPr>
              <w:jc w:val="center"/>
              <w:rPr>
                <w:color w:val="auto"/>
                <w:highlight w:val="none"/>
              </w:rPr>
            </w:pPr>
          </w:p>
        </w:tc>
        <w:tc>
          <w:tcPr>
            <w:tcW w:w="1837" w:type="dxa"/>
            <w:gridSpan w:val="4"/>
            <w:vAlign w:val="center"/>
          </w:tcPr>
          <w:p w14:paraId="570BE7D0">
            <w:pPr>
              <w:jc w:val="center"/>
              <w:rPr>
                <w:color w:val="auto"/>
                <w:highlight w:val="none"/>
              </w:rPr>
            </w:pPr>
          </w:p>
        </w:tc>
        <w:tc>
          <w:tcPr>
            <w:tcW w:w="1472" w:type="dxa"/>
            <w:gridSpan w:val="3"/>
            <w:vAlign w:val="center"/>
          </w:tcPr>
          <w:p w14:paraId="223F9AC0">
            <w:pPr>
              <w:jc w:val="center"/>
              <w:rPr>
                <w:color w:val="auto"/>
                <w:highlight w:val="none"/>
              </w:rPr>
            </w:pPr>
          </w:p>
        </w:tc>
        <w:tc>
          <w:tcPr>
            <w:tcW w:w="1641" w:type="dxa"/>
            <w:gridSpan w:val="4"/>
            <w:vAlign w:val="center"/>
          </w:tcPr>
          <w:p w14:paraId="7A8B0626">
            <w:pPr>
              <w:jc w:val="center"/>
              <w:rPr>
                <w:color w:val="auto"/>
                <w:highlight w:val="none"/>
              </w:rPr>
            </w:pPr>
          </w:p>
        </w:tc>
        <w:tc>
          <w:tcPr>
            <w:tcW w:w="1484" w:type="dxa"/>
            <w:gridSpan w:val="2"/>
            <w:vAlign w:val="center"/>
          </w:tcPr>
          <w:p w14:paraId="17373E1E">
            <w:pPr>
              <w:jc w:val="center"/>
              <w:rPr>
                <w:color w:val="auto"/>
                <w:highlight w:val="none"/>
              </w:rPr>
            </w:pPr>
          </w:p>
        </w:tc>
      </w:tr>
    </w:tbl>
    <w:p w14:paraId="20719EF9">
      <w:pPr>
        <w:rPr>
          <w:rFonts w:ascii="宋体" w:hAnsi="宋体"/>
          <w:color w:val="auto"/>
          <w:szCs w:val="21"/>
          <w:highlight w:val="none"/>
        </w:rPr>
      </w:pPr>
      <w:r>
        <w:rPr>
          <w:rFonts w:hint="eastAsia" w:ascii="宋体" w:hAnsi="宋体" w:cs="楷体_GB2312"/>
          <w:color w:val="auto"/>
          <w:szCs w:val="21"/>
          <w:highlight w:val="none"/>
        </w:rPr>
        <w:t>备注：</w:t>
      </w:r>
    </w:p>
    <w:p w14:paraId="68D8AE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5C8268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2.本表后附项目经理的学历证、安全生产考核合格证（B类）、本表所列证书扫描件并加盖供应商电子签章。</w:t>
      </w:r>
    </w:p>
    <w:p w14:paraId="3F11F2EB">
      <w:pPr>
        <w:spacing w:beforeLines="50"/>
        <w:ind w:firstLine="643" w:firstLineChars="200"/>
        <w:jc w:val="center"/>
        <w:rPr>
          <w:color w:val="auto"/>
          <w:highlight w:val="none"/>
          <w:u w:val="single"/>
        </w:rPr>
      </w:pPr>
      <w:r>
        <w:rPr>
          <w:rFonts w:cs="宋体"/>
          <w:b/>
          <w:color w:val="auto"/>
          <w:sz w:val="32"/>
          <w:szCs w:val="32"/>
          <w:highlight w:val="none"/>
        </w:rPr>
        <w:br w:type="page"/>
      </w:r>
      <w:r>
        <w:rPr>
          <w:rFonts w:hint="eastAsia" w:cs="宋体"/>
          <w:b/>
          <w:color w:val="auto"/>
          <w:sz w:val="32"/>
          <w:szCs w:val="32"/>
          <w:highlight w:val="none"/>
        </w:rPr>
        <w:t>项目技术负责人（项目总工）简历表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7650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3C5D0C77">
            <w:pPr>
              <w:jc w:val="center"/>
              <w:rPr>
                <w:color w:val="auto"/>
                <w:highlight w:val="none"/>
              </w:rPr>
            </w:pPr>
            <w:r>
              <w:rPr>
                <w:rFonts w:hint="eastAsia" w:cs="宋体"/>
                <w:color w:val="auto"/>
                <w:highlight w:val="none"/>
              </w:rPr>
              <w:t>姓名</w:t>
            </w:r>
          </w:p>
        </w:tc>
        <w:tc>
          <w:tcPr>
            <w:tcW w:w="2340" w:type="dxa"/>
            <w:gridSpan w:val="5"/>
            <w:vAlign w:val="center"/>
          </w:tcPr>
          <w:p w14:paraId="7AF28869">
            <w:pPr>
              <w:jc w:val="center"/>
              <w:rPr>
                <w:color w:val="auto"/>
                <w:highlight w:val="none"/>
              </w:rPr>
            </w:pPr>
          </w:p>
        </w:tc>
        <w:tc>
          <w:tcPr>
            <w:tcW w:w="1893" w:type="dxa"/>
            <w:gridSpan w:val="5"/>
            <w:vAlign w:val="center"/>
          </w:tcPr>
          <w:p w14:paraId="688E2189">
            <w:pPr>
              <w:jc w:val="center"/>
              <w:rPr>
                <w:color w:val="auto"/>
                <w:highlight w:val="none"/>
              </w:rPr>
            </w:pPr>
            <w:r>
              <w:rPr>
                <w:rFonts w:hint="eastAsia" w:cs="宋体"/>
                <w:color w:val="auto"/>
                <w:highlight w:val="none"/>
              </w:rPr>
              <w:t>性别</w:t>
            </w:r>
          </w:p>
        </w:tc>
        <w:tc>
          <w:tcPr>
            <w:tcW w:w="1585" w:type="dxa"/>
            <w:gridSpan w:val="3"/>
            <w:vAlign w:val="center"/>
          </w:tcPr>
          <w:p w14:paraId="1D4B8C1D">
            <w:pPr>
              <w:jc w:val="center"/>
              <w:rPr>
                <w:color w:val="auto"/>
                <w:highlight w:val="none"/>
              </w:rPr>
            </w:pPr>
          </w:p>
        </w:tc>
        <w:tc>
          <w:tcPr>
            <w:tcW w:w="1108" w:type="dxa"/>
            <w:vAlign w:val="center"/>
          </w:tcPr>
          <w:p w14:paraId="0F8F9B59">
            <w:pPr>
              <w:jc w:val="center"/>
              <w:rPr>
                <w:color w:val="auto"/>
                <w:highlight w:val="none"/>
              </w:rPr>
            </w:pPr>
            <w:r>
              <w:rPr>
                <w:rFonts w:hint="eastAsia" w:cs="宋体"/>
                <w:color w:val="auto"/>
                <w:highlight w:val="none"/>
              </w:rPr>
              <w:t>年龄</w:t>
            </w:r>
          </w:p>
        </w:tc>
        <w:tc>
          <w:tcPr>
            <w:tcW w:w="1531" w:type="dxa"/>
            <w:gridSpan w:val="4"/>
            <w:vAlign w:val="center"/>
          </w:tcPr>
          <w:p w14:paraId="1176724E">
            <w:pPr>
              <w:jc w:val="center"/>
              <w:rPr>
                <w:color w:val="auto"/>
                <w:highlight w:val="none"/>
              </w:rPr>
            </w:pPr>
          </w:p>
        </w:tc>
      </w:tr>
      <w:tr w14:paraId="173A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31B1451">
            <w:pPr>
              <w:jc w:val="center"/>
              <w:rPr>
                <w:color w:val="auto"/>
                <w:highlight w:val="none"/>
              </w:rPr>
            </w:pPr>
            <w:r>
              <w:rPr>
                <w:rFonts w:hint="eastAsia" w:cs="宋体"/>
                <w:color w:val="auto"/>
                <w:highlight w:val="none"/>
              </w:rPr>
              <w:t>岗位</w:t>
            </w:r>
          </w:p>
        </w:tc>
        <w:tc>
          <w:tcPr>
            <w:tcW w:w="2340" w:type="dxa"/>
            <w:gridSpan w:val="5"/>
            <w:vAlign w:val="center"/>
          </w:tcPr>
          <w:p w14:paraId="4B9FC1B2">
            <w:pPr>
              <w:jc w:val="center"/>
              <w:rPr>
                <w:color w:val="auto"/>
                <w:highlight w:val="none"/>
              </w:rPr>
            </w:pPr>
            <w:r>
              <w:rPr>
                <w:rFonts w:hint="eastAsia"/>
                <w:color w:val="auto"/>
                <w:highlight w:val="none"/>
              </w:rPr>
              <w:t>项目技术负责人（项目总工）</w:t>
            </w:r>
          </w:p>
        </w:tc>
        <w:tc>
          <w:tcPr>
            <w:tcW w:w="1893" w:type="dxa"/>
            <w:gridSpan w:val="5"/>
            <w:vAlign w:val="center"/>
          </w:tcPr>
          <w:p w14:paraId="2AD3E3E7">
            <w:pPr>
              <w:jc w:val="center"/>
              <w:rPr>
                <w:color w:val="auto"/>
                <w:highlight w:val="none"/>
              </w:rPr>
            </w:pPr>
            <w:r>
              <w:rPr>
                <w:rFonts w:hint="eastAsia" w:cs="宋体"/>
                <w:color w:val="auto"/>
                <w:highlight w:val="none"/>
              </w:rPr>
              <w:t>职称</w:t>
            </w:r>
          </w:p>
        </w:tc>
        <w:tc>
          <w:tcPr>
            <w:tcW w:w="1585" w:type="dxa"/>
            <w:gridSpan w:val="3"/>
            <w:vAlign w:val="center"/>
          </w:tcPr>
          <w:p w14:paraId="1A58E3D9">
            <w:pPr>
              <w:jc w:val="center"/>
              <w:rPr>
                <w:color w:val="auto"/>
                <w:highlight w:val="none"/>
              </w:rPr>
            </w:pPr>
          </w:p>
        </w:tc>
        <w:tc>
          <w:tcPr>
            <w:tcW w:w="1108" w:type="dxa"/>
            <w:vAlign w:val="center"/>
          </w:tcPr>
          <w:p w14:paraId="13D46E51">
            <w:pPr>
              <w:jc w:val="center"/>
              <w:rPr>
                <w:color w:val="auto"/>
                <w:highlight w:val="none"/>
              </w:rPr>
            </w:pPr>
            <w:r>
              <w:rPr>
                <w:rFonts w:hint="eastAsia" w:cs="宋体"/>
                <w:color w:val="auto"/>
                <w:highlight w:val="none"/>
              </w:rPr>
              <w:t>学历</w:t>
            </w:r>
          </w:p>
        </w:tc>
        <w:tc>
          <w:tcPr>
            <w:tcW w:w="1531" w:type="dxa"/>
            <w:gridSpan w:val="4"/>
            <w:vAlign w:val="center"/>
          </w:tcPr>
          <w:p w14:paraId="669B1BEF">
            <w:pPr>
              <w:jc w:val="center"/>
              <w:rPr>
                <w:color w:val="auto"/>
                <w:highlight w:val="none"/>
              </w:rPr>
            </w:pPr>
          </w:p>
        </w:tc>
      </w:tr>
      <w:tr w14:paraId="2DFB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C66176A">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2111AFB1">
            <w:pPr>
              <w:jc w:val="center"/>
              <w:rPr>
                <w:color w:val="auto"/>
                <w:highlight w:val="none"/>
              </w:rPr>
            </w:pPr>
          </w:p>
        </w:tc>
        <w:tc>
          <w:tcPr>
            <w:tcW w:w="1893" w:type="dxa"/>
            <w:gridSpan w:val="5"/>
            <w:vAlign w:val="center"/>
          </w:tcPr>
          <w:p w14:paraId="5831466B">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228FD48F">
            <w:pPr>
              <w:jc w:val="center"/>
              <w:rPr>
                <w:color w:val="auto"/>
                <w:highlight w:val="none"/>
              </w:rPr>
            </w:pPr>
          </w:p>
        </w:tc>
        <w:tc>
          <w:tcPr>
            <w:tcW w:w="1108" w:type="dxa"/>
            <w:vAlign w:val="center"/>
          </w:tcPr>
          <w:p w14:paraId="5B74926F">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2D53F3B8">
            <w:pPr>
              <w:jc w:val="center"/>
              <w:rPr>
                <w:color w:val="auto"/>
                <w:highlight w:val="none"/>
              </w:rPr>
            </w:pPr>
          </w:p>
        </w:tc>
      </w:tr>
      <w:tr w14:paraId="5455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8" w:type="dxa"/>
          <w:trHeight w:val="600" w:hRule="atLeast"/>
          <w:jc w:val="center"/>
        </w:trPr>
        <w:tc>
          <w:tcPr>
            <w:tcW w:w="1318" w:type="dxa"/>
            <w:gridSpan w:val="2"/>
            <w:vAlign w:val="center"/>
          </w:tcPr>
          <w:p w14:paraId="2BFFC8DE">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76" w:type="dxa"/>
            <w:gridSpan w:val="6"/>
            <w:vAlign w:val="center"/>
          </w:tcPr>
          <w:p w14:paraId="3B64829F">
            <w:pPr>
              <w:jc w:val="center"/>
              <w:rPr>
                <w:color w:val="auto"/>
                <w:highlight w:val="none"/>
              </w:rPr>
            </w:pPr>
          </w:p>
        </w:tc>
        <w:tc>
          <w:tcPr>
            <w:tcW w:w="1209" w:type="dxa"/>
            <w:vAlign w:val="center"/>
          </w:tcPr>
          <w:p w14:paraId="166640D6">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5E2E2CCB">
            <w:pPr>
              <w:jc w:val="center"/>
              <w:rPr>
                <w:color w:val="auto"/>
                <w:highlight w:val="none"/>
              </w:rPr>
            </w:pPr>
          </w:p>
        </w:tc>
      </w:tr>
      <w:tr w14:paraId="1FCF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4132F9B1">
            <w:pPr>
              <w:jc w:val="center"/>
              <w:rPr>
                <w:color w:val="auto"/>
                <w:highlight w:val="none"/>
              </w:rPr>
            </w:pPr>
            <w:r>
              <w:rPr>
                <w:rFonts w:hint="eastAsia"/>
                <w:color w:val="auto"/>
                <w:highlight w:val="none"/>
              </w:rPr>
              <w:t>证书名称</w:t>
            </w:r>
          </w:p>
        </w:tc>
        <w:tc>
          <w:tcPr>
            <w:tcW w:w="1188" w:type="dxa"/>
            <w:gridSpan w:val="2"/>
            <w:vAlign w:val="center"/>
          </w:tcPr>
          <w:p w14:paraId="23F7FBF3">
            <w:pPr>
              <w:jc w:val="center"/>
              <w:rPr>
                <w:color w:val="auto"/>
                <w:highlight w:val="none"/>
              </w:rPr>
            </w:pPr>
            <w:r>
              <w:rPr>
                <w:rFonts w:hint="eastAsia"/>
                <w:color w:val="auto"/>
                <w:highlight w:val="none"/>
              </w:rPr>
              <w:t>注册专业</w:t>
            </w:r>
          </w:p>
        </w:tc>
        <w:tc>
          <w:tcPr>
            <w:tcW w:w="1222" w:type="dxa"/>
            <w:gridSpan w:val="3"/>
            <w:vAlign w:val="center"/>
          </w:tcPr>
          <w:p w14:paraId="60292988">
            <w:pPr>
              <w:jc w:val="center"/>
              <w:rPr>
                <w:color w:val="auto"/>
                <w:highlight w:val="none"/>
              </w:rPr>
            </w:pPr>
            <w:r>
              <w:rPr>
                <w:color w:val="auto"/>
                <w:highlight w:val="none"/>
              </w:rPr>
              <w:t>级别</w:t>
            </w:r>
          </w:p>
        </w:tc>
        <w:tc>
          <w:tcPr>
            <w:tcW w:w="1417" w:type="dxa"/>
            <w:gridSpan w:val="3"/>
            <w:vAlign w:val="center"/>
          </w:tcPr>
          <w:p w14:paraId="38C1F4BD">
            <w:pPr>
              <w:jc w:val="center"/>
              <w:rPr>
                <w:color w:val="auto"/>
                <w:highlight w:val="none"/>
              </w:rPr>
            </w:pPr>
            <w:r>
              <w:rPr>
                <w:rFonts w:hint="eastAsia" w:cs="宋体"/>
                <w:color w:val="auto"/>
                <w:highlight w:val="none"/>
              </w:rPr>
              <w:t>证书编号</w:t>
            </w:r>
          </w:p>
        </w:tc>
        <w:tc>
          <w:tcPr>
            <w:tcW w:w="1418" w:type="dxa"/>
            <w:gridSpan w:val="3"/>
            <w:vAlign w:val="center"/>
          </w:tcPr>
          <w:p w14:paraId="702C5547">
            <w:pPr>
              <w:jc w:val="center"/>
              <w:rPr>
                <w:color w:val="auto"/>
                <w:highlight w:val="none"/>
              </w:rPr>
            </w:pPr>
            <w:r>
              <w:rPr>
                <w:rFonts w:hint="eastAsia"/>
                <w:color w:val="auto"/>
                <w:highlight w:val="none"/>
              </w:rPr>
              <w:t>注册时间</w:t>
            </w:r>
          </w:p>
        </w:tc>
        <w:tc>
          <w:tcPr>
            <w:tcW w:w="1632" w:type="dxa"/>
            <w:gridSpan w:val="4"/>
            <w:vAlign w:val="center"/>
          </w:tcPr>
          <w:p w14:paraId="71E087FD">
            <w:pPr>
              <w:jc w:val="center"/>
              <w:rPr>
                <w:color w:val="auto"/>
                <w:highlight w:val="none"/>
              </w:rPr>
            </w:pPr>
            <w:r>
              <w:rPr>
                <w:rFonts w:hint="eastAsia"/>
                <w:color w:val="auto"/>
                <w:highlight w:val="none"/>
              </w:rPr>
              <w:t>注册单位</w:t>
            </w:r>
          </w:p>
        </w:tc>
        <w:tc>
          <w:tcPr>
            <w:tcW w:w="1416" w:type="dxa"/>
            <w:gridSpan w:val="2"/>
            <w:vAlign w:val="center"/>
          </w:tcPr>
          <w:p w14:paraId="5646C85E">
            <w:pPr>
              <w:jc w:val="center"/>
              <w:rPr>
                <w:color w:val="auto"/>
                <w:highlight w:val="none"/>
              </w:rPr>
            </w:pPr>
            <w:r>
              <w:rPr>
                <w:rFonts w:hint="eastAsia"/>
                <w:color w:val="auto"/>
                <w:highlight w:val="none"/>
              </w:rPr>
              <w:t>注册有效期</w:t>
            </w:r>
          </w:p>
        </w:tc>
      </w:tr>
      <w:tr w14:paraId="5F1E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66511F9D">
            <w:pPr>
              <w:jc w:val="center"/>
              <w:rPr>
                <w:color w:val="auto"/>
                <w:highlight w:val="none"/>
              </w:rPr>
            </w:pPr>
          </w:p>
        </w:tc>
        <w:tc>
          <w:tcPr>
            <w:tcW w:w="1188" w:type="dxa"/>
            <w:gridSpan w:val="2"/>
            <w:vAlign w:val="center"/>
          </w:tcPr>
          <w:p w14:paraId="276CDA53">
            <w:pPr>
              <w:jc w:val="center"/>
              <w:rPr>
                <w:color w:val="auto"/>
                <w:highlight w:val="none"/>
              </w:rPr>
            </w:pPr>
          </w:p>
        </w:tc>
        <w:tc>
          <w:tcPr>
            <w:tcW w:w="1222" w:type="dxa"/>
            <w:gridSpan w:val="3"/>
            <w:vAlign w:val="center"/>
          </w:tcPr>
          <w:p w14:paraId="77A7D695">
            <w:pPr>
              <w:jc w:val="center"/>
              <w:rPr>
                <w:rFonts w:cs="宋体"/>
                <w:color w:val="auto"/>
                <w:highlight w:val="none"/>
              </w:rPr>
            </w:pPr>
          </w:p>
        </w:tc>
        <w:tc>
          <w:tcPr>
            <w:tcW w:w="1417" w:type="dxa"/>
            <w:gridSpan w:val="3"/>
            <w:vAlign w:val="center"/>
          </w:tcPr>
          <w:p w14:paraId="6A9A56AF">
            <w:pPr>
              <w:jc w:val="center"/>
              <w:rPr>
                <w:color w:val="auto"/>
                <w:highlight w:val="none"/>
              </w:rPr>
            </w:pPr>
          </w:p>
        </w:tc>
        <w:tc>
          <w:tcPr>
            <w:tcW w:w="1418" w:type="dxa"/>
            <w:gridSpan w:val="3"/>
            <w:vAlign w:val="center"/>
          </w:tcPr>
          <w:p w14:paraId="1CCC593D">
            <w:pPr>
              <w:jc w:val="center"/>
              <w:rPr>
                <w:color w:val="auto"/>
                <w:highlight w:val="none"/>
              </w:rPr>
            </w:pPr>
          </w:p>
        </w:tc>
        <w:tc>
          <w:tcPr>
            <w:tcW w:w="1632" w:type="dxa"/>
            <w:gridSpan w:val="4"/>
            <w:vAlign w:val="center"/>
          </w:tcPr>
          <w:p w14:paraId="3CD08B9A">
            <w:pPr>
              <w:jc w:val="center"/>
              <w:rPr>
                <w:color w:val="auto"/>
                <w:highlight w:val="none"/>
              </w:rPr>
            </w:pPr>
          </w:p>
        </w:tc>
        <w:tc>
          <w:tcPr>
            <w:tcW w:w="1416" w:type="dxa"/>
            <w:gridSpan w:val="2"/>
            <w:vAlign w:val="center"/>
          </w:tcPr>
          <w:p w14:paraId="177F7C64">
            <w:pPr>
              <w:jc w:val="center"/>
              <w:rPr>
                <w:color w:val="auto"/>
                <w:highlight w:val="none"/>
              </w:rPr>
            </w:pPr>
          </w:p>
        </w:tc>
      </w:tr>
      <w:tr w14:paraId="6A01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21C8A475">
            <w:pPr>
              <w:jc w:val="center"/>
              <w:rPr>
                <w:color w:val="auto"/>
                <w:highlight w:val="none"/>
              </w:rPr>
            </w:pPr>
          </w:p>
        </w:tc>
        <w:tc>
          <w:tcPr>
            <w:tcW w:w="1188" w:type="dxa"/>
            <w:gridSpan w:val="2"/>
            <w:vAlign w:val="center"/>
          </w:tcPr>
          <w:p w14:paraId="52861820">
            <w:pPr>
              <w:jc w:val="center"/>
              <w:rPr>
                <w:color w:val="auto"/>
                <w:highlight w:val="none"/>
              </w:rPr>
            </w:pPr>
          </w:p>
        </w:tc>
        <w:tc>
          <w:tcPr>
            <w:tcW w:w="1222" w:type="dxa"/>
            <w:gridSpan w:val="3"/>
            <w:vAlign w:val="center"/>
          </w:tcPr>
          <w:p w14:paraId="306941DE">
            <w:pPr>
              <w:jc w:val="center"/>
              <w:rPr>
                <w:rFonts w:cs="宋体"/>
                <w:color w:val="auto"/>
                <w:highlight w:val="none"/>
              </w:rPr>
            </w:pPr>
          </w:p>
        </w:tc>
        <w:tc>
          <w:tcPr>
            <w:tcW w:w="1417" w:type="dxa"/>
            <w:gridSpan w:val="3"/>
            <w:vAlign w:val="center"/>
          </w:tcPr>
          <w:p w14:paraId="648C9F9F">
            <w:pPr>
              <w:jc w:val="center"/>
              <w:rPr>
                <w:color w:val="auto"/>
                <w:highlight w:val="none"/>
              </w:rPr>
            </w:pPr>
          </w:p>
        </w:tc>
        <w:tc>
          <w:tcPr>
            <w:tcW w:w="1418" w:type="dxa"/>
            <w:gridSpan w:val="3"/>
            <w:vAlign w:val="center"/>
          </w:tcPr>
          <w:p w14:paraId="39A1B839">
            <w:pPr>
              <w:jc w:val="center"/>
              <w:rPr>
                <w:color w:val="auto"/>
                <w:highlight w:val="none"/>
              </w:rPr>
            </w:pPr>
          </w:p>
        </w:tc>
        <w:tc>
          <w:tcPr>
            <w:tcW w:w="1632" w:type="dxa"/>
            <w:gridSpan w:val="4"/>
            <w:vAlign w:val="center"/>
          </w:tcPr>
          <w:p w14:paraId="5E6D79B3">
            <w:pPr>
              <w:jc w:val="center"/>
              <w:rPr>
                <w:color w:val="auto"/>
                <w:highlight w:val="none"/>
              </w:rPr>
            </w:pPr>
          </w:p>
        </w:tc>
        <w:tc>
          <w:tcPr>
            <w:tcW w:w="1416" w:type="dxa"/>
            <w:gridSpan w:val="2"/>
            <w:vAlign w:val="center"/>
          </w:tcPr>
          <w:p w14:paraId="6E87D77F">
            <w:pPr>
              <w:jc w:val="center"/>
              <w:rPr>
                <w:color w:val="auto"/>
                <w:highlight w:val="none"/>
              </w:rPr>
            </w:pPr>
          </w:p>
        </w:tc>
      </w:tr>
      <w:tr w14:paraId="491E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55371164">
            <w:pPr>
              <w:jc w:val="center"/>
              <w:rPr>
                <w:color w:val="auto"/>
                <w:highlight w:val="none"/>
              </w:rPr>
            </w:pPr>
            <w:r>
              <w:rPr>
                <w:rFonts w:hint="eastAsia" w:cs="宋体"/>
                <w:color w:val="auto"/>
                <w:highlight w:val="none"/>
              </w:rPr>
              <w:t>在建和已完工程项目情况</w:t>
            </w:r>
          </w:p>
        </w:tc>
      </w:tr>
      <w:tr w14:paraId="4265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3D4A7E95">
            <w:pPr>
              <w:jc w:val="center"/>
              <w:rPr>
                <w:color w:val="auto"/>
                <w:highlight w:val="none"/>
              </w:rPr>
            </w:pPr>
          </w:p>
        </w:tc>
        <w:tc>
          <w:tcPr>
            <w:tcW w:w="1548" w:type="dxa"/>
            <w:gridSpan w:val="2"/>
            <w:vAlign w:val="center"/>
          </w:tcPr>
          <w:p w14:paraId="1386719D">
            <w:pPr>
              <w:jc w:val="center"/>
              <w:rPr>
                <w:color w:val="auto"/>
                <w:highlight w:val="none"/>
              </w:rPr>
            </w:pPr>
            <w:r>
              <w:rPr>
                <w:rFonts w:hint="eastAsia"/>
                <w:color w:val="auto"/>
                <w:highlight w:val="none"/>
              </w:rPr>
              <w:t>项目1</w:t>
            </w:r>
          </w:p>
        </w:tc>
        <w:tc>
          <w:tcPr>
            <w:tcW w:w="1837" w:type="dxa"/>
            <w:gridSpan w:val="4"/>
            <w:vAlign w:val="center"/>
          </w:tcPr>
          <w:p w14:paraId="7AAB5AEF">
            <w:pPr>
              <w:jc w:val="center"/>
              <w:rPr>
                <w:color w:val="auto"/>
                <w:highlight w:val="none"/>
              </w:rPr>
            </w:pPr>
            <w:r>
              <w:rPr>
                <w:rFonts w:hint="eastAsia"/>
                <w:color w:val="auto"/>
                <w:highlight w:val="none"/>
              </w:rPr>
              <w:t>项目2</w:t>
            </w:r>
          </w:p>
        </w:tc>
        <w:tc>
          <w:tcPr>
            <w:tcW w:w="1472" w:type="dxa"/>
            <w:gridSpan w:val="3"/>
            <w:vAlign w:val="center"/>
          </w:tcPr>
          <w:p w14:paraId="716D2670">
            <w:pPr>
              <w:jc w:val="center"/>
              <w:rPr>
                <w:color w:val="auto"/>
                <w:highlight w:val="none"/>
              </w:rPr>
            </w:pPr>
            <w:r>
              <w:rPr>
                <w:rFonts w:hint="eastAsia"/>
                <w:color w:val="auto"/>
                <w:highlight w:val="none"/>
              </w:rPr>
              <w:t>项目3</w:t>
            </w:r>
          </w:p>
        </w:tc>
        <w:tc>
          <w:tcPr>
            <w:tcW w:w="1641" w:type="dxa"/>
            <w:gridSpan w:val="4"/>
            <w:vAlign w:val="center"/>
          </w:tcPr>
          <w:p w14:paraId="2B1F66D6">
            <w:pPr>
              <w:jc w:val="center"/>
              <w:rPr>
                <w:color w:val="auto"/>
                <w:highlight w:val="none"/>
              </w:rPr>
            </w:pPr>
            <w:r>
              <w:rPr>
                <w:rFonts w:hint="eastAsia"/>
                <w:color w:val="auto"/>
                <w:highlight w:val="none"/>
              </w:rPr>
              <w:t>项目4</w:t>
            </w:r>
          </w:p>
        </w:tc>
        <w:tc>
          <w:tcPr>
            <w:tcW w:w="1484" w:type="dxa"/>
            <w:gridSpan w:val="2"/>
            <w:vAlign w:val="center"/>
          </w:tcPr>
          <w:p w14:paraId="1F8D51CB">
            <w:pPr>
              <w:jc w:val="center"/>
              <w:rPr>
                <w:color w:val="auto"/>
                <w:highlight w:val="none"/>
              </w:rPr>
            </w:pPr>
            <w:r>
              <w:rPr>
                <w:rFonts w:hint="eastAsia"/>
                <w:color w:val="auto"/>
                <w:highlight w:val="none"/>
              </w:rPr>
              <w:t>……</w:t>
            </w:r>
          </w:p>
        </w:tc>
      </w:tr>
      <w:tr w14:paraId="5FC7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265A68CC">
            <w:pPr>
              <w:jc w:val="center"/>
              <w:rPr>
                <w:color w:val="auto"/>
                <w:highlight w:val="none"/>
              </w:rPr>
            </w:pPr>
            <w:r>
              <w:rPr>
                <w:rFonts w:hint="eastAsia"/>
                <w:color w:val="auto"/>
                <w:highlight w:val="none"/>
              </w:rPr>
              <w:t>项目名称</w:t>
            </w:r>
          </w:p>
        </w:tc>
        <w:tc>
          <w:tcPr>
            <w:tcW w:w="1548" w:type="dxa"/>
            <w:gridSpan w:val="2"/>
            <w:vAlign w:val="center"/>
          </w:tcPr>
          <w:p w14:paraId="06F0D26C">
            <w:pPr>
              <w:jc w:val="center"/>
              <w:rPr>
                <w:color w:val="auto"/>
                <w:highlight w:val="none"/>
              </w:rPr>
            </w:pPr>
          </w:p>
        </w:tc>
        <w:tc>
          <w:tcPr>
            <w:tcW w:w="1837" w:type="dxa"/>
            <w:gridSpan w:val="4"/>
            <w:vAlign w:val="center"/>
          </w:tcPr>
          <w:p w14:paraId="049E5D0A">
            <w:pPr>
              <w:jc w:val="center"/>
              <w:rPr>
                <w:color w:val="auto"/>
                <w:highlight w:val="none"/>
              </w:rPr>
            </w:pPr>
          </w:p>
        </w:tc>
        <w:tc>
          <w:tcPr>
            <w:tcW w:w="1472" w:type="dxa"/>
            <w:gridSpan w:val="3"/>
            <w:vAlign w:val="center"/>
          </w:tcPr>
          <w:p w14:paraId="3733660E">
            <w:pPr>
              <w:jc w:val="center"/>
              <w:rPr>
                <w:color w:val="auto"/>
                <w:highlight w:val="none"/>
              </w:rPr>
            </w:pPr>
          </w:p>
        </w:tc>
        <w:tc>
          <w:tcPr>
            <w:tcW w:w="1641" w:type="dxa"/>
            <w:gridSpan w:val="4"/>
            <w:vAlign w:val="center"/>
          </w:tcPr>
          <w:p w14:paraId="6B1E9955">
            <w:pPr>
              <w:jc w:val="center"/>
              <w:rPr>
                <w:color w:val="auto"/>
                <w:highlight w:val="none"/>
              </w:rPr>
            </w:pPr>
          </w:p>
        </w:tc>
        <w:tc>
          <w:tcPr>
            <w:tcW w:w="1484" w:type="dxa"/>
            <w:gridSpan w:val="2"/>
            <w:vAlign w:val="center"/>
          </w:tcPr>
          <w:p w14:paraId="71917306">
            <w:pPr>
              <w:jc w:val="center"/>
              <w:rPr>
                <w:color w:val="auto"/>
                <w:highlight w:val="none"/>
              </w:rPr>
            </w:pPr>
          </w:p>
        </w:tc>
      </w:tr>
      <w:tr w14:paraId="2021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2A72DF1">
            <w:pPr>
              <w:jc w:val="center"/>
              <w:rPr>
                <w:color w:val="auto"/>
                <w:highlight w:val="none"/>
              </w:rPr>
            </w:pPr>
            <w:r>
              <w:rPr>
                <w:rFonts w:hint="eastAsia" w:cs="宋体"/>
                <w:color w:val="auto"/>
                <w:highlight w:val="none"/>
              </w:rPr>
              <w:t>建设单位</w:t>
            </w:r>
          </w:p>
        </w:tc>
        <w:tc>
          <w:tcPr>
            <w:tcW w:w="1548" w:type="dxa"/>
            <w:gridSpan w:val="2"/>
            <w:vAlign w:val="center"/>
          </w:tcPr>
          <w:p w14:paraId="6289497B">
            <w:pPr>
              <w:jc w:val="center"/>
              <w:rPr>
                <w:color w:val="auto"/>
                <w:highlight w:val="none"/>
              </w:rPr>
            </w:pPr>
          </w:p>
        </w:tc>
        <w:tc>
          <w:tcPr>
            <w:tcW w:w="1837" w:type="dxa"/>
            <w:gridSpan w:val="4"/>
            <w:vAlign w:val="center"/>
          </w:tcPr>
          <w:p w14:paraId="71B392EA">
            <w:pPr>
              <w:jc w:val="center"/>
              <w:rPr>
                <w:color w:val="auto"/>
                <w:highlight w:val="none"/>
              </w:rPr>
            </w:pPr>
          </w:p>
        </w:tc>
        <w:tc>
          <w:tcPr>
            <w:tcW w:w="1472" w:type="dxa"/>
            <w:gridSpan w:val="3"/>
            <w:vAlign w:val="center"/>
          </w:tcPr>
          <w:p w14:paraId="3E211AF4">
            <w:pPr>
              <w:jc w:val="center"/>
              <w:rPr>
                <w:color w:val="auto"/>
                <w:highlight w:val="none"/>
              </w:rPr>
            </w:pPr>
          </w:p>
        </w:tc>
        <w:tc>
          <w:tcPr>
            <w:tcW w:w="1641" w:type="dxa"/>
            <w:gridSpan w:val="4"/>
            <w:vAlign w:val="center"/>
          </w:tcPr>
          <w:p w14:paraId="66827B5D">
            <w:pPr>
              <w:jc w:val="center"/>
              <w:rPr>
                <w:color w:val="auto"/>
                <w:highlight w:val="none"/>
              </w:rPr>
            </w:pPr>
          </w:p>
        </w:tc>
        <w:tc>
          <w:tcPr>
            <w:tcW w:w="1484" w:type="dxa"/>
            <w:gridSpan w:val="2"/>
            <w:vAlign w:val="center"/>
          </w:tcPr>
          <w:p w14:paraId="52E4D582">
            <w:pPr>
              <w:jc w:val="center"/>
              <w:rPr>
                <w:color w:val="auto"/>
                <w:highlight w:val="none"/>
              </w:rPr>
            </w:pPr>
          </w:p>
        </w:tc>
      </w:tr>
      <w:tr w14:paraId="053A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8EDF796">
            <w:pPr>
              <w:jc w:val="center"/>
              <w:rPr>
                <w:color w:val="auto"/>
                <w:highlight w:val="none"/>
              </w:rPr>
            </w:pPr>
            <w:r>
              <w:rPr>
                <w:rFonts w:hint="eastAsia" w:cs="宋体"/>
                <w:color w:val="auto"/>
                <w:highlight w:val="none"/>
              </w:rPr>
              <w:t>建设规模</w:t>
            </w:r>
          </w:p>
        </w:tc>
        <w:tc>
          <w:tcPr>
            <w:tcW w:w="1548" w:type="dxa"/>
            <w:gridSpan w:val="2"/>
            <w:vAlign w:val="center"/>
          </w:tcPr>
          <w:p w14:paraId="16EA58FF">
            <w:pPr>
              <w:jc w:val="center"/>
              <w:rPr>
                <w:color w:val="auto"/>
                <w:highlight w:val="none"/>
              </w:rPr>
            </w:pPr>
          </w:p>
        </w:tc>
        <w:tc>
          <w:tcPr>
            <w:tcW w:w="1837" w:type="dxa"/>
            <w:gridSpan w:val="4"/>
            <w:vAlign w:val="center"/>
          </w:tcPr>
          <w:p w14:paraId="6CCF05DA">
            <w:pPr>
              <w:jc w:val="center"/>
              <w:rPr>
                <w:color w:val="auto"/>
                <w:highlight w:val="none"/>
              </w:rPr>
            </w:pPr>
          </w:p>
        </w:tc>
        <w:tc>
          <w:tcPr>
            <w:tcW w:w="1472" w:type="dxa"/>
            <w:gridSpan w:val="3"/>
            <w:vAlign w:val="center"/>
          </w:tcPr>
          <w:p w14:paraId="33655536">
            <w:pPr>
              <w:jc w:val="center"/>
              <w:rPr>
                <w:color w:val="auto"/>
                <w:highlight w:val="none"/>
              </w:rPr>
            </w:pPr>
          </w:p>
        </w:tc>
        <w:tc>
          <w:tcPr>
            <w:tcW w:w="1641" w:type="dxa"/>
            <w:gridSpan w:val="4"/>
            <w:vAlign w:val="center"/>
          </w:tcPr>
          <w:p w14:paraId="56E399D3">
            <w:pPr>
              <w:jc w:val="center"/>
              <w:rPr>
                <w:color w:val="auto"/>
                <w:highlight w:val="none"/>
              </w:rPr>
            </w:pPr>
          </w:p>
        </w:tc>
        <w:tc>
          <w:tcPr>
            <w:tcW w:w="1484" w:type="dxa"/>
            <w:gridSpan w:val="2"/>
            <w:vAlign w:val="center"/>
          </w:tcPr>
          <w:p w14:paraId="15AADB57">
            <w:pPr>
              <w:jc w:val="center"/>
              <w:rPr>
                <w:color w:val="auto"/>
                <w:highlight w:val="none"/>
              </w:rPr>
            </w:pPr>
          </w:p>
        </w:tc>
      </w:tr>
      <w:tr w14:paraId="3FF6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7E9902C">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58897F73">
            <w:pPr>
              <w:jc w:val="center"/>
              <w:rPr>
                <w:color w:val="auto"/>
                <w:highlight w:val="none"/>
              </w:rPr>
            </w:pPr>
          </w:p>
        </w:tc>
        <w:tc>
          <w:tcPr>
            <w:tcW w:w="1837" w:type="dxa"/>
            <w:gridSpan w:val="4"/>
            <w:vAlign w:val="center"/>
          </w:tcPr>
          <w:p w14:paraId="5126E7C7">
            <w:pPr>
              <w:jc w:val="center"/>
              <w:rPr>
                <w:color w:val="auto"/>
                <w:highlight w:val="none"/>
              </w:rPr>
            </w:pPr>
          </w:p>
        </w:tc>
        <w:tc>
          <w:tcPr>
            <w:tcW w:w="1472" w:type="dxa"/>
            <w:gridSpan w:val="3"/>
            <w:vAlign w:val="center"/>
          </w:tcPr>
          <w:p w14:paraId="0838DEFD">
            <w:pPr>
              <w:jc w:val="center"/>
              <w:rPr>
                <w:color w:val="auto"/>
                <w:highlight w:val="none"/>
              </w:rPr>
            </w:pPr>
          </w:p>
        </w:tc>
        <w:tc>
          <w:tcPr>
            <w:tcW w:w="1641" w:type="dxa"/>
            <w:gridSpan w:val="4"/>
            <w:vAlign w:val="center"/>
          </w:tcPr>
          <w:p w14:paraId="40805539">
            <w:pPr>
              <w:jc w:val="center"/>
              <w:rPr>
                <w:color w:val="auto"/>
                <w:highlight w:val="none"/>
              </w:rPr>
            </w:pPr>
          </w:p>
        </w:tc>
        <w:tc>
          <w:tcPr>
            <w:tcW w:w="1484" w:type="dxa"/>
            <w:gridSpan w:val="2"/>
            <w:vAlign w:val="center"/>
          </w:tcPr>
          <w:p w14:paraId="56762533">
            <w:pPr>
              <w:jc w:val="center"/>
              <w:rPr>
                <w:color w:val="auto"/>
                <w:highlight w:val="none"/>
              </w:rPr>
            </w:pPr>
          </w:p>
        </w:tc>
      </w:tr>
      <w:tr w14:paraId="710E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10B4CB9E">
            <w:pPr>
              <w:jc w:val="center"/>
              <w:rPr>
                <w:color w:val="auto"/>
                <w:highlight w:val="none"/>
              </w:rPr>
            </w:pPr>
            <w:r>
              <w:rPr>
                <w:rFonts w:hint="eastAsia" w:cs="宋体"/>
                <w:color w:val="auto"/>
                <w:highlight w:val="none"/>
              </w:rPr>
              <w:t>竣工日期</w:t>
            </w:r>
          </w:p>
        </w:tc>
        <w:tc>
          <w:tcPr>
            <w:tcW w:w="1548" w:type="dxa"/>
            <w:gridSpan w:val="2"/>
            <w:vAlign w:val="center"/>
          </w:tcPr>
          <w:p w14:paraId="42108669">
            <w:pPr>
              <w:jc w:val="center"/>
              <w:rPr>
                <w:color w:val="auto"/>
                <w:highlight w:val="none"/>
              </w:rPr>
            </w:pPr>
          </w:p>
        </w:tc>
        <w:tc>
          <w:tcPr>
            <w:tcW w:w="1837" w:type="dxa"/>
            <w:gridSpan w:val="4"/>
            <w:vAlign w:val="center"/>
          </w:tcPr>
          <w:p w14:paraId="4E7A95A7">
            <w:pPr>
              <w:jc w:val="center"/>
              <w:rPr>
                <w:color w:val="auto"/>
                <w:highlight w:val="none"/>
              </w:rPr>
            </w:pPr>
          </w:p>
        </w:tc>
        <w:tc>
          <w:tcPr>
            <w:tcW w:w="1472" w:type="dxa"/>
            <w:gridSpan w:val="3"/>
            <w:vAlign w:val="center"/>
          </w:tcPr>
          <w:p w14:paraId="08DD6D34">
            <w:pPr>
              <w:jc w:val="center"/>
              <w:rPr>
                <w:color w:val="auto"/>
                <w:highlight w:val="none"/>
              </w:rPr>
            </w:pPr>
          </w:p>
        </w:tc>
        <w:tc>
          <w:tcPr>
            <w:tcW w:w="1641" w:type="dxa"/>
            <w:gridSpan w:val="4"/>
            <w:vAlign w:val="center"/>
          </w:tcPr>
          <w:p w14:paraId="386CDDA5">
            <w:pPr>
              <w:jc w:val="center"/>
              <w:rPr>
                <w:color w:val="auto"/>
                <w:highlight w:val="none"/>
              </w:rPr>
            </w:pPr>
          </w:p>
        </w:tc>
        <w:tc>
          <w:tcPr>
            <w:tcW w:w="1484" w:type="dxa"/>
            <w:gridSpan w:val="2"/>
            <w:vAlign w:val="center"/>
          </w:tcPr>
          <w:p w14:paraId="717336E0">
            <w:pPr>
              <w:jc w:val="center"/>
              <w:rPr>
                <w:color w:val="auto"/>
                <w:highlight w:val="none"/>
              </w:rPr>
            </w:pPr>
          </w:p>
        </w:tc>
      </w:tr>
      <w:tr w14:paraId="2734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97039AC">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3CF9F4D4">
            <w:pPr>
              <w:jc w:val="center"/>
              <w:rPr>
                <w:color w:val="auto"/>
                <w:highlight w:val="none"/>
              </w:rPr>
            </w:pPr>
          </w:p>
        </w:tc>
        <w:tc>
          <w:tcPr>
            <w:tcW w:w="1837" w:type="dxa"/>
            <w:gridSpan w:val="4"/>
            <w:vAlign w:val="center"/>
          </w:tcPr>
          <w:p w14:paraId="5561A2E0">
            <w:pPr>
              <w:jc w:val="center"/>
              <w:rPr>
                <w:color w:val="auto"/>
                <w:highlight w:val="none"/>
              </w:rPr>
            </w:pPr>
          </w:p>
        </w:tc>
        <w:tc>
          <w:tcPr>
            <w:tcW w:w="1472" w:type="dxa"/>
            <w:gridSpan w:val="3"/>
            <w:vAlign w:val="center"/>
          </w:tcPr>
          <w:p w14:paraId="0445C275">
            <w:pPr>
              <w:jc w:val="center"/>
              <w:rPr>
                <w:color w:val="auto"/>
                <w:highlight w:val="none"/>
              </w:rPr>
            </w:pPr>
          </w:p>
        </w:tc>
        <w:tc>
          <w:tcPr>
            <w:tcW w:w="1641" w:type="dxa"/>
            <w:gridSpan w:val="4"/>
            <w:vAlign w:val="center"/>
          </w:tcPr>
          <w:p w14:paraId="54664499">
            <w:pPr>
              <w:jc w:val="center"/>
              <w:rPr>
                <w:color w:val="auto"/>
                <w:highlight w:val="none"/>
              </w:rPr>
            </w:pPr>
          </w:p>
        </w:tc>
        <w:tc>
          <w:tcPr>
            <w:tcW w:w="1484" w:type="dxa"/>
            <w:gridSpan w:val="2"/>
            <w:vAlign w:val="center"/>
          </w:tcPr>
          <w:p w14:paraId="3FF70A63">
            <w:pPr>
              <w:jc w:val="center"/>
              <w:rPr>
                <w:color w:val="auto"/>
                <w:highlight w:val="none"/>
              </w:rPr>
            </w:pPr>
          </w:p>
        </w:tc>
      </w:tr>
      <w:tr w14:paraId="6260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1CC3E94">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0315EDDF">
            <w:pPr>
              <w:jc w:val="center"/>
              <w:rPr>
                <w:color w:val="auto"/>
                <w:highlight w:val="none"/>
              </w:rPr>
            </w:pPr>
          </w:p>
        </w:tc>
        <w:tc>
          <w:tcPr>
            <w:tcW w:w="1837" w:type="dxa"/>
            <w:gridSpan w:val="4"/>
            <w:vAlign w:val="center"/>
          </w:tcPr>
          <w:p w14:paraId="37AFF63E">
            <w:pPr>
              <w:jc w:val="center"/>
              <w:rPr>
                <w:color w:val="auto"/>
                <w:highlight w:val="none"/>
              </w:rPr>
            </w:pPr>
          </w:p>
        </w:tc>
        <w:tc>
          <w:tcPr>
            <w:tcW w:w="1472" w:type="dxa"/>
            <w:gridSpan w:val="3"/>
            <w:vAlign w:val="center"/>
          </w:tcPr>
          <w:p w14:paraId="6504B516">
            <w:pPr>
              <w:jc w:val="center"/>
              <w:rPr>
                <w:color w:val="auto"/>
                <w:highlight w:val="none"/>
              </w:rPr>
            </w:pPr>
          </w:p>
        </w:tc>
        <w:tc>
          <w:tcPr>
            <w:tcW w:w="1641" w:type="dxa"/>
            <w:gridSpan w:val="4"/>
            <w:vAlign w:val="center"/>
          </w:tcPr>
          <w:p w14:paraId="5F78D932">
            <w:pPr>
              <w:jc w:val="center"/>
              <w:rPr>
                <w:color w:val="auto"/>
                <w:highlight w:val="none"/>
              </w:rPr>
            </w:pPr>
          </w:p>
        </w:tc>
        <w:tc>
          <w:tcPr>
            <w:tcW w:w="1484" w:type="dxa"/>
            <w:gridSpan w:val="2"/>
            <w:vAlign w:val="center"/>
          </w:tcPr>
          <w:p w14:paraId="4CF421DA">
            <w:pPr>
              <w:jc w:val="center"/>
              <w:rPr>
                <w:color w:val="auto"/>
                <w:highlight w:val="none"/>
              </w:rPr>
            </w:pPr>
          </w:p>
        </w:tc>
      </w:tr>
      <w:tr w14:paraId="750A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AD5F89A">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551C1BE8">
            <w:pPr>
              <w:jc w:val="center"/>
              <w:rPr>
                <w:color w:val="auto"/>
                <w:highlight w:val="none"/>
              </w:rPr>
            </w:pPr>
          </w:p>
        </w:tc>
        <w:tc>
          <w:tcPr>
            <w:tcW w:w="1837" w:type="dxa"/>
            <w:gridSpan w:val="4"/>
            <w:vAlign w:val="center"/>
          </w:tcPr>
          <w:p w14:paraId="153AD365">
            <w:pPr>
              <w:jc w:val="center"/>
              <w:rPr>
                <w:color w:val="auto"/>
                <w:highlight w:val="none"/>
              </w:rPr>
            </w:pPr>
          </w:p>
        </w:tc>
        <w:tc>
          <w:tcPr>
            <w:tcW w:w="1472" w:type="dxa"/>
            <w:gridSpan w:val="3"/>
            <w:vAlign w:val="center"/>
          </w:tcPr>
          <w:p w14:paraId="59756755">
            <w:pPr>
              <w:jc w:val="center"/>
              <w:rPr>
                <w:color w:val="auto"/>
                <w:highlight w:val="none"/>
              </w:rPr>
            </w:pPr>
          </w:p>
        </w:tc>
        <w:tc>
          <w:tcPr>
            <w:tcW w:w="1641" w:type="dxa"/>
            <w:gridSpan w:val="4"/>
            <w:vAlign w:val="center"/>
          </w:tcPr>
          <w:p w14:paraId="2F1D07BC">
            <w:pPr>
              <w:jc w:val="center"/>
              <w:rPr>
                <w:color w:val="auto"/>
                <w:highlight w:val="none"/>
              </w:rPr>
            </w:pPr>
          </w:p>
        </w:tc>
        <w:tc>
          <w:tcPr>
            <w:tcW w:w="1484" w:type="dxa"/>
            <w:gridSpan w:val="2"/>
            <w:vAlign w:val="center"/>
          </w:tcPr>
          <w:p w14:paraId="61E0A559">
            <w:pPr>
              <w:jc w:val="center"/>
              <w:rPr>
                <w:color w:val="auto"/>
                <w:highlight w:val="none"/>
              </w:rPr>
            </w:pPr>
          </w:p>
        </w:tc>
      </w:tr>
      <w:tr w14:paraId="1EB3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4DFDB43">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083D5917">
            <w:pPr>
              <w:jc w:val="center"/>
              <w:rPr>
                <w:color w:val="auto"/>
                <w:highlight w:val="none"/>
              </w:rPr>
            </w:pPr>
          </w:p>
        </w:tc>
        <w:tc>
          <w:tcPr>
            <w:tcW w:w="1837" w:type="dxa"/>
            <w:gridSpan w:val="4"/>
            <w:vAlign w:val="center"/>
          </w:tcPr>
          <w:p w14:paraId="767D6F59">
            <w:pPr>
              <w:jc w:val="center"/>
              <w:rPr>
                <w:color w:val="auto"/>
                <w:highlight w:val="none"/>
              </w:rPr>
            </w:pPr>
          </w:p>
        </w:tc>
        <w:tc>
          <w:tcPr>
            <w:tcW w:w="1472" w:type="dxa"/>
            <w:gridSpan w:val="3"/>
            <w:vAlign w:val="center"/>
          </w:tcPr>
          <w:p w14:paraId="2FD5A1B5">
            <w:pPr>
              <w:jc w:val="center"/>
              <w:rPr>
                <w:color w:val="auto"/>
                <w:highlight w:val="none"/>
              </w:rPr>
            </w:pPr>
          </w:p>
        </w:tc>
        <w:tc>
          <w:tcPr>
            <w:tcW w:w="1641" w:type="dxa"/>
            <w:gridSpan w:val="4"/>
            <w:vAlign w:val="center"/>
          </w:tcPr>
          <w:p w14:paraId="5518D146">
            <w:pPr>
              <w:jc w:val="center"/>
              <w:rPr>
                <w:color w:val="auto"/>
                <w:highlight w:val="none"/>
              </w:rPr>
            </w:pPr>
          </w:p>
        </w:tc>
        <w:tc>
          <w:tcPr>
            <w:tcW w:w="1484" w:type="dxa"/>
            <w:gridSpan w:val="2"/>
            <w:vAlign w:val="center"/>
          </w:tcPr>
          <w:p w14:paraId="4EE4C334">
            <w:pPr>
              <w:jc w:val="center"/>
              <w:rPr>
                <w:color w:val="auto"/>
                <w:highlight w:val="none"/>
              </w:rPr>
            </w:pPr>
          </w:p>
        </w:tc>
      </w:tr>
    </w:tbl>
    <w:p w14:paraId="712092F9">
      <w:pPr>
        <w:spacing w:line="360" w:lineRule="auto"/>
        <w:rPr>
          <w:rFonts w:ascii="宋体" w:hAnsi="宋体"/>
          <w:color w:val="auto"/>
          <w:szCs w:val="21"/>
          <w:highlight w:val="none"/>
        </w:rPr>
      </w:pPr>
      <w:r>
        <w:rPr>
          <w:rFonts w:hint="eastAsia" w:ascii="宋体" w:hAnsi="宋体" w:cs="楷体_GB2312"/>
          <w:color w:val="auto"/>
          <w:szCs w:val="21"/>
          <w:highlight w:val="none"/>
        </w:rPr>
        <w:t>备注：</w:t>
      </w:r>
    </w:p>
    <w:p w14:paraId="38326FED">
      <w:pPr>
        <w:spacing w:line="360" w:lineRule="auto"/>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10F205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2.本表后附项目技术负责人（项目总工）的学历证、本表所列证书扫描件并加盖供应商电子签章。</w:t>
      </w:r>
    </w:p>
    <w:p w14:paraId="704E4A7A">
      <w:pPr>
        <w:spacing w:line="360" w:lineRule="auto"/>
        <w:rPr>
          <w:rFonts w:eastAsia="楷体_GB2312"/>
          <w:color w:val="auto"/>
          <w:highlight w:val="none"/>
        </w:rPr>
      </w:pPr>
    </w:p>
    <w:p w14:paraId="7DAA405D">
      <w:pPr>
        <w:pStyle w:val="198"/>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color w:val="auto"/>
          <w:highlight w:val="none"/>
          <w:u w:val="single"/>
        </w:rPr>
      </w:pPr>
      <w:r>
        <w:rPr>
          <w:rFonts w:cs="宋体"/>
          <w:b/>
          <w:bCs/>
          <w:color w:val="auto"/>
          <w:sz w:val="28"/>
          <w:szCs w:val="28"/>
          <w:highlight w:val="none"/>
        </w:rPr>
        <w:br w:type="page"/>
      </w:r>
      <w:r>
        <w:rPr>
          <w:rFonts w:hint="eastAsia" w:cs="宋体"/>
          <w:b/>
          <w:color w:val="auto"/>
          <w:sz w:val="32"/>
          <w:szCs w:val="32"/>
          <w:highlight w:val="none"/>
        </w:rPr>
        <w:t>专职安全生产管理人员</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148EED42">
        <w:tblPrEx>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5301EC24">
            <w:pPr>
              <w:jc w:val="center"/>
              <w:rPr>
                <w:color w:val="auto"/>
                <w:highlight w:val="none"/>
              </w:rPr>
            </w:pPr>
            <w:r>
              <w:rPr>
                <w:rFonts w:hint="eastAsia" w:cs="宋体"/>
                <w:color w:val="auto"/>
                <w:highlight w:val="none"/>
              </w:rPr>
              <w:t>姓名</w:t>
            </w:r>
          </w:p>
        </w:tc>
        <w:tc>
          <w:tcPr>
            <w:tcW w:w="2340" w:type="dxa"/>
            <w:gridSpan w:val="5"/>
            <w:vAlign w:val="center"/>
          </w:tcPr>
          <w:p w14:paraId="2DF4FA2C">
            <w:pPr>
              <w:jc w:val="center"/>
              <w:rPr>
                <w:color w:val="auto"/>
                <w:highlight w:val="none"/>
              </w:rPr>
            </w:pPr>
          </w:p>
        </w:tc>
        <w:tc>
          <w:tcPr>
            <w:tcW w:w="1893" w:type="dxa"/>
            <w:gridSpan w:val="5"/>
            <w:vAlign w:val="center"/>
          </w:tcPr>
          <w:p w14:paraId="363F1363">
            <w:pPr>
              <w:jc w:val="center"/>
              <w:rPr>
                <w:color w:val="auto"/>
                <w:highlight w:val="none"/>
              </w:rPr>
            </w:pPr>
            <w:r>
              <w:rPr>
                <w:rFonts w:hint="eastAsia" w:cs="宋体"/>
                <w:color w:val="auto"/>
                <w:highlight w:val="none"/>
              </w:rPr>
              <w:t>性别</w:t>
            </w:r>
          </w:p>
        </w:tc>
        <w:tc>
          <w:tcPr>
            <w:tcW w:w="1585" w:type="dxa"/>
            <w:gridSpan w:val="3"/>
            <w:vAlign w:val="center"/>
          </w:tcPr>
          <w:p w14:paraId="69E4B99C">
            <w:pPr>
              <w:jc w:val="center"/>
              <w:rPr>
                <w:color w:val="auto"/>
                <w:highlight w:val="none"/>
              </w:rPr>
            </w:pPr>
          </w:p>
        </w:tc>
        <w:tc>
          <w:tcPr>
            <w:tcW w:w="1108" w:type="dxa"/>
            <w:vAlign w:val="center"/>
          </w:tcPr>
          <w:p w14:paraId="293AEAE6">
            <w:pPr>
              <w:jc w:val="center"/>
              <w:rPr>
                <w:color w:val="auto"/>
                <w:highlight w:val="none"/>
              </w:rPr>
            </w:pPr>
            <w:r>
              <w:rPr>
                <w:rFonts w:hint="eastAsia" w:cs="宋体"/>
                <w:color w:val="auto"/>
                <w:highlight w:val="none"/>
              </w:rPr>
              <w:t>年龄</w:t>
            </w:r>
          </w:p>
        </w:tc>
        <w:tc>
          <w:tcPr>
            <w:tcW w:w="1531" w:type="dxa"/>
            <w:gridSpan w:val="4"/>
            <w:vAlign w:val="center"/>
          </w:tcPr>
          <w:p w14:paraId="70A23C12">
            <w:pPr>
              <w:jc w:val="center"/>
              <w:rPr>
                <w:color w:val="auto"/>
                <w:highlight w:val="none"/>
              </w:rPr>
            </w:pPr>
          </w:p>
        </w:tc>
      </w:tr>
      <w:tr w14:paraId="3755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012A9291">
            <w:pPr>
              <w:jc w:val="center"/>
              <w:rPr>
                <w:color w:val="auto"/>
                <w:highlight w:val="none"/>
              </w:rPr>
            </w:pPr>
            <w:r>
              <w:rPr>
                <w:rFonts w:hint="eastAsia" w:cs="宋体"/>
                <w:color w:val="auto"/>
                <w:highlight w:val="none"/>
              </w:rPr>
              <w:t>岗位</w:t>
            </w:r>
          </w:p>
        </w:tc>
        <w:tc>
          <w:tcPr>
            <w:tcW w:w="2340" w:type="dxa"/>
            <w:gridSpan w:val="5"/>
            <w:vAlign w:val="center"/>
          </w:tcPr>
          <w:p w14:paraId="7562163B">
            <w:pPr>
              <w:jc w:val="center"/>
              <w:rPr>
                <w:color w:val="auto"/>
                <w:highlight w:val="none"/>
              </w:rPr>
            </w:pPr>
            <w:r>
              <w:rPr>
                <w:rFonts w:hint="eastAsia"/>
                <w:color w:val="auto"/>
                <w:highlight w:val="none"/>
              </w:rPr>
              <w:t>专职安全生产管理人员</w:t>
            </w:r>
          </w:p>
        </w:tc>
        <w:tc>
          <w:tcPr>
            <w:tcW w:w="1893" w:type="dxa"/>
            <w:gridSpan w:val="5"/>
            <w:vAlign w:val="center"/>
          </w:tcPr>
          <w:p w14:paraId="4CBB421D">
            <w:pPr>
              <w:jc w:val="center"/>
              <w:rPr>
                <w:color w:val="auto"/>
                <w:highlight w:val="none"/>
              </w:rPr>
            </w:pPr>
            <w:r>
              <w:rPr>
                <w:rFonts w:hint="eastAsia" w:cs="宋体"/>
                <w:color w:val="auto"/>
                <w:highlight w:val="none"/>
              </w:rPr>
              <w:t>职称</w:t>
            </w:r>
          </w:p>
        </w:tc>
        <w:tc>
          <w:tcPr>
            <w:tcW w:w="1585" w:type="dxa"/>
            <w:gridSpan w:val="3"/>
            <w:vAlign w:val="center"/>
          </w:tcPr>
          <w:p w14:paraId="4399269C">
            <w:pPr>
              <w:jc w:val="center"/>
              <w:rPr>
                <w:color w:val="auto"/>
                <w:highlight w:val="none"/>
              </w:rPr>
            </w:pPr>
          </w:p>
        </w:tc>
        <w:tc>
          <w:tcPr>
            <w:tcW w:w="1108" w:type="dxa"/>
            <w:vAlign w:val="center"/>
          </w:tcPr>
          <w:p w14:paraId="15D7A27D">
            <w:pPr>
              <w:jc w:val="center"/>
              <w:rPr>
                <w:color w:val="auto"/>
                <w:highlight w:val="none"/>
              </w:rPr>
            </w:pPr>
            <w:r>
              <w:rPr>
                <w:rFonts w:hint="eastAsia" w:cs="宋体"/>
                <w:color w:val="auto"/>
                <w:highlight w:val="none"/>
              </w:rPr>
              <w:t>学历</w:t>
            </w:r>
          </w:p>
        </w:tc>
        <w:tc>
          <w:tcPr>
            <w:tcW w:w="1531" w:type="dxa"/>
            <w:gridSpan w:val="4"/>
            <w:vAlign w:val="center"/>
          </w:tcPr>
          <w:p w14:paraId="5EED8801">
            <w:pPr>
              <w:jc w:val="center"/>
              <w:rPr>
                <w:color w:val="auto"/>
                <w:highlight w:val="none"/>
              </w:rPr>
            </w:pPr>
          </w:p>
        </w:tc>
      </w:tr>
      <w:tr w14:paraId="1991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0DD14FBF">
            <w:pPr>
              <w:jc w:val="center"/>
              <w:rPr>
                <w:rFonts w:cs="宋体"/>
                <w:color w:val="auto"/>
                <w:highlight w:val="none"/>
              </w:rPr>
            </w:pPr>
            <w:r>
              <w:rPr>
                <w:rFonts w:hint="eastAsia" w:cs="宋体"/>
                <w:color w:val="auto"/>
                <w:highlight w:val="none"/>
              </w:rPr>
              <w:t>从业开始时间</w:t>
            </w:r>
          </w:p>
        </w:tc>
        <w:tc>
          <w:tcPr>
            <w:tcW w:w="2340" w:type="dxa"/>
            <w:gridSpan w:val="5"/>
            <w:vAlign w:val="center"/>
          </w:tcPr>
          <w:p w14:paraId="4F30D1A1">
            <w:pPr>
              <w:jc w:val="center"/>
              <w:rPr>
                <w:color w:val="auto"/>
                <w:highlight w:val="none"/>
              </w:rPr>
            </w:pPr>
          </w:p>
        </w:tc>
        <w:tc>
          <w:tcPr>
            <w:tcW w:w="1893" w:type="dxa"/>
            <w:gridSpan w:val="5"/>
            <w:vAlign w:val="center"/>
          </w:tcPr>
          <w:p w14:paraId="2A2AA8F4">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vAlign w:val="center"/>
          </w:tcPr>
          <w:p w14:paraId="4D15000D">
            <w:pPr>
              <w:jc w:val="center"/>
              <w:rPr>
                <w:color w:val="auto"/>
                <w:highlight w:val="none"/>
              </w:rPr>
            </w:pPr>
          </w:p>
        </w:tc>
        <w:tc>
          <w:tcPr>
            <w:tcW w:w="1108" w:type="dxa"/>
            <w:vAlign w:val="center"/>
          </w:tcPr>
          <w:p w14:paraId="03626342">
            <w:pPr>
              <w:jc w:val="center"/>
              <w:rPr>
                <w:rFonts w:cs="宋体"/>
                <w:color w:val="auto"/>
                <w:highlight w:val="none"/>
              </w:rPr>
            </w:pPr>
            <w:r>
              <w:rPr>
                <w:rFonts w:hint="eastAsia" w:cs="宋体"/>
                <w:color w:val="auto"/>
                <w:highlight w:val="none"/>
              </w:rPr>
              <w:t>毕业时间</w:t>
            </w:r>
          </w:p>
        </w:tc>
        <w:tc>
          <w:tcPr>
            <w:tcW w:w="1531" w:type="dxa"/>
            <w:gridSpan w:val="4"/>
            <w:vAlign w:val="center"/>
          </w:tcPr>
          <w:p w14:paraId="259682E3">
            <w:pPr>
              <w:jc w:val="center"/>
              <w:rPr>
                <w:color w:val="auto"/>
                <w:highlight w:val="none"/>
              </w:rPr>
            </w:pPr>
          </w:p>
        </w:tc>
      </w:tr>
      <w:tr w14:paraId="6362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13AF70A6">
            <w:pPr>
              <w:jc w:val="center"/>
              <w:rPr>
                <w:color w:val="auto"/>
                <w:highlight w:val="none"/>
              </w:rPr>
            </w:pPr>
            <w:r>
              <w:rPr>
                <w:rFonts w:hint="eastAsia" w:cs="宋体"/>
                <w:color w:val="auto"/>
                <w:highlight w:val="none"/>
              </w:rPr>
              <w:t>担任……年限</w:t>
            </w:r>
          </w:p>
        </w:tc>
        <w:tc>
          <w:tcPr>
            <w:tcW w:w="2563" w:type="dxa"/>
            <w:gridSpan w:val="6"/>
            <w:vAlign w:val="center"/>
          </w:tcPr>
          <w:p w14:paraId="462599F9">
            <w:pPr>
              <w:jc w:val="center"/>
              <w:rPr>
                <w:color w:val="auto"/>
                <w:highlight w:val="none"/>
              </w:rPr>
            </w:pPr>
          </w:p>
        </w:tc>
        <w:tc>
          <w:tcPr>
            <w:tcW w:w="1209" w:type="dxa"/>
            <w:vAlign w:val="center"/>
          </w:tcPr>
          <w:p w14:paraId="7D72450C">
            <w:pPr>
              <w:jc w:val="center"/>
              <w:rPr>
                <w:color w:val="auto"/>
                <w:highlight w:val="none"/>
              </w:rPr>
            </w:pPr>
            <w:r>
              <w:rPr>
                <w:rFonts w:hint="eastAsia"/>
                <w:color w:val="auto"/>
                <w:highlight w:val="none"/>
              </w:rPr>
              <w:t>身份</w:t>
            </w:r>
            <w:r>
              <w:rPr>
                <w:color w:val="auto"/>
                <w:highlight w:val="none"/>
              </w:rPr>
              <w:t>证号码</w:t>
            </w:r>
          </w:p>
        </w:tc>
        <w:tc>
          <w:tcPr>
            <w:tcW w:w="4608" w:type="dxa"/>
            <w:gridSpan w:val="10"/>
            <w:vAlign w:val="center"/>
          </w:tcPr>
          <w:p w14:paraId="5CE6251C">
            <w:pPr>
              <w:jc w:val="center"/>
              <w:rPr>
                <w:color w:val="auto"/>
                <w:highlight w:val="none"/>
              </w:rPr>
            </w:pPr>
          </w:p>
        </w:tc>
      </w:tr>
      <w:tr w14:paraId="1C3C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60EE7548">
            <w:pPr>
              <w:jc w:val="center"/>
              <w:rPr>
                <w:color w:val="auto"/>
                <w:highlight w:val="none"/>
              </w:rPr>
            </w:pPr>
            <w:r>
              <w:rPr>
                <w:rFonts w:hint="eastAsia"/>
                <w:color w:val="auto"/>
                <w:highlight w:val="none"/>
              </w:rPr>
              <w:t>证书名称</w:t>
            </w:r>
          </w:p>
        </w:tc>
        <w:tc>
          <w:tcPr>
            <w:tcW w:w="1275" w:type="dxa"/>
            <w:gridSpan w:val="2"/>
            <w:vAlign w:val="center"/>
          </w:tcPr>
          <w:p w14:paraId="3744BAC6">
            <w:pPr>
              <w:jc w:val="center"/>
              <w:rPr>
                <w:color w:val="auto"/>
                <w:highlight w:val="none"/>
              </w:rPr>
            </w:pPr>
            <w:r>
              <w:rPr>
                <w:rFonts w:hint="eastAsia"/>
                <w:color w:val="auto"/>
                <w:highlight w:val="none"/>
              </w:rPr>
              <w:t>注册专业</w:t>
            </w:r>
          </w:p>
        </w:tc>
        <w:tc>
          <w:tcPr>
            <w:tcW w:w="1222" w:type="dxa"/>
            <w:gridSpan w:val="3"/>
            <w:vAlign w:val="center"/>
          </w:tcPr>
          <w:p w14:paraId="6E52EC78">
            <w:pPr>
              <w:jc w:val="center"/>
              <w:rPr>
                <w:color w:val="auto"/>
                <w:highlight w:val="none"/>
              </w:rPr>
            </w:pPr>
            <w:r>
              <w:rPr>
                <w:color w:val="auto"/>
                <w:highlight w:val="none"/>
              </w:rPr>
              <w:t>级别</w:t>
            </w:r>
          </w:p>
        </w:tc>
        <w:tc>
          <w:tcPr>
            <w:tcW w:w="1417" w:type="dxa"/>
            <w:gridSpan w:val="3"/>
            <w:vAlign w:val="center"/>
          </w:tcPr>
          <w:p w14:paraId="1D971114">
            <w:pPr>
              <w:jc w:val="center"/>
              <w:rPr>
                <w:color w:val="auto"/>
                <w:highlight w:val="none"/>
              </w:rPr>
            </w:pPr>
            <w:r>
              <w:rPr>
                <w:rFonts w:hint="eastAsia" w:cs="宋体"/>
                <w:color w:val="auto"/>
                <w:highlight w:val="none"/>
              </w:rPr>
              <w:t>证书编号</w:t>
            </w:r>
          </w:p>
        </w:tc>
        <w:tc>
          <w:tcPr>
            <w:tcW w:w="1418" w:type="dxa"/>
            <w:gridSpan w:val="3"/>
            <w:vAlign w:val="center"/>
          </w:tcPr>
          <w:p w14:paraId="7E30B045">
            <w:pPr>
              <w:jc w:val="center"/>
              <w:rPr>
                <w:color w:val="auto"/>
                <w:highlight w:val="none"/>
              </w:rPr>
            </w:pPr>
            <w:r>
              <w:rPr>
                <w:rFonts w:hint="eastAsia"/>
                <w:color w:val="auto"/>
                <w:highlight w:val="none"/>
              </w:rPr>
              <w:t>注册时间</w:t>
            </w:r>
          </w:p>
        </w:tc>
        <w:tc>
          <w:tcPr>
            <w:tcW w:w="1632" w:type="dxa"/>
            <w:gridSpan w:val="4"/>
            <w:vAlign w:val="center"/>
          </w:tcPr>
          <w:p w14:paraId="0FA7F28F">
            <w:pPr>
              <w:jc w:val="center"/>
              <w:rPr>
                <w:color w:val="auto"/>
                <w:highlight w:val="none"/>
              </w:rPr>
            </w:pPr>
            <w:r>
              <w:rPr>
                <w:rFonts w:hint="eastAsia"/>
                <w:color w:val="auto"/>
                <w:highlight w:val="none"/>
              </w:rPr>
              <w:t>注册单位</w:t>
            </w:r>
          </w:p>
        </w:tc>
        <w:tc>
          <w:tcPr>
            <w:tcW w:w="1416" w:type="dxa"/>
            <w:gridSpan w:val="2"/>
            <w:vAlign w:val="center"/>
          </w:tcPr>
          <w:p w14:paraId="6E2864A0">
            <w:pPr>
              <w:jc w:val="center"/>
              <w:rPr>
                <w:color w:val="auto"/>
                <w:highlight w:val="none"/>
              </w:rPr>
            </w:pPr>
            <w:r>
              <w:rPr>
                <w:rFonts w:hint="eastAsia"/>
                <w:color w:val="auto"/>
                <w:highlight w:val="none"/>
              </w:rPr>
              <w:t>注册有效期</w:t>
            </w:r>
          </w:p>
        </w:tc>
      </w:tr>
      <w:tr w14:paraId="4AC0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5C277A9C">
            <w:pPr>
              <w:jc w:val="center"/>
              <w:rPr>
                <w:color w:val="auto"/>
                <w:highlight w:val="none"/>
              </w:rPr>
            </w:pPr>
            <w:r>
              <w:rPr>
                <w:rFonts w:hint="eastAsia"/>
                <w:color w:val="auto"/>
                <w:highlight w:val="none"/>
              </w:rPr>
              <w:t>安全生产考核合格证书</w:t>
            </w:r>
          </w:p>
        </w:tc>
        <w:tc>
          <w:tcPr>
            <w:tcW w:w="1275" w:type="dxa"/>
            <w:gridSpan w:val="2"/>
            <w:vAlign w:val="center"/>
          </w:tcPr>
          <w:p w14:paraId="40D81920">
            <w:pPr>
              <w:jc w:val="center"/>
              <w:rPr>
                <w:color w:val="auto"/>
                <w:highlight w:val="none"/>
              </w:rPr>
            </w:pPr>
          </w:p>
        </w:tc>
        <w:tc>
          <w:tcPr>
            <w:tcW w:w="1222" w:type="dxa"/>
            <w:gridSpan w:val="3"/>
            <w:vAlign w:val="center"/>
          </w:tcPr>
          <w:p w14:paraId="7C17C012">
            <w:pPr>
              <w:jc w:val="center"/>
              <w:rPr>
                <w:rFonts w:cs="宋体"/>
                <w:color w:val="auto"/>
                <w:highlight w:val="none"/>
              </w:rPr>
            </w:pPr>
            <w:r>
              <w:rPr>
                <w:rFonts w:hint="eastAsia" w:cs="宋体"/>
                <w:color w:val="auto"/>
                <w:highlight w:val="none"/>
              </w:rPr>
              <w:t>C类</w:t>
            </w:r>
          </w:p>
        </w:tc>
        <w:tc>
          <w:tcPr>
            <w:tcW w:w="1417" w:type="dxa"/>
            <w:gridSpan w:val="3"/>
            <w:vAlign w:val="center"/>
          </w:tcPr>
          <w:p w14:paraId="5F70F853">
            <w:pPr>
              <w:jc w:val="center"/>
              <w:rPr>
                <w:color w:val="auto"/>
                <w:highlight w:val="none"/>
              </w:rPr>
            </w:pPr>
          </w:p>
        </w:tc>
        <w:tc>
          <w:tcPr>
            <w:tcW w:w="1418" w:type="dxa"/>
            <w:gridSpan w:val="3"/>
            <w:vAlign w:val="center"/>
          </w:tcPr>
          <w:p w14:paraId="6FB24113">
            <w:pPr>
              <w:jc w:val="center"/>
              <w:rPr>
                <w:color w:val="auto"/>
                <w:highlight w:val="none"/>
              </w:rPr>
            </w:pPr>
          </w:p>
        </w:tc>
        <w:tc>
          <w:tcPr>
            <w:tcW w:w="1632" w:type="dxa"/>
            <w:gridSpan w:val="4"/>
            <w:vAlign w:val="center"/>
          </w:tcPr>
          <w:p w14:paraId="019C615C">
            <w:pPr>
              <w:jc w:val="center"/>
              <w:rPr>
                <w:color w:val="auto"/>
                <w:highlight w:val="none"/>
              </w:rPr>
            </w:pPr>
          </w:p>
        </w:tc>
        <w:tc>
          <w:tcPr>
            <w:tcW w:w="1416" w:type="dxa"/>
            <w:gridSpan w:val="2"/>
            <w:vAlign w:val="center"/>
          </w:tcPr>
          <w:p w14:paraId="665223DE">
            <w:pPr>
              <w:jc w:val="center"/>
              <w:rPr>
                <w:color w:val="auto"/>
                <w:highlight w:val="none"/>
              </w:rPr>
            </w:pPr>
          </w:p>
        </w:tc>
      </w:tr>
      <w:tr w14:paraId="2C69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A61AD3C">
            <w:pPr>
              <w:jc w:val="center"/>
              <w:rPr>
                <w:color w:val="auto"/>
                <w:highlight w:val="none"/>
              </w:rPr>
            </w:pPr>
          </w:p>
        </w:tc>
        <w:tc>
          <w:tcPr>
            <w:tcW w:w="1275" w:type="dxa"/>
            <w:gridSpan w:val="2"/>
            <w:vAlign w:val="center"/>
          </w:tcPr>
          <w:p w14:paraId="3E98BFF2">
            <w:pPr>
              <w:jc w:val="center"/>
              <w:rPr>
                <w:color w:val="auto"/>
                <w:highlight w:val="none"/>
              </w:rPr>
            </w:pPr>
          </w:p>
        </w:tc>
        <w:tc>
          <w:tcPr>
            <w:tcW w:w="1222" w:type="dxa"/>
            <w:gridSpan w:val="3"/>
            <w:vAlign w:val="center"/>
          </w:tcPr>
          <w:p w14:paraId="6F956B41">
            <w:pPr>
              <w:jc w:val="center"/>
              <w:rPr>
                <w:rFonts w:cs="宋体"/>
                <w:color w:val="auto"/>
                <w:highlight w:val="none"/>
              </w:rPr>
            </w:pPr>
          </w:p>
        </w:tc>
        <w:tc>
          <w:tcPr>
            <w:tcW w:w="1417" w:type="dxa"/>
            <w:gridSpan w:val="3"/>
            <w:vAlign w:val="center"/>
          </w:tcPr>
          <w:p w14:paraId="21AC2C78">
            <w:pPr>
              <w:jc w:val="center"/>
              <w:rPr>
                <w:color w:val="auto"/>
                <w:highlight w:val="none"/>
              </w:rPr>
            </w:pPr>
          </w:p>
        </w:tc>
        <w:tc>
          <w:tcPr>
            <w:tcW w:w="1418" w:type="dxa"/>
            <w:gridSpan w:val="3"/>
            <w:vAlign w:val="center"/>
          </w:tcPr>
          <w:p w14:paraId="482986AF">
            <w:pPr>
              <w:jc w:val="center"/>
              <w:rPr>
                <w:color w:val="auto"/>
                <w:highlight w:val="none"/>
              </w:rPr>
            </w:pPr>
          </w:p>
        </w:tc>
        <w:tc>
          <w:tcPr>
            <w:tcW w:w="1632" w:type="dxa"/>
            <w:gridSpan w:val="4"/>
            <w:vAlign w:val="center"/>
          </w:tcPr>
          <w:p w14:paraId="5804F465">
            <w:pPr>
              <w:jc w:val="center"/>
              <w:rPr>
                <w:color w:val="auto"/>
                <w:highlight w:val="none"/>
              </w:rPr>
            </w:pPr>
          </w:p>
        </w:tc>
        <w:tc>
          <w:tcPr>
            <w:tcW w:w="1416" w:type="dxa"/>
            <w:gridSpan w:val="2"/>
            <w:vAlign w:val="center"/>
          </w:tcPr>
          <w:p w14:paraId="2A1EDC90">
            <w:pPr>
              <w:jc w:val="center"/>
              <w:rPr>
                <w:color w:val="auto"/>
                <w:highlight w:val="none"/>
              </w:rPr>
            </w:pPr>
          </w:p>
        </w:tc>
      </w:tr>
      <w:tr w14:paraId="7093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6DD7632C">
            <w:pPr>
              <w:jc w:val="center"/>
              <w:rPr>
                <w:color w:val="auto"/>
                <w:highlight w:val="none"/>
              </w:rPr>
            </w:pPr>
            <w:r>
              <w:rPr>
                <w:rFonts w:hint="eastAsia" w:cs="宋体"/>
                <w:color w:val="auto"/>
                <w:highlight w:val="none"/>
              </w:rPr>
              <w:t>在建和已完工程项目情况</w:t>
            </w:r>
          </w:p>
        </w:tc>
      </w:tr>
      <w:tr w14:paraId="7AA8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76282D39">
            <w:pPr>
              <w:jc w:val="center"/>
              <w:rPr>
                <w:color w:val="auto"/>
                <w:highlight w:val="none"/>
              </w:rPr>
            </w:pPr>
          </w:p>
        </w:tc>
        <w:tc>
          <w:tcPr>
            <w:tcW w:w="1548" w:type="dxa"/>
            <w:gridSpan w:val="2"/>
            <w:vAlign w:val="center"/>
          </w:tcPr>
          <w:p w14:paraId="7E8F7047">
            <w:pPr>
              <w:jc w:val="center"/>
              <w:rPr>
                <w:color w:val="auto"/>
                <w:highlight w:val="none"/>
              </w:rPr>
            </w:pPr>
            <w:r>
              <w:rPr>
                <w:rFonts w:hint="eastAsia"/>
                <w:color w:val="auto"/>
                <w:highlight w:val="none"/>
              </w:rPr>
              <w:t>项目1</w:t>
            </w:r>
          </w:p>
        </w:tc>
        <w:tc>
          <w:tcPr>
            <w:tcW w:w="1837" w:type="dxa"/>
            <w:gridSpan w:val="4"/>
            <w:vAlign w:val="center"/>
          </w:tcPr>
          <w:p w14:paraId="45B5DA4B">
            <w:pPr>
              <w:jc w:val="center"/>
              <w:rPr>
                <w:color w:val="auto"/>
                <w:highlight w:val="none"/>
              </w:rPr>
            </w:pPr>
            <w:r>
              <w:rPr>
                <w:rFonts w:hint="eastAsia"/>
                <w:color w:val="auto"/>
                <w:highlight w:val="none"/>
              </w:rPr>
              <w:t>项目2</w:t>
            </w:r>
          </w:p>
        </w:tc>
        <w:tc>
          <w:tcPr>
            <w:tcW w:w="1472" w:type="dxa"/>
            <w:gridSpan w:val="3"/>
            <w:vAlign w:val="center"/>
          </w:tcPr>
          <w:p w14:paraId="6E8E2936">
            <w:pPr>
              <w:jc w:val="center"/>
              <w:rPr>
                <w:color w:val="auto"/>
                <w:highlight w:val="none"/>
              </w:rPr>
            </w:pPr>
            <w:r>
              <w:rPr>
                <w:rFonts w:hint="eastAsia"/>
                <w:color w:val="auto"/>
                <w:highlight w:val="none"/>
              </w:rPr>
              <w:t>项目3</w:t>
            </w:r>
          </w:p>
        </w:tc>
        <w:tc>
          <w:tcPr>
            <w:tcW w:w="1641" w:type="dxa"/>
            <w:gridSpan w:val="4"/>
            <w:vAlign w:val="center"/>
          </w:tcPr>
          <w:p w14:paraId="11501936">
            <w:pPr>
              <w:jc w:val="center"/>
              <w:rPr>
                <w:color w:val="auto"/>
                <w:highlight w:val="none"/>
              </w:rPr>
            </w:pPr>
            <w:r>
              <w:rPr>
                <w:rFonts w:hint="eastAsia"/>
                <w:color w:val="auto"/>
                <w:highlight w:val="none"/>
              </w:rPr>
              <w:t>项目4</w:t>
            </w:r>
          </w:p>
        </w:tc>
        <w:tc>
          <w:tcPr>
            <w:tcW w:w="1484" w:type="dxa"/>
            <w:gridSpan w:val="2"/>
            <w:vAlign w:val="center"/>
          </w:tcPr>
          <w:p w14:paraId="541E2FD0">
            <w:pPr>
              <w:jc w:val="center"/>
              <w:rPr>
                <w:color w:val="auto"/>
                <w:highlight w:val="none"/>
              </w:rPr>
            </w:pPr>
            <w:r>
              <w:rPr>
                <w:rFonts w:hint="eastAsia"/>
                <w:color w:val="auto"/>
                <w:highlight w:val="none"/>
              </w:rPr>
              <w:t>……</w:t>
            </w:r>
          </w:p>
        </w:tc>
      </w:tr>
      <w:tr w14:paraId="2781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10D75728">
            <w:pPr>
              <w:jc w:val="center"/>
              <w:rPr>
                <w:color w:val="auto"/>
                <w:highlight w:val="none"/>
              </w:rPr>
            </w:pPr>
            <w:r>
              <w:rPr>
                <w:rFonts w:hint="eastAsia"/>
                <w:color w:val="auto"/>
                <w:highlight w:val="none"/>
              </w:rPr>
              <w:t>项目名称</w:t>
            </w:r>
          </w:p>
        </w:tc>
        <w:tc>
          <w:tcPr>
            <w:tcW w:w="1548" w:type="dxa"/>
            <w:gridSpan w:val="2"/>
            <w:vAlign w:val="center"/>
          </w:tcPr>
          <w:p w14:paraId="6D9CEF38">
            <w:pPr>
              <w:jc w:val="center"/>
              <w:rPr>
                <w:color w:val="auto"/>
                <w:highlight w:val="none"/>
              </w:rPr>
            </w:pPr>
          </w:p>
        </w:tc>
        <w:tc>
          <w:tcPr>
            <w:tcW w:w="1837" w:type="dxa"/>
            <w:gridSpan w:val="4"/>
            <w:vAlign w:val="center"/>
          </w:tcPr>
          <w:p w14:paraId="71B32F0A">
            <w:pPr>
              <w:jc w:val="center"/>
              <w:rPr>
                <w:color w:val="auto"/>
                <w:highlight w:val="none"/>
              </w:rPr>
            </w:pPr>
          </w:p>
        </w:tc>
        <w:tc>
          <w:tcPr>
            <w:tcW w:w="1472" w:type="dxa"/>
            <w:gridSpan w:val="3"/>
            <w:vAlign w:val="center"/>
          </w:tcPr>
          <w:p w14:paraId="1396A98C">
            <w:pPr>
              <w:jc w:val="center"/>
              <w:rPr>
                <w:color w:val="auto"/>
                <w:highlight w:val="none"/>
              </w:rPr>
            </w:pPr>
          </w:p>
        </w:tc>
        <w:tc>
          <w:tcPr>
            <w:tcW w:w="1641" w:type="dxa"/>
            <w:gridSpan w:val="4"/>
            <w:vAlign w:val="center"/>
          </w:tcPr>
          <w:p w14:paraId="1F6B0A46">
            <w:pPr>
              <w:jc w:val="center"/>
              <w:rPr>
                <w:color w:val="auto"/>
                <w:highlight w:val="none"/>
              </w:rPr>
            </w:pPr>
          </w:p>
        </w:tc>
        <w:tc>
          <w:tcPr>
            <w:tcW w:w="1484" w:type="dxa"/>
            <w:gridSpan w:val="2"/>
            <w:vAlign w:val="center"/>
          </w:tcPr>
          <w:p w14:paraId="6E945A76">
            <w:pPr>
              <w:jc w:val="center"/>
              <w:rPr>
                <w:color w:val="auto"/>
                <w:highlight w:val="none"/>
              </w:rPr>
            </w:pPr>
          </w:p>
        </w:tc>
      </w:tr>
      <w:tr w14:paraId="56A3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3232EEC1">
            <w:pPr>
              <w:jc w:val="center"/>
              <w:rPr>
                <w:color w:val="auto"/>
                <w:highlight w:val="none"/>
              </w:rPr>
            </w:pPr>
            <w:r>
              <w:rPr>
                <w:rFonts w:hint="eastAsia" w:cs="宋体"/>
                <w:color w:val="auto"/>
                <w:highlight w:val="none"/>
              </w:rPr>
              <w:t>建设单位</w:t>
            </w:r>
          </w:p>
        </w:tc>
        <w:tc>
          <w:tcPr>
            <w:tcW w:w="1548" w:type="dxa"/>
            <w:gridSpan w:val="2"/>
            <w:vAlign w:val="center"/>
          </w:tcPr>
          <w:p w14:paraId="1C02D627">
            <w:pPr>
              <w:jc w:val="center"/>
              <w:rPr>
                <w:color w:val="auto"/>
                <w:highlight w:val="none"/>
              </w:rPr>
            </w:pPr>
          </w:p>
        </w:tc>
        <w:tc>
          <w:tcPr>
            <w:tcW w:w="1837" w:type="dxa"/>
            <w:gridSpan w:val="4"/>
            <w:vAlign w:val="center"/>
          </w:tcPr>
          <w:p w14:paraId="0B3B771D">
            <w:pPr>
              <w:jc w:val="center"/>
              <w:rPr>
                <w:color w:val="auto"/>
                <w:highlight w:val="none"/>
              </w:rPr>
            </w:pPr>
          </w:p>
        </w:tc>
        <w:tc>
          <w:tcPr>
            <w:tcW w:w="1472" w:type="dxa"/>
            <w:gridSpan w:val="3"/>
            <w:vAlign w:val="center"/>
          </w:tcPr>
          <w:p w14:paraId="5FDFA09E">
            <w:pPr>
              <w:jc w:val="center"/>
              <w:rPr>
                <w:color w:val="auto"/>
                <w:highlight w:val="none"/>
              </w:rPr>
            </w:pPr>
          </w:p>
        </w:tc>
        <w:tc>
          <w:tcPr>
            <w:tcW w:w="1641" w:type="dxa"/>
            <w:gridSpan w:val="4"/>
            <w:vAlign w:val="center"/>
          </w:tcPr>
          <w:p w14:paraId="3D401EB8">
            <w:pPr>
              <w:jc w:val="center"/>
              <w:rPr>
                <w:color w:val="auto"/>
                <w:highlight w:val="none"/>
              </w:rPr>
            </w:pPr>
          </w:p>
        </w:tc>
        <w:tc>
          <w:tcPr>
            <w:tcW w:w="1484" w:type="dxa"/>
            <w:gridSpan w:val="2"/>
            <w:vAlign w:val="center"/>
          </w:tcPr>
          <w:p w14:paraId="68BE0F5C">
            <w:pPr>
              <w:jc w:val="center"/>
              <w:rPr>
                <w:color w:val="auto"/>
                <w:highlight w:val="none"/>
              </w:rPr>
            </w:pPr>
          </w:p>
        </w:tc>
      </w:tr>
      <w:tr w14:paraId="2A4E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1684ADA">
            <w:pPr>
              <w:jc w:val="center"/>
              <w:rPr>
                <w:color w:val="auto"/>
                <w:highlight w:val="none"/>
              </w:rPr>
            </w:pPr>
            <w:r>
              <w:rPr>
                <w:rFonts w:hint="eastAsia" w:cs="宋体"/>
                <w:color w:val="auto"/>
                <w:highlight w:val="none"/>
              </w:rPr>
              <w:t>建设规模</w:t>
            </w:r>
          </w:p>
        </w:tc>
        <w:tc>
          <w:tcPr>
            <w:tcW w:w="1548" w:type="dxa"/>
            <w:gridSpan w:val="2"/>
            <w:vAlign w:val="center"/>
          </w:tcPr>
          <w:p w14:paraId="542A6D88">
            <w:pPr>
              <w:jc w:val="center"/>
              <w:rPr>
                <w:color w:val="auto"/>
                <w:highlight w:val="none"/>
              </w:rPr>
            </w:pPr>
          </w:p>
        </w:tc>
        <w:tc>
          <w:tcPr>
            <w:tcW w:w="1837" w:type="dxa"/>
            <w:gridSpan w:val="4"/>
            <w:vAlign w:val="center"/>
          </w:tcPr>
          <w:p w14:paraId="2AD2CE3F">
            <w:pPr>
              <w:jc w:val="center"/>
              <w:rPr>
                <w:color w:val="auto"/>
                <w:highlight w:val="none"/>
              </w:rPr>
            </w:pPr>
          </w:p>
        </w:tc>
        <w:tc>
          <w:tcPr>
            <w:tcW w:w="1472" w:type="dxa"/>
            <w:gridSpan w:val="3"/>
            <w:vAlign w:val="center"/>
          </w:tcPr>
          <w:p w14:paraId="41448A59">
            <w:pPr>
              <w:jc w:val="center"/>
              <w:rPr>
                <w:color w:val="auto"/>
                <w:highlight w:val="none"/>
              </w:rPr>
            </w:pPr>
          </w:p>
        </w:tc>
        <w:tc>
          <w:tcPr>
            <w:tcW w:w="1641" w:type="dxa"/>
            <w:gridSpan w:val="4"/>
            <w:vAlign w:val="center"/>
          </w:tcPr>
          <w:p w14:paraId="5FDFC410">
            <w:pPr>
              <w:jc w:val="center"/>
              <w:rPr>
                <w:color w:val="auto"/>
                <w:highlight w:val="none"/>
              </w:rPr>
            </w:pPr>
          </w:p>
        </w:tc>
        <w:tc>
          <w:tcPr>
            <w:tcW w:w="1484" w:type="dxa"/>
            <w:gridSpan w:val="2"/>
            <w:vAlign w:val="center"/>
          </w:tcPr>
          <w:p w14:paraId="5C59D150">
            <w:pPr>
              <w:jc w:val="center"/>
              <w:rPr>
                <w:color w:val="auto"/>
                <w:highlight w:val="none"/>
              </w:rPr>
            </w:pPr>
          </w:p>
        </w:tc>
      </w:tr>
      <w:tr w14:paraId="78A5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087707B">
            <w:pPr>
              <w:jc w:val="center"/>
              <w:rPr>
                <w:rFonts w:ascii="宋体" w:hAnsi="宋体" w:cs="宋体"/>
                <w:color w:val="auto"/>
                <w:sz w:val="27"/>
                <w:szCs w:val="27"/>
                <w:highlight w:val="none"/>
              </w:rPr>
            </w:pPr>
            <w:r>
              <w:rPr>
                <w:rFonts w:hint="eastAsia" w:cs="宋体"/>
                <w:color w:val="auto"/>
                <w:highlight w:val="none"/>
              </w:rPr>
              <w:t>开工日期</w:t>
            </w:r>
          </w:p>
        </w:tc>
        <w:tc>
          <w:tcPr>
            <w:tcW w:w="1548" w:type="dxa"/>
            <w:gridSpan w:val="2"/>
            <w:vAlign w:val="center"/>
          </w:tcPr>
          <w:p w14:paraId="5B90C4F9">
            <w:pPr>
              <w:jc w:val="center"/>
              <w:rPr>
                <w:color w:val="auto"/>
                <w:highlight w:val="none"/>
              </w:rPr>
            </w:pPr>
          </w:p>
        </w:tc>
        <w:tc>
          <w:tcPr>
            <w:tcW w:w="1837" w:type="dxa"/>
            <w:gridSpan w:val="4"/>
            <w:vAlign w:val="center"/>
          </w:tcPr>
          <w:p w14:paraId="22864A4D">
            <w:pPr>
              <w:jc w:val="center"/>
              <w:rPr>
                <w:color w:val="auto"/>
                <w:highlight w:val="none"/>
              </w:rPr>
            </w:pPr>
          </w:p>
        </w:tc>
        <w:tc>
          <w:tcPr>
            <w:tcW w:w="1472" w:type="dxa"/>
            <w:gridSpan w:val="3"/>
            <w:vAlign w:val="center"/>
          </w:tcPr>
          <w:p w14:paraId="07A2F5D9">
            <w:pPr>
              <w:jc w:val="center"/>
              <w:rPr>
                <w:color w:val="auto"/>
                <w:highlight w:val="none"/>
              </w:rPr>
            </w:pPr>
          </w:p>
        </w:tc>
        <w:tc>
          <w:tcPr>
            <w:tcW w:w="1641" w:type="dxa"/>
            <w:gridSpan w:val="4"/>
            <w:vAlign w:val="center"/>
          </w:tcPr>
          <w:p w14:paraId="5BC45A38">
            <w:pPr>
              <w:jc w:val="center"/>
              <w:rPr>
                <w:color w:val="auto"/>
                <w:highlight w:val="none"/>
              </w:rPr>
            </w:pPr>
          </w:p>
        </w:tc>
        <w:tc>
          <w:tcPr>
            <w:tcW w:w="1484" w:type="dxa"/>
            <w:gridSpan w:val="2"/>
            <w:vAlign w:val="center"/>
          </w:tcPr>
          <w:p w14:paraId="0D0D56F9">
            <w:pPr>
              <w:jc w:val="center"/>
              <w:rPr>
                <w:color w:val="auto"/>
                <w:highlight w:val="none"/>
              </w:rPr>
            </w:pPr>
          </w:p>
        </w:tc>
      </w:tr>
      <w:tr w14:paraId="2BFCE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0CE8506">
            <w:pPr>
              <w:jc w:val="center"/>
              <w:rPr>
                <w:color w:val="auto"/>
                <w:highlight w:val="none"/>
              </w:rPr>
            </w:pPr>
            <w:r>
              <w:rPr>
                <w:rFonts w:hint="eastAsia" w:cs="宋体"/>
                <w:color w:val="auto"/>
                <w:highlight w:val="none"/>
              </w:rPr>
              <w:t>竣工日期</w:t>
            </w:r>
          </w:p>
        </w:tc>
        <w:tc>
          <w:tcPr>
            <w:tcW w:w="1548" w:type="dxa"/>
            <w:gridSpan w:val="2"/>
            <w:vAlign w:val="center"/>
          </w:tcPr>
          <w:p w14:paraId="247CC245">
            <w:pPr>
              <w:jc w:val="center"/>
              <w:rPr>
                <w:color w:val="auto"/>
                <w:highlight w:val="none"/>
              </w:rPr>
            </w:pPr>
          </w:p>
        </w:tc>
        <w:tc>
          <w:tcPr>
            <w:tcW w:w="1837" w:type="dxa"/>
            <w:gridSpan w:val="4"/>
            <w:vAlign w:val="center"/>
          </w:tcPr>
          <w:p w14:paraId="1A0CEAAF">
            <w:pPr>
              <w:jc w:val="center"/>
              <w:rPr>
                <w:color w:val="auto"/>
                <w:highlight w:val="none"/>
              </w:rPr>
            </w:pPr>
          </w:p>
        </w:tc>
        <w:tc>
          <w:tcPr>
            <w:tcW w:w="1472" w:type="dxa"/>
            <w:gridSpan w:val="3"/>
            <w:vAlign w:val="center"/>
          </w:tcPr>
          <w:p w14:paraId="20F9BC14">
            <w:pPr>
              <w:jc w:val="center"/>
              <w:rPr>
                <w:color w:val="auto"/>
                <w:highlight w:val="none"/>
              </w:rPr>
            </w:pPr>
          </w:p>
        </w:tc>
        <w:tc>
          <w:tcPr>
            <w:tcW w:w="1641" w:type="dxa"/>
            <w:gridSpan w:val="4"/>
            <w:vAlign w:val="center"/>
          </w:tcPr>
          <w:p w14:paraId="024FC591">
            <w:pPr>
              <w:jc w:val="center"/>
              <w:rPr>
                <w:color w:val="auto"/>
                <w:highlight w:val="none"/>
              </w:rPr>
            </w:pPr>
          </w:p>
        </w:tc>
        <w:tc>
          <w:tcPr>
            <w:tcW w:w="1484" w:type="dxa"/>
            <w:gridSpan w:val="2"/>
            <w:vAlign w:val="center"/>
          </w:tcPr>
          <w:p w14:paraId="746E36C5">
            <w:pPr>
              <w:jc w:val="center"/>
              <w:rPr>
                <w:color w:val="auto"/>
                <w:highlight w:val="none"/>
              </w:rPr>
            </w:pPr>
          </w:p>
        </w:tc>
      </w:tr>
      <w:tr w14:paraId="5DFF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516CB85">
            <w:pPr>
              <w:jc w:val="center"/>
              <w:rPr>
                <w:rFonts w:cs="宋体"/>
                <w:color w:val="auto"/>
                <w:highlight w:val="none"/>
              </w:rPr>
            </w:pPr>
            <w:r>
              <w:rPr>
                <w:rFonts w:hint="eastAsia" w:cs="宋体"/>
                <w:color w:val="auto"/>
                <w:highlight w:val="none"/>
              </w:rPr>
              <w:t>人员角色</w:t>
            </w:r>
          </w:p>
        </w:tc>
        <w:tc>
          <w:tcPr>
            <w:tcW w:w="1548" w:type="dxa"/>
            <w:gridSpan w:val="2"/>
            <w:vAlign w:val="center"/>
          </w:tcPr>
          <w:p w14:paraId="7FF41554">
            <w:pPr>
              <w:jc w:val="center"/>
              <w:rPr>
                <w:color w:val="auto"/>
                <w:highlight w:val="none"/>
              </w:rPr>
            </w:pPr>
          </w:p>
        </w:tc>
        <w:tc>
          <w:tcPr>
            <w:tcW w:w="1837" w:type="dxa"/>
            <w:gridSpan w:val="4"/>
            <w:vAlign w:val="center"/>
          </w:tcPr>
          <w:p w14:paraId="53C4F6BD">
            <w:pPr>
              <w:jc w:val="center"/>
              <w:rPr>
                <w:color w:val="auto"/>
                <w:highlight w:val="none"/>
              </w:rPr>
            </w:pPr>
          </w:p>
        </w:tc>
        <w:tc>
          <w:tcPr>
            <w:tcW w:w="1472" w:type="dxa"/>
            <w:gridSpan w:val="3"/>
            <w:vAlign w:val="center"/>
          </w:tcPr>
          <w:p w14:paraId="5A5E5F60">
            <w:pPr>
              <w:jc w:val="center"/>
              <w:rPr>
                <w:color w:val="auto"/>
                <w:highlight w:val="none"/>
              </w:rPr>
            </w:pPr>
          </w:p>
        </w:tc>
        <w:tc>
          <w:tcPr>
            <w:tcW w:w="1641" w:type="dxa"/>
            <w:gridSpan w:val="4"/>
            <w:vAlign w:val="center"/>
          </w:tcPr>
          <w:p w14:paraId="21272301">
            <w:pPr>
              <w:jc w:val="center"/>
              <w:rPr>
                <w:color w:val="auto"/>
                <w:highlight w:val="none"/>
              </w:rPr>
            </w:pPr>
          </w:p>
        </w:tc>
        <w:tc>
          <w:tcPr>
            <w:tcW w:w="1484" w:type="dxa"/>
            <w:gridSpan w:val="2"/>
            <w:vAlign w:val="center"/>
          </w:tcPr>
          <w:p w14:paraId="4ABD1813">
            <w:pPr>
              <w:jc w:val="center"/>
              <w:rPr>
                <w:color w:val="auto"/>
                <w:highlight w:val="none"/>
              </w:rPr>
            </w:pPr>
          </w:p>
        </w:tc>
      </w:tr>
      <w:tr w14:paraId="1579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228BFC16">
            <w:pPr>
              <w:jc w:val="center"/>
              <w:rPr>
                <w:rFonts w:cs="宋体"/>
                <w:color w:val="auto"/>
                <w:highlight w:val="none"/>
              </w:rPr>
            </w:pPr>
            <w:r>
              <w:rPr>
                <w:rFonts w:hint="eastAsia" w:cs="宋体"/>
                <w:color w:val="auto"/>
                <w:highlight w:val="none"/>
              </w:rPr>
              <w:t>在建或已完</w:t>
            </w:r>
          </w:p>
        </w:tc>
        <w:tc>
          <w:tcPr>
            <w:tcW w:w="1548" w:type="dxa"/>
            <w:gridSpan w:val="2"/>
            <w:vAlign w:val="center"/>
          </w:tcPr>
          <w:p w14:paraId="37592F2C">
            <w:pPr>
              <w:jc w:val="center"/>
              <w:rPr>
                <w:color w:val="auto"/>
                <w:highlight w:val="none"/>
              </w:rPr>
            </w:pPr>
          </w:p>
        </w:tc>
        <w:tc>
          <w:tcPr>
            <w:tcW w:w="1837" w:type="dxa"/>
            <w:gridSpan w:val="4"/>
            <w:vAlign w:val="center"/>
          </w:tcPr>
          <w:p w14:paraId="7DBC2A38">
            <w:pPr>
              <w:jc w:val="center"/>
              <w:rPr>
                <w:color w:val="auto"/>
                <w:highlight w:val="none"/>
              </w:rPr>
            </w:pPr>
          </w:p>
        </w:tc>
        <w:tc>
          <w:tcPr>
            <w:tcW w:w="1472" w:type="dxa"/>
            <w:gridSpan w:val="3"/>
            <w:vAlign w:val="center"/>
          </w:tcPr>
          <w:p w14:paraId="6E30CF02">
            <w:pPr>
              <w:jc w:val="center"/>
              <w:rPr>
                <w:color w:val="auto"/>
                <w:highlight w:val="none"/>
              </w:rPr>
            </w:pPr>
          </w:p>
        </w:tc>
        <w:tc>
          <w:tcPr>
            <w:tcW w:w="1641" w:type="dxa"/>
            <w:gridSpan w:val="4"/>
            <w:vAlign w:val="center"/>
          </w:tcPr>
          <w:p w14:paraId="13FCB4F6">
            <w:pPr>
              <w:jc w:val="center"/>
              <w:rPr>
                <w:color w:val="auto"/>
                <w:highlight w:val="none"/>
              </w:rPr>
            </w:pPr>
          </w:p>
        </w:tc>
        <w:tc>
          <w:tcPr>
            <w:tcW w:w="1484" w:type="dxa"/>
            <w:gridSpan w:val="2"/>
            <w:vAlign w:val="center"/>
          </w:tcPr>
          <w:p w14:paraId="3B28EC31">
            <w:pPr>
              <w:jc w:val="center"/>
              <w:rPr>
                <w:color w:val="auto"/>
                <w:highlight w:val="none"/>
              </w:rPr>
            </w:pPr>
          </w:p>
        </w:tc>
      </w:tr>
      <w:tr w14:paraId="164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2E1CB51">
            <w:pPr>
              <w:jc w:val="center"/>
              <w:rPr>
                <w:rFonts w:cs="宋体"/>
                <w:color w:val="auto"/>
                <w:highlight w:val="none"/>
              </w:rPr>
            </w:pPr>
            <w:r>
              <w:rPr>
                <w:rFonts w:hint="eastAsia" w:cs="宋体"/>
                <w:color w:val="auto"/>
                <w:highlight w:val="none"/>
              </w:rPr>
              <w:t>工程质量</w:t>
            </w:r>
          </w:p>
        </w:tc>
        <w:tc>
          <w:tcPr>
            <w:tcW w:w="1548" w:type="dxa"/>
            <w:gridSpan w:val="2"/>
            <w:vAlign w:val="center"/>
          </w:tcPr>
          <w:p w14:paraId="330D0414">
            <w:pPr>
              <w:jc w:val="center"/>
              <w:rPr>
                <w:color w:val="auto"/>
                <w:highlight w:val="none"/>
              </w:rPr>
            </w:pPr>
          </w:p>
        </w:tc>
        <w:tc>
          <w:tcPr>
            <w:tcW w:w="1837" w:type="dxa"/>
            <w:gridSpan w:val="4"/>
            <w:vAlign w:val="center"/>
          </w:tcPr>
          <w:p w14:paraId="1E827153">
            <w:pPr>
              <w:jc w:val="center"/>
              <w:rPr>
                <w:color w:val="auto"/>
                <w:highlight w:val="none"/>
              </w:rPr>
            </w:pPr>
          </w:p>
        </w:tc>
        <w:tc>
          <w:tcPr>
            <w:tcW w:w="1472" w:type="dxa"/>
            <w:gridSpan w:val="3"/>
            <w:vAlign w:val="center"/>
          </w:tcPr>
          <w:p w14:paraId="09400B53">
            <w:pPr>
              <w:jc w:val="center"/>
              <w:rPr>
                <w:color w:val="auto"/>
                <w:highlight w:val="none"/>
              </w:rPr>
            </w:pPr>
          </w:p>
        </w:tc>
        <w:tc>
          <w:tcPr>
            <w:tcW w:w="1641" w:type="dxa"/>
            <w:gridSpan w:val="4"/>
            <w:vAlign w:val="center"/>
          </w:tcPr>
          <w:p w14:paraId="24B3403C">
            <w:pPr>
              <w:jc w:val="center"/>
              <w:rPr>
                <w:color w:val="auto"/>
                <w:highlight w:val="none"/>
              </w:rPr>
            </w:pPr>
          </w:p>
        </w:tc>
        <w:tc>
          <w:tcPr>
            <w:tcW w:w="1484" w:type="dxa"/>
            <w:gridSpan w:val="2"/>
            <w:vAlign w:val="center"/>
          </w:tcPr>
          <w:p w14:paraId="074171EA">
            <w:pPr>
              <w:jc w:val="center"/>
              <w:rPr>
                <w:color w:val="auto"/>
                <w:highlight w:val="none"/>
              </w:rPr>
            </w:pPr>
          </w:p>
        </w:tc>
      </w:tr>
      <w:tr w14:paraId="34F9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10C3D45C">
            <w:pPr>
              <w:jc w:val="center"/>
              <w:rPr>
                <w:rFonts w:cs="宋体"/>
                <w:color w:val="auto"/>
                <w:highlight w:val="none"/>
              </w:rPr>
            </w:pPr>
            <w:r>
              <w:rPr>
                <w:rFonts w:hint="eastAsia" w:cs="宋体"/>
                <w:color w:val="auto"/>
                <w:highlight w:val="none"/>
              </w:rPr>
              <w:t>受奖情况</w:t>
            </w:r>
          </w:p>
        </w:tc>
        <w:tc>
          <w:tcPr>
            <w:tcW w:w="1548" w:type="dxa"/>
            <w:gridSpan w:val="2"/>
            <w:vAlign w:val="center"/>
          </w:tcPr>
          <w:p w14:paraId="389A57A2">
            <w:pPr>
              <w:jc w:val="center"/>
              <w:rPr>
                <w:color w:val="auto"/>
                <w:highlight w:val="none"/>
              </w:rPr>
            </w:pPr>
          </w:p>
        </w:tc>
        <w:tc>
          <w:tcPr>
            <w:tcW w:w="1837" w:type="dxa"/>
            <w:gridSpan w:val="4"/>
            <w:vAlign w:val="center"/>
          </w:tcPr>
          <w:p w14:paraId="1F424152">
            <w:pPr>
              <w:jc w:val="center"/>
              <w:rPr>
                <w:color w:val="auto"/>
                <w:highlight w:val="none"/>
              </w:rPr>
            </w:pPr>
          </w:p>
        </w:tc>
        <w:tc>
          <w:tcPr>
            <w:tcW w:w="1472" w:type="dxa"/>
            <w:gridSpan w:val="3"/>
            <w:vAlign w:val="center"/>
          </w:tcPr>
          <w:p w14:paraId="4F42C24B">
            <w:pPr>
              <w:jc w:val="center"/>
              <w:rPr>
                <w:color w:val="auto"/>
                <w:highlight w:val="none"/>
              </w:rPr>
            </w:pPr>
          </w:p>
        </w:tc>
        <w:tc>
          <w:tcPr>
            <w:tcW w:w="1641" w:type="dxa"/>
            <w:gridSpan w:val="4"/>
            <w:vAlign w:val="center"/>
          </w:tcPr>
          <w:p w14:paraId="00B3DAA8">
            <w:pPr>
              <w:jc w:val="center"/>
              <w:rPr>
                <w:color w:val="auto"/>
                <w:highlight w:val="none"/>
              </w:rPr>
            </w:pPr>
          </w:p>
        </w:tc>
        <w:tc>
          <w:tcPr>
            <w:tcW w:w="1484" w:type="dxa"/>
            <w:gridSpan w:val="2"/>
            <w:vAlign w:val="center"/>
          </w:tcPr>
          <w:p w14:paraId="05555822">
            <w:pPr>
              <w:jc w:val="center"/>
              <w:rPr>
                <w:color w:val="auto"/>
                <w:highlight w:val="none"/>
              </w:rPr>
            </w:pPr>
          </w:p>
        </w:tc>
      </w:tr>
    </w:tbl>
    <w:p w14:paraId="73A33B5C">
      <w:pPr>
        <w:spacing w:line="360" w:lineRule="auto"/>
        <w:rPr>
          <w:rFonts w:ascii="宋体" w:hAnsi="宋体"/>
          <w:color w:val="auto"/>
          <w:highlight w:val="none"/>
        </w:rPr>
      </w:pPr>
      <w:r>
        <w:rPr>
          <w:rFonts w:hint="eastAsia" w:ascii="宋体" w:hAnsi="宋体" w:cs="楷体_GB2312"/>
          <w:color w:val="auto"/>
          <w:highlight w:val="none"/>
        </w:rPr>
        <w:t>备注：</w:t>
      </w:r>
    </w:p>
    <w:p w14:paraId="369D501F">
      <w:pPr>
        <w:spacing w:line="360" w:lineRule="auto"/>
        <w:ind w:firstLine="420" w:firstLineChars="200"/>
        <w:rPr>
          <w:rFonts w:ascii="宋体" w:hAnsi="宋体"/>
          <w:color w:val="auto"/>
          <w:highlight w:val="none"/>
        </w:rPr>
      </w:pPr>
      <w:r>
        <w:rPr>
          <w:rFonts w:hint="eastAsia" w:ascii="宋体" w:hAnsi="宋体"/>
          <w:color w:val="auto"/>
          <w:highlight w:val="none"/>
        </w:rPr>
        <w:t>1.供应商可以根据项目情况增减表格内容，项目数可以根据需要增加。</w:t>
      </w:r>
    </w:p>
    <w:p w14:paraId="5968C6E4">
      <w:pPr>
        <w:spacing w:line="360" w:lineRule="auto"/>
        <w:ind w:firstLine="420" w:firstLineChars="200"/>
        <w:rPr>
          <w:rFonts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本表后附专职安全生产管理人员的学历证、安全生产考核合格证（C类）、本表所列证书扫描件并加盖供应商电子签章。</w:t>
      </w:r>
    </w:p>
    <w:p w14:paraId="4552F8EC">
      <w:pPr>
        <w:rPr>
          <w:rFonts w:ascii="宋体" w:hAnsi="宋体"/>
          <w:b/>
          <w:bCs/>
          <w:color w:val="auto"/>
          <w:sz w:val="24"/>
          <w:highlight w:val="none"/>
        </w:rPr>
      </w:pPr>
      <w:r>
        <w:rPr>
          <w:rFonts w:ascii="宋体" w:hAnsi="宋体"/>
          <w:b/>
          <w:bCs/>
          <w:color w:val="auto"/>
          <w:sz w:val="24"/>
          <w:highlight w:val="none"/>
        </w:rPr>
        <w:br w:type="page"/>
      </w:r>
    </w:p>
    <w:p w14:paraId="5637D13B">
      <w:pPr>
        <w:pStyle w:val="36"/>
        <w:snapToGrid w:val="0"/>
        <w:ind w:left="480" w:hanging="480"/>
        <w:jc w:val="center"/>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供应商业绩情况一览表（格式）</w:t>
      </w:r>
    </w:p>
    <w:tbl>
      <w:tblPr>
        <w:tblStyle w:val="45"/>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01"/>
        <w:gridCol w:w="1732"/>
        <w:gridCol w:w="2057"/>
        <w:gridCol w:w="1319"/>
        <w:gridCol w:w="2281"/>
      </w:tblGrid>
      <w:tr w14:paraId="0E208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5" w:hRule="atLeast"/>
        </w:trPr>
        <w:tc>
          <w:tcPr>
            <w:tcW w:w="935" w:type="pct"/>
            <w:tcBorders>
              <w:top w:val="single" w:color="auto" w:sz="4" w:space="0"/>
              <w:left w:val="single" w:color="auto" w:sz="4" w:space="0"/>
              <w:bottom w:val="single" w:color="auto" w:sz="4" w:space="0"/>
              <w:right w:val="single" w:color="auto" w:sz="4" w:space="0"/>
            </w:tcBorders>
            <w:noWrap w:val="0"/>
            <w:vAlign w:val="center"/>
          </w:tcPr>
          <w:p w14:paraId="199FB5BB">
            <w:pPr>
              <w:snapToGrid w:val="0"/>
              <w:spacing w:line="240" w:lineRule="auto"/>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952" w:type="pct"/>
            <w:tcBorders>
              <w:top w:val="single" w:color="auto" w:sz="4" w:space="0"/>
              <w:left w:val="single" w:color="auto" w:sz="4" w:space="0"/>
              <w:bottom w:val="single" w:color="auto" w:sz="4" w:space="0"/>
              <w:right w:val="single" w:color="auto" w:sz="4" w:space="0"/>
            </w:tcBorders>
            <w:noWrap w:val="0"/>
            <w:vAlign w:val="center"/>
          </w:tcPr>
          <w:p w14:paraId="08C7BB67">
            <w:pPr>
              <w:snapToGrid w:val="0"/>
              <w:spacing w:line="240" w:lineRule="auto"/>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1" w:type="pct"/>
            <w:tcBorders>
              <w:top w:val="single" w:color="auto" w:sz="4" w:space="0"/>
              <w:left w:val="single" w:color="auto" w:sz="4" w:space="0"/>
              <w:bottom w:val="single" w:color="auto" w:sz="4" w:space="0"/>
              <w:right w:val="single" w:color="auto" w:sz="4" w:space="0"/>
            </w:tcBorders>
            <w:noWrap w:val="0"/>
            <w:vAlign w:val="center"/>
          </w:tcPr>
          <w:p w14:paraId="55EFE19C">
            <w:pPr>
              <w:snapToGrid w:val="0"/>
              <w:spacing w:line="240" w:lineRule="auto"/>
              <w:jc w:val="center"/>
              <w:rPr>
                <w:rFonts w:hint="eastAsia" w:ascii="宋体" w:hAnsi="宋体"/>
                <w:color w:val="auto"/>
                <w:sz w:val="24"/>
                <w:highlight w:val="none"/>
              </w:rPr>
            </w:pPr>
            <w:r>
              <w:rPr>
                <w:rFonts w:hint="eastAsia" w:ascii="宋体" w:hAnsi="宋体"/>
                <w:color w:val="auto"/>
                <w:sz w:val="24"/>
                <w:highlight w:val="none"/>
              </w:rPr>
              <w:t>合同金额（万元）</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FC3942D">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竣工时间</w:t>
            </w:r>
          </w:p>
        </w:tc>
        <w:tc>
          <w:tcPr>
            <w:tcW w:w="1254" w:type="pct"/>
            <w:tcBorders>
              <w:top w:val="single" w:color="auto" w:sz="4" w:space="0"/>
              <w:left w:val="single" w:color="auto" w:sz="4" w:space="0"/>
              <w:bottom w:val="single" w:color="auto" w:sz="4" w:space="0"/>
              <w:right w:val="single" w:color="auto" w:sz="4" w:space="0"/>
            </w:tcBorders>
            <w:noWrap w:val="0"/>
            <w:vAlign w:val="center"/>
          </w:tcPr>
          <w:p w14:paraId="5E56711A">
            <w:pPr>
              <w:snapToGrid w:val="0"/>
              <w:spacing w:line="240" w:lineRule="auto"/>
              <w:jc w:val="center"/>
              <w:rPr>
                <w:rFonts w:hint="eastAsia" w:ascii="宋体" w:hAnsi="宋体"/>
                <w:color w:val="auto"/>
                <w:sz w:val="24"/>
                <w:highlight w:val="none"/>
              </w:rPr>
            </w:pPr>
            <w:r>
              <w:rPr>
                <w:rFonts w:hint="eastAsia" w:ascii="宋体" w:hAnsi="宋体"/>
                <w:color w:val="auto"/>
                <w:sz w:val="24"/>
                <w:highlight w:val="none"/>
              </w:rPr>
              <w:t>采购人联系人及</w:t>
            </w:r>
          </w:p>
          <w:p w14:paraId="650D477D">
            <w:pPr>
              <w:snapToGrid w:val="0"/>
              <w:spacing w:line="240" w:lineRule="auto"/>
              <w:jc w:val="center"/>
              <w:rPr>
                <w:rFonts w:hint="eastAsia" w:ascii="宋体" w:hAnsi="宋体"/>
                <w:color w:val="auto"/>
                <w:sz w:val="24"/>
                <w:highlight w:val="none"/>
              </w:rPr>
            </w:pPr>
            <w:r>
              <w:rPr>
                <w:rFonts w:hint="eastAsia" w:ascii="宋体" w:hAnsi="宋体"/>
                <w:color w:val="auto"/>
                <w:sz w:val="24"/>
                <w:highlight w:val="none"/>
              </w:rPr>
              <w:t>联系电话</w:t>
            </w:r>
          </w:p>
        </w:tc>
      </w:tr>
      <w:tr w14:paraId="71D63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935" w:type="pct"/>
            <w:tcBorders>
              <w:top w:val="single" w:color="auto" w:sz="4" w:space="0"/>
              <w:left w:val="single" w:color="auto" w:sz="4" w:space="0"/>
              <w:bottom w:val="single" w:color="auto" w:sz="4" w:space="0"/>
              <w:right w:val="single" w:color="auto" w:sz="4" w:space="0"/>
            </w:tcBorders>
            <w:noWrap w:val="0"/>
            <w:vAlign w:val="top"/>
          </w:tcPr>
          <w:p w14:paraId="38D57388">
            <w:pPr>
              <w:snapToGrid w:val="0"/>
              <w:spacing w:line="240" w:lineRule="exact"/>
              <w:jc w:val="left"/>
              <w:rPr>
                <w:rFonts w:hint="eastAsia"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46C83569">
            <w:pPr>
              <w:snapToGrid w:val="0"/>
              <w:spacing w:line="240" w:lineRule="exact"/>
              <w:jc w:val="left"/>
              <w:rPr>
                <w:rFonts w:hint="eastAsia" w:ascii="宋体" w:hAnsi="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470BCDA9">
            <w:pPr>
              <w:snapToGrid w:val="0"/>
              <w:spacing w:line="240" w:lineRule="exact"/>
              <w:jc w:val="left"/>
              <w:rPr>
                <w:rFonts w:hint="eastAsia" w:ascii="宋体" w:hAnsi="宋体"/>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1528221C">
            <w:pPr>
              <w:snapToGrid w:val="0"/>
              <w:spacing w:line="240" w:lineRule="exact"/>
              <w:jc w:val="left"/>
              <w:rPr>
                <w:rFonts w:hint="eastAsia" w:ascii="宋体" w:hAnsi="宋体"/>
                <w:color w:val="auto"/>
                <w:sz w:val="24"/>
                <w:highlight w:val="none"/>
              </w:rPr>
            </w:pPr>
          </w:p>
        </w:tc>
        <w:tc>
          <w:tcPr>
            <w:tcW w:w="1254" w:type="pct"/>
            <w:tcBorders>
              <w:top w:val="single" w:color="auto" w:sz="4" w:space="0"/>
              <w:left w:val="single" w:color="auto" w:sz="4" w:space="0"/>
              <w:bottom w:val="single" w:color="auto" w:sz="4" w:space="0"/>
              <w:right w:val="single" w:color="auto" w:sz="4" w:space="0"/>
            </w:tcBorders>
            <w:noWrap w:val="0"/>
            <w:vAlign w:val="top"/>
          </w:tcPr>
          <w:p w14:paraId="6EF85059">
            <w:pPr>
              <w:snapToGrid w:val="0"/>
              <w:spacing w:line="240" w:lineRule="exact"/>
              <w:jc w:val="left"/>
              <w:rPr>
                <w:rFonts w:hint="eastAsia" w:ascii="宋体" w:hAnsi="宋体"/>
                <w:color w:val="auto"/>
                <w:sz w:val="24"/>
                <w:highlight w:val="none"/>
              </w:rPr>
            </w:pPr>
          </w:p>
        </w:tc>
      </w:tr>
      <w:tr w14:paraId="788B0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5" w:type="pct"/>
            <w:tcBorders>
              <w:top w:val="single" w:color="auto" w:sz="4" w:space="0"/>
              <w:left w:val="single" w:color="auto" w:sz="4" w:space="0"/>
              <w:bottom w:val="single" w:color="auto" w:sz="4" w:space="0"/>
              <w:right w:val="single" w:color="auto" w:sz="4" w:space="0"/>
            </w:tcBorders>
            <w:noWrap w:val="0"/>
            <w:vAlign w:val="top"/>
          </w:tcPr>
          <w:p w14:paraId="21729467">
            <w:pPr>
              <w:snapToGrid w:val="0"/>
              <w:spacing w:before="50" w:after="120" w:afterLines="50" w:line="400" w:lineRule="exact"/>
              <w:jc w:val="left"/>
              <w:rPr>
                <w:rFonts w:hint="eastAsia"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394B31F8">
            <w:pPr>
              <w:snapToGrid w:val="0"/>
              <w:spacing w:before="50" w:after="120" w:afterLines="50" w:line="400" w:lineRule="exact"/>
              <w:jc w:val="left"/>
              <w:rPr>
                <w:rFonts w:hint="eastAsia" w:ascii="宋体" w:hAnsi="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55C8FFBC">
            <w:pPr>
              <w:snapToGrid w:val="0"/>
              <w:spacing w:before="50" w:after="120" w:afterLines="50" w:line="400" w:lineRule="exact"/>
              <w:jc w:val="left"/>
              <w:rPr>
                <w:rFonts w:hint="eastAsia" w:ascii="宋体" w:hAnsi="宋体"/>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758CCD32">
            <w:pPr>
              <w:snapToGrid w:val="0"/>
              <w:spacing w:before="50" w:after="120" w:afterLines="50" w:line="400" w:lineRule="exact"/>
              <w:jc w:val="left"/>
              <w:rPr>
                <w:rFonts w:hint="eastAsia" w:ascii="宋体" w:hAnsi="宋体"/>
                <w:color w:val="auto"/>
                <w:sz w:val="24"/>
                <w:highlight w:val="none"/>
              </w:rPr>
            </w:pPr>
          </w:p>
        </w:tc>
        <w:tc>
          <w:tcPr>
            <w:tcW w:w="1254" w:type="pct"/>
            <w:tcBorders>
              <w:top w:val="single" w:color="auto" w:sz="4" w:space="0"/>
              <w:left w:val="single" w:color="auto" w:sz="4" w:space="0"/>
              <w:bottom w:val="single" w:color="auto" w:sz="4" w:space="0"/>
              <w:right w:val="single" w:color="auto" w:sz="4" w:space="0"/>
            </w:tcBorders>
            <w:noWrap w:val="0"/>
            <w:vAlign w:val="top"/>
          </w:tcPr>
          <w:p w14:paraId="2BDBBF75">
            <w:pPr>
              <w:snapToGrid w:val="0"/>
              <w:spacing w:before="50" w:after="120" w:afterLines="50" w:line="400" w:lineRule="exact"/>
              <w:jc w:val="left"/>
              <w:rPr>
                <w:rFonts w:hint="eastAsia" w:ascii="宋体" w:hAnsi="宋体"/>
                <w:color w:val="auto"/>
                <w:sz w:val="24"/>
                <w:highlight w:val="none"/>
              </w:rPr>
            </w:pPr>
          </w:p>
        </w:tc>
      </w:tr>
      <w:tr w14:paraId="142B4B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935" w:type="pct"/>
            <w:tcBorders>
              <w:top w:val="single" w:color="auto" w:sz="4" w:space="0"/>
              <w:left w:val="single" w:color="auto" w:sz="4" w:space="0"/>
              <w:bottom w:val="single" w:color="auto" w:sz="4" w:space="0"/>
              <w:right w:val="single" w:color="auto" w:sz="4" w:space="0"/>
            </w:tcBorders>
            <w:noWrap w:val="0"/>
            <w:vAlign w:val="top"/>
          </w:tcPr>
          <w:p w14:paraId="4CEB261E">
            <w:pPr>
              <w:snapToGrid w:val="0"/>
              <w:spacing w:before="50" w:after="120" w:afterLines="50" w:line="400" w:lineRule="exact"/>
              <w:jc w:val="left"/>
              <w:rPr>
                <w:rFonts w:hint="eastAsia"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34DEA651">
            <w:pPr>
              <w:snapToGrid w:val="0"/>
              <w:spacing w:before="50" w:after="120" w:afterLines="50" w:line="400" w:lineRule="exact"/>
              <w:jc w:val="left"/>
              <w:rPr>
                <w:rFonts w:hint="eastAsia" w:ascii="宋体" w:hAnsi="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513C3A69">
            <w:pPr>
              <w:snapToGrid w:val="0"/>
              <w:spacing w:before="50" w:after="120" w:afterLines="50" w:line="400" w:lineRule="exact"/>
              <w:jc w:val="left"/>
              <w:rPr>
                <w:rFonts w:hint="eastAsia" w:ascii="宋体" w:hAnsi="宋体"/>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0A6E3BC2">
            <w:pPr>
              <w:snapToGrid w:val="0"/>
              <w:spacing w:before="50" w:after="120" w:afterLines="50" w:line="400" w:lineRule="exact"/>
              <w:jc w:val="left"/>
              <w:rPr>
                <w:rFonts w:hint="eastAsia" w:ascii="宋体" w:hAnsi="宋体"/>
                <w:color w:val="auto"/>
                <w:sz w:val="24"/>
                <w:highlight w:val="none"/>
              </w:rPr>
            </w:pPr>
          </w:p>
        </w:tc>
        <w:tc>
          <w:tcPr>
            <w:tcW w:w="1254" w:type="pct"/>
            <w:tcBorders>
              <w:top w:val="single" w:color="auto" w:sz="4" w:space="0"/>
              <w:left w:val="single" w:color="auto" w:sz="4" w:space="0"/>
              <w:bottom w:val="single" w:color="auto" w:sz="4" w:space="0"/>
              <w:right w:val="single" w:color="auto" w:sz="4" w:space="0"/>
            </w:tcBorders>
            <w:noWrap w:val="0"/>
            <w:vAlign w:val="top"/>
          </w:tcPr>
          <w:p w14:paraId="11B73E55">
            <w:pPr>
              <w:snapToGrid w:val="0"/>
              <w:spacing w:before="50" w:after="120" w:afterLines="50" w:line="400" w:lineRule="exact"/>
              <w:jc w:val="left"/>
              <w:rPr>
                <w:rFonts w:hint="eastAsia" w:ascii="宋体" w:hAnsi="宋体"/>
                <w:color w:val="auto"/>
                <w:sz w:val="24"/>
                <w:highlight w:val="none"/>
              </w:rPr>
            </w:pPr>
          </w:p>
        </w:tc>
      </w:tr>
      <w:tr w14:paraId="4BD1D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5" w:type="pct"/>
            <w:tcBorders>
              <w:top w:val="single" w:color="auto" w:sz="4" w:space="0"/>
              <w:left w:val="single" w:color="auto" w:sz="4" w:space="0"/>
              <w:bottom w:val="single" w:color="auto" w:sz="4" w:space="0"/>
              <w:right w:val="single" w:color="auto" w:sz="4" w:space="0"/>
            </w:tcBorders>
            <w:noWrap w:val="0"/>
            <w:vAlign w:val="top"/>
          </w:tcPr>
          <w:p w14:paraId="038D68AF">
            <w:pPr>
              <w:snapToGrid w:val="0"/>
              <w:spacing w:before="50" w:after="120" w:afterLines="50" w:line="400" w:lineRule="exact"/>
              <w:jc w:val="left"/>
              <w:rPr>
                <w:rFonts w:hint="eastAsia"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4A7668A6">
            <w:pPr>
              <w:snapToGrid w:val="0"/>
              <w:spacing w:before="50" w:after="120" w:afterLines="50" w:line="400" w:lineRule="exact"/>
              <w:jc w:val="left"/>
              <w:rPr>
                <w:rFonts w:hint="eastAsia" w:ascii="宋体" w:hAnsi="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0B6C5203">
            <w:pPr>
              <w:snapToGrid w:val="0"/>
              <w:spacing w:before="50" w:after="120" w:afterLines="50" w:line="400" w:lineRule="exact"/>
              <w:jc w:val="left"/>
              <w:rPr>
                <w:rFonts w:hint="eastAsia" w:ascii="宋体" w:hAnsi="宋体"/>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0FB4E2C8">
            <w:pPr>
              <w:snapToGrid w:val="0"/>
              <w:spacing w:before="50" w:after="120" w:afterLines="50" w:line="400" w:lineRule="exact"/>
              <w:jc w:val="left"/>
              <w:rPr>
                <w:rFonts w:hint="eastAsia" w:ascii="宋体" w:hAnsi="宋体"/>
                <w:color w:val="auto"/>
                <w:sz w:val="24"/>
                <w:highlight w:val="none"/>
              </w:rPr>
            </w:pPr>
          </w:p>
        </w:tc>
        <w:tc>
          <w:tcPr>
            <w:tcW w:w="1254" w:type="pct"/>
            <w:tcBorders>
              <w:top w:val="single" w:color="auto" w:sz="4" w:space="0"/>
              <w:left w:val="single" w:color="auto" w:sz="4" w:space="0"/>
              <w:bottom w:val="single" w:color="auto" w:sz="4" w:space="0"/>
              <w:right w:val="single" w:color="auto" w:sz="4" w:space="0"/>
            </w:tcBorders>
            <w:noWrap w:val="0"/>
            <w:vAlign w:val="top"/>
          </w:tcPr>
          <w:p w14:paraId="3DFCFFAC">
            <w:pPr>
              <w:snapToGrid w:val="0"/>
              <w:spacing w:before="50" w:after="120" w:afterLines="50" w:line="400" w:lineRule="exact"/>
              <w:jc w:val="left"/>
              <w:rPr>
                <w:rFonts w:hint="eastAsia" w:ascii="宋体" w:hAnsi="宋体"/>
                <w:color w:val="auto"/>
                <w:sz w:val="24"/>
                <w:highlight w:val="none"/>
              </w:rPr>
            </w:pPr>
          </w:p>
        </w:tc>
      </w:tr>
      <w:tr w14:paraId="7F51A5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5" w:type="pct"/>
            <w:tcBorders>
              <w:top w:val="single" w:color="auto" w:sz="4" w:space="0"/>
              <w:left w:val="single" w:color="auto" w:sz="4" w:space="0"/>
              <w:bottom w:val="single" w:color="auto" w:sz="4" w:space="0"/>
              <w:right w:val="single" w:color="auto" w:sz="4" w:space="0"/>
            </w:tcBorders>
            <w:noWrap w:val="0"/>
            <w:vAlign w:val="top"/>
          </w:tcPr>
          <w:p w14:paraId="2164F7DF">
            <w:pPr>
              <w:snapToGrid w:val="0"/>
              <w:spacing w:before="50" w:after="120" w:afterLines="50" w:line="400" w:lineRule="exact"/>
              <w:jc w:val="left"/>
              <w:rPr>
                <w:rFonts w:hint="eastAsia" w:ascii="宋体" w:hAnsi="宋体"/>
                <w:color w:val="auto"/>
                <w:sz w:val="24"/>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top"/>
          </w:tcPr>
          <w:p w14:paraId="16D524B8">
            <w:pPr>
              <w:snapToGrid w:val="0"/>
              <w:spacing w:before="50" w:after="120" w:afterLines="50" w:line="400" w:lineRule="exact"/>
              <w:jc w:val="left"/>
              <w:rPr>
                <w:rFonts w:hint="eastAsia" w:ascii="宋体" w:hAnsi="宋体"/>
                <w:color w:val="auto"/>
                <w:sz w:val="24"/>
                <w:highlight w:val="none"/>
              </w:rPr>
            </w:pPr>
          </w:p>
        </w:tc>
        <w:tc>
          <w:tcPr>
            <w:tcW w:w="1131" w:type="pct"/>
            <w:tcBorders>
              <w:top w:val="single" w:color="auto" w:sz="4" w:space="0"/>
              <w:left w:val="single" w:color="auto" w:sz="4" w:space="0"/>
              <w:bottom w:val="single" w:color="auto" w:sz="4" w:space="0"/>
              <w:right w:val="single" w:color="auto" w:sz="4" w:space="0"/>
            </w:tcBorders>
            <w:noWrap w:val="0"/>
            <w:vAlign w:val="top"/>
          </w:tcPr>
          <w:p w14:paraId="6AE7BF96">
            <w:pPr>
              <w:snapToGrid w:val="0"/>
              <w:spacing w:before="50" w:after="120" w:afterLines="50" w:line="400" w:lineRule="exact"/>
              <w:jc w:val="left"/>
              <w:rPr>
                <w:rFonts w:hint="eastAsia" w:ascii="宋体" w:hAnsi="宋体"/>
                <w:color w:val="auto"/>
                <w:sz w:val="24"/>
                <w:highlight w:val="none"/>
              </w:rPr>
            </w:pPr>
          </w:p>
        </w:tc>
        <w:tc>
          <w:tcPr>
            <w:tcW w:w="725" w:type="pct"/>
            <w:tcBorders>
              <w:top w:val="single" w:color="auto" w:sz="4" w:space="0"/>
              <w:left w:val="single" w:color="auto" w:sz="4" w:space="0"/>
              <w:bottom w:val="single" w:color="auto" w:sz="4" w:space="0"/>
              <w:right w:val="single" w:color="auto" w:sz="4" w:space="0"/>
            </w:tcBorders>
            <w:noWrap w:val="0"/>
            <w:vAlign w:val="top"/>
          </w:tcPr>
          <w:p w14:paraId="46947B6D">
            <w:pPr>
              <w:snapToGrid w:val="0"/>
              <w:spacing w:before="50" w:after="120" w:afterLines="50" w:line="400" w:lineRule="exact"/>
              <w:jc w:val="left"/>
              <w:rPr>
                <w:rFonts w:hint="eastAsia" w:ascii="宋体" w:hAnsi="宋体"/>
                <w:color w:val="auto"/>
                <w:sz w:val="24"/>
                <w:highlight w:val="none"/>
              </w:rPr>
            </w:pPr>
          </w:p>
        </w:tc>
        <w:tc>
          <w:tcPr>
            <w:tcW w:w="1254" w:type="pct"/>
            <w:tcBorders>
              <w:top w:val="single" w:color="auto" w:sz="4" w:space="0"/>
              <w:left w:val="single" w:color="auto" w:sz="4" w:space="0"/>
              <w:bottom w:val="single" w:color="auto" w:sz="4" w:space="0"/>
              <w:right w:val="single" w:color="auto" w:sz="4" w:space="0"/>
            </w:tcBorders>
            <w:noWrap w:val="0"/>
            <w:vAlign w:val="top"/>
          </w:tcPr>
          <w:p w14:paraId="2A5DA860">
            <w:pPr>
              <w:snapToGrid w:val="0"/>
              <w:spacing w:before="50" w:after="120" w:afterLines="50" w:line="400" w:lineRule="exact"/>
              <w:jc w:val="left"/>
              <w:rPr>
                <w:rFonts w:hint="eastAsia" w:ascii="宋体" w:hAnsi="宋体"/>
                <w:color w:val="auto"/>
                <w:sz w:val="24"/>
                <w:highlight w:val="none"/>
              </w:rPr>
            </w:pPr>
          </w:p>
        </w:tc>
      </w:tr>
    </w:tbl>
    <w:p w14:paraId="5E935514">
      <w:pPr>
        <w:pStyle w:val="17"/>
        <w:spacing w:before="0" w:after="0" w:line="360" w:lineRule="auto"/>
        <w:contextualSpacing/>
        <w:rPr>
          <w:rFonts w:hint="eastAsia" w:ascii="宋体" w:hAnsi="宋体" w:eastAsia="宋体"/>
          <w:color w:val="auto"/>
          <w:sz w:val="24"/>
          <w:szCs w:val="24"/>
          <w:highlight w:val="none"/>
        </w:rPr>
      </w:pPr>
    </w:p>
    <w:p w14:paraId="1655C8D7">
      <w:pPr>
        <w:pStyle w:val="17"/>
        <w:spacing w:before="0" w:after="0" w:line="360" w:lineRule="auto"/>
        <w:contextualSpacing/>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lang w:val="en-US" w:eastAsia="zh-CN"/>
        </w:rPr>
        <w:t>供应商</w:t>
      </w:r>
      <w:r>
        <w:rPr>
          <w:rFonts w:hint="eastAsia" w:ascii="宋体" w:hAnsi="宋体"/>
          <w:color w:val="auto"/>
          <w:sz w:val="24"/>
          <w:highlight w:val="none"/>
        </w:rPr>
        <w:t>根据评</w:t>
      </w:r>
      <w:r>
        <w:rPr>
          <w:rFonts w:hint="eastAsia" w:ascii="宋体" w:hAnsi="宋体"/>
          <w:color w:val="auto"/>
          <w:sz w:val="24"/>
          <w:highlight w:val="none"/>
          <w:lang w:val="en-US" w:eastAsia="zh-CN"/>
        </w:rPr>
        <w:t>审</w:t>
      </w:r>
      <w:r>
        <w:rPr>
          <w:rFonts w:hint="eastAsia" w:ascii="宋体" w:hAnsi="宋体"/>
          <w:color w:val="auto"/>
          <w:sz w:val="24"/>
          <w:highlight w:val="none"/>
        </w:rPr>
        <w:t>标准具体要求附业绩证明材料。</w:t>
      </w:r>
    </w:p>
    <w:p w14:paraId="1A022757">
      <w:pPr>
        <w:pStyle w:val="17"/>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法定代表人（负责人）或者委托代理人（签字或者电子签名）：</w:t>
      </w:r>
      <w:r>
        <w:rPr>
          <w:rFonts w:hint="eastAsia" w:ascii="宋体" w:hAnsi="宋体" w:eastAsia="宋体"/>
          <w:color w:val="auto"/>
          <w:sz w:val="24"/>
          <w:szCs w:val="24"/>
          <w:highlight w:val="none"/>
          <w:u w:val="single"/>
        </w:rPr>
        <w:t>　　　　　</w:t>
      </w:r>
    </w:p>
    <w:p w14:paraId="2D3D2433">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lang w:val="en-US" w:eastAsia="zh-CN"/>
        </w:rPr>
        <w:t>供应商</w:t>
      </w:r>
      <w:r>
        <w:rPr>
          <w:rFonts w:hint="eastAsia" w:ascii="宋体" w:hAnsi="宋体" w:cs="Arial"/>
          <w:color w:val="auto"/>
          <w:sz w:val="24"/>
          <w:highlight w:val="none"/>
        </w:rPr>
        <w:t xml:space="preserve">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5BA4C9D4">
      <w:pPr>
        <w:rPr>
          <w:rFonts w:ascii="宋体" w:hAnsi="宋体"/>
          <w:b/>
          <w:bCs/>
          <w:color w:val="auto"/>
          <w:sz w:val="24"/>
          <w:highlight w:val="none"/>
        </w:rPr>
      </w:pPr>
      <w:r>
        <w:rPr>
          <w:rFonts w:ascii="宋体" w:hAnsi="宋体"/>
          <w:b/>
          <w:bCs/>
          <w:color w:val="auto"/>
          <w:sz w:val="24"/>
          <w:highlight w:val="none"/>
        </w:rPr>
        <w:br w:type="page"/>
      </w:r>
    </w:p>
    <w:p w14:paraId="7A502BD3">
      <w:pPr>
        <w:pStyle w:val="36"/>
        <w:snapToGrid w:val="0"/>
        <w:ind w:left="480" w:hanging="480"/>
        <w:jc w:val="center"/>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供应商获奖情况一览表（格式）</w:t>
      </w:r>
    </w:p>
    <w:tbl>
      <w:tblPr>
        <w:tblStyle w:val="45"/>
        <w:tblW w:w="491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84"/>
        <w:gridCol w:w="1385"/>
        <w:gridCol w:w="2822"/>
        <w:gridCol w:w="3351"/>
      </w:tblGrid>
      <w:tr w14:paraId="7F6BF0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17" w:hRule="atLeast"/>
        </w:trPr>
        <w:tc>
          <w:tcPr>
            <w:tcW w:w="774" w:type="pct"/>
            <w:tcBorders>
              <w:top w:val="single" w:color="auto" w:sz="4" w:space="0"/>
              <w:left w:val="single" w:color="auto" w:sz="4" w:space="0"/>
              <w:bottom w:val="single" w:color="auto" w:sz="4" w:space="0"/>
              <w:right w:val="single" w:color="auto" w:sz="4" w:space="0"/>
            </w:tcBorders>
            <w:noWrap w:val="0"/>
            <w:vAlign w:val="center"/>
          </w:tcPr>
          <w:p w14:paraId="59DC65D4">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序号</w:t>
            </w:r>
          </w:p>
        </w:tc>
        <w:tc>
          <w:tcPr>
            <w:tcW w:w="774" w:type="pct"/>
            <w:tcBorders>
              <w:top w:val="single" w:color="auto" w:sz="4" w:space="0"/>
              <w:left w:val="single" w:color="auto" w:sz="4" w:space="0"/>
              <w:bottom w:val="single" w:color="auto" w:sz="4" w:space="0"/>
              <w:right w:val="single" w:color="auto" w:sz="4" w:space="0"/>
            </w:tcBorders>
            <w:noWrap w:val="0"/>
            <w:vAlign w:val="center"/>
          </w:tcPr>
          <w:p w14:paraId="43E6DE07">
            <w:pPr>
              <w:snapToGrid w:val="0"/>
              <w:spacing w:line="240"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奖项</w:t>
            </w:r>
            <w:r>
              <w:rPr>
                <w:rFonts w:hint="eastAsia" w:ascii="宋体" w:hAnsi="宋体"/>
                <w:color w:val="auto"/>
                <w:sz w:val="24"/>
                <w:highlight w:val="none"/>
              </w:rPr>
              <w:t>名称</w:t>
            </w:r>
          </w:p>
        </w:tc>
        <w:tc>
          <w:tcPr>
            <w:tcW w:w="1577" w:type="pct"/>
            <w:tcBorders>
              <w:top w:val="single" w:color="auto" w:sz="4" w:space="0"/>
              <w:left w:val="single" w:color="auto" w:sz="4" w:space="0"/>
              <w:bottom w:val="single" w:color="auto" w:sz="4" w:space="0"/>
              <w:right w:val="single" w:color="auto" w:sz="4" w:space="0"/>
            </w:tcBorders>
            <w:noWrap w:val="0"/>
            <w:vAlign w:val="center"/>
          </w:tcPr>
          <w:p w14:paraId="74C5BAB2">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颁奖单位</w:t>
            </w:r>
          </w:p>
        </w:tc>
        <w:tc>
          <w:tcPr>
            <w:tcW w:w="1873" w:type="pct"/>
            <w:tcBorders>
              <w:top w:val="single" w:color="auto" w:sz="4" w:space="0"/>
              <w:left w:val="single" w:color="auto" w:sz="4" w:space="0"/>
              <w:bottom w:val="single" w:color="auto" w:sz="4" w:space="0"/>
              <w:right w:val="single" w:color="auto" w:sz="4" w:space="0"/>
            </w:tcBorders>
            <w:noWrap w:val="0"/>
            <w:vAlign w:val="center"/>
          </w:tcPr>
          <w:p w14:paraId="5E87F934">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获奖时间</w:t>
            </w:r>
          </w:p>
        </w:tc>
      </w:tr>
      <w:tr w14:paraId="22E50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74" w:type="pct"/>
            <w:tcBorders>
              <w:top w:val="single" w:color="auto" w:sz="4" w:space="0"/>
              <w:left w:val="single" w:color="auto" w:sz="4" w:space="0"/>
              <w:bottom w:val="single" w:color="auto" w:sz="4" w:space="0"/>
              <w:right w:val="single" w:color="auto" w:sz="4" w:space="0"/>
            </w:tcBorders>
            <w:noWrap w:val="0"/>
            <w:vAlign w:val="top"/>
          </w:tcPr>
          <w:p w14:paraId="21E5A62D">
            <w:pPr>
              <w:snapToGrid w:val="0"/>
              <w:spacing w:line="24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74" w:type="pct"/>
            <w:tcBorders>
              <w:top w:val="single" w:color="auto" w:sz="4" w:space="0"/>
              <w:left w:val="single" w:color="auto" w:sz="4" w:space="0"/>
              <w:bottom w:val="single" w:color="auto" w:sz="4" w:space="0"/>
              <w:right w:val="single" w:color="auto" w:sz="4" w:space="0"/>
            </w:tcBorders>
            <w:noWrap w:val="0"/>
            <w:vAlign w:val="top"/>
          </w:tcPr>
          <w:p w14:paraId="7612537A">
            <w:pPr>
              <w:snapToGrid w:val="0"/>
              <w:spacing w:line="240" w:lineRule="exact"/>
              <w:jc w:val="center"/>
              <w:rPr>
                <w:rFonts w:hint="eastAsia" w:ascii="宋体" w:hAnsi="宋体"/>
                <w:color w:val="auto"/>
                <w:sz w:val="24"/>
                <w:highlight w:val="none"/>
              </w:rPr>
            </w:pPr>
          </w:p>
        </w:tc>
        <w:tc>
          <w:tcPr>
            <w:tcW w:w="1577" w:type="pct"/>
            <w:tcBorders>
              <w:top w:val="single" w:color="auto" w:sz="4" w:space="0"/>
              <w:left w:val="single" w:color="auto" w:sz="4" w:space="0"/>
              <w:bottom w:val="single" w:color="auto" w:sz="4" w:space="0"/>
              <w:right w:val="single" w:color="auto" w:sz="4" w:space="0"/>
            </w:tcBorders>
            <w:noWrap w:val="0"/>
            <w:vAlign w:val="top"/>
          </w:tcPr>
          <w:p w14:paraId="6AB18F12">
            <w:pPr>
              <w:snapToGrid w:val="0"/>
              <w:spacing w:line="240" w:lineRule="exact"/>
              <w:jc w:val="center"/>
              <w:rPr>
                <w:rFonts w:hint="eastAsia" w:ascii="宋体" w:hAnsi="宋体"/>
                <w:color w:val="auto"/>
                <w:sz w:val="24"/>
                <w:highlight w:val="none"/>
              </w:rPr>
            </w:pPr>
          </w:p>
        </w:tc>
        <w:tc>
          <w:tcPr>
            <w:tcW w:w="1873" w:type="pct"/>
            <w:tcBorders>
              <w:top w:val="single" w:color="auto" w:sz="4" w:space="0"/>
              <w:left w:val="single" w:color="auto" w:sz="4" w:space="0"/>
              <w:bottom w:val="single" w:color="auto" w:sz="4" w:space="0"/>
              <w:right w:val="single" w:color="auto" w:sz="4" w:space="0"/>
            </w:tcBorders>
            <w:noWrap w:val="0"/>
            <w:vAlign w:val="top"/>
          </w:tcPr>
          <w:p w14:paraId="593A5B33">
            <w:pPr>
              <w:snapToGrid w:val="0"/>
              <w:spacing w:line="240" w:lineRule="exact"/>
              <w:jc w:val="center"/>
              <w:rPr>
                <w:rFonts w:hint="eastAsia" w:ascii="宋体" w:hAnsi="宋体"/>
                <w:color w:val="auto"/>
                <w:sz w:val="24"/>
                <w:highlight w:val="none"/>
              </w:rPr>
            </w:pPr>
          </w:p>
        </w:tc>
      </w:tr>
      <w:tr w14:paraId="4946FE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74" w:type="pct"/>
            <w:tcBorders>
              <w:top w:val="single" w:color="auto" w:sz="4" w:space="0"/>
              <w:left w:val="single" w:color="auto" w:sz="4" w:space="0"/>
              <w:bottom w:val="single" w:color="auto" w:sz="4" w:space="0"/>
              <w:right w:val="single" w:color="auto" w:sz="4" w:space="0"/>
            </w:tcBorders>
            <w:noWrap w:val="0"/>
            <w:vAlign w:val="top"/>
          </w:tcPr>
          <w:p w14:paraId="4AC88351">
            <w:pPr>
              <w:snapToGrid w:val="0"/>
              <w:spacing w:before="50" w:after="120" w:afterLines="50" w:line="4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2</w:t>
            </w:r>
          </w:p>
        </w:tc>
        <w:tc>
          <w:tcPr>
            <w:tcW w:w="774" w:type="pct"/>
            <w:tcBorders>
              <w:top w:val="single" w:color="auto" w:sz="4" w:space="0"/>
              <w:left w:val="single" w:color="auto" w:sz="4" w:space="0"/>
              <w:bottom w:val="single" w:color="auto" w:sz="4" w:space="0"/>
              <w:right w:val="single" w:color="auto" w:sz="4" w:space="0"/>
            </w:tcBorders>
            <w:noWrap w:val="0"/>
            <w:vAlign w:val="top"/>
          </w:tcPr>
          <w:p w14:paraId="264CBE7A">
            <w:pPr>
              <w:snapToGrid w:val="0"/>
              <w:spacing w:before="50" w:after="120" w:afterLines="50" w:line="400" w:lineRule="exact"/>
              <w:jc w:val="center"/>
              <w:rPr>
                <w:rFonts w:hint="eastAsia" w:ascii="宋体" w:hAnsi="宋体"/>
                <w:color w:val="auto"/>
                <w:sz w:val="24"/>
                <w:highlight w:val="none"/>
              </w:rPr>
            </w:pPr>
          </w:p>
        </w:tc>
        <w:tc>
          <w:tcPr>
            <w:tcW w:w="1577" w:type="pct"/>
            <w:tcBorders>
              <w:top w:val="single" w:color="auto" w:sz="4" w:space="0"/>
              <w:left w:val="single" w:color="auto" w:sz="4" w:space="0"/>
              <w:bottom w:val="single" w:color="auto" w:sz="4" w:space="0"/>
              <w:right w:val="single" w:color="auto" w:sz="4" w:space="0"/>
            </w:tcBorders>
            <w:noWrap w:val="0"/>
            <w:vAlign w:val="top"/>
          </w:tcPr>
          <w:p w14:paraId="67E8F58A">
            <w:pPr>
              <w:snapToGrid w:val="0"/>
              <w:spacing w:before="50" w:after="120" w:afterLines="50" w:line="400" w:lineRule="exact"/>
              <w:jc w:val="center"/>
              <w:rPr>
                <w:rFonts w:hint="eastAsia" w:ascii="宋体" w:hAnsi="宋体"/>
                <w:color w:val="auto"/>
                <w:sz w:val="24"/>
                <w:highlight w:val="none"/>
              </w:rPr>
            </w:pPr>
          </w:p>
        </w:tc>
        <w:tc>
          <w:tcPr>
            <w:tcW w:w="1873" w:type="pct"/>
            <w:tcBorders>
              <w:top w:val="single" w:color="auto" w:sz="4" w:space="0"/>
              <w:left w:val="single" w:color="auto" w:sz="4" w:space="0"/>
              <w:bottom w:val="single" w:color="auto" w:sz="4" w:space="0"/>
              <w:right w:val="single" w:color="auto" w:sz="4" w:space="0"/>
            </w:tcBorders>
            <w:noWrap w:val="0"/>
            <w:vAlign w:val="top"/>
          </w:tcPr>
          <w:p w14:paraId="50F2321E">
            <w:pPr>
              <w:snapToGrid w:val="0"/>
              <w:spacing w:before="50" w:after="120" w:afterLines="50" w:line="400" w:lineRule="exact"/>
              <w:jc w:val="center"/>
              <w:rPr>
                <w:rFonts w:hint="eastAsia" w:ascii="宋体" w:hAnsi="宋体"/>
                <w:color w:val="auto"/>
                <w:sz w:val="24"/>
                <w:highlight w:val="none"/>
              </w:rPr>
            </w:pPr>
          </w:p>
        </w:tc>
      </w:tr>
      <w:tr w14:paraId="2B891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74" w:type="pct"/>
            <w:tcBorders>
              <w:top w:val="single" w:color="auto" w:sz="4" w:space="0"/>
              <w:left w:val="single" w:color="auto" w:sz="4" w:space="0"/>
              <w:bottom w:val="single" w:color="auto" w:sz="4" w:space="0"/>
              <w:right w:val="single" w:color="auto" w:sz="4" w:space="0"/>
            </w:tcBorders>
            <w:noWrap w:val="0"/>
            <w:vAlign w:val="top"/>
          </w:tcPr>
          <w:p w14:paraId="11E1CCED">
            <w:pPr>
              <w:snapToGrid w:val="0"/>
              <w:spacing w:before="50" w:after="120" w:afterLines="50" w:line="400" w:lineRule="exact"/>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774" w:type="pct"/>
            <w:tcBorders>
              <w:top w:val="single" w:color="auto" w:sz="4" w:space="0"/>
              <w:left w:val="single" w:color="auto" w:sz="4" w:space="0"/>
              <w:bottom w:val="single" w:color="auto" w:sz="4" w:space="0"/>
              <w:right w:val="single" w:color="auto" w:sz="4" w:space="0"/>
            </w:tcBorders>
            <w:noWrap w:val="0"/>
            <w:vAlign w:val="top"/>
          </w:tcPr>
          <w:p w14:paraId="23D96F2A">
            <w:pPr>
              <w:snapToGrid w:val="0"/>
              <w:spacing w:before="50" w:after="120" w:afterLines="50" w:line="400" w:lineRule="exact"/>
              <w:jc w:val="center"/>
              <w:rPr>
                <w:rFonts w:hint="eastAsia" w:ascii="宋体" w:hAnsi="宋体"/>
                <w:color w:val="auto"/>
                <w:sz w:val="24"/>
                <w:highlight w:val="none"/>
              </w:rPr>
            </w:pPr>
          </w:p>
        </w:tc>
        <w:tc>
          <w:tcPr>
            <w:tcW w:w="1577" w:type="pct"/>
            <w:tcBorders>
              <w:top w:val="single" w:color="auto" w:sz="4" w:space="0"/>
              <w:left w:val="single" w:color="auto" w:sz="4" w:space="0"/>
              <w:bottom w:val="single" w:color="auto" w:sz="4" w:space="0"/>
              <w:right w:val="single" w:color="auto" w:sz="4" w:space="0"/>
            </w:tcBorders>
            <w:noWrap w:val="0"/>
            <w:vAlign w:val="top"/>
          </w:tcPr>
          <w:p w14:paraId="68C1B725">
            <w:pPr>
              <w:snapToGrid w:val="0"/>
              <w:spacing w:before="50" w:after="120" w:afterLines="50" w:line="400" w:lineRule="exact"/>
              <w:jc w:val="center"/>
              <w:rPr>
                <w:rFonts w:hint="eastAsia" w:ascii="宋体" w:hAnsi="宋体"/>
                <w:color w:val="auto"/>
                <w:sz w:val="24"/>
                <w:highlight w:val="none"/>
              </w:rPr>
            </w:pPr>
          </w:p>
        </w:tc>
        <w:tc>
          <w:tcPr>
            <w:tcW w:w="1873" w:type="pct"/>
            <w:tcBorders>
              <w:top w:val="single" w:color="auto" w:sz="4" w:space="0"/>
              <w:left w:val="single" w:color="auto" w:sz="4" w:space="0"/>
              <w:bottom w:val="single" w:color="auto" w:sz="4" w:space="0"/>
              <w:right w:val="single" w:color="auto" w:sz="4" w:space="0"/>
            </w:tcBorders>
            <w:noWrap w:val="0"/>
            <w:vAlign w:val="top"/>
          </w:tcPr>
          <w:p w14:paraId="6B485BC5">
            <w:pPr>
              <w:snapToGrid w:val="0"/>
              <w:spacing w:before="50" w:after="120" w:afterLines="50" w:line="400" w:lineRule="exact"/>
              <w:jc w:val="center"/>
              <w:rPr>
                <w:rFonts w:hint="eastAsia" w:ascii="宋体" w:hAnsi="宋体"/>
                <w:color w:val="auto"/>
                <w:sz w:val="24"/>
                <w:highlight w:val="none"/>
              </w:rPr>
            </w:pPr>
          </w:p>
        </w:tc>
      </w:tr>
      <w:tr w14:paraId="35A0F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774" w:type="pct"/>
            <w:tcBorders>
              <w:top w:val="single" w:color="auto" w:sz="4" w:space="0"/>
              <w:left w:val="single" w:color="auto" w:sz="4" w:space="0"/>
              <w:bottom w:val="single" w:color="auto" w:sz="4" w:space="0"/>
              <w:right w:val="single" w:color="auto" w:sz="4" w:space="0"/>
            </w:tcBorders>
            <w:noWrap w:val="0"/>
            <w:vAlign w:val="top"/>
          </w:tcPr>
          <w:p w14:paraId="0DF371CD">
            <w:pPr>
              <w:snapToGrid w:val="0"/>
              <w:spacing w:before="50" w:after="120" w:afterLines="50" w:line="400" w:lineRule="exact"/>
              <w:jc w:val="left"/>
              <w:rPr>
                <w:rFonts w:hint="eastAsia" w:ascii="宋体" w:hAnsi="宋体"/>
                <w:color w:val="auto"/>
                <w:sz w:val="24"/>
                <w:highlight w:val="none"/>
              </w:rPr>
            </w:pPr>
          </w:p>
        </w:tc>
        <w:tc>
          <w:tcPr>
            <w:tcW w:w="774" w:type="pct"/>
            <w:tcBorders>
              <w:top w:val="single" w:color="auto" w:sz="4" w:space="0"/>
              <w:left w:val="single" w:color="auto" w:sz="4" w:space="0"/>
              <w:bottom w:val="single" w:color="auto" w:sz="4" w:space="0"/>
              <w:right w:val="single" w:color="auto" w:sz="4" w:space="0"/>
            </w:tcBorders>
            <w:noWrap w:val="0"/>
            <w:vAlign w:val="top"/>
          </w:tcPr>
          <w:p w14:paraId="625C6EB1">
            <w:pPr>
              <w:snapToGrid w:val="0"/>
              <w:spacing w:before="50" w:after="120" w:afterLines="50" w:line="400" w:lineRule="exact"/>
              <w:jc w:val="left"/>
              <w:rPr>
                <w:rFonts w:hint="eastAsia" w:ascii="宋体" w:hAnsi="宋体"/>
                <w:color w:val="auto"/>
                <w:sz w:val="24"/>
                <w:highlight w:val="none"/>
              </w:rPr>
            </w:pPr>
          </w:p>
        </w:tc>
        <w:tc>
          <w:tcPr>
            <w:tcW w:w="1577" w:type="pct"/>
            <w:tcBorders>
              <w:top w:val="single" w:color="auto" w:sz="4" w:space="0"/>
              <w:left w:val="single" w:color="auto" w:sz="4" w:space="0"/>
              <w:bottom w:val="single" w:color="auto" w:sz="4" w:space="0"/>
              <w:right w:val="single" w:color="auto" w:sz="4" w:space="0"/>
            </w:tcBorders>
            <w:noWrap w:val="0"/>
            <w:vAlign w:val="top"/>
          </w:tcPr>
          <w:p w14:paraId="1B6A69F0">
            <w:pPr>
              <w:snapToGrid w:val="0"/>
              <w:spacing w:before="50" w:after="120" w:afterLines="50" w:line="400" w:lineRule="exact"/>
              <w:jc w:val="left"/>
              <w:rPr>
                <w:rFonts w:hint="eastAsia" w:ascii="宋体" w:hAnsi="宋体"/>
                <w:color w:val="auto"/>
                <w:sz w:val="24"/>
                <w:highlight w:val="none"/>
              </w:rPr>
            </w:pPr>
          </w:p>
        </w:tc>
        <w:tc>
          <w:tcPr>
            <w:tcW w:w="1873" w:type="pct"/>
            <w:tcBorders>
              <w:top w:val="single" w:color="auto" w:sz="4" w:space="0"/>
              <w:left w:val="single" w:color="auto" w:sz="4" w:space="0"/>
              <w:bottom w:val="single" w:color="auto" w:sz="4" w:space="0"/>
              <w:right w:val="single" w:color="auto" w:sz="4" w:space="0"/>
            </w:tcBorders>
            <w:noWrap w:val="0"/>
            <w:vAlign w:val="top"/>
          </w:tcPr>
          <w:p w14:paraId="7E37474F">
            <w:pPr>
              <w:snapToGrid w:val="0"/>
              <w:spacing w:before="50" w:after="120" w:afterLines="50" w:line="400" w:lineRule="exact"/>
              <w:jc w:val="left"/>
              <w:rPr>
                <w:rFonts w:hint="eastAsia" w:ascii="宋体" w:hAnsi="宋体"/>
                <w:color w:val="auto"/>
                <w:sz w:val="24"/>
                <w:highlight w:val="none"/>
              </w:rPr>
            </w:pPr>
          </w:p>
        </w:tc>
      </w:tr>
      <w:tr w14:paraId="521EA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774" w:type="pct"/>
            <w:tcBorders>
              <w:top w:val="single" w:color="auto" w:sz="4" w:space="0"/>
              <w:left w:val="single" w:color="auto" w:sz="4" w:space="0"/>
              <w:bottom w:val="single" w:color="auto" w:sz="4" w:space="0"/>
              <w:right w:val="single" w:color="auto" w:sz="4" w:space="0"/>
            </w:tcBorders>
            <w:noWrap w:val="0"/>
            <w:vAlign w:val="top"/>
          </w:tcPr>
          <w:p w14:paraId="69A36E5B">
            <w:pPr>
              <w:snapToGrid w:val="0"/>
              <w:spacing w:before="50" w:after="120" w:afterLines="50" w:line="400" w:lineRule="exact"/>
              <w:jc w:val="left"/>
              <w:rPr>
                <w:rFonts w:hint="eastAsia" w:ascii="宋体" w:hAnsi="宋体"/>
                <w:color w:val="auto"/>
                <w:sz w:val="24"/>
                <w:highlight w:val="none"/>
              </w:rPr>
            </w:pPr>
          </w:p>
        </w:tc>
        <w:tc>
          <w:tcPr>
            <w:tcW w:w="774" w:type="pct"/>
            <w:tcBorders>
              <w:top w:val="single" w:color="auto" w:sz="4" w:space="0"/>
              <w:left w:val="single" w:color="auto" w:sz="4" w:space="0"/>
              <w:bottom w:val="single" w:color="auto" w:sz="4" w:space="0"/>
              <w:right w:val="single" w:color="auto" w:sz="4" w:space="0"/>
            </w:tcBorders>
            <w:noWrap w:val="0"/>
            <w:vAlign w:val="top"/>
          </w:tcPr>
          <w:p w14:paraId="12ADAD9D">
            <w:pPr>
              <w:snapToGrid w:val="0"/>
              <w:spacing w:before="50" w:after="120" w:afterLines="50" w:line="400" w:lineRule="exact"/>
              <w:jc w:val="left"/>
              <w:rPr>
                <w:rFonts w:hint="eastAsia" w:ascii="宋体" w:hAnsi="宋体"/>
                <w:color w:val="auto"/>
                <w:sz w:val="24"/>
                <w:highlight w:val="none"/>
              </w:rPr>
            </w:pPr>
          </w:p>
        </w:tc>
        <w:tc>
          <w:tcPr>
            <w:tcW w:w="1577" w:type="pct"/>
            <w:tcBorders>
              <w:top w:val="single" w:color="auto" w:sz="4" w:space="0"/>
              <w:left w:val="single" w:color="auto" w:sz="4" w:space="0"/>
              <w:bottom w:val="single" w:color="auto" w:sz="4" w:space="0"/>
              <w:right w:val="single" w:color="auto" w:sz="4" w:space="0"/>
            </w:tcBorders>
            <w:noWrap w:val="0"/>
            <w:vAlign w:val="top"/>
          </w:tcPr>
          <w:p w14:paraId="684E5FA1">
            <w:pPr>
              <w:snapToGrid w:val="0"/>
              <w:spacing w:before="50" w:after="120" w:afterLines="50" w:line="400" w:lineRule="exact"/>
              <w:jc w:val="left"/>
              <w:rPr>
                <w:rFonts w:hint="eastAsia" w:ascii="宋体" w:hAnsi="宋体"/>
                <w:color w:val="auto"/>
                <w:sz w:val="24"/>
                <w:highlight w:val="none"/>
              </w:rPr>
            </w:pPr>
          </w:p>
        </w:tc>
        <w:tc>
          <w:tcPr>
            <w:tcW w:w="1873" w:type="pct"/>
            <w:tcBorders>
              <w:top w:val="single" w:color="auto" w:sz="4" w:space="0"/>
              <w:left w:val="single" w:color="auto" w:sz="4" w:space="0"/>
              <w:bottom w:val="single" w:color="auto" w:sz="4" w:space="0"/>
              <w:right w:val="single" w:color="auto" w:sz="4" w:space="0"/>
            </w:tcBorders>
            <w:noWrap w:val="0"/>
            <w:vAlign w:val="top"/>
          </w:tcPr>
          <w:p w14:paraId="40518737">
            <w:pPr>
              <w:snapToGrid w:val="0"/>
              <w:spacing w:before="50" w:after="120" w:afterLines="50" w:line="400" w:lineRule="exact"/>
              <w:jc w:val="left"/>
              <w:rPr>
                <w:rFonts w:hint="eastAsia" w:ascii="宋体" w:hAnsi="宋体"/>
                <w:color w:val="auto"/>
                <w:sz w:val="24"/>
                <w:highlight w:val="none"/>
              </w:rPr>
            </w:pPr>
          </w:p>
        </w:tc>
      </w:tr>
    </w:tbl>
    <w:p w14:paraId="596E826E">
      <w:pPr>
        <w:pStyle w:val="17"/>
        <w:spacing w:before="0" w:after="0" w:line="360" w:lineRule="auto"/>
        <w:contextualSpacing/>
        <w:rPr>
          <w:rFonts w:hint="eastAsia" w:ascii="宋体" w:hAnsi="宋体" w:eastAsia="宋体"/>
          <w:color w:val="auto"/>
          <w:sz w:val="24"/>
          <w:szCs w:val="24"/>
          <w:highlight w:val="none"/>
        </w:rPr>
      </w:pPr>
    </w:p>
    <w:p w14:paraId="5251EB74">
      <w:pPr>
        <w:pStyle w:val="17"/>
        <w:spacing w:before="0" w:after="0" w:line="360" w:lineRule="auto"/>
        <w:contextualSpacing/>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lang w:val="en-US" w:eastAsia="zh-CN"/>
        </w:rPr>
        <w:t>供应商</w:t>
      </w:r>
      <w:r>
        <w:rPr>
          <w:rFonts w:hint="eastAsia" w:ascii="宋体" w:hAnsi="宋体"/>
          <w:color w:val="auto"/>
          <w:sz w:val="24"/>
          <w:highlight w:val="none"/>
        </w:rPr>
        <w:t>根据评</w:t>
      </w:r>
      <w:r>
        <w:rPr>
          <w:rFonts w:hint="eastAsia" w:ascii="宋体" w:hAnsi="宋体"/>
          <w:color w:val="auto"/>
          <w:sz w:val="24"/>
          <w:highlight w:val="none"/>
          <w:lang w:val="en-US" w:eastAsia="zh-CN"/>
        </w:rPr>
        <w:t>审</w:t>
      </w:r>
      <w:r>
        <w:rPr>
          <w:rFonts w:hint="eastAsia" w:ascii="宋体" w:hAnsi="宋体"/>
          <w:color w:val="auto"/>
          <w:sz w:val="24"/>
          <w:highlight w:val="none"/>
        </w:rPr>
        <w:t>标准具体要求附</w:t>
      </w:r>
      <w:r>
        <w:rPr>
          <w:rFonts w:hint="eastAsia" w:ascii="宋体" w:hAnsi="宋体"/>
          <w:color w:val="auto"/>
          <w:sz w:val="24"/>
          <w:highlight w:val="none"/>
          <w:lang w:val="en-US" w:eastAsia="zh-CN"/>
        </w:rPr>
        <w:t>获奖</w:t>
      </w:r>
      <w:r>
        <w:rPr>
          <w:rFonts w:hint="eastAsia" w:ascii="宋体" w:hAnsi="宋体"/>
          <w:color w:val="auto"/>
          <w:sz w:val="24"/>
          <w:highlight w:val="none"/>
        </w:rPr>
        <w:t>证明材料。</w:t>
      </w:r>
    </w:p>
    <w:p w14:paraId="762992DB">
      <w:pPr>
        <w:pStyle w:val="17"/>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法定代表人（负责人）或者委托代理人（签字或者电子签名）：</w:t>
      </w:r>
      <w:r>
        <w:rPr>
          <w:rFonts w:hint="eastAsia" w:ascii="宋体" w:hAnsi="宋体" w:eastAsia="宋体"/>
          <w:color w:val="auto"/>
          <w:sz w:val="24"/>
          <w:szCs w:val="24"/>
          <w:highlight w:val="none"/>
          <w:u w:val="single"/>
        </w:rPr>
        <w:t>　　　　　</w:t>
      </w:r>
    </w:p>
    <w:p w14:paraId="52D5B210">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lang w:val="en-US" w:eastAsia="zh-CN"/>
        </w:rPr>
        <w:t>供应商</w:t>
      </w:r>
      <w:r>
        <w:rPr>
          <w:rFonts w:hint="eastAsia" w:ascii="宋体" w:hAnsi="宋体" w:cs="Arial"/>
          <w:color w:val="auto"/>
          <w:sz w:val="24"/>
          <w:highlight w:val="none"/>
        </w:rPr>
        <w:t xml:space="preserve">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4C6F1117">
      <w:pPr>
        <w:spacing w:line="36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70795CA4">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7A1D3C41">
      <w:pPr>
        <w:pStyle w:val="2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63A635E0">
      <w:pPr>
        <w:pStyle w:val="26"/>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p>
    <w:p w14:paraId="7BD792FA">
      <w:pPr>
        <w:pStyle w:val="2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30E7CA94">
      <w:pPr>
        <w:pStyle w:val="2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1E6187C6">
      <w:pPr>
        <w:pStyle w:val="26"/>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p>
    <w:p w14:paraId="283854CC">
      <w:pPr>
        <w:pStyle w:val="26"/>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4722C1A1">
      <w:pPr>
        <w:pStyle w:val="26"/>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DB061F3">
      <w:pPr>
        <w:pStyle w:val="26"/>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08B3E12E">
      <w:pPr>
        <w:pStyle w:val="2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1933EF33">
      <w:pPr>
        <w:pStyle w:val="26"/>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BA1C6CD">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p>
    <w:p w14:paraId="05CFCC99">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2287EB6E">
      <w:pPr>
        <w:pStyle w:val="2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p>
    <w:p w14:paraId="22301F96">
      <w:pPr>
        <w:pStyle w:val="26"/>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2A482B31">
      <w:pPr>
        <w:pStyle w:val="26"/>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32C2537D">
      <w:pPr>
        <w:pStyle w:val="26"/>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33B59E7E">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p>
    <w:p w14:paraId="74CAF293">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p>
    <w:p w14:paraId="3920E1AC">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p>
    <w:p w14:paraId="61C536A6">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1CC7714C">
      <w:pPr>
        <w:pStyle w:val="26"/>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2BCB64C2">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57E166A4">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p>
    <w:p w14:paraId="6E550F20">
      <w:pPr>
        <w:pStyle w:val="26"/>
        <w:spacing w:line="360" w:lineRule="auto"/>
        <w:ind w:left="25" w:leftChars="12" w:firstLine="352" w:firstLineChars="147"/>
        <w:contextualSpacing/>
        <w:rPr>
          <w:rFonts w:hAnsi="宋体"/>
          <w:color w:val="auto"/>
          <w:sz w:val="24"/>
          <w:szCs w:val="24"/>
          <w:highlight w:val="none"/>
        </w:rPr>
      </w:pPr>
    </w:p>
    <w:p w14:paraId="1C42FE03">
      <w:pPr>
        <w:pStyle w:val="26"/>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0692A3B4">
      <w:pPr>
        <w:pStyle w:val="26"/>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710334E5">
      <w:pPr>
        <w:pStyle w:val="26"/>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6C16E634">
      <w:pPr>
        <w:pStyle w:val="26"/>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33A7DD1">
      <w:pPr>
        <w:pStyle w:val="2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A53A0FF">
      <w:pPr>
        <w:pStyle w:val="2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F98A272">
      <w:pPr>
        <w:pStyle w:val="26"/>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67F27C63">
      <w:pPr>
        <w:pStyle w:val="26"/>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27A29D5">
      <w:pPr>
        <w:pStyle w:val="26"/>
        <w:snapToGrid w:val="0"/>
        <w:rPr>
          <w:b/>
          <w:color w:val="auto"/>
          <w:sz w:val="24"/>
          <w:szCs w:val="24"/>
          <w:highlight w:val="none"/>
        </w:rPr>
      </w:pPr>
    </w:p>
    <w:p w14:paraId="04AF92D5">
      <w:pPr>
        <w:rPr>
          <w:color w:val="auto"/>
          <w:sz w:val="32"/>
          <w:szCs w:val="40"/>
          <w:highlight w:val="none"/>
        </w:rPr>
      </w:pPr>
    </w:p>
    <w:p w14:paraId="37B3BBE5">
      <w:pPr>
        <w:rPr>
          <w:color w:val="auto"/>
          <w:sz w:val="32"/>
          <w:szCs w:val="40"/>
          <w:highlight w:val="none"/>
        </w:rPr>
      </w:pPr>
    </w:p>
    <w:p w14:paraId="7D4E4248">
      <w:pPr>
        <w:rPr>
          <w:color w:val="auto"/>
          <w:sz w:val="32"/>
          <w:szCs w:val="40"/>
          <w:highlight w:val="none"/>
        </w:rPr>
      </w:pPr>
    </w:p>
    <w:p w14:paraId="64A17EB7">
      <w:pPr>
        <w:rPr>
          <w:color w:val="auto"/>
          <w:sz w:val="32"/>
          <w:szCs w:val="40"/>
          <w:highlight w:val="none"/>
        </w:rPr>
      </w:pPr>
    </w:p>
    <w:p w14:paraId="56501AA1">
      <w:pPr>
        <w:rPr>
          <w:color w:val="auto"/>
          <w:sz w:val="32"/>
          <w:szCs w:val="40"/>
          <w:highlight w:val="none"/>
        </w:rPr>
      </w:pPr>
    </w:p>
    <w:p w14:paraId="6269EFF6">
      <w:pPr>
        <w:rPr>
          <w:color w:val="auto"/>
          <w:sz w:val="32"/>
          <w:szCs w:val="40"/>
          <w:highlight w:val="none"/>
        </w:rPr>
      </w:pPr>
    </w:p>
    <w:p w14:paraId="76256C50">
      <w:pPr>
        <w:rPr>
          <w:color w:val="auto"/>
          <w:sz w:val="32"/>
          <w:szCs w:val="40"/>
          <w:highlight w:val="none"/>
        </w:rPr>
      </w:pPr>
    </w:p>
    <w:p w14:paraId="323B7DB5">
      <w:pPr>
        <w:rPr>
          <w:color w:val="auto"/>
          <w:sz w:val="32"/>
          <w:szCs w:val="40"/>
          <w:highlight w:val="none"/>
        </w:rPr>
      </w:pPr>
    </w:p>
    <w:p w14:paraId="5C251560">
      <w:pPr>
        <w:rPr>
          <w:color w:val="auto"/>
          <w:sz w:val="32"/>
          <w:szCs w:val="40"/>
          <w:highlight w:val="none"/>
        </w:rPr>
      </w:pPr>
    </w:p>
    <w:p w14:paraId="68DE4609">
      <w:pPr>
        <w:rPr>
          <w:color w:val="auto"/>
          <w:sz w:val="32"/>
          <w:szCs w:val="40"/>
          <w:highlight w:val="none"/>
        </w:rPr>
      </w:pPr>
    </w:p>
    <w:p w14:paraId="0D91C9ED">
      <w:pPr>
        <w:rPr>
          <w:color w:val="auto"/>
          <w:sz w:val="32"/>
          <w:szCs w:val="40"/>
          <w:highlight w:val="none"/>
        </w:rPr>
      </w:pPr>
    </w:p>
    <w:p w14:paraId="54CCDAA6">
      <w:pPr>
        <w:rPr>
          <w:color w:val="auto"/>
          <w:sz w:val="32"/>
          <w:szCs w:val="40"/>
          <w:highlight w:val="none"/>
        </w:rPr>
      </w:pPr>
    </w:p>
    <w:p w14:paraId="314CEC4F">
      <w:pPr>
        <w:rPr>
          <w:color w:val="auto"/>
          <w:sz w:val="32"/>
          <w:szCs w:val="40"/>
          <w:highlight w:val="none"/>
        </w:rPr>
      </w:pPr>
    </w:p>
    <w:p w14:paraId="65A1A362">
      <w:pPr>
        <w:rPr>
          <w:color w:val="auto"/>
          <w:sz w:val="32"/>
          <w:szCs w:val="40"/>
          <w:highlight w:val="none"/>
        </w:rPr>
      </w:pPr>
    </w:p>
    <w:p w14:paraId="08979F7A">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14:paraId="10254583">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17D507FA">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2B14408C">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p>
    <w:p w14:paraId="637F06E8">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103CCE6D">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p>
    <w:p w14:paraId="76372A1C">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73D5F2DC">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4B04A932">
      <w:pPr>
        <w:pStyle w:val="2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6426E0C6">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3B4C4A2B">
      <w:pPr>
        <w:pStyle w:val="2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00CC74A5">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p>
    <w:p w14:paraId="11CE200C">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6E7BDC03">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5F314961">
      <w:pPr>
        <w:pStyle w:val="2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715ED06B">
      <w:pPr>
        <w:pStyle w:val="26"/>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3BBC1FD6">
      <w:pPr>
        <w:pStyle w:val="26"/>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p>
    <w:p w14:paraId="454B68DA">
      <w:pPr>
        <w:pStyle w:val="26"/>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B0891CA">
      <w:pPr>
        <w:pStyle w:val="26"/>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1000CEC5">
      <w:pPr>
        <w:pStyle w:val="26"/>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47632829">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5C322BEB">
      <w:pPr>
        <w:pStyle w:val="26"/>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3ED01FAB">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p>
    <w:p w14:paraId="13DDDEB5">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p>
    <w:p w14:paraId="30A19E0A">
      <w:pPr>
        <w:pStyle w:val="26"/>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4D98733F">
      <w:pPr>
        <w:pStyle w:val="26"/>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6BC7754C">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4C47B0FE">
      <w:pPr>
        <w:pStyle w:val="26"/>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    年  月  日，向提出质疑，质疑事项为：</w:t>
      </w:r>
    </w:p>
    <w:p w14:paraId="43DBBEDD">
      <w:pPr>
        <w:pStyle w:val="26"/>
        <w:spacing w:line="360" w:lineRule="auto"/>
        <w:ind w:firstLine="241"/>
        <w:rPr>
          <w:rFonts w:hAnsi="宋体"/>
          <w:bCs/>
          <w:color w:val="auto"/>
          <w:sz w:val="24"/>
          <w:szCs w:val="24"/>
          <w:highlight w:val="none"/>
          <w:u w:val="single"/>
        </w:rPr>
      </w:pPr>
    </w:p>
    <w:p w14:paraId="73EAAC5F">
      <w:pPr>
        <w:pStyle w:val="26"/>
        <w:spacing w:line="360" w:lineRule="auto"/>
        <w:ind w:firstLine="241"/>
        <w:rPr>
          <w:rFonts w:hAnsi="宋体"/>
          <w:bCs/>
          <w:color w:val="auto"/>
          <w:sz w:val="24"/>
          <w:szCs w:val="24"/>
          <w:highlight w:val="none"/>
          <w:u w:val="single"/>
        </w:rPr>
      </w:pPr>
    </w:p>
    <w:p w14:paraId="370FF02D">
      <w:pPr>
        <w:pStyle w:val="26"/>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 xml:space="preserve">    年  月  日，</w:t>
      </w:r>
      <w:r>
        <w:rPr>
          <w:rFonts w:hint="eastAsia" w:hAnsi="宋体"/>
          <w:bCs/>
          <w:color w:val="auto"/>
          <w:sz w:val="24"/>
          <w:szCs w:val="24"/>
          <w:highlight w:val="none"/>
        </w:rPr>
        <w:t xml:space="preserve">就质疑事项作出了答复/没有在法定期限内作出答复。                                                                                             </w:t>
      </w:r>
    </w:p>
    <w:p w14:paraId="1FECDB9B">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56B432B9">
      <w:pPr>
        <w:pStyle w:val="26"/>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p>
    <w:p w14:paraId="4C736FB1">
      <w:pPr>
        <w:pStyle w:val="2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p>
    <w:p w14:paraId="0D41E9B2">
      <w:pPr>
        <w:pStyle w:val="26"/>
        <w:spacing w:line="360" w:lineRule="auto"/>
        <w:ind w:left="25" w:leftChars="12" w:firstLine="472" w:firstLineChars="197"/>
        <w:rPr>
          <w:rFonts w:hAnsi="宋体"/>
          <w:color w:val="auto"/>
          <w:sz w:val="24"/>
          <w:szCs w:val="24"/>
          <w:highlight w:val="none"/>
        </w:rPr>
      </w:pPr>
    </w:p>
    <w:p w14:paraId="4289682D">
      <w:pPr>
        <w:pStyle w:val="26"/>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p>
    <w:p w14:paraId="6E44F52F">
      <w:pPr>
        <w:pStyle w:val="26"/>
        <w:spacing w:line="360" w:lineRule="auto"/>
        <w:ind w:left="25" w:leftChars="12" w:firstLine="352" w:firstLineChars="147"/>
        <w:rPr>
          <w:rFonts w:hAnsi="宋体"/>
          <w:bCs/>
          <w:color w:val="auto"/>
          <w:sz w:val="24"/>
          <w:szCs w:val="24"/>
          <w:highlight w:val="none"/>
          <w:u w:val="single"/>
        </w:rPr>
      </w:pPr>
    </w:p>
    <w:p w14:paraId="1DFB58F4">
      <w:pPr>
        <w:pStyle w:val="26"/>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p>
    <w:p w14:paraId="2BB65132">
      <w:pPr>
        <w:pStyle w:val="26"/>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1B6EA257">
      <w:pPr>
        <w:pStyle w:val="26"/>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07B84130">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p>
    <w:p w14:paraId="2B04CB7C">
      <w:pPr>
        <w:pStyle w:val="26"/>
        <w:spacing w:line="360" w:lineRule="auto"/>
        <w:ind w:left="25" w:leftChars="12" w:firstLine="352" w:firstLineChars="147"/>
        <w:rPr>
          <w:rFonts w:hAnsi="宋体"/>
          <w:color w:val="auto"/>
          <w:sz w:val="24"/>
          <w:szCs w:val="24"/>
          <w:highlight w:val="none"/>
        </w:rPr>
      </w:pPr>
    </w:p>
    <w:p w14:paraId="569D51AE">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155AC45A">
      <w:pPr>
        <w:pStyle w:val="26"/>
        <w:spacing w:line="360" w:lineRule="auto"/>
        <w:ind w:left="25" w:leftChars="12" w:firstLine="352" w:firstLineChars="147"/>
        <w:rPr>
          <w:rFonts w:hAnsi="宋体"/>
          <w:color w:val="auto"/>
          <w:sz w:val="24"/>
          <w:szCs w:val="24"/>
          <w:highlight w:val="none"/>
        </w:rPr>
      </w:pPr>
    </w:p>
    <w:p w14:paraId="13A4C535">
      <w:pPr>
        <w:pStyle w:val="26"/>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22EECD3A">
      <w:pPr>
        <w:pStyle w:val="26"/>
        <w:spacing w:line="360" w:lineRule="auto"/>
        <w:ind w:left="25" w:leftChars="12" w:firstLine="475" w:firstLineChars="197"/>
        <w:rPr>
          <w:rFonts w:hAnsi="宋体"/>
          <w:b/>
          <w:color w:val="auto"/>
          <w:sz w:val="24"/>
          <w:szCs w:val="24"/>
          <w:highlight w:val="none"/>
        </w:rPr>
      </w:pPr>
    </w:p>
    <w:p w14:paraId="1CAE0150">
      <w:pPr>
        <w:pStyle w:val="26"/>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597ED955">
      <w:pPr>
        <w:pStyle w:val="26"/>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27BF9DE2">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FF299BE">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52DDBA39">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19637DFC">
      <w:pPr>
        <w:pStyle w:val="26"/>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436F098D">
      <w:pPr>
        <w:pStyle w:val="26"/>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D2359D8">
      <w:pPr>
        <w:pStyle w:val="5"/>
        <w:jc w:val="center"/>
        <w:rPr>
          <w:color w:val="auto"/>
          <w:highlight w:val="none"/>
        </w:rPr>
      </w:pPr>
    </w:p>
    <w:p w14:paraId="53BFAE67">
      <w:pPr>
        <w:pStyle w:val="5"/>
        <w:jc w:val="center"/>
        <w:rPr>
          <w:color w:val="auto"/>
          <w:highlight w:val="none"/>
        </w:rPr>
      </w:pPr>
    </w:p>
    <w:p w14:paraId="27B8C0C5">
      <w:pPr>
        <w:pStyle w:val="5"/>
        <w:jc w:val="center"/>
        <w:rPr>
          <w:color w:val="auto"/>
          <w:highlight w:val="none"/>
        </w:rPr>
      </w:pPr>
    </w:p>
    <w:p w14:paraId="557B075B">
      <w:pPr>
        <w:pStyle w:val="5"/>
        <w:jc w:val="center"/>
        <w:rPr>
          <w:color w:val="auto"/>
          <w:highlight w:val="none"/>
        </w:rPr>
      </w:pPr>
    </w:p>
    <w:p w14:paraId="7FE6CD6F">
      <w:pPr>
        <w:pStyle w:val="5"/>
        <w:jc w:val="center"/>
        <w:rPr>
          <w:color w:val="auto"/>
          <w:highlight w:val="none"/>
        </w:rPr>
      </w:pPr>
    </w:p>
    <w:p w14:paraId="5670861C">
      <w:pPr>
        <w:pStyle w:val="5"/>
        <w:jc w:val="center"/>
        <w:rPr>
          <w:color w:val="auto"/>
          <w:highlight w:val="none"/>
        </w:rPr>
      </w:pPr>
      <w:bookmarkStart w:id="113" w:name="_Toc23551"/>
      <w:r>
        <w:rPr>
          <w:rFonts w:hint="eastAsia"/>
          <w:color w:val="auto"/>
          <w:highlight w:val="none"/>
        </w:rPr>
        <w:t>第七章合同文本</w:t>
      </w:r>
      <w:bookmarkEnd w:id="113"/>
    </w:p>
    <w:p w14:paraId="243B5E1C">
      <w:pPr>
        <w:spacing w:line="520" w:lineRule="exact"/>
        <w:rPr>
          <w:rFonts w:ascii="宋体" w:hAnsi="宋体" w:cs="Courier New"/>
          <w:b/>
          <w:color w:val="auto"/>
          <w:sz w:val="32"/>
          <w:szCs w:val="32"/>
          <w:highlight w:val="none"/>
        </w:rPr>
      </w:pPr>
    </w:p>
    <w:p w14:paraId="1A1EBCC5">
      <w:pPr>
        <w:widowControl/>
        <w:jc w:val="center"/>
        <w:rPr>
          <w:rFonts w:ascii="宋体" w:hAnsi="宋体" w:cs="宋体"/>
          <w:b/>
          <w:color w:val="auto"/>
          <w:sz w:val="44"/>
          <w:szCs w:val="44"/>
          <w:highlight w:val="none"/>
        </w:rPr>
      </w:pPr>
      <w:r>
        <w:rPr>
          <w:rFonts w:ascii="宋体" w:hAnsi="宋体" w:cs="宋体"/>
          <w:color w:val="auto"/>
          <w:sz w:val="24"/>
          <w:highlight w:val="none"/>
        </w:rPr>
        <w:br w:type="page"/>
      </w:r>
    </w:p>
    <w:p w14:paraId="77665E67">
      <w:pPr>
        <w:pageBreakBefore w:val="0"/>
        <w:widowControl w:val="0"/>
        <w:kinsoku/>
        <w:wordWrap/>
        <w:overflowPunct/>
        <w:topLinePunct w:val="0"/>
        <w:bidi w:val="0"/>
        <w:jc w:val="center"/>
        <w:textAlignment w:val="auto"/>
        <w:outlineLvl w:val="9"/>
        <w:rPr>
          <w:b/>
          <w:bCs/>
          <w:color w:val="auto"/>
          <w:sz w:val="40"/>
          <w:szCs w:val="48"/>
          <w:highlight w:val="none"/>
        </w:rPr>
      </w:pPr>
      <w:r>
        <w:rPr>
          <w:rFonts w:hint="eastAsia" w:cs="黑体"/>
          <w:b/>
          <w:bCs/>
          <w:color w:val="auto"/>
          <w:sz w:val="40"/>
          <w:szCs w:val="48"/>
          <w:highlight w:val="none"/>
        </w:rPr>
        <w:t>第一部分合同协议书</w:t>
      </w:r>
    </w:p>
    <w:p w14:paraId="613DCF29">
      <w:pPr>
        <w:pageBreakBefore w:val="0"/>
        <w:widowControl w:val="0"/>
        <w:kinsoku/>
        <w:wordWrap/>
        <w:overflowPunct/>
        <w:topLinePunct w:val="0"/>
        <w:bidi w:val="0"/>
        <w:spacing w:line="360" w:lineRule="auto"/>
        <w:textAlignment w:val="auto"/>
        <w:outlineLvl w:val="9"/>
        <w:rPr>
          <w:rFonts w:hint="eastAsia" w:hAnsi="宋体" w:cs="宋体"/>
          <w:color w:val="auto"/>
          <w:highlight w:val="none"/>
        </w:rPr>
      </w:pPr>
    </w:p>
    <w:p w14:paraId="6E28099B">
      <w:pPr>
        <w:pageBreakBefore w:val="0"/>
        <w:widowControl w:val="0"/>
        <w:kinsoku/>
        <w:wordWrap/>
        <w:overflowPunct/>
        <w:topLinePunct w:val="0"/>
        <w:bidi w:val="0"/>
        <w:spacing w:line="360" w:lineRule="auto"/>
        <w:textAlignment w:val="auto"/>
        <w:outlineLvl w:val="9"/>
        <w:rPr>
          <w:rFonts w:hint="eastAsia" w:eastAsia="宋体"/>
          <w:color w:val="auto"/>
          <w:highlight w:val="none"/>
          <w:u w:val="single"/>
          <w:lang w:eastAsia="zh-CN"/>
        </w:rPr>
      </w:pPr>
      <w:r>
        <w:rPr>
          <w:rFonts w:hint="eastAsia" w:hAnsi="宋体" w:cs="宋体"/>
          <w:color w:val="auto"/>
          <w:highlight w:val="none"/>
        </w:rPr>
        <w:t>发包人（全称）：</w:t>
      </w:r>
      <w:r>
        <w:rPr>
          <w:rFonts w:hint="eastAsia" w:hAnsi="宋体"/>
          <w:color w:val="auto"/>
          <w:highlight w:val="none"/>
          <w:u w:val="single"/>
          <w:lang w:eastAsia="zh-CN"/>
        </w:rPr>
        <w:t>中国共产党广西壮族自治区委员会党校</w:t>
      </w:r>
    </w:p>
    <w:p w14:paraId="612DCBB6">
      <w:pPr>
        <w:pageBreakBefore w:val="0"/>
        <w:widowControl w:val="0"/>
        <w:kinsoku/>
        <w:wordWrap/>
        <w:overflowPunct/>
        <w:topLinePunct w:val="0"/>
        <w:bidi w:val="0"/>
        <w:spacing w:line="360" w:lineRule="auto"/>
        <w:textAlignment w:val="auto"/>
        <w:outlineLvl w:val="9"/>
        <w:rPr>
          <w:color w:val="auto"/>
          <w:highlight w:val="none"/>
          <w:u w:val="single"/>
        </w:rPr>
      </w:pPr>
      <w:r>
        <w:rPr>
          <w:rFonts w:hint="eastAsia" w:hAnsi="宋体" w:cs="宋体"/>
          <w:color w:val="auto"/>
          <w:highlight w:val="none"/>
        </w:rPr>
        <w:t>承包人（全称）：</w:t>
      </w:r>
      <w:r>
        <w:rPr>
          <w:rFonts w:hint="eastAsia" w:hAnsi="宋体" w:cs="宋体"/>
          <w:color w:val="auto"/>
          <w:highlight w:val="none"/>
          <w:u w:val="single"/>
        </w:rPr>
        <w:t xml:space="preserve">                         </w:t>
      </w:r>
    </w:p>
    <w:p w14:paraId="647F1C07">
      <w:pPr>
        <w:pageBreakBefore w:val="0"/>
        <w:widowControl w:val="0"/>
        <w:kinsoku/>
        <w:wordWrap/>
        <w:overflowPunct/>
        <w:topLinePunct w:val="0"/>
        <w:bidi w:val="0"/>
        <w:spacing w:line="360" w:lineRule="auto"/>
        <w:ind w:firstLine="420" w:firstLineChars="200"/>
        <w:textAlignment w:val="auto"/>
        <w:outlineLvl w:val="9"/>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根据《中华人民共和国民法典》、《中华人民共和国建筑法》及有关法律规定，遵循平等、自愿、公平和诚实信用的原则，双方就工程施工及有关事项协商一致，共同达成如下协议：</w:t>
      </w:r>
      <w:bookmarkStart w:id="114" w:name="_Toc351203481"/>
    </w:p>
    <w:p w14:paraId="5CDBB3A0">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r>
        <w:rPr>
          <w:rFonts w:hint="eastAsia" w:hAnsi="宋体" w:cs="宋体"/>
          <w:b/>
          <w:bCs/>
          <w:color w:val="auto"/>
          <w:highlight w:val="none"/>
        </w:rPr>
        <w:t>一、工程概况</w:t>
      </w:r>
      <w:bookmarkEnd w:id="114"/>
    </w:p>
    <w:p w14:paraId="75663C3D">
      <w:pPr>
        <w:pageBreakBefore w:val="0"/>
        <w:widowControl w:val="0"/>
        <w:kinsoku/>
        <w:wordWrap/>
        <w:overflowPunct/>
        <w:topLinePunct w:val="0"/>
        <w:bidi w:val="0"/>
        <w:spacing w:line="360" w:lineRule="auto"/>
        <w:ind w:firstLine="411" w:firstLineChars="196"/>
        <w:textAlignment w:val="auto"/>
        <w:outlineLvl w:val="9"/>
        <w:rPr>
          <w:rFonts w:hint="eastAsia" w:hAnsi="宋体" w:eastAsia="宋体" w:cs="宋体"/>
          <w:color w:val="auto"/>
          <w:highlight w:val="none"/>
          <w:u w:val="single"/>
          <w:lang w:eastAsia="zh-CN"/>
        </w:rPr>
      </w:pPr>
      <w:r>
        <w:rPr>
          <w:color w:val="auto"/>
          <w:highlight w:val="none"/>
        </w:rPr>
        <w:t xml:space="preserve">1. </w:t>
      </w:r>
      <w:r>
        <w:rPr>
          <w:rFonts w:hint="eastAsia" w:hAnsi="宋体" w:cs="宋体"/>
          <w:color w:val="auto"/>
          <w:highlight w:val="none"/>
        </w:rPr>
        <w:t>工程名称</w:t>
      </w:r>
      <w:r>
        <w:rPr>
          <w:rFonts w:hint="eastAsia" w:hAnsi="宋体" w:cs="宋体"/>
          <w:color w:val="auto"/>
          <w:highlight w:val="none"/>
          <w:u w:val="single"/>
        </w:rPr>
        <w:t>：</w:t>
      </w:r>
      <w:r>
        <w:rPr>
          <w:rFonts w:hint="eastAsia" w:hAnsi="宋体" w:cs="宋体"/>
          <w:color w:val="auto"/>
          <w:highlight w:val="none"/>
          <w:u w:val="single"/>
          <w:lang w:val="en-US" w:eastAsia="zh-CN"/>
        </w:rPr>
        <w:t xml:space="preserve">                  </w:t>
      </w:r>
    </w:p>
    <w:p w14:paraId="526DF447">
      <w:pPr>
        <w:pageBreakBefore w:val="0"/>
        <w:widowControl w:val="0"/>
        <w:kinsoku/>
        <w:wordWrap/>
        <w:overflowPunct/>
        <w:topLinePunct w:val="0"/>
        <w:bidi w:val="0"/>
        <w:spacing w:line="360" w:lineRule="auto"/>
        <w:ind w:firstLine="411" w:firstLineChars="196"/>
        <w:textAlignment w:val="auto"/>
        <w:outlineLvl w:val="9"/>
        <w:rPr>
          <w:color w:val="auto"/>
          <w:highlight w:val="none"/>
        </w:rPr>
      </w:pPr>
      <w:r>
        <w:rPr>
          <w:color w:val="auto"/>
          <w:highlight w:val="none"/>
        </w:rPr>
        <w:t xml:space="preserve">2. </w:t>
      </w:r>
      <w:r>
        <w:rPr>
          <w:rFonts w:hint="eastAsia" w:hAnsi="宋体" w:cs="宋体"/>
          <w:color w:val="auto"/>
          <w:highlight w:val="none"/>
        </w:rPr>
        <w:t>工程地点</w:t>
      </w:r>
      <w:r>
        <w:rPr>
          <w:rFonts w:hint="eastAsia" w:hAnsi="宋体" w:cs="宋体"/>
          <w:color w:val="auto"/>
          <w:highlight w:val="none"/>
          <w:u w:val="single"/>
        </w:rPr>
        <w:t>：</w:t>
      </w:r>
      <w:r>
        <w:rPr>
          <w:rFonts w:hint="eastAsia" w:hAnsi="宋体" w:cs="宋体"/>
          <w:color w:val="auto"/>
          <w:highlight w:val="none"/>
          <w:u w:val="single"/>
          <w:lang w:val="en-US" w:eastAsia="zh-CN"/>
        </w:rPr>
        <w:t xml:space="preserve">                  </w:t>
      </w:r>
    </w:p>
    <w:p w14:paraId="41495273">
      <w:pPr>
        <w:pageBreakBefore w:val="0"/>
        <w:widowControl w:val="0"/>
        <w:kinsoku/>
        <w:wordWrap/>
        <w:overflowPunct/>
        <w:topLinePunct w:val="0"/>
        <w:bidi w:val="0"/>
        <w:spacing w:line="360" w:lineRule="auto"/>
        <w:ind w:firstLine="411" w:firstLineChars="196"/>
        <w:textAlignment w:val="auto"/>
        <w:outlineLvl w:val="9"/>
        <w:rPr>
          <w:rFonts w:hint="eastAsia" w:eastAsia="宋体"/>
          <w:color w:val="auto"/>
          <w:highlight w:val="none"/>
          <w:lang w:eastAsia="zh-CN"/>
        </w:rPr>
      </w:pPr>
      <w:r>
        <w:rPr>
          <w:color w:val="auto"/>
          <w:highlight w:val="none"/>
        </w:rPr>
        <w:t xml:space="preserve">3. </w:t>
      </w:r>
      <w:r>
        <w:rPr>
          <w:rFonts w:hint="eastAsia" w:hAnsi="宋体" w:cs="宋体"/>
          <w:color w:val="auto"/>
          <w:highlight w:val="none"/>
        </w:rPr>
        <w:t>工程立项批准文号</w:t>
      </w:r>
      <w:r>
        <w:rPr>
          <w:rFonts w:hint="eastAsia" w:hAnsi="宋体" w:cs="宋体"/>
          <w:color w:val="auto"/>
          <w:highlight w:val="none"/>
          <w:u w:val="single"/>
        </w:rPr>
        <w:t>：</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p>
    <w:p w14:paraId="3EE23C2C">
      <w:pPr>
        <w:pageBreakBefore w:val="0"/>
        <w:widowControl w:val="0"/>
        <w:kinsoku/>
        <w:wordWrap/>
        <w:overflowPunct/>
        <w:topLinePunct w:val="0"/>
        <w:bidi w:val="0"/>
        <w:spacing w:line="360" w:lineRule="auto"/>
        <w:ind w:firstLine="411" w:firstLineChars="196"/>
        <w:textAlignment w:val="auto"/>
        <w:outlineLvl w:val="9"/>
        <w:rPr>
          <w:color w:val="auto"/>
          <w:highlight w:val="none"/>
        </w:rPr>
      </w:pPr>
      <w:r>
        <w:rPr>
          <w:color w:val="auto"/>
          <w:highlight w:val="none"/>
        </w:rPr>
        <w:t xml:space="preserve">4. </w:t>
      </w:r>
      <w:r>
        <w:rPr>
          <w:rFonts w:hint="eastAsia" w:hAnsi="宋体" w:cs="宋体"/>
          <w:color w:val="auto"/>
          <w:highlight w:val="none"/>
        </w:rPr>
        <w:t>资金来源：</w:t>
      </w:r>
      <w:r>
        <w:rPr>
          <w:rFonts w:hint="eastAsia"/>
          <w:color w:val="auto"/>
          <w:highlight w:val="none"/>
          <w:u w:val="single"/>
        </w:rPr>
        <w:t>财政资金</w:t>
      </w:r>
      <w:r>
        <w:rPr>
          <w:rFonts w:hint="eastAsia" w:hAnsi="宋体" w:cs="宋体"/>
          <w:color w:val="auto"/>
          <w:highlight w:val="none"/>
        </w:rPr>
        <w:t>。</w:t>
      </w:r>
    </w:p>
    <w:p w14:paraId="1599AD59">
      <w:pPr>
        <w:pageBreakBefore w:val="0"/>
        <w:widowControl w:val="0"/>
        <w:kinsoku/>
        <w:wordWrap/>
        <w:overflowPunct/>
        <w:topLinePunct w:val="0"/>
        <w:bidi w:val="0"/>
        <w:spacing w:line="360" w:lineRule="auto"/>
        <w:ind w:firstLine="411" w:firstLineChars="196"/>
        <w:textAlignment w:val="auto"/>
        <w:outlineLvl w:val="9"/>
        <w:rPr>
          <w:color w:val="auto"/>
          <w:highlight w:val="none"/>
        </w:rPr>
      </w:pPr>
      <w:r>
        <w:rPr>
          <w:color w:val="auto"/>
          <w:highlight w:val="none"/>
        </w:rPr>
        <w:t xml:space="preserve">5. </w:t>
      </w:r>
      <w:r>
        <w:rPr>
          <w:rFonts w:hint="eastAsia" w:hAnsi="宋体" w:cs="宋体"/>
          <w:color w:val="auto"/>
          <w:highlight w:val="none"/>
        </w:rPr>
        <w:t>工程内容</w:t>
      </w:r>
      <w:r>
        <w:rPr>
          <w:rFonts w:hint="eastAsia" w:hAnsi="宋体" w:cs="宋体"/>
          <w:color w:val="auto"/>
          <w:highlight w:val="none"/>
          <w:u w:val="single"/>
        </w:rPr>
        <w:t>：</w:t>
      </w:r>
      <w:r>
        <w:rPr>
          <w:rFonts w:hint="eastAsia" w:hAnsi="宋体" w:cs="宋体"/>
          <w:color w:val="auto"/>
          <w:highlight w:val="none"/>
          <w:u w:val="single"/>
          <w:lang w:val="en-US" w:eastAsia="zh-CN"/>
        </w:rPr>
        <w:t xml:space="preserve">                  </w:t>
      </w:r>
    </w:p>
    <w:p w14:paraId="3F7AB882">
      <w:pPr>
        <w:pageBreakBefore w:val="0"/>
        <w:widowControl w:val="0"/>
        <w:kinsoku/>
        <w:wordWrap/>
        <w:overflowPunct/>
        <w:topLinePunct w:val="0"/>
        <w:bidi w:val="0"/>
        <w:spacing w:line="360" w:lineRule="auto"/>
        <w:ind w:firstLine="411" w:firstLineChars="196"/>
        <w:textAlignment w:val="auto"/>
        <w:outlineLvl w:val="9"/>
        <w:rPr>
          <w:rFonts w:hAnsi="宋体"/>
          <w:color w:val="auto"/>
          <w:highlight w:val="none"/>
        </w:rPr>
      </w:pPr>
      <w:r>
        <w:rPr>
          <w:color w:val="auto"/>
          <w:highlight w:val="none"/>
        </w:rPr>
        <w:t xml:space="preserve">6. </w:t>
      </w:r>
      <w:r>
        <w:rPr>
          <w:rFonts w:hint="eastAsia" w:hAnsi="宋体" w:cs="宋体"/>
          <w:color w:val="auto"/>
          <w:highlight w:val="none"/>
        </w:rPr>
        <w:t>工程承包范围</w:t>
      </w:r>
      <w:r>
        <w:rPr>
          <w:rFonts w:hint="eastAsia" w:hAnsi="宋体" w:cs="宋体"/>
          <w:color w:val="auto"/>
          <w:highlight w:val="none"/>
          <w:u w:val="single"/>
        </w:rPr>
        <w:t>：</w:t>
      </w:r>
      <w:r>
        <w:rPr>
          <w:rFonts w:hint="eastAsia" w:hAnsi="宋体" w:cs="宋体"/>
          <w:color w:val="auto"/>
          <w:highlight w:val="none"/>
          <w:u w:val="single"/>
          <w:lang w:val="en-US" w:eastAsia="zh-CN"/>
        </w:rPr>
        <w:t xml:space="preserve">                  </w:t>
      </w:r>
    </w:p>
    <w:p w14:paraId="4E063B69">
      <w:pPr>
        <w:pageBreakBefore w:val="0"/>
        <w:widowControl w:val="0"/>
        <w:kinsoku/>
        <w:wordWrap/>
        <w:overflowPunct/>
        <w:topLinePunct w:val="0"/>
        <w:bidi w:val="0"/>
        <w:spacing w:line="360" w:lineRule="auto"/>
        <w:ind w:firstLine="407" w:firstLineChars="193"/>
        <w:textAlignment w:val="auto"/>
        <w:outlineLvl w:val="9"/>
        <w:rPr>
          <w:b/>
          <w:bCs/>
          <w:color w:val="auto"/>
          <w:highlight w:val="none"/>
        </w:rPr>
      </w:pPr>
      <w:bookmarkStart w:id="115" w:name="_Toc351203482"/>
      <w:r>
        <w:rPr>
          <w:rFonts w:hint="eastAsia" w:hAnsi="宋体" w:cs="宋体"/>
          <w:b/>
          <w:bCs/>
          <w:color w:val="auto"/>
          <w:highlight w:val="none"/>
        </w:rPr>
        <w:t>二、合同工期</w:t>
      </w:r>
      <w:bookmarkEnd w:id="115"/>
    </w:p>
    <w:p w14:paraId="2695EA72">
      <w:pPr>
        <w:pageBreakBefore w:val="0"/>
        <w:widowControl w:val="0"/>
        <w:kinsoku/>
        <w:wordWrap/>
        <w:overflowPunct/>
        <w:topLinePunct w:val="0"/>
        <w:bidi w:val="0"/>
        <w:spacing w:line="360" w:lineRule="auto"/>
        <w:ind w:firstLine="459"/>
        <w:textAlignment w:val="auto"/>
        <w:outlineLvl w:val="9"/>
        <w:rPr>
          <w:color w:val="auto"/>
          <w:highlight w:val="none"/>
        </w:rPr>
      </w:pPr>
      <w:r>
        <w:rPr>
          <w:rFonts w:hint="eastAsia" w:hAnsi="宋体" w:cs="宋体"/>
          <w:color w:val="auto"/>
          <w:highlight w:val="none"/>
        </w:rPr>
        <w:t>计划开工日期：</w:t>
      </w:r>
      <w:r>
        <w:rPr>
          <w:rFonts w:hAnsi="宋体"/>
          <w:color w:val="auto"/>
          <w:highlight w:val="none"/>
          <w:u w:val="single"/>
        </w:rPr>
        <w:t xml:space="preserve">    年  月  日</w:t>
      </w:r>
      <w:r>
        <w:rPr>
          <w:rFonts w:hAnsi="宋体"/>
          <w:color w:val="auto"/>
          <w:highlight w:val="none"/>
        </w:rPr>
        <w:t>。</w:t>
      </w:r>
      <w:r>
        <w:rPr>
          <w:rFonts w:hint="eastAsia" w:hAnsi="宋体" w:cs="宋体"/>
          <w:color w:val="auto"/>
          <w:highlight w:val="none"/>
        </w:rPr>
        <w:t>（具体以发包人书面通知为准）</w:t>
      </w:r>
    </w:p>
    <w:p w14:paraId="492EBCED">
      <w:pPr>
        <w:pageBreakBefore w:val="0"/>
        <w:widowControl w:val="0"/>
        <w:kinsoku/>
        <w:wordWrap/>
        <w:overflowPunct/>
        <w:topLinePunct w:val="0"/>
        <w:bidi w:val="0"/>
        <w:spacing w:line="360" w:lineRule="auto"/>
        <w:ind w:firstLine="459"/>
        <w:textAlignment w:val="auto"/>
        <w:outlineLvl w:val="9"/>
        <w:rPr>
          <w:color w:val="auto"/>
          <w:highlight w:val="none"/>
        </w:rPr>
      </w:pPr>
      <w:r>
        <w:rPr>
          <w:rFonts w:hint="eastAsia" w:hAnsi="宋体" w:cs="宋体"/>
          <w:color w:val="auto"/>
          <w:highlight w:val="none"/>
        </w:rPr>
        <w:t>计划竣工日期：</w:t>
      </w:r>
      <w:r>
        <w:rPr>
          <w:rFonts w:hAnsi="宋体"/>
          <w:color w:val="auto"/>
          <w:highlight w:val="none"/>
          <w:u w:val="single"/>
        </w:rPr>
        <w:t xml:space="preserve">    年  月  日</w:t>
      </w:r>
      <w:r>
        <w:rPr>
          <w:rFonts w:hint="eastAsia" w:hAnsi="宋体" w:cs="宋体"/>
          <w:color w:val="auto"/>
          <w:highlight w:val="none"/>
        </w:rPr>
        <w:t>。</w:t>
      </w:r>
    </w:p>
    <w:p w14:paraId="7EE13EA3">
      <w:pPr>
        <w:pageBreakBefore w:val="0"/>
        <w:widowControl w:val="0"/>
        <w:kinsoku/>
        <w:wordWrap/>
        <w:overflowPunct/>
        <w:topLinePunct w:val="0"/>
        <w:bidi w:val="0"/>
        <w:spacing w:line="360" w:lineRule="auto"/>
        <w:ind w:firstLine="459"/>
        <w:textAlignment w:val="auto"/>
        <w:outlineLvl w:val="9"/>
        <w:rPr>
          <w:rFonts w:hAnsi="宋体"/>
          <w:color w:val="auto"/>
          <w:highlight w:val="none"/>
        </w:rPr>
      </w:pPr>
      <w:r>
        <w:rPr>
          <w:rFonts w:hint="eastAsia" w:hAnsi="宋体" w:cs="宋体"/>
          <w:color w:val="auto"/>
          <w:highlight w:val="none"/>
        </w:rPr>
        <w:t>工期总日历天数：天。工期总日历天数与根据前述计划开竣工日期计算的工期天数不一致的，以工期总日历天数为准。</w:t>
      </w:r>
    </w:p>
    <w:p w14:paraId="291D533A">
      <w:pPr>
        <w:pageBreakBefore w:val="0"/>
        <w:widowControl w:val="0"/>
        <w:kinsoku/>
        <w:wordWrap/>
        <w:overflowPunct/>
        <w:topLinePunct w:val="0"/>
        <w:bidi w:val="0"/>
        <w:spacing w:line="360" w:lineRule="auto"/>
        <w:ind w:firstLine="459"/>
        <w:textAlignment w:val="auto"/>
        <w:outlineLvl w:val="9"/>
        <w:rPr>
          <w:b/>
          <w:bCs/>
          <w:color w:val="auto"/>
          <w:highlight w:val="none"/>
        </w:rPr>
      </w:pPr>
      <w:bookmarkStart w:id="116" w:name="_Toc351203483"/>
      <w:r>
        <w:rPr>
          <w:rFonts w:hint="eastAsia" w:hAnsi="宋体" w:cs="宋体"/>
          <w:b/>
          <w:bCs/>
          <w:color w:val="auto"/>
          <w:highlight w:val="none"/>
        </w:rPr>
        <w:t>三、质量标准</w:t>
      </w:r>
      <w:bookmarkEnd w:id="116"/>
    </w:p>
    <w:p w14:paraId="7A8F7CF3">
      <w:pPr>
        <w:pageBreakBefore w:val="0"/>
        <w:widowControl w:val="0"/>
        <w:kinsoku/>
        <w:wordWrap/>
        <w:overflowPunct/>
        <w:topLinePunct w:val="0"/>
        <w:bidi w:val="0"/>
        <w:spacing w:line="360" w:lineRule="auto"/>
        <w:ind w:firstLine="459"/>
        <w:textAlignment w:val="auto"/>
        <w:outlineLvl w:val="9"/>
        <w:rPr>
          <w:rFonts w:hAnsi="宋体"/>
          <w:color w:val="auto"/>
          <w:highlight w:val="none"/>
        </w:rPr>
      </w:pPr>
      <w:r>
        <w:rPr>
          <w:rFonts w:hint="eastAsia" w:hAnsi="宋体" w:cs="宋体"/>
          <w:color w:val="auto"/>
          <w:highlight w:val="none"/>
        </w:rPr>
        <w:t>工程质量符合</w:t>
      </w:r>
      <w:r>
        <w:rPr>
          <w:rFonts w:hint="eastAsia" w:ascii="宋体" w:hAnsi="宋体" w:eastAsia="宋体" w:cs="宋体"/>
          <w:color w:val="auto"/>
          <w:highlight w:val="none"/>
          <w:u w:val="single"/>
        </w:rPr>
        <w:t>合格</w:t>
      </w:r>
      <w:r>
        <w:rPr>
          <w:rFonts w:hint="eastAsia" w:hAnsi="宋体" w:cs="宋体"/>
          <w:color w:val="auto"/>
          <w:highlight w:val="none"/>
        </w:rPr>
        <w:t>标准。</w:t>
      </w:r>
    </w:p>
    <w:p w14:paraId="2952039B">
      <w:pPr>
        <w:pageBreakBefore w:val="0"/>
        <w:widowControl w:val="0"/>
        <w:kinsoku/>
        <w:wordWrap/>
        <w:overflowPunct/>
        <w:topLinePunct w:val="0"/>
        <w:bidi w:val="0"/>
        <w:spacing w:line="360" w:lineRule="auto"/>
        <w:ind w:firstLine="459"/>
        <w:textAlignment w:val="auto"/>
        <w:outlineLvl w:val="9"/>
        <w:rPr>
          <w:rFonts w:hint="default" w:hAnsi="宋体" w:eastAsia="宋体"/>
          <w:b/>
          <w:bCs/>
          <w:color w:val="auto"/>
          <w:highlight w:val="none"/>
          <w:lang w:val="en-US" w:eastAsia="zh-CN"/>
        </w:rPr>
      </w:pPr>
      <w:bookmarkStart w:id="117" w:name="_Toc351203484"/>
      <w:r>
        <w:rPr>
          <w:rFonts w:hint="eastAsia" w:hAnsi="宋体" w:cs="宋体"/>
          <w:b/>
          <w:bCs/>
          <w:color w:val="auto"/>
          <w:highlight w:val="none"/>
        </w:rPr>
        <w:t>四、签约合同价</w:t>
      </w:r>
      <w:bookmarkEnd w:id="117"/>
      <w:r>
        <w:rPr>
          <w:rFonts w:hint="eastAsia" w:hAnsi="宋体" w:cs="宋体"/>
          <w:b/>
          <w:bCs/>
          <w:color w:val="auto"/>
          <w:highlight w:val="none"/>
          <w:lang w:val="en-US" w:eastAsia="zh-CN"/>
        </w:rPr>
        <w:t>及支付方式</w:t>
      </w:r>
    </w:p>
    <w:p w14:paraId="239C73A3">
      <w:pPr>
        <w:pageBreakBefore w:val="0"/>
        <w:widowControl w:val="0"/>
        <w:kinsoku/>
        <w:wordWrap/>
        <w:overflowPunct/>
        <w:topLinePunct w:val="0"/>
        <w:bidi w:val="0"/>
        <w:spacing w:line="360" w:lineRule="auto"/>
        <w:ind w:firstLine="459"/>
        <w:textAlignment w:val="auto"/>
        <w:outlineLvl w:val="9"/>
        <w:rPr>
          <w:color w:val="auto"/>
          <w:highlight w:val="none"/>
        </w:rPr>
      </w:pPr>
      <w:r>
        <w:rPr>
          <w:color w:val="auto"/>
          <w:highlight w:val="none"/>
        </w:rPr>
        <w:t xml:space="preserve">1. </w:t>
      </w:r>
      <w:r>
        <w:rPr>
          <w:rFonts w:hint="eastAsia" w:hAnsi="宋体" w:cs="宋体"/>
          <w:color w:val="auto"/>
          <w:highlight w:val="none"/>
        </w:rPr>
        <w:t>签约合同价为：</w:t>
      </w:r>
    </w:p>
    <w:p w14:paraId="5B7A7FEE">
      <w:pPr>
        <w:pageBreakBefore w:val="0"/>
        <w:widowControl w:val="0"/>
        <w:kinsoku/>
        <w:wordWrap/>
        <w:overflowPunct/>
        <w:topLinePunct w:val="0"/>
        <w:bidi w:val="0"/>
        <w:spacing w:line="360" w:lineRule="auto"/>
        <w:ind w:firstLine="525" w:firstLineChars="250"/>
        <w:textAlignment w:val="auto"/>
        <w:outlineLvl w:val="9"/>
        <w:rPr>
          <w:rFonts w:hAnsi="宋体"/>
          <w:color w:val="auto"/>
          <w:highlight w:val="none"/>
        </w:rPr>
      </w:pPr>
      <w:r>
        <w:rPr>
          <w:rFonts w:hint="eastAsia" w:hAnsi="宋体" w:cs="宋体"/>
          <w:color w:val="auto"/>
          <w:highlight w:val="none"/>
        </w:rPr>
        <w:t>人民币</w:t>
      </w:r>
      <w:r>
        <w:rPr>
          <w:rFonts w:hint="eastAsia" w:hAnsi="宋体" w:cs="宋体"/>
          <w:color w:val="auto"/>
          <w:highlight w:val="none"/>
          <w:u w:val="single"/>
        </w:rPr>
        <w:t>（大写）                （¥        元）</w:t>
      </w:r>
      <w:r>
        <w:rPr>
          <w:rFonts w:hint="eastAsia" w:hAnsi="宋体" w:cs="宋体"/>
          <w:color w:val="auto"/>
          <w:highlight w:val="none"/>
        </w:rPr>
        <w:t>；</w:t>
      </w:r>
    </w:p>
    <w:p w14:paraId="22D7A522">
      <w:pPr>
        <w:pageBreakBefore w:val="0"/>
        <w:widowControl w:val="0"/>
        <w:kinsoku/>
        <w:wordWrap/>
        <w:overflowPunct/>
        <w:topLinePunct w:val="0"/>
        <w:bidi w:val="0"/>
        <w:spacing w:line="360" w:lineRule="auto"/>
        <w:ind w:firstLine="525" w:firstLineChars="250"/>
        <w:textAlignment w:val="auto"/>
        <w:outlineLvl w:val="9"/>
        <w:rPr>
          <w:rFonts w:hAnsi="宋体"/>
          <w:color w:val="auto"/>
          <w:highlight w:val="none"/>
        </w:rPr>
      </w:pPr>
      <w:r>
        <w:rPr>
          <w:rFonts w:hint="eastAsia" w:hAnsi="宋体" w:cs="宋体"/>
          <w:color w:val="auto"/>
          <w:highlight w:val="none"/>
        </w:rPr>
        <w:t>其中：</w:t>
      </w:r>
    </w:p>
    <w:p w14:paraId="5750A03D">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262B154A">
      <w:pPr>
        <w:pageBreakBefore w:val="0"/>
        <w:widowControl w:val="0"/>
        <w:kinsoku/>
        <w:wordWrap/>
        <w:overflowPunct/>
        <w:topLinePunct w:val="0"/>
        <w:bidi w:val="0"/>
        <w:spacing w:line="360" w:lineRule="auto"/>
        <w:ind w:left="420" w:leftChars="200" w:firstLine="525" w:firstLineChars="250"/>
        <w:textAlignment w:val="auto"/>
        <w:outlineLvl w:val="9"/>
        <w:rPr>
          <w:rFonts w:hAnsi="宋体"/>
          <w:color w:val="auto"/>
          <w:highlight w:val="none"/>
        </w:rPr>
      </w:pPr>
      <w:r>
        <w:rPr>
          <w:rFonts w:hint="eastAsia" w:hAnsi="宋体" w:cs="宋体"/>
          <w:color w:val="auto"/>
          <w:highlight w:val="none"/>
        </w:rPr>
        <w:t>人民币</w:t>
      </w:r>
      <w:r>
        <w:rPr>
          <w:rFonts w:hint="eastAsia" w:hAnsi="宋体" w:cs="宋体"/>
          <w:color w:val="auto"/>
          <w:highlight w:val="none"/>
          <w:u w:val="single"/>
        </w:rPr>
        <w:t>（大写）                （¥        元）</w:t>
      </w:r>
      <w:r>
        <w:rPr>
          <w:rFonts w:hint="eastAsia" w:hAnsi="宋体" w:cs="宋体"/>
          <w:color w:val="auto"/>
          <w:highlight w:val="none"/>
        </w:rPr>
        <w:t>；</w:t>
      </w:r>
    </w:p>
    <w:p w14:paraId="0CD3B53F">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21C22B3C">
      <w:pPr>
        <w:pageBreakBefore w:val="0"/>
        <w:widowControl w:val="0"/>
        <w:kinsoku/>
        <w:wordWrap/>
        <w:overflowPunct/>
        <w:topLinePunct w:val="0"/>
        <w:bidi w:val="0"/>
        <w:spacing w:line="360" w:lineRule="auto"/>
        <w:ind w:firstLine="945" w:firstLineChars="450"/>
        <w:textAlignment w:val="auto"/>
        <w:outlineLvl w:val="9"/>
        <w:rPr>
          <w:color w:val="auto"/>
          <w:highlight w:val="none"/>
        </w:rPr>
      </w:pPr>
      <w:r>
        <w:rPr>
          <w:rFonts w:hint="eastAsia" w:hAnsi="宋体" w:cs="宋体"/>
          <w:color w:val="auto"/>
          <w:highlight w:val="none"/>
        </w:rPr>
        <w:t>人民币</w:t>
      </w:r>
      <w:r>
        <w:rPr>
          <w:rFonts w:hint="eastAsia" w:hAnsi="宋体" w:cs="宋体"/>
          <w:color w:val="auto"/>
          <w:highlight w:val="none"/>
          <w:u w:val="single"/>
        </w:rPr>
        <w:t>（大写）                （¥        元）</w:t>
      </w:r>
      <w:r>
        <w:rPr>
          <w:rFonts w:hint="eastAsia" w:hAnsi="宋体" w:cs="宋体"/>
          <w:color w:val="auto"/>
          <w:highlight w:val="none"/>
        </w:rPr>
        <w:t>；</w:t>
      </w:r>
    </w:p>
    <w:p w14:paraId="242F79F3">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2F609B48">
      <w:pPr>
        <w:pageBreakBefore w:val="0"/>
        <w:widowControl w:val="0"/>
        <w:kinsoku/>
        <w:wordWrap/>
        <w:overflowPunct/>
        <w:topLinePunct w:val="0"/>
        <w:bidi w:val="0"/>
        <w:spacing w:line="360" w:lineRule="auto"/>
        <w:ind w:firstLine="945" w:firstLineChars="450"/>
        <w:textAlignment w:val="auto"/>
        <w:outlineLvl w:val="9"/>
        <w:rPr>
          <w:color w:val="auto"/>
          <w:highlight w:val="none"/>
        </w:rPr>
      </w:pPr>
      <w:r>
        <w:rPr>
          <w:rFonts w:hint="eastAsia" w:hAnsi="宋体" w:cs="宋体"/>
          <w:color w:val="auto"/>
          <w:highlight w:val="none"/>
        </w:rPr>
        <w:t>人民币</w:t>
      </w:r>
      <w:r>
        <w:rPr>
          <w:rFonts w:hint="eastAsia" w:hAnsi="宋体" w:cs="宋体"/>
          <w:color w:val="auto"/>
          <w:highlight w:val="none"/>
          <w:u w:val="single"/>
        </w:rPr>
        <w:t>（大写）                （¥        元）</w:t>
      </w:r>
      <w:r>
        <w:rPr>
          <w:rFonts w:hint="eastAsia" w:hAnsi="宋体" w:cs="宋体"/>
          <w:color w:val="auto"/>
          <w:highlight w:val="none"/>
        </w:rPr>
        <w:t>；</w:t>
      </w:r>
    </w:p>
    <w:p w14:paraId="28DAD532">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3155C20C">
      <w:pPr>
        <w:pageBreakBefore w:val="0"/>
        <w:widowControl w:val="0"/>
        <w:kinsoku/>
        <w:wordWrap/>
        <w:overflowPunct/>
        <w:topLinePunct w:val="0"/>
        <w:bidi w:val="0"/>
        <w:spacing w:line="360" w:lineRule="auto"/>
        <w:ind w:firstLine="945" w:firstLineChars="450"/>
        <w:textAlignment w:val="auto"/>
        <w:outlineLvl w:val="9"/>
        <w:rPr>
          <w:rFonts w:hAnsi="宋体"/>
          <w:color w:val="auto"/>
          <w:highlight w:val="none"/>
        </w:rPr>
      </w:pPr>
      <w:r>
        <w:rPr>
          <w:rFonts w:hint="eastAsia" w:hAnsi="宋体" w:cs="宋体"/>
          <w:color w:val="auto"/>
          <w:highlight w:val="none"/>
        </w:rPr>
        <w:t>人民币</w:t>
      </w:r>
      <w:r>
        <w:rPr>
          <w:rFonts w:hint="eastAsia" w:hAnsi="宋体" w:cs="宋体"/>
          <w:color w:val="auto"/>
          <w:highlight w:val="none"/>
          <w:u w:val="single"/>
        </w:rPr>
        <w:t>（大写）                （¥        元）</w:t>
      </w:r>
      <w:r>
        <w:rPr>
          <w:rFonts w:hint="eastAsia" w:hAnsi="宋体" w:cs="宋体"/>
          <w:color w:val="auto"/>
          <w:highlight w:val="none"/>
        </w:rPr>
        <w:t>。</w:t>
      </w:r>
    </w:p>
    <w:p w14:paraId="38EE201A">
      <w:pPr>
        <w:pageBreakBefore w:val="0"/>
        <w:widowControl w:val="0"/>
        <w:kinsoku/>
        <w:wordWrap/>
        <w:overflowPunct/>
        <w:topLinePunct w:val="0"/>
        <w:bidi w:val="0"/>
        <w:spacing w:line="360" w:lineRule="auto"/>
        <w:ind w:firstLine="420" w:firstLineChars="200"/>
        <w:textAlignment w:val="auto"/>
        <w:outlineLvl w:val="9"/>
        <w:rPr>
          <w:rFonts w:hint="eastAsia" w:hAnsi="宋体" w:cs="宋体"/>
          <w:color w:val="auto"/>
          <w:highlight w:val="none"/>
          <w:u w:val="single"/>
        </w:rPr>
      </w:pPr>
      <w:r>
        <w:rPr>
          <w:color w:val="auto"/>
          <w:highlight w:val="none"/>
        </w:rPr>
        <w:t xml:space="preserve">2. </w:t>
      </w:r>
      <w:r>
        <w:rPr>
          <w:rFonts w:hint="eastAsia" w:hAnsi="宋体" w:cs="宋体"/>
          <w:color w:val="auto"/>
          <w:highlight w:val="none"/>
        </w:rPr>
        <w:t>合同价格形式</w:t>
      </w:r>
      <w:r>
        <w:rPr>
          <w:rFonts w:hint="eastAsia" w:hAnsi="宋体" w:cs="宋体"/>
          <w:color w:val="auto"/>
          <w:highlight w:val="none"/>
          <w:u w:val="single"/>
        </w:rPr>
        <w:t>：             。</w:t>
      </w:r>
    </w:p>
    <w:p w14:paraId="77BC8B20">
      <w:pPr>
        <w:pageBreakBefore w:val="0"/>
        <w:widowControl w:val="0"/>
        <w:kinsoku/>
        <w:wordWrap/>
        <w:overflowPunct/>
        <w:topLinePunct w:val="0"/>
        <w:bidi w:val="0"/>
        <w:spacing w:line="360" w:lineRule="auto"/>
        <w:ind w:firstLine="420" w:firstLineChars="200"/>
        <w:textAlignment w:val="auto"/>
        <w:outlineLvl w:val="9"/>
        <w:rPr>
          <w:rFonts w:hint="eastAsia" w:hAnsi="宋体" w:cs="宋体"/>
          <w:color w:val="auto"/>
          <w:highlight w:val="none"/>
          <w:u w:val="single"/>
          <w:lang w:val="en-US" w:eastAsia="zh-CN"/>
        </w:rPr>
      </w:pPr>
      <w:r>
        <w:rPr>
          <w:rFonts w:hint="eastAsia" w:hAnsi="宋体" w:cs="宋体"/>
          <w:color w:val="auto"/>
          <w:highlight w:val="none"/>
          <w:u w:val="single"/>
          <w:lang w:val="en-US" w:eastAsia="zh-CN"/>
        </w:rPr>
        <w:t>3.支付方式：</w:t>
      </w:r>
    </w:p>
    <w:p w14:paraId="7F576DC5">
      <w:pPr>
        <w:pageBreakBefore w:val="0"/>
        <w:widowControl w:val="0"/>
        <w:kinsoku/>
        <w:wordWrap/>
        <w:overflowPunct/>
        <w:topLinePunct w:val="0"/>
        <w:bidi w:val="0"/>
        <w:spacing w:line="360" w:lineRule="auto"/>
        <w:ind w:firstLine="420" w:firstLineChars="200"/>
        <w:textAlignment w:val="auto"/>
        <w:outlineLvl w:val="9"/>
        <w:rPr>
          <w:rFonts w:hint="default" w:hAnsi="宋体" w:cs="宋体"/>
          <w:color w:val="auto"/>
          <w:highlight w:val="none"/>
          <w:u w:val="none"/>
          <w:lang w:val="en-US" w:eastAsia="zh-CN"/>
        </w:rPr>
      </w:pPr>
      <w:r>
        <w:rPr>
          <w:rFonts w:hint="eastAsia" w:hAnsi="宋体" w:cs="宋体"/>
          <w:color w:val="auto"/>
          <w:highlight w:val="none"/>
          <w:u w:val="none"/>
          <w:lang w:val="en-US" w:eastAsia="zh-CN"/>
        </w:rPr>
        <w:t xml:space="preserve">                                                                                 </w:t>
      </w:r>
    </w:p>
    <w:p w14:paraId="1E7847EE">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bookmarkStart w:id="118" w:name="_Toc351203485"/>
      <w:r>
        <w:rPr>
          <w:rFonts w:hint="eastAsia" w:hAnsi="宋体" w:cs="宋体"/>
          <w:b/>
          <w:bCs/>
          <w:color w:val="auto"/>
          <w:highlight w:val="none"/>
        </w:rPr>
        <w:t>五、</w:t>
      </w:r>
      <w:bookmarkEnd w:id="118"/>
      <w:r>
        <w:rPr>
          <w:rFonts w:hint="eastAsia" w:hAnsi="宋体" w:cs="宋体"/>
          <w:b/>
          <w:bCs/>
          <w:color w:val="auto"/>
          <w:highlight w:val="none"/>
        </w:rPr>
        <w:t>项目经理</w:t>
      </w:r>
    </w:p>
    <w:p w14:paraId="492E2495">
      <w:pPr>
        <w:pageBreakBefore w:val="0"/>
        <w:widowControl w:val="0"/>
        <w:kinsoku/>
        <w:wordWrap/>
        <w:overflowPunct/>
        <w:topLinePunct w:val="0"/>
        <w:bidi w:val="0"/>
        <w:spacing w:line="360" w:lineRule="auto"/>
        <w:ind w:firstLine="420" w:firstLineChars="200"/>
        <w:textAlignment w:val="auto"/>
        <w:outlineLvl w:val="9"/>
        <w:rPr>
          <w:rFonts w:hint="eastAsia" w:hAnsi="宋体" w:cs="宋体"/>
          <w:color w:val="auto"/>
          <w:highlight w:val="none"/>
          <w:lang w:val="en-US" w:eastAsia="zh-CN"/>
        </w:rPr>
      </w:pPr>
      <w:r>
        <w:rPr>
          <w:rFonts w:hint="eastAsia" w:hAnsi="宋体" w:cs="宋体"/>
          <w:color w:val="auto"/>
          <w:highlight w:val="none"/>
          <w:lang w:val="en-US" w:eastAsia="zh-CN"/>
        </w:rPr>
        <w:t>1.发包人项目对接人：</w:t>
      </w:r>
    </w:p>
    <w:p w14:paraId="69F421AE">
      <w:pPr>
        <w:pageBreakBefore w:val="0"/>
        <w:widowControl w:val="0"/>
        <w:kinsoku/>
        <w:wordWrap/>
        <w:overflowPunct/>
        <w:topLinePunct w:val="0"/>
        <w:bidi w:val="0"/>
        <w:spacing w:line="360" w:lineRule="auto"/>
        <w:ind w:firstLine="420" w:firstLineChars="200"/>
        <w:textAlignment w:val="auto"/>
        <w:outlineLvl w:val="9"/>
        <w:rPr>
          <w:rFonts w:hint="default" w:hAnsi="宋体" w:cs="宋体"/>
          <w:color w:val="auto"/>
          <w:highlight w:val="none"/>
          <w:u w:val="single"/>
          <w:lang w:val="en-US" w:eastAsia="zh-CN"/>
        </w:rPr>
      </w:pPr>
      <w:r>
        <w:rPr>
          <w:rFonts w:hint="eastAsia" w:hAnsi="宋体" w:cs="宋体"/>
          <w:color w:val="auto"/>
          <w:highlight w:val="none"/>
          <w:lang w:val="en-US" w:eastAsia="zh-CN"/>
        </w:rPr>
        <w:t>姓名：</w:t>
      </w:r>
      <w:r>
        <w:rPr>
          <w:rFonts w:hint="eastAsia" w:hAnsi="宋体" w:cs="宋体"/>
          <w:color w:val="auto"/>
          <w:highlight w:val="none"/>
          <w:u w:val="single"/>
          <w:lang w:val="en-US" w:eastAsia="zh-CN"/>
        </w:rPr>
        <w:t xml:space="preserve">                ；联系号码：</w:t>
      </w:r>
      <w:r>
        <w:rPr>
          <w:rFonts w:hint="eastAsia" w:hAnsi="宋体" w:cs="宋体"/>
          <w:color w:val="auto"/>
          <w:highlight w:val="none"/>
          <w:u w:val="none"/>
          <w:lang w:val="en-US" w:eastAsia="zh-CN"/>
        </w:rPr>
        <w:t xml:space="preserve">                       </w:t>
      </w:r>
      <w:r>
        <w:rPr>
          <w:rFonts w:hint="eastAsia" w:hAnsi="宋体" w:cs="宋体"/>
          <w:color w:val="auto"/>
          <w:highlight w:val="none"/>
          <w:u w:val="single"/>
          <w:lang w:val="en-US" w:eastAsia="zh-CN"/>
        </w:rPr>
        <w:t>。</w:t>
      </w:r>
    </w:p>
    <w:p w14:paraId="5FE43435">
      <w:pPr>
        <w:pageBreakBefore w:val="0"/>
        <w:widowControl w:val="0"/>
        <w:numPr>
          <w:ilvl w:val="-1"/>
          <w:numId w:val="0"/>
        </w:numPr>
        <w:kinsoku/>
        <w:wordWrap/>
        <w:overflowPunct/>
        <w:topLinePunct w:val="0"/>
        <w:bidi w:val="0"/>
        <w:spacing w:line="360" w:lineRule="auto"/>
        <w:ind w:firstLine="420" w:firstLineChars="200"/>
        <w:textAlignment w:val="auto"/>
        <w:outlineLvl w:val="9"/>
        <w:rPr>
          <w:rFonts w:hint="eastAsia" w:hAnsi="宋体" w:cs="宋体"/>
          <w:color w:val="auto"/>
          <w:highlight w:val="none"/>
          <w:u w:val="single"/>
        </w:rPr>
      </w:pPr>
      <w:r>
        <w:rPr>
          <w:rFonts w:hint="eastAsia" w:hAnsi="宋体" w:cs="宋体"/>
          <w:color w:val="auto"/>
          <w:highlight w:val="none"/>
          <w:lang w:val="en-US" w:eastAsia="zh-CN"/>
        </w:rPr>
        <w:t>2.</w:t>
      </w:r>
      <w:r>
        <w:rPr>
          <w:rFonts w:hint="eastAsia" w:hAnsi="宋体" w:cs="宋体"/>
          <w:color w:val="auto"/>
          <w:highlight w:val="none"/>
        </w:rPr>
        <w:t>承包人项目经理</w:t>
      </w:r>
      <w:r>
        <w:rPr>
          <w:rFonts w:hint="eastAsia" w:hAnsi="宋体" w:cs="宋体"/>
          <w:color w:val="auto"/>
          <w:highlight w:val="none"/>
          <w:u w:val="none"/>
          <w:lang w:eastAsia="zh-CN"/>
        </w:rPr>
        <w:t>：</w:t>
      </w:r>
    </w:p>
    <w:p w14:paraId="7FFD1D38">
      <w:pPr>
        <w:pageBreakBefore w:val="0"/>
        <w:widowControl w:val="0"/>
        <w:kinsoku/>
        <w:wordWrap/>
        <w:overflowPunct/>
        <w:topLinePunct w:val="0"/>
        <w:bidi w:val="0"/>
        <w:spacing w:line="360" w:lineRule="auto"/>
        <w:ind w:firstLine="420" w:firstLineChars="200"/>
        <w:textAlignment w:val="auto"/>
        <w:outlineLvl w:val="9"/>
        <w:rPr>
          <w:rFonts w:hint="eastAsia" w:hAnsi="宋体" w:cs="宋体"/>
          <w:color w:val="auto"/>
          <w:highlight w:val="none"/>
          <w:u w:val="single"/>
        </w:rPr>
      </w:pPr>
      <w:r>
        <w:rPr>
          <w:rFonts w:hint="eastAsia" w:hAnsi="宋体" w:cs="宋体"/>
          <w:color w:val="auto"/>
          <w:highlight w:val="none"/>
          <w:lang w:val="en-US" w:eastAsia="zh-CN"/>
        </w:rPr>
        <w:t>姓名：</w:t>
      </w:r>
      <w:r>
        <w:rPr>
          <w:rFonts w:hint="eastAsia" w:hAnsi="宋体" w:cs="宋体"/>
          <w:color w:val="auto"/>
          <w:highlight w:val="none"/>
          <w:u w:val="single"/>
          <w:lang w:val="en-US" w:eastAsia="zh-CN"/>
        </w:rPr>
        <w:t xml:space="preserve">                ；联系号码：</w:t>
      </w:r>
      <w:r>
        <w:rPr>
          <w:rFonts w:hint="eastAsia" w:hAnsi="宋体" w:cs="宋体"/>
          <w:color w:val="auto"/>
          <w:highlight w:val="none"/>
          <w:u w:val="none"/>
          <w:lang w:val="en-US" w:eastAsia="zh-CN"/>
        </w:rPr>
        <w:t xml:space="preserve">                       </w:t>
      </w:r>
      <w:r>
        <w:rPr>
          <w:rFonts w:hint="eastAsia" w:hAnsi="宋体" w:cs="宋体"/>
          <w:color w:val="auto"/>
          <w:highlight w:val="none"/>
          <w:u w:val="single"/>
          <w:lang w:val="en-US" w:eastAsia="zh-CN"/>
        </w:rPr>
        <w:t>。</w:t>
      </w:r>
    </w:p>
    <w:p w14:paraId="7A9EF315">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bookmarkStart w:id="119" w:name="_Toc351203486"/>
      <w:r>
        <w:rPr>
          <w:rFonts w:hint="eastAsia" w:hAnsi="宋体" w:cs="宋体"/>
          <w:b/>
          <w:bCs/>
          <w:color w:val="auto"/>
          <w:highlight w:val="none"/>
        </w:rPr>
        <w:t>六、合同文件构成</w:t>
      </w:r>
      <w:bookmarkEnd w:id="119"/>
    </w:p>
    <w:p w14:paraId="57659C67">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rFonts w:hint="eastAsia" w:hAnsi="宋体" w:cs="宋体"/>
          <w:color w:val="auto"/>
          <w:highlight w:val="none"/>
        </w:rPr>
        <w:t>本协议书与下列文件一起构成合同文件：</w:t>
      </w:r>
    </w:p>
    <w:p w14:paraId="7DDD96C7">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（1）合同协议书；</w:t>
      </w:r>
    </w:p>
    <w:p w14:paraId="0B6B44AD">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（2）成交通知书；</w:t>
      </w:r>
    </w:p>
    <w:p w14:paraId="5E5AF18E">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（3）竞标函及竞标函附录；</w:t>
      </w:r>
    </w:p>
    <w:p w14:paraId="5906E48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（4）专用合同条款及其附件；</w:t>
      </w:r>
    </w:p>
    <w:p w14:paraId="128E6C88">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（5）通用合同条款；</w:t>
      </w:r>
    </w:p>
    <w:p w14:paraId="5E48734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（6）技术标准和要求；</w:t>
      </w:r>
    </w:p>
    <w:p w14:paraId="206895C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（7）图纸；</w:t>
      </w:r>
    </w:p>
    <w:p w14:paraId="18EE907B">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（8）已标价工程量清单或预算书；</w:t>
      </w:r>
    </w:p>
    <w:p w14:paraId="10B9F2B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（9）磋商文件（含补充通知和答疑）；</w:t>
      </w:r>
    </w:p>
    <w:p w14:paraId="2C7E207F">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（10）履约保证金缴纳证明；</w:t>
      </w:r>
    </w:p>
    <w:p w14:paraId="43706884">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s="宋体"/>
          <w:color w:val="auto"/>
          <w:highlight w:val="none"/>
        </w:rPr>
      </w:pPr>
      <w:r>
        <w:rPr>
          <w:rFonts w:hint="eastAsia" w:hAnsi="宋体" w:cs="宋体"/>
          <w:color w:val="auto"/>
          <w:highlight w:val="none"/>
        </w:rPr>
        <w:t>（1</w:t>
      </w:r>
      <w:r>
        <w:rPr>
          <w:rFonts w:hAnsi="宋体" w:cs="宋体"/>
          <w:color w:val="auto"/>
          <w:highlight w:val="none"/>
        </w:rPr>
        <w:t>1</w:t>
      </w:r>
      <w:r>
        <w:rPr>
          <w:rFonts w:hint="eastAsia" w:hAnsi="宋体" w:cs="宋体"/>
          <w:color w:val="auto"/>
          <w:highlight w:val="none"/>
        </w:rPr>
        <w:t>）其他合同文件（</w:t>
      </w:r>
      <w:r>
        <w:rPr>
          <w:rFonts w:hint="eastAsia" w:ascii="宋体" w:hAnsi="宋体"/>
          <w:color w:val="auto"/>
          <w:highlight w:val="none"/>
        </w:rPr>
        <w:t xml:space="preserve"> 在合同订立及履行过程中形成的与合同有关的文件均构成合同文件组成部分。</w:t>
      </w:r>
      <w:r>
        <w:rPr>
          <w:rFonts w:hint="eastAsia" w:hAnsi="宋体" w:cs="宋体"/>
          <w:color w:val="auto"/>
          <w:highlight w:val="none"/>
        </w:rPr>
        <w:t>）。</w:t>
      </w:r>
    </w:p>
    <w:p w14:paraId="53947D8C">
      <w:pPr>
        <w:pageBreakBefore w:val="0"/>
        <w:widowControl w:val="0"/>
        <w:kinsoku/>
        <w:wordWrap/>
        <w:overflowPunct/>
        <w:topLinePunct w:val="0"/>
        <w:autoSpaceDE w:val="0"/>
        <w:autoSpaceDN w:val="0"/>
        <w:bidi w:val="0"/>
        <w:adjustRightInd w:val="0"/>
        <w:spacing w:line="360" w:lineRule="auto"/>
        <w:ind w:firstLine="420" w:firstLineChars="200"/>
        <w:jc w:val="left"/>
        <w:textAlignment w:val="auto"/>
        <w:outlineLvl w:val="9"/>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上述各项合同文件包括合同当事人就该项合同文件所作出的补充和修改，属于同一类内容的文件，应以最新签署的为准（违反磋商文件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57E8798">
      <w:pPr>
        <w:pageBreakBefore w:val="0"/>
        <w:widowControl w:val="0"/>
        <w:kinsoku/>
        <w:wordWrap/>
        <w:overflowPunct/>
        <w:topLinePunct w:val="0"/>
        <w:autoSpaceDE w:val="0"/>
        <w:autoSpaceDN w:val="0"/>
        <w:bidi w:val="0"/>
        <w:adjustRightInd w:val="0"/>
        <w:spacing w:line="360" w:lineRule="auto"/>
        <w:ind w:firstLine="422" w:firstLineChars="200"/>
        <w:jc w:val="left"/>
        <w:textAlignment w:val="auto"/>
        <w:outlineLvl w:val="9"/>
        <w:rPr>
          <w:b/>
          <w:bCs/>
          <w:color w:val="auto"/>
          <w:highlight w:val="none"/>
        </w:rPr>
      </w:pPr>
      <w:bookmarkStart w:id="120" w:name="_Toc351203487"/>
      <w:r>
        <w:rPr>
          <w:rFonts w:hint="eastAsia" w:hAnsi="宋体" w:cs="宋体"/>
          <w:b/>
          <w:bCs/>
          <w:color w:val="auto"/>
          <w:highlight w:val="none"/>
        </w:rPr>
        <w:t>七、承诺</w:t>
      </w:r>
      <w:bookmarkEnd w:id="120"/>
    </w:p>
    <w:p w14:paraId="0DA4483C">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5C9A58F2">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7D7A1338">
      <w:pPr>
        <w:pageBreakBefore w:val="0"/>
        <w:widowControl w:val="0"/>
        <w:kinsoku/>
        <w:wordWrap/>
        <w:overflowPunct/>
        <w:topLinePunct w:val="0"/>
        <w:bidi w:val="0"/>
        <w:spacing w:line="360" w:lineRule="auto"/>
        <w:ind w:firstLine="420" w:firstLineChars="200"/>
        <w:textAlignment w:val="auto"/>
        <w:outlineLvl w:val="9"/>
        <w:rPr>
          <w:rFonts w:hint="eastAsia" w:hAnsi="宋体" w:cs="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121" w:name="_Toc351203488"/>
    </w:p>
    <w:p w14:paraId="4E6F7F23">
      <w:pPr>
        <w:pStyle w:val="2"/>
        <w:ind w:left="0" w:leftChars="0"/>
        <w:rPr>
          <w:rFonts w:hint="default" w:eastAsia="宋体"/>
          <w:color w:val="auto"/>
          <w:highlight w:val="none"/>
          <w:lang w:val="en-US" w:eastAsia="zh-CN"/>
        </w:rPr>
      </w:pPr>
      <w:r>
        <w:rPr>
          <w:rFonts w:hint="eastAsia" w:hAnsi="宋体" w:cs="宋体"/>
          <w:color w:val="auto"/>
          <w:highlight w:val="none"/>
          <w:lang w:val="en-US" w:eastAsia="zh-CN"/>
        </w:rPr>
        <w:t>4. 项目实施过程中，对于图纸及工程量清单中未列明的，但又属于项目范围所需事项，经双方协商应推进完成。</w:t>
      </w:r>
    </w:p>
    <w:p w14:paraId="1372880F">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r>
        <w:rPr>
          <w:rFonts w:hint="eastAsia" w:hAnsi="宋体" w:cs="宋体"/>
          <w:b/>
          <w:bCs/>
          <w:color w:val="auto"/>
          <w:highlight w:val="none"/>
        </w:rPr>
        <w:t>八、词语含义</w:t>
      </w:r>
      <w:bookmarkEnd w:id="121"/>
    </w:p>
    <w:p w14:paraId="14D1C587">
      <w:pPr>
        <w:pageBreakBefore w:val="0"/>
        <w:widowControl w:val="0"/>
        <w:kinsoku/>
        <w:wordWrap/>
        <w:overflowPunct/>
        <w:topLinePunct w:val="0"/>
        <w:bidi w:val="0"/>
        <w:spacing w:line="360" w:lineRule="auto"/>
        <w:ind w:firstLine="420" w:firstLineChars="200"/>
        <w:textAlignment w:val="auto"/>
        <w:outlineLvl w:val="9"/>
        <w:rPr>
          <w:rFonts w:hAnsi="宋体"/>
          <w:color w:val="auto"/>
          <w:highlight w:val="none"/>
        </w:rPr>
      </w:pPr>
      <w:r>
        <w:rPr>
          <w:rFonts w:hint="eastAsia" w:hAnsi="宋体" w:cs="宋体"/>
          <w:color w:val="auto"/>
          <w:highlight w:val="none"/>
        </w:rPr>
        <w:t>本协议书中词语含义与第二部分通用合同条款中赋予的含义相同。</w:t>
      </w:r>
    </w:p>
    <w:p w14:paraId="0D8A96CD">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bookmarkStart w:id="122" w:name="_Toc351203489"/>
      <w:r>
        <w:rPr>
          <w:rFonts w:hint="eastAsia" w:hAnsi="宋体" w:cs="宋体"/>
          <w:b/>
          <w:bCs/>
          <w:color w:val="auto"/>
          <w:highlight w:val="none"/>
        </w:rPr>
        <w:t>九、签订时间</w:t>
      </w:r>
      <w:bookmarkEnd w:id="122"/>
    </w:p>
    <w:p w14:paraId="011120A0">
      <w:pPr>
        <w:pageBreakBefore w:val="0"/>
        <w:widowControl w:val="0"/>
        <w:kinsoku/>
        <w:wordWrap/>
        <w:overflowPunct/>
        <w:topLinePunct w:val="0"/>
        <w:bidi w:val="0"/>
        <w:spacing w:line="360" w:lineRule="auto"/>
        <w:ind w:firstLine="420" w:firstLineChars="200"/>
        <w:textAlignment w:val="auto"/>
        <w:outlineLvl w:val="9"/>
        <w:rPr>
          <w:rFonts w:hAnsi="宋体"/>
          <w:color w:val="auto"/>
          <w:highlight w:val="none"/>
        </w:rPr>
      </w:pPr>
      <w:r>
        <w:rPr>
          <w:rFonts w:hint="eastAsia" w:hAnsi="宋体" w:cs="宋体"/>
          <w:color w:val="auto"/>
          <w:highlight w:val="none"/>
        </w:rPr>
        <w:t>本合同于</w:t>
      </w:r>
      <w:r>
        <w:rPr>
          <w:rFonts w:hint="eastAsia" w:hAnsi="宋体" w:cs="宋体"/>
          <w:color w:val="auto"/>
          <w:highlight w:val="none"/>
          <w:u w:val="single"/>
        </w:rPr>
        <w:t xml:space="preserve">    年  月  日</w:t>
      </w:r>
      <w:r>
        <w:rPr>
          <w:rFonts w:hint="eastAsia" w:hAnsi="宋体" w:cs="宋体"/>
          <w:color w:val="auto"/>
          <w:highlight w:val="none"/>
        </w:rPr>
        <w:t>签订。</w:t>
      </w:r>
    </w:p>
    <w:p w14:paraId="1B83E51A">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bookmarkStart w:id="123" w:name="_Toc351203490"/>
      <w:r>
        <w:rPr>
          <w:rFonts w:hint="eastAsia" w:hAnsi="宋体" w:cs="宋体"/>
          <w:b/>
          <w:bCs/>
          <w:color w:val="auto"/>
          <w:highlight w:val="none"/>
        </w:rPr>
        <w:t>十、签订地点</w:t>
      </w:r>
      <w:bookmarkEnd w:id="123"/>
    </w:p>
    <w:p w14:paraId="722F1431">
      <w:pPr>
        <w:pageBreakBefore w:val="0"/>
        <w:widowControl w:val="0"/>
        <w:kinsoku/>
        <w:wordWrap/>
        <w:overflowPunct/>
        <w:topLinePunct w:val="0"/>
        <w:bidi w:val="0"/>
        <w:spacing w:line="360" w:lineRule="auto"/>
        <w:ind w:firstLine="420" w:firstLineChars="200"/>
        <w:textAlignment w:val="auto"/>
        <w:outlineLvl w:val="9"/>
        <w:rPr>
          <w:rFonts w:hAnsi="宋体"/>
          <w:color w:val="auto"/>
          <w:highlight w:val="none"/>
        </w:rPr>
      </w:pPr>
      <w:r>
        <w:rPr>
          <w:rFonts w:hint="eastAsia" w:hAnsi="宋体" w:cs="宋体"/>
          <w:color w:val="auto"/>
          <w:highlight w:val="none"/>
        </w:rPr>
        <w:t>本合同在</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 xml:space="preserve"> </w:t>
      </w:r>
      <w:r>
        <w:rPr>
          <w:rFonts w:hint="eastAsia" w:hAnsi="宋体" w:cs="宋体"/>
          <w:color w:val="auto"/>
          <w:highlight w:val="none"/>
        </w:rPr>
        <w:t>签订。</w:t>
      </w:r>
    </w:p>
    <w:p w14:paraId="4A744372">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bookmarkStart w:id="124" w:name="_Toc351203491"/>
      <w:r>
        <w:rPr>
          <w:rFonts w:hint="eastAsia" w:hAnsi="宋体" w:cs="宋体"/>
          <w:b/>
          <w:bCs/>
          <w:color w:val="auto"/>
          <w:highlight w:val="none"/>
        </w:rPr>
        <w:t>十一、补充协议</w:t>
      </w:r>
      <w:bookmarkEnd w:id="124"/>
    </w:p>
    <w:p w14:paraId="5DE26F78">
      <w:pPr>
        <w:pageBreakBefore w:val="0"/>
        <w:widowControl w:val="0"/>
        <w:kinsoku/>
        <w:wordWrap/>
        <w:overflowPunct/>
        <w:topLinePunct w:val="0"/>
        <w:bidi w:val="0"/>
        <w:spacing w:line="360" w:lineRule="auto"/>
        <w:ind w:firstLine="420" w:firstLineChars="200"/>
        <w:textAlignment w:val="auto"/>
        <w:outlineLvl w:val="9"/>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72031C9A">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bookmarkStart w:id="125" w:name="_Toc351203492"/>
      <w:r>
        <w:rPr>
          <w:rFonts w:hint="eastAsia" w:hAnsi="宋体" w:cs="宋体"/>
          <w:b/>
          <w:bCs/>
          <w:color w:val="auto"/>
          <w:highlight w:val="none"/>
        </w:rPr>
        <w:t>十二、合同生效</w:t>
      </w:r>
      <w:bookmarkEnd w:id="125"/>
    </w:p>
    <w:p w14:paraId="172FA19B">
      <w:pPr>
        <w:pageBreakBefore w:val="0"/>
        <w:widowControl w:val="0"/>
        <w:kinsoku/>
        <w:wordWrap/>
        <w:overflowPunct/>
        <w:topLinePunct w:val="0"/>
        <w:bidi w:val="0"/>
        <w:spacing w:line="360" w:lineRule="auto"/>
        <w:ind w:firstLine="420" w:firstLineChars="200"/>
        <w:textAlignment w:val="auto"/>
        <w:outlineLvl w:val="9"/>
        <w:rPr>
          <w:rFonts w:hAnsi="宋体"/>
          <w:color w:val="auto"/>
          <w:highlight w:val="none"/>
        </w:rPr>
      </w:pPr>
      <w:r>
        <w:rPr>
          <w:rFonts w:hint="eastAsia" w:hAnsi="宋体" w:cs="宋体"/>
          <w:color w:val="auto"/>
          <w:highlight w:val="none"/>
        </w:rPr>
        <w:t>本合同自生效。</w:t>
      </w:r>
    </w:p>
    <w:p w14:paraId="2935ED3C">
      <w:pPr>
        <w:pageBreakBefore w:val="0"/>
        <w:widowControl w:val="0"/>
        <w:kinsoku/>
        <w:wordWrap/>
        <w:overflowPunct/>
        <w:topLinePunct w:val="0"/>
        <w:bidi w:val="0"/>
        <w:spacing w:line="360" w:lineRule="auto"/>
        <w:ind w:firstLine="422" w:firstLineChars="200"/>
        <w:textAlignment w:val="auto"/>
        <w:outlineLvl w:val="9"/>
        <w:rPr>
          <w:b/>
          <w:bCs/>
          <w:color w:val="auto"/>
          <w:highlight w:val="none"/>
        </w:rPr>
      </w:pPr>
      <w:bookmarkStart w:id="126" w:name="_Toc351203493"/>
      <w:r>
        <w:rPr>
          <w:rFonts w:hint="eastAsia" w:hAnsi="宋体" w:cs="宋体"/>
          <w:b/>
          <w:bCs/>
          <w:color w:val="auto"/>
          <w:highlight w:val="none"/>
        </w:rPr>
        <w:t>十三、合同份数</w:t>
      </w:r>
      <w:bookmarkEnd w:id="126"/>
    </w:p>
    <w:p w14:paraId="6093E2B6">
      <w:pPr>
        <w:pageBreakBefore w:val="0"/>
        <w:widowControl w:val="0"/>
        <w:kinsoku/>
        <w:wordWrap/>
        <w:overflowPunct/>
        <w:topLinePunct w:val="0"/>
        <w:bidi w:val="0"/>
        <w:spacing w:line="360" w:lineRule="auto"/>
        <w:ind w:firstLine="420" w:firstLineChars="200"/>
        <w:textAlignment w:val="auto"/>
        <w:outlineLvl w:val="9"/>
        <w:rPr>
          <w:color w:val="auto"/>
          <w:highlight w:val="none"/>
        </w:rPr>
      </w:pPr>
      <w:r>
        <w:rPr>
          <w:rFonts w:hint="eastAsia" w:hAnsi="宋体" w:cs="宋体"/>
          <w:color w:val="auto"/>
          <w:highlight w:val="none"/>
        </w:rPr>
        <w:t>本合同一式</w:t>
      </w:r>
      <w:r>
        <w:rPr>
          <w:rFonts w:hint="eastAsia"/>
          <w:color w:val="auto"/>
          <w:highlight w:val="none"/>
          <w:u w:val="single"/>
          <w:lang w:val="en-US" w:eastAsia="zh-CN"/>
        </w:rPr>
        <w:t>捌</w:t>
      </w:r>
      <w:r>
        <w:rPr>
          <w:rFonts w:hint="eastAsia" w:hAnsi="宋体" w:cs="宋体"/>
          <w:color w:val="auto"/>
          <w:highlight w:val="none"/>
        </w:rPr>
        <w:t>份，均具有同等法律效力，发包人执</w:t>
      </w:r>
      <w:r>
        <w:rPr>
          <w:rFonts w:hint="eastAsia"/>
          <w:color w:val="auto"/>
          <w:highlight w:val="none"/>
          <w:u w:val="single"/>
          <w:lang w:val="en-US" w:eastAsia="zh-CN"/>
        </w:rPr>
        <w:t>叁</w:t>
      </w:r>
      <w:r>
        <w:rPr>
          <w:rFonts w:hint="eastAsia" w:hAnsi="宋体" w:cs="宋体"/>
          <w:color w:val="auto"/>
          <w:highlight w:val="none"/>
        </w:rPr>
        <w:t>份，承包人执</w:t>
      </w:r>
      <w:r>
        <w:rPr>
          <w:rFonts w:hint="eastAsia"/>
          <w:color w:val="auto"/>
          <w:highlight w:val="none"/>
          <w:u w:val="single"/>
          <w:lang w:val="en-US" w:eastAsia="zh-CN"/>
        </w:rPr>
        <w:t>叁</w:t>
      </w:r>
      <w:r>
        <w:rPr>
          <w:rFonts w:hint="eastAsia" w:hAnsi="宋体" w:cs="宋体"/>
          <w:color w:val="auto"/>
          <w:highlight w:val="none"/>
        </w:rPr>
        <w:t>份，代理机构执壹份，自治区采购管理监督部门壹份。</w:t>
      </w:r>
    </w:p>
    <w:p w14:paraId="3508535A">
      <w:pPr>
        <w:pageBreakBefore w:val="0"/>
        <w:widowControl w:val="0"/>
        <w:kinsoku/>
        <w:wordWrap/>
        <w:overflowPunct/>
        <w:topLinePunct w:val="0"/>
        <w:bidi w:val="0"/>
        <w:spacing w:line="360" w:lineRule="auto"/>
        <w:textAlignment w:val="auto"/>
        <w:outlineLvl w:val="9"/>
        <w:rPr>
          <w:color w:val="auto"/>
          <w:highlight w:val="none"/>
        </w:rPr>
      </w:pPr>
    </w:p>
    <w:p w14:paraId="4286F6EA">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发包人：</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 xml:space="preserve">）                       </w:t>
      </w:r>
      <w:r>
        <w:rPr>
          <w:rFonts w:hint="eastAsia" w:hAnsi="宋体" w:cs="宋体"/>
          <w:color w:val="auto"/>
          <w:highlight w:val="none"/>
        </w:rPr>
        <w:t>承包人：</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03877184">
      <w:pPr>
        <w:pageBreakBefore w:val="0"/>
        <w:widowControl w:val="0"/>
        <w:kinsoku/>
        <w:wordWrap/>
        <w:overflowPunct/>
        <w:topLinePunct w:val="0"/>
        <w:bidi w:val="0"/>
        <w:spacing w:line="360" w:lineRule="auto"/>
        <w:textAlignment w:val="auto"/>
        <w:outlineLvl w:val="9"/>
        <w:rPr>
          <w:color w:val="auto"/>
          <w:highlight w:val="none"/>
          <w:u w:val="single"/>
        </w:rPr>
      </w:pPr>
    </w:p>
    <w:p w14:paraId="0F909CE3">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法定代表人或其委托代理人：             法定代表人或其委托代理人：</w:t>
      </w:r>
    </w:p>
    <w:p w14:paraId="27863D13">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（签字）                              （签字）</w:t>
      </w:r>
    </w:p>
    <w:p w14:paraId="417C5E66">
      <w:pPr>
        <w:pageBreakBefore w:val="0"/>
        <w:widowControl w:val="0"/>
        <w:kinsoku/>
        <w:wordWrap/>
        <w:overflowPunct/>
        <w:topLinePunct w:val="0"/>
        <w:bidi w:val="0"/>
        <w:spacing w:line="360" w:lineRule="auto"/>
        <w:textAlignment w:val="auto"/>
        <w:outlineLvl w:val="9"/>
        <w:rPr>
          <w:color w:val="auto"/>
          <w:highlight w:val="none"/>
          <w:u w:val="single"/>
        </w:rPr>
      </w:pPr>
    </w:p>
    <w:p w14:paraId="52296F44">
      <w:pPr>
        <w:pageBreakBefore w:val="0"/>
        <w:widowControl w:val="0"/>
        <w:tabs>
          <w:tab w:val="left" w:pos="4410"/>
        </w:tabs>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 xml:space="preserve">统一社会信用代码：                     </w:t>
      </w:r>
      <w:r>
        <w:rPr>
          <w:rFonts w:hint="eastAsia" w:cs="宋体"/>
          <w:color w:val="auto"/>
          <w:highlight w:val="none"/>
        </w:rPr>
        <w:t>统一</w:t>
      </w:r>
      <w:r>
        <w:rPr>
          <w:rFonts w:hint="eastAsia" w:hAnsi="宋体" w:cs="宋体"/>
          <w:color w:val="auto"/>
          <w:highlight w:val="none"/>
        </w:rPr>
        <w:t>社会信用代码：</w:t>
      </w:r>
    </w:p>
    <w:p w14:paraId="198B3AE2">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地址：                                 地址：</w:t>
      </w:r>
    </w:p>
    <w:p w14:paraId="058803AE">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邮政编码：                             邮政编码：</w:t>
      </w:r>
    </w:p>
    <w:p w14:paraId="22AD4946">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法定代表人：                           法定代表人：</w:t>
      </w:r>
    </w:p>
    <w:p w14:paraId="1CA3B660">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委托代理人：                           委托代理人：</w:t>
      </w:r>
    </w:p>
    <w:p w14:paraId="24CE1BF6">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电话：                                 电话：</w:t>
      </w:r>
    </w:p>
    <w:p w14:paraId="2E27724E">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传真：                                 传真：</w:t>
      </w:r>
    </w:p>
    <w:p w14:paraId="146B06AA">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电子信箱：                             电子信箱：</w:t>
      </w:r>
    </w:p>
    <w:p w14:paraId="2F65D588">
      <w:pPr>
        <w:pageBreakBefore w:val="0"/>
        <w:widowControl w:val="0"/>
        <w:kinsoku/>
        <w:wordWrap/>
        <w:overflowPunct/>
        <w:topLinePunct w:val="0"/>
        <w:bidi w:val="0"/>
        <w:spacing w:line="360" w:lineRule="auto"/>
        <w:textAlignment w:val="auto"/>
        <w:outlineLvl w:val="9"/>
        <w:rPr>
          <w:color w:val="auto"/>
          <w:highlight w:val="none"/>
        </w:rPr>
      </w:pPr>
      <w:r>
        <w:rPr>
          <w:rFonts w:hint="eastAsia" w:hAnsi="宋体" w:cs="宋体"/>
          <w:color w:val="auto"/>
          <w:highlight w:val="none"/>
        </w:rPr>
        <w:t>开户银行：                             开户银行：</w:t>
      </w:r>
    </w:p>
    <w:p w14:paraId="092B474F">
      <w:pPr>
        <w:pageBreakBefore w:val="0"/>
        <w:widowControl w:val="0"/>
        <w:kinsoku/>
        <w:wordWrap/>
        <w:overflowPunct/>
        <w:topLinePunct w:val="0"/>
        <w:bidi w:val="0"/>
        <w:textAlignment w:val="auto"/>
        <w:outlineLvl w:val="9"/>
        <w:rPr>
          <w:color w:val="auto"/>
          <w:highlight w:val="none"/>
          <w:u w:val="single"/>
        </w:rPr>
      </w:pPr>
      <w:r>
        <w:rPr>
          <w:rFonts w:hint="eastAsia" w:hAnsi="宋体" w:cs="宋体"/>
          <w:color w:val="auto"/>
          <w:highlight w:val="none"/>
        </w:rPr>
        <w:t>账号：                                 账号：</w:t>
      </w:r>
    </w:p>
    <w:p w14:paraId="2E28DC72">
      <w:pPr>
        <w:pageBreakBefore w:val="0"/>
        <w:widowControl w:val="0"/>
        <w:kinsoku/>
        <w:wordWrap/>
        <w:overflowPunct/>
        <w:topLinePunct w:val="0"/>
        <w:bidi w:val="0"/>
        <w:jc w:val="center"/>
        <w:textAlignment w:val="auto"/>
        <w:outlineLvl w:val="9"/>
        <w:rPr>
          <w:b/>
          <w:bCs/>
          <w:color w:val="auto"/>
          <w:sz w:val="40"/>
          <w:szCs w:val="48"/>
          <w:highlight w:val="none"/>
        </w:rPr>
      </w:pPr>
      <w:r>
        <w:rPr>
          <w:rFonts w:ascii="宋体" w:hAnsi="宋体" w:cs="宋体"/>
          <w:color w:val="auto"/>
          <w:sz w:val="24"/>
          <w:highlight w:val="none"/>
        </w:rPr>
        <w:br w:type="page"/>
      </w:r>
      <w:bookmarkStart w:id="127" w:name="_Toc86847323"/>
      <w:bookmarkStart w:id="128" w:name="_Toc407135192"/>
      <w:bookmarkStart w:id="129" w:name="_Toc78449778"/>
      <w:bookmarkStart w:id="130" w:name="_Toc1714491818"/>
      <w:bookmarkStart w:id="131" w:name="_Toc389065256"/>
      <w:bookmarkStart w:id="132" w:name="_Toc373478338"/>
      <w:bookmarkStart w:id="133" w:name="_Toc351203632"/>
      <w:bookmarkStart w:id="134" w:name="_Toc373227691"/>
      <w:r>
        <w:rPr>
          <w:rFonts w:hint="eastAsia" w:cs="黑体"/>
          <w:b/>
          <w:bCs/>
          <w:color w:val="auto"/>
          <w:sz w:val="40"/>
          <w:szCs w:val="48"/>
          <w:highlight w:val="none"/>
        </w:rPr>
        <w:t>第二部分通用合同条款</w:t>
      </w:r>
      <w:bookmarkEnd w:id="127"/>
      <w:bookmarkEnd w:id="128"/>
      <w:bookmarkEnd w:id="129"/>
      <w:bookmarkEnd w:id="130"/>
      <w:bookmarkEnd w:id="131"/>
    </w:p>
    <w:p w14:paraId="60929A04">
      <w:pPr>
        <w:pageBreakBefore w:val="0"/>
        <w:widowControl w:val="0"/>
        <w:kinsoku/>
        <w:wordWrap/>
        <w:overflowPunct/>
        <w:topLinePunct w:val="0"/>
        <w:bidi w:val="0"/>
        <w:spacing w:line="360" w:lineRule="auto"/>
        <w:ind w:firstLine="420" w:firstLineChars="200"/>
        <w:textAlignment w:val="auto"/>
        <w:outlineLvl w:val="9"/>
        <w:rPr>
          <w:rFonts w:hAnsi="宋体"/>
          <w:color w:val="auto"/>
          <w:kern w:val="0"/>
          <w:highlight w:val="none"/>
        </w:rPr>
      </w:pPr>
    </w:p>
    <w:p w14:paraId="1771D1E4">
      <w:pPr>
        <w:pageBreakBefore w:val="0"/>
        <w:widowControl w:val="0"/>
        <w:kinsoku/>
        <w:wordWrap/>
        <w:overflowPunct/>
        <w:topLinePunct w:val="0"/>
        <w:bidi w:val="0"/>
        <w:spacing w:line="360" w:lineRule="auto"/>
        <w:ind w:firstLine="422" w:firstLineChars="200"/>
        <w:textAlignment w:val="auto"/>
        <w:outlineLvl w:val="9"/>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bookmarkEnd w:id="132"/>
    <w:bookmarkEnd w:id="133"/>
    <w:bookmarkEnd w:id="134"/>
    <w:p w14:paraId="7920F690">
      <w:pPr>
        <w:pStyle w:val="5"/>
        <w:keepNext w:val="0"/>
        <w:keepLines w:val="0"/>
        <w:jc w:val="center"/>
        <w:rPr>
          <w:rFonts w:hint="eastAsia" w:ascii="Times New Roman" w:hAnsi="Times New Roman" w:eastAsia="宋体" w:cs="黑体"/>
          <w:b/>
          <w:bCs/>
          <w:color w:val="auto"/>
          <w:kern w:val="2"/>
          <w:sz w:val="40"/>
          <w:szCs w:val="48"/>
          <w:highlight w:val="none"/>
          <w:lang w:val="en-US" w:eastAsia="zh-CN" w:bidi="ar-SA"/>
        </w:rPr>
      </w:pPr>
      <w:bookmarkStart w:id="135" w:name="_Toc78449779"/>
      <w:bookmarkStart w:id="136" w:name="_Toc704444909"/>
      <w:bookmarkStart w:id="137" w:name="_Toc389065257"/>
      <w:bookmarkStart w:id="138" w:name="_Toc1204138598"/>
      <w:bookmarkStart w:id="139" w:name="_Toc407135193"/>
      <w:r>
        <w:rPr>
          <w:rFonts w:hint="eastAsia" w:ascii="Times New Roman" w:hAnsi="Times New Roman" w:eastAsia="宋体" w:cs="黑体"/>
          <w:b/>
          <w:bCs/>
          <w:color w:val="auto"/>
          <w:kern w:val="2"/>
          <w:sz w:val="40"/>
          <w:szCs w:val="48"/>
          <w:highlight w:val="none"/>
          <w:lang w:val="en-US" w:eastAsia="zh-CN" w:bidi="ar-SA"/>
        </w:rPr>
        <w:t>第三部分 专用合同条款</w:t>
      </w:r>
      <w:bookmarkEnd w:id="135"/>
      <w:bookmarkEnd w:id="136"/>
      <w:bookmarkEnd w:id="137"/>
      <w:bookmarkEnd w:id="138"/>
      <w:bookmarkEnd w:id="139"/>
    </w:p>
    <w:p w14:paraId="3119F5A2">
      <w:pPr>
        <w:pStyle w:val="6"/>
        <w:rPr>
          <w:color w:val="auto"/>
          <w:highlight w:val="none"/>
        </w:rPr>
      </w:pPr>
      <w:bookmarkStart w:id="140" w:name="_Toc373478339"/>
      <w:bookmarkStart w:id="141" w:name="_Toc78449780"/>
      <w:bookmarkStart w:id="142" w:name="_Toc1013968286"/>
      <w:bookmarkStart w:id="143" w:name="_Toc407135194"/>
      <w:bookmarkStart w:id="144" w:name="_Toc351203633"/>
      <w:bookmarkStart w:id="145" w:name="_Toc373227692"/>
      <w:bookmarkStart w:id="146" w:name="_Toc389065258"/>
      <w:bookmarkStart w:id="147" w:name="_Toc1516097295"/>
      <w:r>
        <w:rPr>
          <w:color w:val="auto"/>
          <w:highlight w:val="none"/>
        </w:rPr>
        <w:t>1</w:t>
      </w:r>
      <w:bookmarkStart w:id="148" w:name="_Toc296944495"/>
      <w:bookmarkStart w:id="149" w:name="_Toc292559361"/>
      <w:bookmarkStart w:id="150" w:name="_Toc296503156"/>
      <w:bookmarkStart w:id="151" w:name="_Toc296347155"/>
      <w:bookmarkStart w:id="152" w:name="_Toc296891196"/>
      <w:bookmarkStart w:id="153" w:name="_Toc296890984"/>
      <w:bookmarkStart w:id="154" w:name="_Toc297120456"/>
      <w:bookmarkStart w:id="155" w:name="_Toc292559866"/>
      <w:bookmarkStart w:id="156" w:name="_Toc297048342"/>
      <w:bookmarkStart w:id="157" w:name="_Toc296346657"/>
      <w:r>
        <w:rPr>
          <w:color w:val="auto"/>
          <w:highlight w:val="none"/>
        </w:rPr>
        <w:t xml:space="preserve">. </w:t>
      </w:r>
      <w:r>
        <w:rPr>
          <w:rFonts w:hint="eastAsia" w:hAnsi="宋体" w:cs="黑体"/>
          <w:color w:val="auto"/>
          <w:highlight w:val="none"/>
        </w:rPr>
        <w:t>一般约定</w:t>
      </w:r>
      <w:bookmarkEnd w:id="140"/>
      <w:bookmarkEnd w:id="141"/>
      <w:bookmarkEnd w:id="142"/>
      <w:bookmarkEnd w:id="143"/>
      <w:bookmarkEnd w:id="144"/>
      <w:bookmarkEnd w:id="145"/>
      <w:bookmarkEnd w:id="146"/>
      <w:bookmarkEnd w:id="147"/>
    </w:p>
    <w:bookmarkEnd w:id="148"/>
    <w:bookmarkEnd w:id="149"/>
    <w:bookmarkEnd w:id="150"/>
    <w:bookmarkEnd w:id="151"/>
    <w:bookmarkEnd w:id="152"/>
    <w:bookmarkEnd w:id="153"/>
    <w:bookmarkEnd w:id="154"/>
    <w:bookmarkEnd w:id="155"/>
    <w:bookmarkEnd w:id="156"/>
    <w:bookmarkEnd w:id="157"/>
    <w:p w14:paraId="01AEB9EC">
      <w:pPr>
        <w:pStyle w:val="7"/>
        <w:rPr>
          <w:color w:val="auto"/>
          <w:highlight w:val="none"/>
        </w:rPr>
      </w:pPr>
      <w:bookmarkStart w:id="158" w:name="_Toc373478340"/>
      <w:bookmarkStart w:id="159" w:name="_Toc78449781"/>
      <w:bookmarkStart w:id="160" w:name="_Toc373227693"/>
      <w:bookmarkStart w:id="161" w:name="_Toc155697041"/>
      <w:bookmarkStart w:id="162" w:name="_Toc407135195"/>
      <w:bookmarkStart w:id="163" w:name="_Toc1618220701"/>
      <w:bookmarkStart w:id="164" w:name="_Toc389065259"/>
      <w:r>
        <w:rPr>
          <w:color w:val="auto"/>
          <w:highlight w:val="none"/>
        </w:rPr>
        <w:t xml:space="preserve">1.1 </w:t>
      </w:r>
      <w:r>
        <w:rPr>
          <w:rFonts w:hint="eastAsia" w:hAnsi="宋体" w:cs="黑体"/>
          <w:color w:val="auto"/>
          <w:highlight w:val="none"/>
        </w:rPr>
        <w:t>词语定义</w:t>
      </w:r>
      <w:bookmarkEnd w:id="158"/>
      <w:bookmarkEnd w:id="159"/>
      <w:bookmarkEnd w:id="160"/>
      <w:bookmarkEnd w:id="161"/>
      <w:bookmarkEnd w:id="162"/>
      <w:bookmarkEnd w:id="163"/>
      <w:bookmarkEnd w:id="164"/>
    </w:p>
    <w:p w14:paraId="13709AC1">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5447AC32">
      <w:pPr>
        <w:spacing w:line="400" w:lineRule="exact"/>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rFonts w:hint="eastAsia"/>
          <w:color w:val="auto"/>
          <w:highlight w:val="none"/>
          <w:u w:val="single"/>
        </w:rPr>
        <w:t>(1)合同协议书；(2)成交通知书；(3)竞标函及竞标函附录；(4)专用合同条款；(5)通用合同条款；(6)标准、规范及有关技术文件；(7)图纸；(8)工程量清单；(9)磋商文件（含补充通知和答疑）（10）履约保证金缴纳证明； (1</w:t>
      </w:r>
      <w:r>
        <w:rPr>
          <w:color w:val="auto"/>
          <w:highlight w:val="none"/>
          <w:u w:val="single"/>
        </w:rPr>
        <w:t>1</w:t>
      </w:r>
      <w:r>
        <w:rPr>
          <w:rFonts w:hint="eastAsia"/>
          <w:color w:val="auto"/>
          <w:highlight w:val="none"/>
          <w:u w:val="single"/>
        </w:rPr>
        <w:t>) 其他合同文件〔</w:t>
      </w:r>
      <w:r>
        <w:rPr>
          <w:rFonts w:hint="eastAsia" w:ascii="宋体" w:hAnsi="宋体" w:cs="宋体"/>
          <w:color w:val="auto"/>
          <w:highlight w:val="none"/>
          <w:u w:val="single"/>
        </w:rPr>
        <w:t>响应文件及其附件，采购文件（含补充通知和答疑），履行合同过程中双方法定代表人（或双方工地代表人）书面确认的对合同内容有实质性影响的会议纪要、签证、设计变更等资料〕</w:t>
      </w:r>
      <w:r>
        <w:rPr>
          <w:rFonts w:hint="eastAsia" w:hAnsi="宋体" w:cs="宋体"/>
          <w:color w:val="auto"/>
          <w:highlight w:val="none"/>
        </w:rPr>
        <w:t>。</w:t>
      </w:r>
    </w:p>
    <w:p w14:paraId="1FEF65CF">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43F3C45F">
      <w:pPr>
        <w:spacing w:line="360" w:lineRule="auto"/>
        <w:ind w:firstLine="420" w:firstLineChars="200"/>
        <w:outlineLvl w:val="0"/>
        <w:rPr>
          <w:color w:val="auto"/>
          <w:highlight w:val="none"/>
        </w:rPr>
      </w:pPr>
      <w:r>
        <w:rPr>
          <w:color w:val="auto"/>
          <w:highlight w:val="none"/>
        </w:rPr>
        <w:t xml:space="preserve">1.1.2.4 </w:t>
      </w:r>
      <w:r>
        <w:rPr>
          <w:rFonts w:hint="eastAsia" w:hAnsi="宋体" w:cs="宋体"/>
          <w:color w:val="auto"/>
          <w:highlight w:val="none"/>
        </w:rPr>
        <w:t>监理人：</w:t>
      </w:r>
    </w:p>
    <w:p w14:paraId="1830A2D9">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7B7DC60C">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4D1E0E4F">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0828AEE8">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4D2B2923">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69E96F1F">
      <w:pPr>
        <w:spacing w:line="360" w:lineRule="auto"/>
        <w:ind w:firstLine="420" w:firstLineChars="200"/>
        <w:outlineLvl w:val="0"/>
        <w:rPr>
          <w:color w:val="auto"/>
          <w:highlight w:val="none"/>
        </w:rPr>
      </w:pPr>
      <w:r>
        <w:rPr>
          <w:color w:val="auto"/>
          <w:highlight w:val="none"/>
        </w:rPr>
        <w:t xml:space="preserve">1.1.2.5 </w:t>
      </w:r>
      <w:r>
        <w:rPr>
          <w:rFonts w:hint="eastAsia" w:hAnsi="宋体" w:cs="宋体"/>
          <w:color w:val="auto"/>
          <w:highlight w:val="none"/>
        </w:rPr>
        <w:t>设计人：</w:t>
      </w:r>
    </w:p>
    <w:p w14:paraId="22995AAC">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4BF294A3">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67F0E38D">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22355A70">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4AFE0693">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E2A6BA6">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704B2A40">
      <w:pPr>
        <w:pStyle w:val="227"/>
        <w:spacing w:line="360" w:lineRule="auto"/>
        <w:ind w:firstLine="420" w:firstLineChars="200"/>
        <w:outlineLvl w:val="0"/>
        <w:rPr>
          <w:rFonts w:hAnsi="宋体"/>
          <w:color w:val="auto"/>
          <w:szCs w:val="21"/>
          <w:highlight w:val="none"/>
        </w:rPr>
      </w:pPr>
      <w:bookmarkStart w:id="165" w:name="_Toc373478341"/>
      <w:bookmarkStart w:id="166" w:name="_Toc373227694"/>
      <w:bookmarkStart w:id="167" w:name="_Toc78449782"/>
      <w:bookmarkStart w:id="168" w:name="_Toc1182598796"/>
      <w:bookmarkStart w:id="169" w:name="_Toc407135196"/>
      <w:bookmarkStart w:id="170" w:name="_Toc1162259329"/>
      <w:bookmarkStart w:id="171" w:name="_Toc389065260"/>
      <w:r>
        <w:rPr>
          <w:color w:val="auto"/>
          <w:szCs w:val="21"/>
          <w:highlight w:val="none"/>
        </w:rPr>
        <w:t xml:space="preserve">1.1.3.7 </w:t>
      </w:r>
      <w:r>
        <w:rPr>
          <w:rFonts w:hint="eastAsia" w:hAnsi="宋体"/>
          <w:color w:val="auto"/>
          <w:szCs w:val="21"/>
          <w:highlight w:val="none"/>
        </w:rPr>
        <w:t>作为施工现场组成部分的其他场所包括：符合通用条款规定的发包方提供的施工场地。</w:t>
      </w:r>
    </w:p>
    <w:p w14:paraId="59EEDF18">
      <w:pPr>
        <w:pStyle w:val="227"/>
        <w:spacing w:line="360" w:lineRule="auto"/>
        <w:ind w:firstLine="420" w:firstLineChars="200"/>
        <w:outlineLvl w:val="0"/>
        <w:rPr>
          <w:rFonts w:hAnsi="宋体"/>
          <w:color w:val="auto"/>
          <w:szCs w:val="21"/>
          <w:highlight w:val="none"/>
        </w:rPr>
      </w:pPr>
      <w:r>
        <w:rPr>
          <w:rFonts w:hAnsi="宋体"/>
          <w:color w:val="auto"/>
          <w:szCs w:val="21"/>
          <w:highlight w:val="none"/>
        </w:rPr>
        <w:t xml:space="preserve">1.1.3.9 </w:t>
      </w:r>
      <w:r>
        <w:rPr>
          <w:rFonts w:hint="eastAsia" w:hAnsi="宋体"/>
          <w:color w:val="auto"/>
          <w:szCs w:val="21"/>
          <w:highlight w:val="none"/>
        </w:rPr>
        <w:t>永久占地包括：磋商文件和施工图包含的全部工程内容。</w:t>
      </w:r>
    </w:p>
    <w:p w14:paraId="038315BF">
      <w:pPr>
        <w:pStyle w:val="227"/>
        <w:spacing w:line="360" w:lineRule="auto"/>
        <w:ind w:firstLine="420" w:firstLineChars="200"/>
        <w:outlineLvl w:val="0"/>
        <w:rPr>
          <w:color w:val="auto"/>
          <w:szCs w:val="21"/>
          <w:highlight w:val="none"/>
        </w:rPr>
      </w:pPr>
      <w:r>
        <w:rPr>
          <w:rFonts w:hAnsi="宋体"/>
          <w:color w:val="auto"/>
          <w:szCs w:val="21"/>
          <w:highlight w:val="none"/>
        </w:rPr>
        <w:t xml:space="preserve">1.1.3.10 </w:t>
      </w:r>
      <w:r>
        <w:rPr>
          <w:rFonts w:hint="eastAsia" w:hAnsi="宋体"/>
          <w:color w:val="auto"/>
          <w:szCs w:val="21"/>
          <w:highlight w:val="none"/>
        </w:rPr>
        <w:t>临时占地包括：磋商文件和施工图包含的全部工程内容。</w:t>
      </w:r>
    </w:p>
    <w:p w14:paraId="66ACC311">
      <w:pPr>
        <w:pStyle w:val="7"/>
        <w:rPr>
          <w:color w:val="auto"/>
          <w:highlight w:val="none"/>
        </w:rPr>
      </w:pPr>
      <w:r>
        <w:rPr>
          <w:color w:val="auto"/>
          <w:highlight w:val="none"/>
        </w:rPr>
        <w:t xml:space="preserve">1.3 </w:t>
      </w:r>
      <w:r>
        <w:rPr>
          <w:rFonts w:hint="eastAsia" w:hAnsi="宋体" w:cs="黑体"/>
          <w:color w:val="auto"/>
          <w:highlight w:val="none"/>
        </w:rPr>
        <w:t>法律</w:t>
      </w:r>
      <w:bookmarkEnd w:id="165"/>
      <w:bookmarkEnd w:id="166"/>
      <w:bookmarkEnd w:id="167"/>
      <w:bookmarkEnd w:id="168"/>
      <w:bookmarkEnd w:id="169"/>
      <w:bookmarkEnd w:id="170"/>
      <w:bookmarkEnd w:id="171"/>
    </w:p>
    <w:p w14:paraId="585AA1CE">
      <w:pPr>
        <w:pStyle w:val="227"/>
        <w:spacing w:line="360" w:lineRule="auto"/>
        <w:ind w:firstLine="420" w:firstLineChars="200"/>
        <w:rPr>
          <w:color w:val="auto"/>
          <w:szCs w:val="21"/>
          <w:highlight w:val="none"/>
        </w:rPr>
      </w:pPr>
      <w:bookmarkStart w:id="172" w:name="_Toc188277238"/>
      <w:bookmarkStart w:id="173" w:name="_Toc373227696"/>
      <w:bookmarkStart w:id="174" w:name="_Toc78449784"/>
      <w:bookmarkStart w:id="175" w:name="_Toc389065262"/>
      <w:bookmarkStart w:id="176" w:name="_Toc24431861"/>
      <w:bookmarkStart w:id="177" w:name="_Toc407135198"/>
      <w:bookmarkStart w:id="178" w:name="_Toc373478343"/>
      <w:r>
        <w:rPr>
          <w:rFonts w:hint="eastAsia"/>
          <w:color w:val="auto"/>
          <w:szCs w:val="21"/>
          <w:highlight w:val="none"/>
        </w:rPr>
        <w:t>适用于合同的其他规范性文件：</w:t>
      </w:r>
      <w:r>
        <w:rPr>
          <w:rFonts w:hint="eastAsia"/>
          <w:color w:val="auto"/>
          <w:szCs w:val="21"/>
          <w:highlight w:val="none"/>
          <w:u w:val="single"/>
        </w:rPr>
        <w:t>按通用条款1.3条执行及</w:t>
      </w:r>
      <w:r>
        <w:rPr>
          <w:rFonts w:hint="eastAsia" w:ascii="宋体" w:hAnsi="宋体" w:cs="宋体"/>
          <w:color w:val="auto"/>
          <w:highlight w:val="none"/>
          <w:u w:val="single"/>
        </w:rPr>
        <w:t xml:space="preserve">现行的国家法律和行政法规及部门规章，工程所在地政府、行政主管部门的有关法规和规章及规范性文件 </w:t>
      </w:r>
      <w:r>
        <w:rPr>
          <w:rFonts w:hint="eastAsia"/>
          <w:color w:val="auto"/>
          <w:szCs w:val="21"/>
          <w:highlight w:val="none"/>
        </w:rPr>
        <w:t>。</w:t>
      </w:r>
      <w:bookmarkStart w:id="179" w:name="_Toc389065261"/>
      <w:bookmarkStart w:id="180" w:name="_Toc373227695"/>
      <w:bookmarkStart w:id="181" w:name="_Toc373478342"/>
      <w:bookmarkStart w:id="182" w:name="_Toc467599556"/>
    </w:p>
    <w:p w14:paraId="5CEA0DDC">
      <w:pPr>
        <w:pStyle w:val="227"/>
        <w:spacing w:line="360" w:lineRule="auto"/>
        <w:rPr>
          <w:color w:val="auto"/>
          <w:szCs w:val="21"/>
          <w:highlight w:val="none"/>
        </w:rPr>
      </w:pPr>
      <w:r>
        <w:rPr>
          <w:b/>
          <w:bCs/>
          <w:color w:val="auto"/>
          <w:szCs w:val="21"/>
          <w:highlight w:val="none"/>
        </w:rPr>
        <w:t xml:space="preserve">1.4 </w:t>
      </w:r>
      <w:r>
        <w:rPr>
          <w:rFonts w:hint="eastAsia"/>
          <w:b/>
          <w:bCs/>
          <w:color w:val="auto"/>
          <w:szCs w:val="21"/>
          <w:highlight w:val="none"/>
        </w:rPr>
        <w:t>标准和规范</w:t>
      </w:r>
      <w:bookmarkEnd w:id="179"/>
      <w:bookmarkEnd w:id="180"/>
      <w:bookmarkEnd w:id="181"/>
      <w:bookmarkEnd w:id="182"/>
    </w:p>
    <w:p w14:paraId="4831614D">
      <w:pPr>
        <w:pStyle w:val="227"/>
        <w:spacing w:line="360" w:lineRule="auto"/>
        <w:ind w:firstLine="420" w:firstLineChars="200"/>
        <w:rPr>
          <w:color w:val="auto"/>
          <w:szCs w:val="21"/>
          <w:highlight w:val="none"/>
        </w:rPr>
      </w:pPr>
      <w:r>
        <w:rPr>
          <w:color w:val="auto"/>
          <w:szCs w:val="21"/>
          <w:highlight w:val="none"/>
        </w:rPr>
        <w:t xml:space="preserve">1.4.1 </w:t>
      </w:r>
      <w:r>
        <w:rPr>
          <w:rFonts w:hint="eastAsia" w:hAnsi="宋体"/>
          <w:color w:val="auto"/>
          <w:szCs w:val="21"/>
          <w:highlight w:val="none"/>
        </w:rPr>
        <w:t>适用于工程的标准规范包括：</w:t>
      </w:r>
      <w:r>
        <w:rPr>
          <w:rFonts w:hint="eastAsia" w:ascii="新宋体" w:hAnsi="新宋体" w:eastAsia="新宋体" w:cs="新宋体"/>
          <w:color w:val="auto"/>
          <w:spacing w:val="2"/>
          <w:szCs w:val="21"/>
          <w:highlight w:val="none"/>
          <w:u w:val="single"/>
        </w:rPr>
        <w:t>按通用条款1.4.1条执行及</w:t>
      </w:r>
      <w:r>
        <w:rPr>
          <w:rFonts w:hint="eastAsia" w:ascii="宋体" w:hAnsi="宋体" w:cs="宋体"/>
          <w:color w:val="auto"/>
          <w:highlight w:val="none"/>
          <w:u w:val="single"/>
        </w:rPr>
        <w:t>现行的国家标准、规范，行业标准、规范</w:t>
      </w:r>
      <w:r>
        <w:rPr>
          <w:rFonts w:hint="eastAsia" w:ascii="新宋体" w:hAnsi="新宋体" w:eastAsia="新宋体" w:cs="新宋体"/>
          <w:color w:val="auto"/>
          <w:spacing w:val="2"/>
          <w:szCs w:val="21"/>
          <w:highlight w:val="none"/>
        </w:rPr>
        <w:t>。</w:t>
      </w:r>
    </w:p>
    <w:p w14:paraId="1830D9CA">
      <w:pPr>
        <w:pStyle w:val="227"/>
        <w:spacing w:line="360" w:lineRule="auto"/>
        <w:ind w:firstLine="420" w:firstLineChars="200"/>
        <w:rPr>
          <w:color w:val="auto"/>
          <w:kern w:val="0"/>
          <w:szCs w:val="21"/>
          <w:highlight w:val="none"/>
        </w:rPr>
      </w:pPr>
      <w:r>
        <w:rPr>
          <w:color w:val="auto"/>
          <w:kern w:val="0"/>
          <w:szCs w:val="21"/>
          <w:highlight w:val="none"/>
        </w:rPr>
        <w:t xml:space="preserve">1.4.2 </w:t>
      </w:r>
      <w:r>
        <w:rPr>
          <w:rFonts w:hint="eastAsia" w:hAnsi="宋体"/>
          <w:color w:val="auto"/>
          <w:kern w:val="0"/>
          <w:szCs w:val="21"/>
          <w:highlight w:val="none"/>
        </w:rPr>
        <w:t>发包人提供国外标准、规范的名称：</w:t>
      </w:r>
      <w:r>
        <w:rPr>
          <w:rFonts w:hint="eastAsia" w:hAnsi="宋体"/>
          <w:color w:val="auto"/>
          <w:szCs w:val="21"/>
          <w:highlight w:val="none"/>
          <w:u w:val="single"/>
        </w:rPr>
        <w:t>无</w:t>
      </w:r>
      <w:r>
        <w:rPr>
          <w:rFonts w:hint="eastAsia" w:hAnsi="宋体"/>
          <w:color w:val="auto"/>
          <w:szCs w:val="21"/>
          <w:highlight w:val="none"/>
        </w:rPr>
        <w:t>；</w:t>
      </w:r>
    </w:p>
    <w:p w14:paraId="142F25F2">
      <w:pPr>
        <w:pStyle w:val="228"/>
        <w:adjustRightInd w:val="0"/>
        <w:spacing w:line="360" w:lineRule="auto"/>
        <w:ind w:firstLine="428" w:firstLineChars="200"/>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发包人提供国外标准、规范的份数：</w:t>
      </w:r>
      <w:r>
        <w:rPr>
          <w:rFonts w:hint="eastAsia" w:ascii="新宋体" w:hAnsi="新宋体" w:eastAsia="新宋体" w:cs="新宋体"/>
          <w:color w:val="auto"/>
          <w:spacing w:val="2"/>
          <w:szCs w:val="21"/>
          <w:highlight w:val="none"/>
          <w:u w:val="single"/>
        </w:rPr>
        <w:t>无</w:t>
      </w:r>
      <w:r>
        <w:rPr>
          <w:rFonts w:hint="eastAsia" w:ascii="新宋体" w:hAnsi="新宋体" w:eastAsia="新宋体" w:cs="新宋体"/>
          <w:color w:val="auto"/>
          <w:spacing w:val="2"/>
          <w:szCs w:val="21"/>
          <w:highlight w:val="none"/>
        </w:rPr>
        <w:t xml:space="preserve">； </w:t>
      </w:r>
    </w:p>
    <w:p w14:paraId="422D426C">
      <w:pPr>
        <w:pStyle w:val="228"/>
        <w:adjustRightInd w:val="0"/>
        <w:spacing w:line="360" w:lineRule="auto"/>
        <w:ind w:left="424" w:leftChars="202"/>
        <w:rPr>
          <w:rFonts w:ascii="新宋体" w:hAnsi="新宋体" w:eastAsia="新宋体" w:cs="新宋体"/>
          <w:color w:val="auto"/>
          <w:spacing w:val="2"/>
          <w:szCs w:val="21"/>
          <w:highlight w:val="none"/>
        </w:rPr>
      </w:pPr>
      <w:r>
        <w:rPr>
          <w:rFonts w:hint="eastAsia" w:ascii="新宋体" w:hAnsi="新宋体" w:eastAsia="新宋体" w:cs="新宋体"/>
          <w:color w:val="auto"/>
          <w:spacing w:val="2"/>
          <w:szCs w:val="21"/>
          <w:highlight w:val="none"/>
        </w:rPr>
        <w:t>发包人提供国外标准、规范的名称：</w:t>
      </w:r>
      <w:r>
        <w:rPr>
          <w:rFonts w:hint="eastAsia" w:ascii="新宋体" w:hAnsi="新宋体" w:eastAsia="新宋体" w:cs="新宋体"/>
          <w:color w:val="auto"/>
          <w:spacing w:val="2"/>
          <w:szCs w:val="21"/>
          <w:highlight w:val="none"/>
          <w:u w:val="single"/>
        </w:rPr>
        <w:t>无</w:t>
      </w:r>
      <w:r>
        <w:rPr>
          <w:rFonts w:hint="eastAsia" w:ascii="新宋体" w:hAnsi="新宋体" w:eastAsia="新宋体" w:cs="新宋体"/>
          <w:color w:val="auto"/>
          <w:spacing w:val="2"/>
          <w:szCs w:val="21"/>
          <w:highlight w:val="none"/>
        </w:rPr>
        <w:t>。</w:t>
      </w:r>
    </w:p>
    <w:p w14:paraId="499F1148">
      <w:pPr>
        <w:spacing w:line="400" w:lineRule="exact"/>
        <w:ind w:firstLine="428" w:firstLineChars="200"/>
        <w:rPr>
          <w:rFonts w:hint="eastAsia" w:ascii="宋体" w:hAnsi="宋体" w:cs="宋体"/>
          <w:color w:val="auto"/>
          <w:szCs w:val="21"/>
          <w:highlight w:val="none"/>
        </w:rPr>
      </w:pPr>
      <w:r>
        <w:rPr>
          <w:rFonts w:hint="eastAsia" w:ascii="新宋体" w:hAnsi="新宋体" w:eastAsia="新宋体" w:cs="新宋体"/>
          <w:color w:val="auto"/>
          <w:spacing w:val="2"/>
          <w:szCs w:val="21"/>
          <w:highlight w:val="none"/>
        </w:rPr>
        <w:t>1.4.3 发包人对工程的技术标准和功能要求的特殊要求：</w:t>
      </w:r>
      <w:r>
        <w:rPr>
          <w:rFonts w:hint="eastAsia" w:ascii="宋体" w:hAnsi="宋体" w:cs="宋体"/>
          <w:color w:val="auto"/>
          <w:szCs w:val="21"/>
          <w:highlight w:val="none"/>
          <w:u w:val="single"/>
        </w:rPr>
        <w:t xml:space="preserve">施工图纸、涉及到本工程的施工及验收规范等    </w:t>
      </w:r>
      <w:r>
        <w:rPr>
          <w:rFonts w:hint="eastAsia" w:ascii="宋体" w:hAnsi="宋体" w:cs="宋体"/>
          <w:color w:val="auto"/>
          <w:szCs w:val="21"/>
          <w:highlight w:val="none"/>
        </w:rPr>
        <w:t>。</w:t>
      </w:r>
    </w:p>
    <w:p w14:paraId="7E3528AF">
      <w:pPr>
        <w:pStyle w:val="227"/>
        <w:spacing w:line="360" w:lineRule="auto"/>
        <w:ind w:firstLine="428" w:firstLineChars="200"/>
        <w:rPr>
          <w:color w:val="auto"/>
          <w:szCs w:val="21"/>
          <w:highlight w:val="none"/>
        </w:rPr>
      </w:pPr>
      <w:r>
        <w:rPr>
          <w:rFonts w:hint="eastAsia" w:ascii="新宋体" w:hAnsi="新宋体" w:eastAsia="新宋体" w:cs="新宋体"/>
          <w:color w:val="auto"/>
          <w:spacing w:val="2"/>
          <w:szCs w:val="21"/>
          <w:highlight w:val="none"/>
        </w:rPr>
        <w:t>。</w:t>
      </w:r>
    </w:p>
    <w:p w14:paraId="13313C98">
      <w:pPr>
        <w:pStyle w:val="7"/>
        <w:rPr>
          <w:color w:val="auto"/>
          <w:highlight w:val="none"/>
        </w:rPr>
      </w:pPr>
      <w:r>
        <w:rPr>
          <w:color w:val="auto"/>
          <w:highlight w:val="none"/>
        </w:rPr>
        <w:t xml:space="preserve">1.5 </w:t>
      </w:r>
      <w:r>
        <w:rPr>
          <w:rFonts w:hint="eastAsia" w:cs="黑体"/>
          <w:color w:val="auto"/>
          <w:highlight w:val="none"/>
        </w:rPr>
        <w:t>合同文件的优先顺序</w:t>
      </w:r>
      <w:bookmarkEnd w:id="172"/>
      <w:bookmarkEnd w:id="173"/>
      <w:bookmarkEnd w:id="174"/>
      <w:bookmarkEnd w:id="175"/>
      <w:bookmarkEnd w:id="176"/>
      <w:bookmarkEnd w:id="177"/>
      <w:bookmarkEnd w:id="178"/>
    </w:p>
    <w:p w14:paraId="77EE1D46">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合同文件组成及优先顺序为：</w:t>
      </w:r>
    </w:p>
    <w:p w14:paraId="19E4FC2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（1）合同协议书；</w:t>
      </w:r>
    </w:p>
    <w:p w14:paraId="5AA33042">
      <w:pPr>
        <w:spacing w:line="360" w:lineRule="auto"/>
        <w:ind w:firstLine="420" w:firstLineChars="200"/>
        <w:rPr>
          <w:rFonts w:hint="eastAsia" w:hAnsi="宋体" w:cs="宋体"/>
          <w:color w:val="auto"/>
          <w:kern w:val="0"/>
          <w:highlight w:val="none"/>
        </w:rPr>
      </w:pPr>
      <w:bookmarkStart w:id="183" w:name="bookmark916"/>
      <w:bookmarkEnd w:id="183"/>
      <w:r>
        <w:rPr>
          <w:rFonts w:hint="eastAsia" w:hAnsi="宋体" w:cs="宋体"/>
          <w:color w:val="auto"/>
          <w:kern w:val="0"/>
          <w:highlight w:val="none"/>
        </w:rPr>
        <w:t>（2）成交通知书；</w:t>
      </w:r>
    </w:p>
    <w:p w14:paraId="27F382F6">
      <w:pPr>
        <w:spacing w:line="360" w:lineRule="auto"/>
        <w:ind w:firstLine="420" w:firstLineChars="200"/>
        <w:rPr>
          <w:rFonts w:hint="eastAsia" w:hAnsi="宋体" w:cs="宋体"/>
          <w:color w:val="auto"/>
          <w:kern w:val="0"/>
          <w:highlight w:val="none"/>
        </w:rPr>
      </w:pPr>
      <w:bookmarkStart w:id="184" w:name="bookmark917"/>
      <w:bookmarkEnd w:id="184"/>
      <w:r>
        <w:rPr>
          <w:rFonts w:hint="eastAsia" w:hAnsi="宋体" w:cs="宋体"/>
          <w:color w:val="auto"/>
          <w:kern w:val="0"/>
          <w:highlight w:val="none"/>
        </w:rPr>
        <w:t>（3）竞标函及竞标函附录；</w:t>
      </w:r>
    </w:p>
    <w:p w14:paraId="53EBCA2F">
      <w:pPr>
        <w:spacing w:line="360" w:lineRule="auto"/>
        <w:ind w:firstLine="420" w:firstLineChars="200"/>
        <w:rPr>
          <w:rFonts w:hint="eastAsia" w:hAnsi="宋体" w:cs="宋体"/>
          <w:color w:val="auto"/>
          <w:kern w:val="0"/>
          <w:highlight w:val="none"/>
        </w:rPr>
      </w:pPr>
      <w:bookmarkStart w:id="185" w:name="bookmark918"/>
      <w:bookmarkEnd w:id="185"/>
      <w:r>
        <w:rPr>
          <w:rFonts w:hint="eastAsia" w:hAnsi="宋体" w:cs="宋体"/>
          <w:color w:val="auto"/>
          <w:kern w:val="0"/>
          <w:highlight w:val="none"/>
        </w:rPr>
        <w:t>（4）专用合同条款；</w:t>
      </w:r>
    </w:p>
    <w:p w14:paraId="712A3D1E">
      <w:pPr>
        <w:spacing w:line="360" w:lineRule="auto"/>
        <w:ind w:firstLine="420" w:firstLineChars="200"/>
        <w:rPr>
          <w:rFonts w:hint="eastAsia" w:hAnsi="宋体" w:cs="宋体"/>
          <w:color w:val="auto"/>
          <w:kern w:val="0"/>
          <w:highlight w:val="none"/>
        </w:rPr>
      </w:pPr>
      <w:bookmarkStart w:id="186" w:name="bookmark919"/>
      <w:bookmarkEnd w:id="186"/>
      <w:r>
        <w:rPr>
          <w:rFonts w:hint="eastAsia" w:hAnsi="宋体" w:cs="宋体"/>
          <w:color w:val="auto"/>
          <w:kern w:val="0"/>
          <w:highlight w:val="none"/>
        </w:rPr>
        <w:t>（5）通用合同条款；</w:t>
      </w:r>
    </w:p>
    <w:p w14:paraId="7C19E803">
      <w:pPr>
        <w:spacing w:line="360" w:lineRule="auto"/>
        <w:ind w:firstLine="420" w:firstLineChars="200"/>
        <w:rPr>
          <w:rFonts w:hint="eastAsia" w:hAnsi="宋体" w:cs="宋体"/>
          <w:color w:val="auto"/>
          <w:kern w:val="0"/>
          <w:highlight w:val="none"/>
        </w:rPr>
      </w:pPr>
      <w:bookmarkStart w:id="187" w:name="bookmark920"/>
      <w:bookmarkEnd w:id="187"/>
      <w:r>
        <w:rPr>
          <w:rFonts w:hint="eastAsia" w:hAnsi="宋体" w:cs="宋体"/>
          <w:color w:val="auto"/>
          <w:kern w:val="0"/>
          <w:highlight w:val="none"/>
        </w:rPr>
        <w:t>（6）技术标准和要求；</w:t>
      </w:r>
    </w:p>
    <w:p w14:paraId="1A176573">
      <w:pPr>
        <w:spacing w:line="360" w:lineRule="auto"/>
        <w:ind w:firstLine="420" w:firstLineChars="200"/>
        <w:rPr>
          <w:rFonts w:hint="eastAsia" w:hAnsi="宋体" w:cs="宋体"/>
          <w:color w:val="auto"/>
          <w:kern w:val="0"/>
          <w:highlight w:val="none"/>
        </w:rPr>
      </w:pPr>
      <w:bookmarkStart w:id="188" w:name="bookmark921"/>
      <w:bookmarkEnd w:id="188"/>
      <w:r>
        <w:rPr>
          <w:rFonts w:hint="eastAsia" w:hAnsi="宋体" w:cs="宋体"/>
          <w:color w:val="auto"/>
          <w:kern w:val="0"/>
          <w:highlight w:val="none"/>
        </w:rPr>
        <w:t>（7）图纸；</w:t>
      </w:r>
    </w:p>
    <w:p w14:paraId="3CAA61A8">
      <w:pPr>
        <w:spacing w:line="360" w:lineRule="auto"/>
        <w:ind w:firstLine="420" w:firstLineChars="200"/>
        <w:rPr>
          <w:rFonts w:hint="eastAsia" w:hAnsi="宋体" w:cs="宋体"/>
          <w:color w:val="auto"/>
          <w:kern w:val="0"/>
          <w:highlight w:val="none"/>
        </w:rPr>
      </w:pPr>
      <w:bookmarkStart w:id="189" w:name="bookmark922"/>
      <w:bookmarkEnd w:id="189"/>
      <w:r>
        <w:rPr>
          <w:rFonts w:hint="eastAsia" w:hAnsi="宋体" w:cs="宋体"/>
          <w:color w:val="auto"/>
          <w:kern w:val="0"/>
          <w:highlight w:val="none"/>
        </w:rPr>
        <w:t>（8）已标价工程量清单或预算书；</w:t>
      </w:r>
    </w:p>
    <w:p w14:paraId="4784C2AB">
      <w:pPr>
        <w:pStyle w:val="227"/>
        <w:spacing w:line="360" w:lineRule="auto"/>
        <w:ind w:firstLine="420" w:firstLineChars="200"/>
        <w:rPr>
          <w:rFonts w:hAnsi="宋体"/>
          <w:color w:val="auto"/>
          <w:kern w:val="0"/>
          <w:szCs w:val="21"/>
          <w:highlight w:val="none"/>
        </w:rPr>
      </w:pPr>
      <w:r>
        <w:rPr>
          <w:rFonts w:hint="eastAsia" w:hAnsi="宋体" w:cs="宋体"/>
          <w:color w:val="auto"/>
          <w:kern w:val="0"/>
          <w:highlight w:val="none"/>
        </w:rPr>
        <w:t>（9）</w:t>
      </w:r>
      <w:r>
        <w:rPr>
          <w:rFonts w:hint="eastAsia" w:ascii="新宋体" w:hAnsi="新宋体" w:eastAsia="新宋体" w:cs="新宋体"/>
          <w:color w:val="auto"/>
          <w:spacing w:val="2"/>
          <w:szCs w:val="21"/>
          <w:highlight w:val="none"/>
        </w:rPr>
        <w:t>磋商文件（含补充通知和答疑）；</w:t>
      </w:r>
    </w:p>
    <w:p w14:paraId="0C7BE2BA">
      <w:pPr>
        <w:pStyle w:val="227"/>
        <w:spacing w:line="360" w:lineRule="auto"/>
        <w:ind w:firstLine="420" w:firstLineChars="200"/>
        <w:rPr>
          <w:rFonts w:ascii="新宋体" w:hAnsi="新宋体" w:eastAsia="新宋体" w:cs="新宋体"/>
          <w:color w:val="auto"/>
          <w:spacing w:val="2"/>
          <w:szCs w:val="21"/>
          <w:highlight w:val="none"/>
        </w:rPr>
      </w:pPr>
      <w:r>
        <w:rPr>
          <w:rFonts w:hint="eastAsia" w:hAnsi="宋体"/>
          <w:color w:val="auto"/>
          <w:kern w:val="0"/>
          <w:szCs w:val="21"/>
          <w:highlight w:val="none"/>
        </w:rPr>
        <w:t>（</w:t>
      </w:r>
      <w:r>
        <w:rPr>
          <w:rFonts w:hAnsi="宋体"/>
          <w:color w:val="auto"/>
          <w:kern w:val="0"/>
          <w:szCs w:val="21"/>
          <w:highlight w:val="none"/>
        </w:rPr>
        <w:t>10</w:t>
      </w:r>
      <w:r>
        <w:rPr>
          <w:rFonts w:hint="eastAsia" w:hAnsi="宋体"/>
          <w:color w:val="auto"/>
          <w:kern w:val="0"/>
          <w:szCs w:val="21"/>
          <w:highlight w:val="none"/>
        </w:rPr>
        <w:t>）</w:t>
      </w:r>
      <w:r>
        <w:rPr>
          <w:rFonts w:hint="eastAsia" w:ascii="新宋体" w:hAnsi="新宋体" w:eastAsia="新宋体" w:cs="新宋体"/>
          <w:color w:val="auto"/>
          <w:spacing w:val="2"/>
          <w:szCs w:val="21"/>
          <w:highlight w:val="none"/>
        </w:rPr>
        <w:t>履约保证金缴纳证明；</w:t>
      </w:r>
    </w:p>
    <w:p w14:paraId="21DCAC8E">
      <w:pPr>
        <w:pStyle w:val="227"/>
        <w:spacing w:line="360" w:lineRule="auto"/>
        <w:ind w:firstLine="420" w:firstLineChars="200"/>
        <w:rPr>
          <w:rFonts w:hint="eastAsia" w:ascii="新宋体" w:hAnsi="新宋体" w:eastAsia="新宋体" w:cs="新宋体"/>
          <w:color w:val="auto"/>
          <w:spacing w:val="2"/>
          <w:szCs w:val="21"/>
          <w:highlight w:val="none"/>
        </w:rPr>
      </w:pPr>
      <w:r>
        <w:rPr>
          <w:rFonts w:hint="eastAsia" w:hAnsi="宋体"/>
          <w:color w:val="auto"/>
          <w:kern w:val="0"/>
          <w:szCs w:val="21"/>
          <w:highlight w:val="none"/>
        </w:rPr>
        <w:t>（</w:t>
      </w:r>
      <w:r>
        <w:rPr>
          <w:rFonts w:hAnsi="宋体"/>
          <w:color w:val="auto"/>
          <w:kern w:val="0"/>
          <w:szCs w:val="21"/>
          <w:highlight w:val="none"/>
        </w:rPr>
        <w:t>1</w:t>
      </w:r>
      <w:r>
        <w:rPr>
          <w:rFonts w:hint="eastAsia" w:hAnsi="宋体"/>
          <w:color w:val="auto"/>
          <w:kern w:val="0"/>
          <w:szCs w:val="21"/>
          <w:highlight w:val="none"/>
        </w:rPr>
        <w:t>1）</w:t>
      </w:r>
      <w:r>
        <w:rPr>
          <w:rFonts w:hint="eastAsia" w:ascii="新宋体" w:hAnsi="新宋体" w:eastAsia="新宋体" w:cs="新宋体"/>
          <w:color w:val="auto"/>
          <w:spacing w:val="2"/>
          <w:szCs w:val="21"/>
          <w:highlight w:val="none"/>
        </w:rPr>
        <w:t>其他合同文件。</w:t>
      </w:r>
    </w:p>
    <w:p w14:paraId="6FB3617E">
      <w:pPr>
        <w:spacing w:line="400" w:lineRule="exact"/>
        <w:ind w:firstLine="428" w:firstLineChars="200"/>
        <w:rPr>
          <w:rFonts w:hint="eastAsia" w:ascii="宋体" w:hAnsi="宋体" w:cs="宋体"/>
          <w:color w:val="auto"/>
          <w:kern w:val="0"/>
          <w:highlight w:val="none"/>
        </w:rPr>
      </w:pPr>
      <w:r>
        <w:rPr>
          <w:rFonts w:hint="eastAsia" w:ascii="新宋体" w:hAnsi="新宋体" w:eastAsia="新宋体" w:cs="新宋体"/>
          <w:color w:val="auto"/>
          <w:spacing w:val="2"/>
          <w:szCs w:val="21"/>
          <w:highlight w:val="none"/>
        </w:rPr>
        <w:t>（12）</w:t>
      </w:r>
      <w:r>
        <w:rPr>
          <w:rFonts w:hint="eastAsia" w:ascii="宋体" w:hAnsi="宋体" w:cs="宋体"/>
          <w:color w:val="auto"/>
          <w:kern w:val="0"/>
          <w:highlight w:val="non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2018〕14号）、《建设工程工程量清单计算规范（GB50854~50862-2013）》及其广西实施细则（修订本）。</w:t>
      </w:r>
    </w:p>
    <w:p w14:paraId="1C32EAFF">
      <w:pPr>
        <w:spacing w:line="400" w:lineRule="exact"/>
        <w:ind w:firstLine="420" w:firstLineChars="200"/>
        <w:rPr>
          <w:rFonts w:hAnsi="宋体" w:cs="宋体"/>
          <w:color w:val="auto"/>
          <w:kern w:val="0"/>
          <w:highlight w:val="none"/>
        </w:rPr>
      </w:pPr>
      <w:r>
        <w:rPr>
          <w:rFonts w:hint="eastAsia" w:ascii="宋体" w:hAnsi="宋体" w:cs="宋体"/>
          <w:color w:val="auto"/>
          <w:kern w:val="0"/>
          <w:highlight w:val="none"/>
        </w:rPr>
        <w:t>说明：（6）、（7）、（8）、（9）、（10）、（11）填空内容分别限于技术标准和要求、图纸、已标价工程量清单或预算书、其他合同文件四者之一，其优先顺序可根据采取的不同合同方式由双方约定。</w:t>
      </w:r>
      <w:r>
        <w:rPr>
          <w:rFonts w:hint="eastAsia" w:hAnsi="宋体" w:cs="宋体"/>
          <w:color w:val="auto"/>
          <w:kern w:val="0"/>
          <w:highlight w:val="none"/>
        </w:rPr>
        <w:t>上述各项合同文件包括合同当事人就该项合同文件所作出的补充和修改，属于同一类内容的文件，应以最新签署的为准（违反磋商文件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75FCD9D0">
      <w:pPr>
        <w:pStyle w:val="7"/>
        <w:rPr>
          <w:color w:val="auto"/>
          <w:highlight w:val="none"/>
        </w:rPr>
      </w:pPr>
      <w:bookmarkStart w:id="190" w:name="_Toc1531480704"/>
      <w:bookmarkStart w:id="191" w:name="_Toc407135199"/>
      <w:bookmarkStart w:id="192" w:name="_Toc373478344"/>
      <w:bookmarkStart w:id="193" w:name="_Toc1537247101"/>
      <w:bookmarkStart w:id="194" w:name="_Toc389065263"/>
      <w:bookmarkStart w:id="195" w:name="_Toc78449785"/>
      <w:bookmarkStart w:id="196" w:name="_Toc373227697"/>
      <w:r>
        <w:rPr>
          <w:color w:val="auto"/>
          <w:highlight w:val="none"/>
        </w:rPr>
        <w:t xml:space="preserve">1.6 </w:t>
      </w:r>
      <w:r>
        <w:rPr>
          <w:rFonts w:hint="eastAsia" w:cs="黑体"/>
          <w:color w:val="auto"/>
          <w:highlight w:val="none"/>
        </w:rPr>
        <w:t>图纸和承包人文件</w:t>
      </w:r>
      <w:bookmarkEnd w:id="190"/>
      <w:bookmarkEnd w:id="191"/>
      <w:bookmarkEnd w:id="192"/>
      <w:bookmarkEnd w:id="193"/>
      <w:bookmarkEnd w:id="194"/>
      <w:bookmarkEnd w:id="195"/>
      <w:bookmarkEnd w:id="196"/>
      <w:r>
        <w:rPr>
          <w:color w:val="auto"/>
          <w:highlight w:val="none"/>
        </w:rPr>
        <w:tab/>
      </w:r>
    </w:p>
    <w:p w14:paraId="3F1C66D6">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53745862">
      <w:pPr>
        <w:pStyle w:val="230"/>
        <w:spacing w:line="400" w:lineRule="exact"/>
        <w:ind w:firstLine="420" w:firstLineChars="200"/>
        <w:rPr>
          <w:rFonts w:hint="eastAsia" w:ascii="宋体" w:hAnsi="宋体" w:cs="宋体"/>
          <w:color w:val="auto"/>
          <w:szCs w:val="21"/>
          <w:highlight w:val="none"/>
        </w:rPr>
      </w:pPr>
      <w:bookmarkStart w:id="197" w:name="_Toc1944260835"/>
      <w:bookmarkStart w:id="198" w:name="_Toc373478345"/>
      <w:bookmarkStart w:id="199" w:name="_Toc78449786"/>
      <w:bookmarkStart w:id="200" w:name="_Toc373227698"/>
      <w:bookmarkStart w:id="201" w:name="_Toc389065264"/>
      <w:bookmarkStart w:id="202" w:name="_Toc407135200"/>
      <w:bookmarkStart w:id="203" w:name="_Toc110523719"/>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合同生效后7天内</w:t>
      </w:r>
      <w:r>
        <w:rPr>
          <w:rFonts w:hint="eastAsia" w:ascii="宋体" w:hAnsi="宋体" w:cs="宋体"/>
          <w:color w:val="auto"/>
          <w:szCs w:val="21"/>
          <w:highlight w:val="none"/>
        </w:rPr>
        <w:t>；</w:t>
      </w:r>
    </w:p>
    <w:p w14:paraId="7EA4E52C">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color w:val="auto"/>
          <w:szCs w:val="21"/>
          <w:highlight w:val="none"/>
          <w:u w:val="single"/>
        </w:rPr>
        <w:t>2  套（承包人需要增加图纸套数的，发包人应代为复制，复制费用由承包人承担）</w:t>
      </w:r>
      <w:r>
        <w:rPr>
          <w:rFonts w:hint="eastAsia" w:ascii="宋体" w:hAnsi="宋体" w:cs="宋体"/>
          <w:color w:val="auto"/>
          <w:szCs w:val="21"/>
          <w:highlight w:val="none"/>
        </w:rPr>
        <w:t>；</w:t>
      </w:r>
    </w:p>
    <w:p w14:paraId="583D5F7C">
      <w:pPr>
        <w:pStyle w:val="230"/>
        <w:spacing w:line="400" w:lineRule="exact"/>
        <w:ind w:firstLine="420" w:firstLineChars="200"/>
        <w:rPr>
          <w:rFonts w:hint="eastAsia" w:ascii="新宋体" w:hAnsi="新宋体" w:eastAsia="新宋体" w:cs="新宋体"/>
          <w:color w:val="auto"/>
          <w:spacing w:val="2"/>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szCs w:val="21"/>
          <w:highlight w:val="none"/>
          <w:u w:val="single"/>
        </w:rPr>
        <w:t>合同工程内容的全套施工蓝图及相关技术资料</w:t>
      </w:r>
      <w:r>
        <w:rPr>
          <w:rFonts w:hint="eastAsia" w:ascii="宋体" w:hAnsi="宋体" w:cs="宋体"/>
          <w:color w:val="auto"/>
          <w:szCs w:val="21"/>
          <w:highlight w:val="none"/>
        </w:rPr>
        <w:t>。</w:t>
      </w:r>
    </w:p>
    <w:p w14:paraId="5C3C3C7B">
      <w:pPr>
        <w:pStyle w:val="228"/>
        <w:adjustRightInd w:val="0"/>
        <w:snapToGrid w:val="0"/>
        <w:spacing w:line="440" w:lineRule="exact"/>
        <w:ind w:left="-315" w:leftChars="-150" w:firstLine="747" w:firstLineChars="356"/>
        <w:contextualSpacing/>
        <w:textAlignment w:val="baseline"/>
        <w:rPr>
          <w:rFonts w:ascii="新宋体" w:hAnsi="新宋体" w:eastAsia="新宋体" w:cs="新宋体"/>
          <w:color w:val="auto"/>
          <w:spacing w:val="2"/>
          <w:szCs w:val="21"/>
          <w:highlight w:val="none"/>
        </w:rPr>
      </w:pPr>
      <w:r>
        <w:rPr>
          <w:rFonts w:ascii="Times New Roman" w:hAnsi="Times New Roman"/>
          <w:color w:val="auto"/>
          <w:highlight w:val="none"/>
        </w:rPr>
        <mc:AlternateContent>
          <mc:Choice Requires="wpg">
            <w:drawing>
              <wp:anchor distT="0" distB="0" distL="114300" distR="114300" simplePos="0" relativeHeight="251659264" behindDoc="1" locked="0" layoutInCell="1" allowOverlap="1">
                <wp:simplePos x="0" y="0"/>
                <wp:positionH relativeFrom="page">
                  <wp:posOffset>2594610</wp:posOffset>
                </wp:positionH>
                <wp:positionV relativeFrom="paragraph">
                  <wp:posOffset>292735</wp:posOffset>
                </wp:positionV>
                <wp:extent cx="266700" cy="234950"/>
                <wp:effectExtent l="0" t="0" r="2594610" b="737870"/>
                <wp:wrapNone/>
                <wp:docPr id="6" name="组合 6"/>
                <wp:cNvGraphicFramePr/>
                <a:graphic xmlns:a="http://schemas.openxmlformats.org/drawingml/2006/main">
                  <a:graphicData uri="http://schemas.microsoft.com/office/word/2010/wordprocessingGroup">
                    <wpg:wgp>
                      <wpg:cNvGrpSpPr/>
                      <wpg:grpSpPr>
                        <a:xfrm>
                          <a:off x="0" y="0"/>
                          <a:ext cx="266700" cy="234950"/>
                          <a:chOff x="0" y="0"/>
                          <a:chExt cx="0" cy="203"/>
                        </a:xfrm>
                      </wpg:grpSpPr>
                      <wps:wsp>
                        <wps:cNvPr id="5" name="任意多边形 5"/>
                        <wps:cNvSpPr/>
                        <wps:spPr>
                          <a:xfrm>
                            <a:off x="4086" y="462"/>
                            <a:ext cx="420" cy="370"/>
                          </a:xfrm>
                          <a:custGeom>
                            <a:avLst/>
                            <a:gdLst>
                              <a:gd name="A1" fmla="val 0"/>
                              <a:gd name="A2" fmla="val 0"/>
                            </a:gdLst>
                            <a:ahLst/>
                            <a:cxnLst>
                              <a:cxn ang="0">
                                <a:pos x="0" y="0"/>
                              </a:cxn>
                              <a:cxn ang="0">
                                <a:pos x="420" y="0"/>
                              </a:cxn>
                              <a:cxn ang="0">
                                <a:pos x="420" y="370"/>
                              </a:cxn>
                              <a:cxn ang="0">
                                <a:pos x="0" y="370"/>
                              </a:cxn>
                              <a:cxn ang="0">
                                <a:pos x="0" y="0"/>
                              </a:cxn>
                            </a:cxnLst>
                            <a:pathLst>
                              <a:path w="420" h="370">
                                <a:moveTo>
                                  <a:pt x="0" y="0"/>
                                </a:moveTo>
                                <a:lnTo>
                                  <a:pt x="420" y="0"/>
                                </a:lnTo>
                                <a:lnTo>
                                  <a:pt x="420" y="370"/>
                                </a:lnTo>
                                <a:lnTo>
                                  <a:pt x="0" y="370"/>
                                </a:lnTo>
                                <a:lnTo>
                                  <a:pt x="0" y="0"/>
                                </a:lnTo>
                              </a:path>
                            </a:pathLst>
                          </a:custGeom>
                          <a:solidFill>
                            <a:srgbClr val="FFFFFF"/>
                          </a:solidFill>
                          <a:ln>
                            <a:noFill/>
                          </a:ln>
                        </wps:spPr>
                        <wps:bodyPr upright="1"/>
                      </wps:wsp>
                    </wpg:wgp>
                  </a:graphicData>
                </a:graphic>
              </wp:anchor>
            </w:drawing>
          </mc:Choice>
          <mc:Fallback>
            <w:pict>
              <v:group id="_x0000_s1026" o:spid="_x0000_s1026" o:spt="203" style="position:absolute;left:0pt;margin-left:204.3pt;margin-top:23.05pt;height:18.5pt;width:21pt;mso-position-horizontal-relative:page;z-index:-251657216;mso-width-relative:page;mso-height-relative:page;" coordsize="0,203" o:gfxdata="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B8IS7v2QAAAAkBAAAPAAAAAAAAAAEAIAAAACIA&#10;AABkcnMvZG93bnJldi54bWxQSwECFAAUAAAACACHTuJATE87ZrMCAADEBgAADgAAAAAAAAABACAA&#10;AAAoAQAAZHJzL2Uyb0RvYy54bWxQSwUGAAAAAAYABgBZAQAATQYAAAAA&#10;">
                <o:lock v:ext="edit" aspectratio="f"/>
                <v:shape id="_x0000_s1026" o:spid="_x0000_s1026" o:spt="100" style="position:absolute;left:4086;top:462;height:370;width:420;" fillcolor="#FFFFFF" filled="t" stroked="f" coordsize="420,370" o:gfxdata="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fc9a74A&#10;AADaAAAADwAAAAAAAAABACAAAAAiAAAAZHJzL2Rvd25yZXYueG1sUEsBAhQAFAAAAAgAh07iQDMv&#10;BZ47AAAAOQAAABAAAAAAAAAAAQAgAAAADQEAAGRycy9zaGFwZXhtbC54bWxQSwUGAAAAAAYABgBb&#10;AQAAtwMAAAAA&#10;" path="m0,0l420,0,420,370,0,370,0,0e">
                  <v:path o:connectlocs="0,0;420,0;420,370;0,370;0,0" o:connectangles="0,0,0,0,0"/>
                  <v:fill on="t" focussize="0,0"/>
                  <v:stroke on="f"/>
                  <v:imagedata o:title=""/>
                  <o:lock v:ext="edit" aspectratio="f"/>
                </v:shape>
              </v:group>
            </w:pict>
          </mc:Fallback>
        </mc:AlternateContent>
      </w:r>
      <w:r>
        <w:rPr>
          <w:rFonts w:hint="eastAsia" w:ascii="新宋体" w:hAnsi="新宋体" w:eastAsia="新宋体" w:cs="新宋体"/>
          <w:color w:val="auto"/>
          <w:spacing w:val="2"/>
          <w:szCs w:val="21"/>
          <w:highlight w:val="none"/>
        </w:rPr>
        <w:t xml:space="preserve">1.6.2  承包人文件 </w:t>
      </w:r>
    </w:p>
    <w:p w14:paraId="41055E0A">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 xml:space="preserve">施工组织设计和安全专项方案，其他需要由承包人提供的文件由双方另行确定 </w:t>
      </w:r>
      <w:r>
        <w:rPr>
          <w:rFonts w:hint="eastAsia" w:ascii="宋体" w:hAnsi="宋体" w:cs="宋体"/>
          <w:color w:val="auto"/>
          <w:szCs w:val="21"/>
          <w:highlight w:val="none"/>
        </w:rPr>
        <w:t>；</w:t>
      </w:r>
    </w:p>
    <w:p w14:paraId="5B303C6D">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图纸会审后7日内</w:t>
      </w:r>
      <w:r>
        <w:rPr>
          <w:rFonts w:hint="eastAsia" w:ascii="宋体" w:hAnsi="宋体" w:cs="宋体"/>
          <w:color w:val="auto"/>
          <w:szCs w:val="21"/>
          <w:highlight w:val="none"/>
        </w:rPr>
        <w:t>；</w:t>
      </w:r>
    </w:p>
    <w:p w14:paraId="0DADC9D7">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一式五份，监理工程师一份及发包人四份  </w:t>
      </w:r>
      <w:r>
        <w:rPr>
          <w:rFonts w:hint="eastAsia" w:ascii="宋体" w:hAnsi="宋体" w:cs="宋体"/>
          <w:color w:val="auto"/>
          <w:szCs w:val="21"/>
          <w:highlight w:val="none"/>
        </w:rPr>
        <w:t>；</w:t>
      </w:r>
    </w:p>
    <w:p w14:paraId="0926F047">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书面形式</w:t>
      </w:r>
      <w:r>
        <w:rPr>
          <w:rFonts w:hint="eastAsia" w:ascii="宋体" w:hAnsi="宋体" w:cs="宋体"/>
          <w:color w:val="auto"/>
          <w:szCs w:val="21"/>
          <w:highlight w:val="none"/>
        </w:rPr>
        <w:t>；</w:t>
      </w:r>
    </w:p>
    <w:p w14:paraId="79DB572C">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color w:val="auto"/>
          <w:szCs w:val="21"/>
          <w:highlight w:val="none"/>
          <w:u w:val="single"/>
        </w:rPr>
        <w:t>收到之日起7天内批复</w:t>
      </w:r>
      <w:r>
        <w:rPr>
          <w:rFonts w:hint="eastAsia" w:ascii="宋体" w:hAnsi="宋体" w:cs="宋体"/>
          <w:color w:val="auto"/>
          <w:szCs w:val="21"/>
          <w:highlight w:val="none"/>
        </w:rPr>
        <w:t>。</w:t>
      </w:r>
    </w:p>
    <w:p w14:paraId="014A53E6">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405FC423">
      <w:pPr>
        <w:pStyle w:val="230"/>
        <w:spacing w:line="400" w:lineRule="exact"/>
        <w:ind w:firstLine="420" w:firstLineChars="200"/>
        <w:rPr>
          <w:rFonts w:hint="eastAsia" w:ascii="新宋体" w:hAnsi="新宋体" w:eastAsia="新宋体" w:cs="新宋体"/>
          <w:color w:val="auto"/>
          <w:spacing w:val="2"/>
          <w:szCs w:val="21"/>
          <w:highlight w:val="none"/>
        </w:rPr>
      </w:pPr>
      <w:r>
        <w:rPr>
          <w:rFonts w:hint="eastAsia" w:ascii="宋体" w:hAnsi="宋体" w:cs="宋体"/>
          <w:color w:val="auto"/>
          <w:szCs w:val="21"/>
          <w:highlight w:val="none"/>
        </w:rPr>
        <w:t>关于现场图纸准备的约定：</w:t>
      </w:r>
      <w:r>
        <w:rPr>
          <w:rFonts w:hint="eastAsia" w:ascii="宋体" w:hAnsi="宋体" w:cs="宋体"/>
          <w:color w:val="auto"/>
          <w:szCs w:val="21"/>
          <w:highlight w:val="none"/>
          <w:u w:val="single"/>
        </w:rPr>
        <w:t>承包人应在施工现场另外保存一套完整的图纸和承包人文件， 供发包人、监理人及有关人员进行工程检查时使用</w:t>
      </w:r>
      <w:r>
        <w:rPr>
          <w:rFonts w:hint="eastAsia" w:ascii="宋体" w:hAnsi="宋体" w:cs="宋体"/>
          <w:color w:val="auto"/>
          <w:szCs w:val="21"/>
          <w:highlight w:val="none"/>
        </w:rPr>
        <w:t>。</w:t>
      </w:r>
    </w:p>
    <w:p w14:paraId="01F931A0">
      <w:pPr>
        <w:pStyle w:val="7"/>
        <w:rPr>
          <w:color w:val="auto"/>
          <w:highlight w:val="none"/>
        </w:rPr>
      </w:pPr>
      <w:r>
        <w:rPr>
          <w:color w:val="auto"/>
          <w:highlight w:val="none"/>
        </w:rPr>
        <w:t xml:space="preserve">1.7 </w:t>
      </w:r>
      <w:r>
        <w:rPr>
          <w:rFonts w:hint="eastAsia" w:hAnsi="宋体" w:cs="黑体"/>
          <w:color w:val="auto"/>
          <w:highlight w:val="none"/>
        </w:rPr>
        <w:t>联络</w:t>
      </w:r>
      <w:bookmarkEnd w:id="197"/>
      <w:bookmarkEnd w:id="198"/>
      <w:bookmarkEnd w:id="199"/>
      <w:bookmarkEnd w:id="200"/>
      <w:bookmarkEnd w:id="201"/>
      <w:bookmarkEnd w:id="202"/>
      <w:bookmarkEnd w:id="203"/>
    </w:p>
    <w:p w14:paraId="240E9E6E">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rPr>
        <w:t>7</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179553DC">
      <w:pPr>
        <w:pStyle w:val="23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szCs w:val="21"/>
          <w:highlight w:val="none"/>
          <w:u w:val="single"/>
        </w:rPr>
        <w:t>施工现场 </w:t>
      </w:r>
      <w:r>
        <w:rPr>
          <w:rFonts w:hint="eastAsia" w:ascii="宋体" w:hAnsi="宋体" w:cs="宋体"/>
          <w:color w:val="auto"/>
          <w:kern w:val="0"/>
          <w:szCs w:val="21"/>
          <w:highlight w:val="none"/>
        </w:rPr>
        <w:t>；</w:t>
      </w:r>
    </w:p>
    <w:p w14:paraId="046A7484">
      <w:pPr>
        <w:pStyle w:val="23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业主代表        </w:t>
      </w:r>
      <w:r>
        <w:rPr>
          <w:rFonts w:hint="eastAsia" w:ascii="宋体" w:hAnsi="宋体" w:cs="宋体"/>
          <w:color w:val="auto"/>
          <w:kern w:val="0"/>
          <w:szCs w:val="21"/>
          <w:highlight w:val="none"/>
        </w:rPr>
        <w:t>。</w:t>
      </w:r>
    </w:p>
    <w:p w14:paraId="5D523FC9">
      <w:pPr>
        <w:pStyle w:val="23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施工现场       </w:t>
      </w:r>
      <w:r>
        <w:rPr>
          <w:rFonts w:hint="eastAsia" w:ascii="宋体" w:hAnsi="宋体" w:cs="宋体"/>
          <w:color w:val="auto"/>
          <w:kern w:val="0"/>
          <w:szCs w:val="21"/>
          <w:highlight w:val="none"/>
        </w:rPr>
        <w:t>；</w:t>
      </w:r>
    </w:p>
    <w:p w14:paraId="5E9B7195">
      <w:pPr>
        <w:pStyle w:val="23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项目经理      </w:t>
      </w:r>
      <w:r>
        <w:rPr>
          <w:rFonts w:hint="eastAsia" w:ascii="宋体" w:hAnsi="宋体" w:cs="宋体"/>
          <w:color w:val="auto"/>
          <w:kern w:val="0"/>
          <w:szCs w:val="21"/>
          <w:highlight w:val="none"/>
        </w:rPr>
        <w:t>。</w:t>
      </w:r>
    </w:p>
    <w:p w14:paraId="34D5FDE1">
      <w:pPr>
        <w:pStyle w:val="23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施工现场       </w:t>
      </w:r>
      <w:r>
        <w:rPr>
          <w:rFonts w:hint="eastAsia" w:ascii="宋体" w:hAnsi="宋体" w:cs="宋体"/>
          <w:color w:val="auto"/>
          <w:kern w:val="0"/>
          <w:szCs w:val="21"/>
          <w:highlight w:val="none"/>
        </w:rPr>
        <w:t>；</w:t>
      </w:r>
    </w:p>
    <w:p w14:paraId="7C1FA2E8">
      <w:pPr>
        <w:pStyle w:val="23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项目总监        </w:t>
      </w:r>
      <w:r>
        <w:rPr>
          <w:rFonts w:hint="eastAsia" w:ascii="宋体" w:hAnsi="宋体" w:cs="宋体"/>
          <w:color w:val="auto"/>
          <w:kern w:val="0"/>
          <w:szCs w:val="21"/>
          <w:highlight w:val="none"/>
        </w:rPr>
        <w:t>。</w:t>
      </w:r>
    </w:p>
    <w:p w14:paraId="0BE3D089">
      <w:pPr>
        <w:pStyle w:val="7"/>
        <w:rPr>
          <w:color w:val="auto"/>
          <w:highlight w:val="none"/>
        </w:rPr>
      </w:pPr>
      <w:bookmarkStart w:id="204" w:name="_Toc1387231545"/>
      <w:bookmarkStart w:id="205" w:name="_Toc407135201"/>
      <w:bookmarkStart w:id="206" w:name="_Toc389065265"/>
      <w:bookmarkStart w:id="207" w:name="_Toc78449787"/>
      <w:bookmarkStart w:id="208" w:name="_Toc373478346"/>
      <w:bookmarkStart w:id="209" w:name="_Toc224348539"/>
      <w:bookmarkStart w:id="210" w:name="_Toc373227699"/>
      <w:r>
        <w:rPr>
          <w:color w:val="auto"/>
          <w:highlight w:val="none"/>
        </w:rPr>
        <w:t xml:space="preserve">1.10 </w:t>
      </w:r>
      <w:r>
        <w:rPr>
          <w:rFonts w:hint="eastAsia" w:hAnsi="宋体" w:cs="黑体"/>
          <w:color w:val="auto"/>
          <w:highlight w:val="none"/>
        </w:rPr>
        <w:t>交通运输</w:t>
      </w:r>
      <w:bookmarkEnd w:id="204"/>
      <w:bookmarkEnd w:id="205"/>
      <w:bookmarkEnd w:id="206"/>
      <w:bookmarkEnd w:id="207"/>
      <w:bookmarkEnd w:id="208"/>
      <w:bookmarkEnd w:id="209"/>
      <w:bookmarkEnd w:id="210"/>
    </w:p>
    <w:p w14:paraId="1D9EFBB3">
      <w:pPr>
        <w:pStyle w:val="230"/>
        <w:spacing w:line="400" w:lineRule="exact"/>
        <w:ind w:firstLine="420" w:firstLineChars="200"/>
        <w:outlineLvl w:val="0"/>
        <w:rPr>
          <w:rFonts w:hint="eastAsia" w:ascii="宋体" w:hAnsi="宋体" w:cs="宋体"/>
          <w:color w:val="auto"/>
          <w:szCs w:val="21"/>
          <w:highlight w:val="none"/>
        </w:rPr>
      </w:pPr>
      <w:bookmarkStart w:id="211" w:name="_Toc15053450"/>
      <w:bookmarkStart w:id="212" w:name="_Toc1495098807"/>
      <w:bookmarkStart w:id="213" w:name="_Toc373227700"/>
      <w:bookmarkStart w:id="214" w:name="_Toc78449788"/>
      <w:bookmarkStart w:id="215" w:name="_Toc512841653"/>
      <w:bookmarkStart w:id="216" w:name="_Toc389065266"/>
      <w:bookmarkStart w:id="217" w:name="_Toc407135202"/>
      <w:bookmarkStart w:id="218" w:name="_Toc373478347"/>
      <w:r>
        <w:rPr>
          <w:rFonts w:hint="eastAsia" w:ascii="宋体" w:hAnsi="宋体" w:cs="宋体"/>
          <w:color w:val="auto"/>
          <w:szCs w:val="21"/>
          <w:highlight w:val="none"/>
        </w:rPr>
        <w:t>1.10.1 出入现场的权利</w:t>
      </w:r>
      <w:bookmarkEnd w:id="211"/>
    </w:p>
    <w:p w14:paraId="342204E4">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color w:val="auto"/>
          <w:szCs w:val="21"/>
          <w:highlight w:val="none"/>
          <w:u w:val="single"/>
        </w:rPr>
        <w:t>按通用合同条款1.10.1执行   </w:t>
      </w:r>
      <w:r>
        <w:rPr>
          <w:rFonts w:hint="eastAsia" w:ascii="宋体" w:hAnsi="宋体" w:cs="宋体"/>
          <w:color w:val="auto"/>
          <w:szCs w:val="21"/>
          <w:highlight w:val="none"/>
        </w:rPr>
        <w:t>。</w:t>
      </w:r>
    </w:p>
    <w:p w14:paraId="4B7629A0">
      <w:pPr>
        <w:pStyle w:val="230"/>
        <w:spacing w:line="400" w:lineRule="exact"/>
        <w:ind w:firstLine="420" w:firstLineChars="200"/>
        <w:jc w:val="left"/>
        <w:outlineLvl w:val="0"/>
        <w:rPr>
          <w:rFonts w:hint="eastAsia" w:ascii="宋体" w:hAnsi="宋体" w:cs="宋体"/>
          <w:color w:val="auto"/>
          <w:szCs w:val="21"/>
          <w:highlight w:val="none"/>
        </w:rPr>
      </w:pPr>
      <w:bookmarkStart w:id="219" w:name="_Toc15053451"/>
      <w:r>
        <w:rPr>
          <w:rFonts w:hint="eastAsia" w:ascii="宋体" w:hAnsi="宋体" w:cs="宋体"/>
          <w:color w:val="auto"/>
          <w:szCs w:val="21"/>
          <w:highlight w:val="none"/>
        </w:rPr>
        <w:t>1.10.3 场内交通</w:t>
      </w:r>
      <w:bookmarkEnd w:id="219"/>
    </w:p>
    <w:p w14:paraId="47F5C38B">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color w:val="auto"/>
          <w:szCs w:val="21"/>
          <w:highlight w:val="none"/>
          <w:u w:val="single"/>
        </w:rPr>
        <w:t>本工程施工现场封闭围墙为界  </w:t>
      </w:r>
    </w:p>
    <w:p w14:paraId="60FD432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color w:val="auto"/>
          <w:szCs w:val="21"/>
          <w:highlight w:val="none"/>
          <w:u w:val="single"/>
        </w:rPr>
        <w:t xml:space="preserve">按现状道路 </w:t>
      </w:r>
      <w:r>
        <w:rPr>
          <w:rFonts w:hint="eastAsia" w:ascii="宋体" w:hAnsi="宋体" w:cs="宋体"/>
          <w:color w:val="auto"/>
          <w:szCs w:val="21"/>
          <w:highlight w:val="none"/>
        </w:rPr>
        <w:t xml:space="preserve">。  </w:t>
      </w:r>
    </w:p>
    <w:p w14:paraId="14869EB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1.10.4超大件和超重件的运输</w:t>
      </w:r>
    </w:p>
    <w:p w14:paraId="370DEF8F">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承担。</w:t>
      </w:r>
    </w:p>
    <w:p w14:paraId="6D9C0131">
      <w:pPr>
        <w:pStyle w:val="227"/>
        <w:spacing w:line="360" w:lineRule="auto"/>
        <w:ind w:firstLine="420" w:firstLineChars="200"/>
        <w:jc w:val="left"/>
        <w:rPr>
          <w:color w:val="auto"/>
          <w:szCs w:val="21"/>
          <w:highlight w:val="none"/>
          <w:u w:val="single"/>
        </w:rPr>
      </w:pPr>
      <w:bookmarkStart w:id="220" w:name="_Toc318581157"/>
    </w:p>
    <w:bookmarkEnd w:id="220"/>
    <w:p w14:paraId="7DC12FB8">
      <w:pPr>
        <w:pStyle w:val="7"/>
        <w:rPr>
          <w:color w:val="auto"/>
          <w:highlight w:val="none"/>
        </w:rPr>
      </w:pPr>
      <w:r>
        <w:rPr>
          <w:color w:val="auto"/>
          <w:highlight w:val="none"/>
        </w:rPr>
        <w:t xml:space="preserve">1.11 </w:t>
      </w:r>
      <w:r>
        <w:rPr>
          <w:rFonts w:hint="eastAsia" w:hAnsi="宋体" w:cs="黑体"/>
          <w:color w:val="auto"/>
          <w:highlight w:val="none"/>
        </w:rPr>
        <w:t>知识产权</w:t>
      </w:r>
      <w:bookmarkEnd w:id="212"/>
      <w:bookmarkEnd w:id="213"/>
      <w:bookmarkEnd w:id="214"/>
      <w:bookmarkEnd w:id="215"/>
      <w:bookmarkEnd w:id="216"/>
      <w:bookmarkEnd w:id="217"/>
      <w:bookmarkEnd w:id="218"/>
    </w:p>
    <w:p w14:paraId="5ADE6831">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Cs w:val="21"/>
          <w:highlight w:val="none"/>
          <w:u w:val="single"/>
        </w:rPr>
        <w:t xml:space="preserve">按通用合同条款1.11条执行 </w:t>
      </w:r>
      <w:r>
        <w:rPr>
          <w:rFonts w:hint="eastAsia" w:ascii="宋体" w:hAnsi="宋体" w:cs="宋体"/>
          <w:color w:val="auto"/>
          <w:szCs w:val="21"/>
          <w:highlight w:val="none"/>
        </w:rPr>
        <w:t>。</w:t>
      </w:r>
    </w:p>
    <w:p w14:paraId="4BD2D2F1">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color w:val="auto"/>
          <w:szCs w:val="21"/>
          <w:highlight w:val="none"/>
          <w:u w:val="single"/>
        </w:rPr>
        <w:t xml:space="preserve">按通用合同条款1.11条执行  </w:t>
      </w:r>
      <w:r>
        <w:rPr>
          <w:rFonts w:hint="eastAsia" w:ascii="宋体" w:hAnsi="宋体" w:cs="宋体"/>
          <w:color w:val="auto"/>
          <w:szCs w:val="21"/>
          <w:highlight w:val="none"/>
        </w:rPr>
        <w:t>。</w:t>
      </w:r>
    </w:p>
    <w:p w14:paraId="306DDBAD">
      <w:pPr>
        <w:pStyle w:val="230"/>
        <w:spacing w:line="400" w:lineRule="exact"/>
        <w:ind w:firstLine="420" w:firstLineChars="200"/>
        <w:outlineLvl w:val="0"/>
        <w:rPr>
          <w:rFonts w:hint="eastAsia" w:ascii="宋体" w:hAnsi="宋体" w:cs="宋体"/>
          <w:color w:val="auto"/>
          <w:szCs w:val="21"/>
          <w:highlight w:val="none"/>
        </w:rPr>
      </w:pPr>
      <w:bookmarkStart w:id="221" w:name="_Toc15053453"/>
      <w:r>
        <w:rPr>
          <w:rFonts w:hint="eastAsia" w:ascii="宋体" w:hAnsi="宋体" w:cs="宋体"/>
          <w:color w:val="auto"/>
          <w:szCs w:val="21"/>
          <w:highlight w:val="none"/>
        </w:rPr>
        <w:t>1.11.2 关于承包人为实施工程所编制文件的著作权的归属：</w:t>
      </w:r>
      <w:r>
        <w:rPr>
          <w:rFonts w:hint="eastAsia" w:ascii="宋体" w:hAnsi="宋体" w:cs="宋体"/>
          <w:color w:val="auto"/>
          <w:szCs w:val="21"/>
          <w:highlight w:val="none"/>
          <w:u w:val="single"/>
        </w:rPr>
        <w:t xml:space="preserve"> 按通用合同条款1.11条执行  </w:t>
      </w:r>
      <w:r>
        <w:rPr>
          <w:rFonts w:hint="eastAsia" w:ascii="宋体" w:hAnsi="宋体" w:cs="宋体"/>
          <w:color w:val="auto"/>
          <w:szCs w:val="21"/>
          <w:highlight w:val="none"/>
        </w:rPr>
        <w:t>。</w:t>
      </w:r>
      <w:bookmarkEnd w:id="221"/>
    </w:p>
    <w:p w14:paraId="1FCD34DB">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关于承包人提供的上述文件的使用限制的要求：</w:t>
      </w:r>
      <w:r>
        <w:rPr>
          <w:rFonts w:hint="eastAsia" w:ascii="宋体" w:hAnsi="宋体" w:cs="宋体"/>
          <w:color w:val="auto"/>
          <w:szCs w:val="21"/>
          <w:highlight w:val="none"/>
          <w:u w:val="single"/>
        </w:rPr>
        <w:t xml:space="preserve">按通用合同条款1.11条执行  </w:t>
      </w:r>
      <w:r>
        <w:rPr>
          <w:rFonts w:hint="eastAsia" w:ascii="宋体" w:hAnsi="宋体" w:cs="宋体"/>
          <w:color w:val="auto"/>
          <w:szCs w:val="21"/>
          <w:highlight w:val="none"/>
        </w:rPr>
        <w:t>。</w:t>
      </w:r>
    </w:p>
    <w:p w14:paraId="1CF292C6">
      <w:pPr>
        <w:pStyle w:val="230"/>
        <w:spacing w:line="400" w:lineRule="exact"/>
        <w:ind w:firstLine="420" w:firstLineChars="200"/>
        <w:outlineLvl w:val="0"/>
        <w:rPr>
          <w:rFonts w:hint="eastAsia" w:ascii="宋体" w:hAnsi="宋体" w:cs="宋体"/>
          <w:color w:val="auto"/>
          <w:kern w:val="0"/>
          <w:szCs w:val="21"/>
          <w:highlight w:val="none"/>
        </w:rPr>
      </w:pPr>
      <w:bookmarkStart w:id="222" w:name="_Toc15053454"/>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color w:val="auto"/>
          <w:szCs w:val="21"/>
          <w:highlight w:val="none"/>
          <w:u w:val="single"/>
        </w:rPr>
        <w:t xml:space="preserve">按通用合同条款1.11条执行 </w:t>
      </w:r>
      <w:r>
        <w:rPr>
          <w:rFonts w:hint="eastAsia" w:ascii="宋体" w:hAnsi="宋体" w:cs="宋体"/>
          <w:color w:val="auto"/>
          <w:kern w:val="0"/>
          <w:szCs w:val="21"/>
          <w:highlight w:val="none"/>
        </w:rPr>
        <w:t>。</w:t>
      </w:r>
      <w:bookmarkEnd w:id="222"/>
    </w:p>
    <w:p w14:paraId="235DD675">
      <w:pPr>
        <w:pStyle w:val="7"/>
        <w:rPr>
          <w:color w:val="auto"/>
          <w:highlight w:val="none"/>
        </w:rPr>
      </w:pPr>
      <w:bookmarkStart w:id="223" w:name="_Toc389065267"/>
      <w:bookmarkStart w:id="224" w:name="_Toc373478348"/>
      <w:bookmarkStart w:id="225" w:name="_Toc78449789"/>
      <w:bookmarkStart w:id="226" w:name="_Toc267680563"/>
      <w:bookmarkStart w:id="227" w:name="_Toc407135203"/>
      <w:bookmarkStart w:id="228" w:name="_Toc373227701"/>
      <w:bookmarkStart w:id="229" w:name="_Toc1194977599"/>
      <w:r>
        <w:rPr>
          <w:color w:val="auto"/>
          <w:highlight w:val="none"/>
        </w:rPr>
        <w:t>1.13</w:t>
      </w:r>
      <w:r>
        <w:rPr>
          <w:rFonts w:hint="eastAsia" w:cs="黑体"/>
          <w:color w:val="auto"/>
          <w:highlight w:val="none"/>
        </w:rPr>
        <w:t>工程量清单错误的修正</w:t>
      </w:r>
      <w:bookmarkEnd w:id="223"/>
      <w:bookmarkEnd w:id="224"/>
      <w:bookmarkEnd w:id="225"/>
      <w:bookmarkEnd w:id="226"/>
      <w:bookmarkEnd w:id="227"/>
      <w:bookmarkEnd w:id="228"/>
      <w:bookmarkEnd w:id="229"/>
    </w:p>
    <w:p w14:paraId="0757C9A8">
      <w:pPr>
        <w:spacing w:line="400" w:lineRule="exact"/>
        <w:ind w:firstLine="420" w:firstLineChars="200"/>
        <w:rPr>
          <w:rFonts w:hint="eastAsia" w:ascii="宋体" w:hAnsi="宋体" w:cs="宋体"/>
          <w:color w:val="auto"/>
          <w:szCs w:val="21"/>
          <w:highlight w:val="none"/>
        </w:rPr>
      </w:pPr>
      <w:bookmarkStart w:id="230" w:name="_Toc389065268"/>
      <w:bookmarkStart w:id="231" w:name="_Toc78449790"/>
      <w:bookmarkStart w:id="232" w:name="_Toc351203634"/>
      <w:bookmarkStart w:id="233" w:name="_Toc373478349"/>
      <w:bookmarkStart w:id="234" w:name="_Toc143780453"/>
      <w:bookmarkStart w:id="235" w:name="_Toc407135204"/>
      <w:bookmarkStart w:id="236" w:name="_Toc373227702"/>
      <w:bookmarkStart w:id="237" w:name="_Toc1415467590"/>
      <w:r>
        <w:rPr>
          <w:rFonts w:hint="eastAsia" w:ascii="宋体" w:hAnsi="宋体" w:cs="宋体"/>
          <w:color w:val="auto"/>
          <w:szCs w:val="21"/>
          <w:highlight w:val="none"/>
        </w:rPr>
        <w:t>出现工程量清单工程量偏差时，是否调整合同价格：</w:t>
      </w:r>
      <w:r>
        <w:rPr>
          <w:rFonts w:hint="eastAsia" w:ascii="宋体" w:hAnsi="宋体" w:cs="宋体"/>
          <w:color w:val="auto"/>
          <w:highlight w:val="none"/>
          <w:u w:val="single"/>
        </w:rPr>
        <w:t xml:space="preserve">□是    </w:t>
      </w:r>
      <w:r>
        <w:rPr>
          <w:rFonts w:ascii="Segoe UI Symbol" w:hAnsi="Segoe UI Symbol" w:cs="Segoe UI Symbol"/>
          <w:color w:val="auto"/>
          <w:highlight w:val="none"/>
          <w:u w:val="single"/>
        </w:rPr>
        <w:t>☑</w:t>
      </w:r>
      <w:r>
        <w:rPr>
          <w:rFonts w:hint="eastAsia" w:ascii="宋体" w:hAnsi="宋体" w:cs="宋体"/>
          <w:color w:val="auto"/>
          <w:highlight w:val="none"/>
          <w:u w:val="single"/>
        </w:rPr>
        <w:t>否</w:t>
      </w:r>
      <w:r>
        <w:rPr>
          <w:rFonts w:hint="eastAsia" w:ascii="宋体" w:hAnsi="宋体" w:cs="宋体"/>
          <w:color w:val="auto"/>
          <w:kern w:val="0"/>
          <w:szCs w:val="21"/>
          <w:highlight w:val="none"/>
        </w:rPr>
        <w:t>。</w:t>
      </w:r>
    </w:p>
    <w:p w14:paraId="5AA2E9B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允许调整合同价格的工程量偏差范围及其调整办法：</w:t>
      </w:r>
    </w:p>
    <w:p w14:paraId="54C06EA8">
      <w:pPr>
        <w:spacing w:line="400" w:lineRule="exact"/>
        <w:ind w:firstLine="420" w:firstLineChars="200"/>
        <w:rPr>
          <w:rFonts w:hint="eastAsia" w:ascii="宋体" w:hAnsi="宋体" w:cs="宋体"/>
          <w:color w:val="auto"/>
          <w:kern w:val="0"/>
          <w:highlight w:val="none"/>
        </w:rPr>
      </w:pPr>
      <w:r>
        <w:rPr>
          <w:rFonts w:hint="eastAsia" w:ascii="宋体" w:hAnsi="宋体" w:cs="宋体"/>
          <w:color w:val="auto"/>
          <w:highlight w:val="none"/>
        </w:rPr>
        <w:t>□</w:t>
      </w:r>
      <w:r>
        <w:rPr>
          <w:rFonts w:hint="eastAsia" w:ascii="宋体" w:hAnsi="宋体" w:cs="宋体"/>
          <w:color w:val="auto"/>
          <w:highlight w:val="none"/>
          <w:u w:val="single"/>
        </w:rPr>
        <w:t xml:space="preserve"> 除严重不平衡报价外，无论分部分项工程量清单项目中的工程量变化多少均不调整                 </w:t>
      </w:r>
      <w:r>
        <w:rPr>
          <w:rFonts w:hint="eastAsia" w:ascii="宋体" w:hAnsi="宋体" w:cs="宋体"/>
          <w:color w:val="auto"/>
          <w:kern w:val="0"/>
          <w:highlight w:val="none"/>
        </w:rPr>
        <w:t>。</w:t>
      </w:r>
    </w:p>
    <w:p w14:paraId="036D3057">
      <w:pPr>
        <w:spacing w:line="400" w:lineRule="exact"/>
        <w:ind w:firstLine="420" w:firstLineChars="200"/>
        <w:rPr>
          <w:rFonts w:hint="eastAsia" w:ascii="宋体" w:hAnsi="宋体" w:cs="宋体"/>
          <w:color w:val="auto"/>
          <w:highlight w:val="none"/>
          <w:u w:val="single"/>
        </w:rPr>
      </w:pPr>
      <w:r>
        <w:rPr>
          <w:rFonts w:hint="eastAsia" w:ascii="宋体" w:hAnsi="宋体" w:cs="宋体"/>
          <w:color w:val="auto"/>
          <w:highlight w:val="none"/>
        </w:rPr>
        <w:t>□</w:t>
      </w:r>
      <w:r>
        <w:rPr>
          <w:rFonts w:hint="eastAsia" w:ascii="宋体" w:hAnsi="宋体" w:cs="宋体"/>
          <w:color w:val="auto"/>
          <w:highlight w:val="none"/>
          <w:u w:val="single"/>
        </w:rPr>
        <w:t>承包人实际完成的某单项清单项目工程量与工程量清单工程量偏差超过    %且该单项清单造价超过合同总价  %以上的，超过后增加部分工程量或减少后剩余部分工程量的综合单价按以下方法调整：                                    。</w:t>
      </w:r>
    </w:p>
    <w:p w14:paraId="448A3E04">
      <w:pPr>
        <w:pStyle w:val="6"/>
        <w:rPr>
          <w:color w:val="auto"/>
          <w:highlight w:val="none"/>
        </w:rPr>
      </w:pPr>
      <w:r>
        <w:rPr>
          <w:color w:val="auto"/>
          <w:highlight w:val="none"/>
        </w:rPr>
        <w:t>2</w:t>
      </w:r>
      <w:bookmarkStart w:id="238" w:name="_Toc296890985"/>
      <w:bookmarkStart w:id="239" w:name="_Toc297120457"/>
      <w:bookmarkStart w:id="240" w:name="_Toc296346658"/>
      <w:bookmarkStart w:id="241" w:name="_Toc296891197"/>
      <w:bookmarkStart w:id="242" w:name="_Toc296347156"/>
      <w:bookmarkStart w:id="243" w:name="_Toc292559362"/>
      <w:bookmarkStart w:id="244" w:name="_Toc296503157"/>
      <w:bookmarkStart w:id="245" w:name="_Toc292559867"/>
      <w:bookmarkStart w:id="246" w:name="_Toc297048343"/>
      <w:bookmarkStart w:id="247" w:name="_Toc296944496"/>
      <w:r>
        <w:rPr>
          <w:color w:val="auto"/>
          <w:highlight w:val="none"/>
        </w:rPr>
        <w:t xml:space="preserve">. </w:t>
      </w:r>
      <w:r>
        <w:rPr>
          <w:rFonts w:hint="eastAsia" w:hAnsi="宋体" w:cs="黑体"/>
          <w:color w:val="auto"/>
          <w:highlight w:val="none"/>
        </w:rPr>
        <w:t>发包人</w:t>
      </w:r>
      <w:bookmarkEnd w:id="230"/>
      <w:bookmarkEnd w:id="231"/>
      <w:bookmarkEnd w:id="232"/>
      <w:bookmarkEnd w:id="233"/>
      <w:bookmarkEnd w:id="234"/>
      <w:bookmarkEnd w:id="235"/>
      <w:bookmarkEnd w:id="236"/>
      <w:bookmarkEnd w:id="237"/>
    </w:p>
    <w:bookmarkEnd w:id="238"/>
    <w:bookmarkEnd w:id="239"/>
    <w:bookmarkEnd w:id="240"/>
    <w:bookmarkEnd w:id="241"/>
    <w:bookmarkEnd w:id="242"/>
    <w:bookmarkEnd w:id="243"/>
    <w:bookmarkEnd w:id="244"/>
    <w:bookmarkEnd w:id="245"/>
    <w:bookmarkEnd w:id="246"/>
    <w:bookmarkEnd w:id="247"/>
    <w:p w14:paraId="204B4891">
      <w:pPr>
        <w:pStyle w:val="7"/>
        <w:rPr>
          <w:color w:val="auto"/>
          <w:highlight w:val="none"/>
        </w:rPr>
      </w:pPr>
      <w:bookmarkStart w:id="248" w:name="_Toc407135205"/>
      <w:bookmarkStart w:id="249" w:name="_Toc373227703"/>
      <w:bookmarkStart w:id="250" w:name="_Toc78449791"/>
      <w:bookmarkStart w:id="251" w:name="_Toc971240048"/>
      <w:bookmarkStart w:id="252" w:name="_Toc373478350"/>
      <w:bookmarkStart w:id="253" w:name="_Toc389065269"/>
      <w:bookmarkStart w:id="254" w:name="_Toc547644210"/>
      <w:r>
        <w:rPr>
          <w:color w:val="auto"/>
          <w:highlight w:val="none"/>
        </w:rPr>
        <w:t xml:space="preserve">2.2 </w:t>
      </w:r>
      <w:r>
        <w:rPr>
          <w:rFonts w:hint="eastAsia" w:hAnsi="宋体" w:cs="黑体"/>
          <w:color w:val="auto"/>
          <w:highlight w:val="none"/>
        </w:rPr>
        <w:t>发包人代表</w:t>
      </w:r>
      <w:bookmarkEnd w:id="248"/>
      <w:bookmarkEnd w:id="249"/>
      <w:bookmarkEnd w:id="250"/>
      <w:bookmarkEnd w:id="251"/>
      <w:bookmarkEnd w:id="252"/>
      <w:bookmarkEnd w:id="253"/>
      <w:bookmarkEnd w:id="254"/>
    </w:p>
    <w:p w14:paraId="1A9F3384">
      <w:pPr>
        <w:spacing w:line="360" w:lineRule="auto"/>
        <w:ind w:firstLine="420" w:firstLineChars="200"/>
        <w:rPr>
          <w:color w:val="auto"/>
          <w:highlight w:val="none"/>
        </w:rPr>
      </w:pPr>
      <w:r>
        <w:rPr>
          <w:rFonts w:hint="eastAsia" w:hAnsi="宋体" w:cs="宋体"/>
          <w:color w:val="auto"/>
          <w:highlight w:val="none"/>
        </w:rPr>
        <w:t>发包人代表：</w:t>
      </w:r>
    </w:p>
    <w:p w14:paraId="50B16C62">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5F27B5A">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B3201F9">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0A3C3D6">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599D91">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307C2E3">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BFB9090">
      <w:pPr>
        <w:pStyle w:val="227"/>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rFonts w:hint="eastAsia" w:hAnsi="宋体"/>
          <w:color w:val="auto"/>
          <w:szCs w:val="21"/>
          <w:highlight w:val="none"/>
          <w:u w:val="single"/>
        </w:rPr>
        <w:t>督促指导监理工程师行使权，协调施工现场各方面的关系，协调工程质量，进度和安全文明施工中存在的问题，解决有关设计和技术签证，办理、签认现场经济技术签证，审核工程进度报表。</w:t>
      </w:r>
    </w:p>
    <w:p w14:paraId="016BE6D0">
      <w:pPr>
        <w:pStyle w:val="7"/>
        <w:rPr>
          <w:color w:val="auto"/>
          <w:highlight w:val="none"/>
        </w:rPr>
      </w:pPr>
      <w:bookmarkStart w:id="255" w:name="_Toc407135206"/>
      <w:bookmarkStart w:id="256" w:name="_Toc389065270"/>
      <w:bookmarkStart w:id="257" w:name="_Toc78449792"/>
      <w:bookmarkStart w:id="258" w:name="_Toc373227704"/>
      <w:bookmarkStart w:id="259" w:name="_Toc373478351"/>
      <w:bookmarkStart w:id="260" w:name="_Toc2066513957"/>
      <w:bookmarkStart w:id="261" w:name="_Toc2077499244"/>
      <w:r>
        <w:rPr>
          <w:color w:val="auto"/>
          <w:highlight w:val="none"/>
        </w:rPr>
        <w:t xml:space="preserve">2.4 </w:t>
      </w:r>
      <w:r>
        <w:rPr>
          <w:rFonts w:hint="eastAsia" w:cs="黑体"/>
          <w:color w:val="auto"/>
          <w:highlight w:val="none"/>
        </w:rPr>
        <w:t>施工现场、施工条件和基础资料的提供</w:t>
      </w:r>
      <w:bookmarkEnd w:id="255"/>
      <w:bookmarkEnd w:id="256"/>
      <w:bookmarkEnd w:id="257"/>
      <w:bookmarkEnd w:id="258"/>
      <w:bookmarkEnd w:id="259"/>
      <w:bookmarkEnd w:id="260"/>
      <w:bookmarkEnd w:id="261"/>
    </w:p>
    <w:p w14:paraId="63B28E59">
      <w:pPr>
        <w:pStyle w:val="230"/>
        <w:spacing w:line="400" w:lineRule="exact"/>
        <w:ind w:firstLine="420" w:firstLineChars="200"/>
        <w:rPr>
          <w:rFonts w:hint="eastAsia" w:ascii="宋体" w:hAnsi="宋体" w:cs="宋体"/>
          <w:color w:val="auto"/>
          <w:szCs w:val="21"/>
          <w:highlight w:val="none"/>
        </w:rPr>
      </w:pPr>
      <w:bookmarkStart w:id="262" w:name="_Toc78449793"/>
      <w:bookmarkStart w:id="263" w:name="_Toc407135207"/>
      <w:bookmarkStart w:id="264" w:name="_Toc672429943"/>
      <w:bookmarkStart w:id="265" w:name="_Toc1238195908"/>
      <w:bookmarkStart w:id="266" w:name="_Toc389065271"/>
      <w:bookmarkStart w:id="267" w:name="_Toc373227705"/>
      <w:bookmarkStart w:id="268" w:name="_Toc373478352"/>
      <w:r>
        <w:rPr>
          <w:rFonts w:hint="eastAsia" w:ascii="宋体" w:hAnsi="宋体" w:cs="宋体"/>
          <w:color w:val="auto"/>
          <w:szCs w:val="21"/>
          <w:highlight w:val="none"/>
        </w:rPr>
        <w:t>2.4.1 提供施工现场</w:t>
      </w:r>
    </w:p>
    <w:p w14:paraId="00FE4EF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color w:val="auto"/>
          <w:szCs w:val="21"/>
          <w:highlight w:val="none"/>
          <w:u w:val="single"/>
        </w:rPr>
        <w:t xml:space="preserve">开工前7天   </w:t>
      </w:r>
      <w:r>
        <w:rPr>
          <w:rFonts w:hint="eastAsia" w:ascii="宋体" w:hAnsi="宋体" w:cs="宋体"/>
          <w:color w:val="auto"/>
          <w:szCs w:val="21"/>
          <w:highlight w:val="none"/>
        </w:rPr>
        <w:t>。</w:t>
      </w:r>
    </w:p>
    <w:p w14:paraId="49DF3B97">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3DEA9F67">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关于发包人应负责提供施工所需要的条件，包括：</w:t>
      </w:r>
      <w:r>
        <w:rPr>
          <w:rFonts w:hint="eastAsia" w:ascii="宋体" w:hAnsi="宋体" w:cs="宋体"/>
          <w:color w:val="auto"/>
          <w:szCs w:val="21"/>
          <w:highlight w:val="none"/>
          <w:u w:val="single"/>
        </w:rPr>
        <w:t>（1）将施工所需用的水、电线路接至施工场地的时间、地点和供应要求： 按现状提供按入点，由承包人根据施工需要布线.费用由承包人承担,施工水电的使用费用由承包人承担。</w:t>
      </w:r>
    </w:p>
    <w:p w14:paraId="4FABB8BD">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（2）施工场地与公共道路的通道开通时间和要求：按现状道路提供，施工中出现非承包方原因的阻障，由承包方负责协调解决。</w:t>
      </w:r>
    </w:p>
    <w:p w14:paraId="5B62B65B">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（3）工程地质和地下管线资料的提供时间： 开工前7天，随施工图一起配套提供给承包人，并对资料的真实性、准确性负责。</w:t>
      </w:r>
    </w:p>
    <w:p w14:paraId="3220A493">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（4）由发包人办理的施工所需证件、，费用由发包人承担。</w:t>
      </w:r>
    </w:p>
    <w:p w14:paraId="4D0796A2">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（5）水准点与坐标控制点交验要求： 开工前7天发包人以书面形式交给承包人，并通知承包人，双方在现场进行交验，同时做好交验记录。</w:t>
      </w:r>
    </w:p>
    <w:p w14:paraId="50CF9407">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（6）图纸会审和设计交底时间： 开工前7天，由发包人组织承包人和设计单位进行图纸会审和设计交底。</w:t>
      </w:r>
    </w:p>
    <w:p w14:paraId="101F0C77">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（7）协调处理施工场地周围地下管线和邻近建筑物、构筑物（含文物保护建筑）、古树名木的保护工作：按通用合同条款执行。若因地下管线，障碍物影响造成的费用增加及施工损失，由发包人承担。</w:t>
      </w:r>
    </w:p>
    <w:p w14:paraId="43FA8EA0">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（8）双方约定发包人应做的其他工作：                 。</w:t>
      </w:r>
    </w:p>
    <w:p w14:paraId="5440840F">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（9）发包人委托承包人办理的工作： 配合、协助办理项目施工所需相关手续，各付相关费用。</w:t>
      </w:r>
    </w:p>
    <w:bookmarkEnd w:id="262"/>
    <w:bookmarkEnd w:id="263"/>
    <w:bookmarkEnd w:id="264"/>
    <w:bookmarkEnd w:id="265"/>
    <w:bookmarkEnd w:id="266"/>
    <w:bookmarkEnd w:id="267"/>
    <w:bookmarkEnd w:id="268"/>
    <w:p w14:paraId="0EEF88D8">
      <w:pPr>
        <w:pStyle w:val="6"/>
        <w:rPr>
          <w:color w:val="auto"/>
          <w:highlight w:val="none"/>
        </w:rPr>
      </w:pPr>
      <w:bookmarkStart w:id="269" w:name="_Toc407135208"/>
      <w:bookmarkStart w:id="270" w:name="_Toc373478353"/>
      <w:bookmarkStart w:id="271" w:name="_Toc389065272"/>
      <w:bookmarkStart w:id="272" w:name="_Toc78449794"/>
      <w:bookmarkStart w:id="273" w:name="_Toc373227706"/>
      <w:bookmarkStart w:id="274" w:name="_Toc351203635"/>
      <w:bookmarkStart w:id="275" w:name="_Toc1181400362"/>
      <w:bookmarkStart w:id="276" w:name="_Toc729657770"/>
      <w:r>
        <w:rPr>
          <w:color w:val="auto"/>
          <w:highlight w:val="none"/>
        </w:rPr>
        <w:t>3</w:t>
      </w:r>
      <w:bookmarkStart w:id="277" w:name="_Toc296346659"/>
      <w:bookmarkStart w:id="278" w:name="_Toc296890986"/>
      <w:bookmarkStart w:id="279" w:name="_Toc292559868"/>
      <w:bookmarkStart w:id="280" w:name="_Toc297120458"/>
      <w:bookmarkStart w:id="281" w:name="_Toc296503158"/>
      <w:bookmarkStart w:id="282" w:name="_Toc296944497"/>
      <w:bookmarkStart w:id="283" w:name="_Toc292559363"/>
      <w:bookmarkStart w:id="284" w:name="_Toc297048344"/>
      <w:bookmarkStart w:id="285" w:name="_Toc296891198"/>
      <w:bookmarkStart w:id="286" w:name="_Toc296347157"/>
      <w:r>
        <w:rPr>
          <w:color w:val="auto"/>
          <w:highlight w:val="none"/>
        </w:rPr>
        <w:t xml:space="preserve">. </w:t>
      </w:r>
      <w:r>
        <w:rPr>
          <w:rFonts w:hint="eastAsia" w:hAnsi="宋体" w:cs="黑体"/>
          <w:color w:val="auto"/>
          <w:highlight w:val="none"/>
        </w:rPr>
        <w:t>承包人</w:t>
      </w:r>
      <w:bookmarkEnd w:id="269"/>
      <w:bookmarkEnd w:id="270"/>
      <w:bookmarkEnd w:id="271"/>
      <w:bookmarkEnd w:id="272"/>
      <w:bookmarkEnd w:id="273"/>
      <w:bookmarkEnd w:id="274"/>
      <w:bookmarkEnd w:id="275"/>
      <w:bookmarkEnd w:id="276"/>
    </w:p>
    <w:bookmarkEnd w:id="277"/>
    <w:bookmarkEnd w:id="278"/>
    <w:bookmarkEnd w:id="279"/>
    <w:bookmarkEnd w:id="280"/>
    <w:bookmarkEnd w:id="281"/>
    <w:bookmarkEnd w:id="282"/>
    <w:bookmarkEnd w:id="283"/>
    <w:bookmarkEnd w:id="284"/>
    <w:bookmarkEnd w:id="285"/>
    <w:bookmarkEnd w:id="286"/>
    <w:p w14:paraId="4DA81480">
      <w:pPr>
        <w:pStyle w:val="7"/>
        <w:rPr>
          <w:color w:val="auto"/>
          <w:highlight w:val="none"/>
        </w:rPr>
      </w:pPr>
      <w:bookmarkStart w:id="287" w:name="_Toc407135209"/>
      <w:bookmarkStart w:id="288" w:name="_Toc389065273"/>
      <w:bookmarkStart w:id="289" w:name="_Toc962678435"/>
      <w:bookmarkStart w:id="290" w:name="_Toc78449795"/>
      <w:bookmarkStart w:id="291" w:name="_Toc373227707"/>
      <w:bookmarkStart w:id="292" w:name="_Toc1642190822"/>
      <w:bookmarkStart w:id="293" w:name="_Toc373478354"/>
      <w:r>
        <w:rPr>
          <w:color w:val="auto"/>
          <w:highlight w:val="none"/>
        </w:rPr>
        <w:t xml:space="preserve">3.1 </w:t>
      </w:r>
      <w:r>
        <w:rPr>
          <w:rFonts w:hint="eastAsia" w:cs="黑体"/>
          <w:color w:val="auto"/>
          <w:highlight w:val="none"/>
        </w:rPr>
        <w:t>承包人的一般义务</w:t>
      </w:r>
      <w:bookmarkEnd w:id="287"/>
      <w:bookmarkEnd w:id="288"/>
      <w:bookmarkEnd w:id="289"/>
      <w:bookmarkEnd w:id="290"/>
      <w:bookmarkEnd w:id="291"/>
      <w:bookmarkEnd w:id="292"/>
      <w:bookmarkEnd w:id="293"/>
    </w:p>
    <w:p w14:paraId="351BE210">
      <w:pPr>
        <w:pStyle w:val="230"/>
        <w:spacing w:line="400" w:lineRule="exact"/>
        <w:ind w:firstLine="420" w:firstLineChars="200"/>
        <w:jc w:val="left"/>
        <w:rPr>
          <w:rFonts w:hint="eastAsia" w:ascii="宋体" w:hAnsi="宋体" w:cs="宋体"/>
          <w:color w:val="auto"/>
          <w:szCs w:val="21"/>
          <w:highlight w:val="none"/>
        </w:rPr>
      </w:pPr>
      <w:bookmarkStart w:id="294" w:name="_Toc407135210"/>
      <w:bookmarkStart w:id="295" w:name="_Toc501741485"/>
      <w:bookmarkStart w:id="296" w:name="_Toc1659520837"/>
      <w:bookmarkStart w:id="297" w:name="_Toc373478355"/>
      <w:bookmarkStart w:id="298" w:name="_Toc78449796"/>
      <w:bookmarkStart w:id="299" w:name="_Toc373227708"/>
      <w:bookmarkStart w:id="300" w:name="_Toc389065274"/>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rPr>
        <w:t xml:space="preserve">  按竣工验收规范要求，提交相关竣工资料  </w:t>
      </w:r>
      <w:r>
        <w:rPr>
          <w:rFonts w:hint="eastAsia" w:ascii="宋体" w:hAnsi="宋体" w:cs="宋体"/>
          <w:color w:val="auto"/>
          <w:szCs w:val="21"/>
          <w:highlight w:val="none"/>
        </w:rPr>
        <w:t>。</w:t>
      </w:r>
    </w:p>
    <w:p w14:paraId="5C20F9D2">
      <w:pPr>
        <w:pStyle w:val="230"/>
        <w:spacing w:line="40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承包人需要向发包人提交的竣工资料套数：</w:t>
      </w:r>
      <w:r>
        <w:rPr>
          <w:rFonts w:hint="eastAsia" w:ascii="宋体" w:hAnsi="宋体" w:cs="宋体"/>
          <w:color w:val="auto"/>
          <w:szCs w:val="21"/>
          <w:highlight w:val="none"/>
          <w:u w:val="single"/>
        </w:rPr>
        <w:t xml:space="preserve">   一式</w:t>
      </w:r>
      <w:r>
        <w:rPr>
          <w:rFonts w:hint="eastAsia" w:ascii="宋体" w:hAnsi="宋体" w:cs="宋体"/>
          <w:color w:val="auto"/>
          <w:szCs w:val="21"/>
          <w:highlight w:val="none"/>
          <w:u w:val="single"/>
          <w:lang w:val="en-US" w:eastAsia="zh-CN"/>
        </w:rPr>
        <w:t>三</w:t>
      </w:r>
      <w:r>
        <w:rPr>
          <w:rFonts w:hint="eastAsia" w:ascii="宋体" w:hAnsi="宋体" w:cs="宋体"/>
          <w:color w:val="auto"/>
          <w:szCs w:val="21"/>
          <w:highlight w:val="none"/>
          <w:u w:val="single"/>
        </w:rPr>
        <w:t xml:space="preserve">套    </w:t>
      </w:r>
      <w:r>
        <w:rPr>
          <w:rFonts w:hint="eastAsia" w:ascii="宋体" w:hAnsi="宋体" w:cs="宋体"/>
          <w:color w:val="auto"/>
          <w:szCs w:val="21"/>
          <w:highlight w:val="none"/>
        </w:rPr>
        <w:t>。</w:t>
      </w:r>
    </w:p>
    <w:p w14:paraId="1661F389">
      <w:pPr>
        <w:pStyle w:val="230"/>
        <w:spacing w:line="400" w:lineRule="exact"/>
        <w:ind w:left="638" w:leftChars="304"/>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承包人提交的竣工资料的费用承担：</w:t>
      </w:r>
      <w:r>
        <w:rPr>
          <w:rFonts w:hint="eastAsia" w:ascii="宋体" w:hAnsi="宋体" w:cs="宋体"/>
          <w:color w:val="auto"/>
          <w:szCs w:val="21"/>
          <w:highlight w:val="none"/>
          <w:u w:val="single"/>
        </w:rPr>
        <w:t xml:space="preserve">   由承包人承担     </w:t>
      </w:r>
      <w:r>
        <w:rPr>
          <w:rFonts w:hint="eastAsia" w:ascii="宋体" w:hAnsi="宋体" w:cs="宋体"/>
          <w:color w:val="auto"/>
          <w:szCs w:val="21"/>
          <w:highlight w:val="none"/>
        </w:rPr>
        <w:t>。</w:t>
      </w:r>
    </w:p>
    <w:p w14:paraId="6B3FAC36">
      <w:pPr>
        <w:pStyle w:val="230"/>
        <w:spacing w:line="400" w:lineRule="exact"/>
        <w:ind w:left="638" w:leftChars="304"/>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承包人提交的竣工资料移交时间：</w:t>
      </w:r>
      <w:r>
        <w:rPr>
          <w:rFonts w:hint="eastAsia" w:ascii="宋体" w:hAnsi="宋体" w:cs="宋体"/>
          <w:color w:val="auto"/>
          <w:szCs w:val="21"/>
          <w:highlight w:val="none"/>
          <w:u w:val="single"/>
        </w:rPr>
        <w:t>竣工验收正式通过后15天</w:t>
      </w:r>
      <w:r>
        <w:rPr>
          <w:rFonts w:hint="eastAsia" w:ascii="宋体" w:hAnsi="宋体" w:cs="宋体"/>
          <w:color w:val="auto"/>
          <w:szCs w:val="21"/>
          <w:highlight w:val="none"/>
        </w:rPr>
        <w:t>。</w:t>
      </w:r>
    </w:p>
    <w:p w14:paraId="531549C4">
      <w:pPr>
        <w:pStyle w:val="230"/>
        <w:spacing w:line="40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 xml:space="preserve">  </w:t>
      </w:r>
      <w:r>
        <w:rPr>
          <w:rFonts w:hint="eastAsia" w:ascii="新宋体" w:hAnsi="新宋体" w:eastAsia="新宋体" w:cs="新宋体"/>
          <w:color w:val="auto"/>
          <w:spacing w:val="2"/>
          <w:szCs w:val="21"/>
          <w:highlight w:val="none"/>
          <w:u w:val="single"/>
        </w:rPr>
        <w:t>纸质文档装订成册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3B4771E">
      <w:pPr>
        <w:pStyle w:val="227"/>
        <w:spacing w:line="360" w:lineRule="auto"/>
        <w:ind w:firstLine="420" w:firstLineChars="200"/>
        <w:jc w:val="left"/>
        <w:rPr>
          <w:color w:val="auto"/>
          <w:szCs w:val="21"/>
          <w:highlight w:val="none"/>
        </w:rPr>
      </w:pPr>
    </w:p>
    <w:p w14:paraId="047F4DBB">
      <w:pPr>
        <w:pStyle w:val="227"/>
        <w:spacing w:line="360" w:lineRule="auto"/>
        <w:ind w:firstLine="420" w:firstLineChars="200"/>
        <w:rPr>
          <w:color w:val="auto"/>
          <w:kern w:val="0"/>
          <w:szCs w:val="21"/>
          <w:highlight w:val="none"/>
        </w:rPr>
      </w:pPr>
      <w:r>
        <w:rPr>
          <w:rFonts w:hint="eastAsia" w:hAnsi="宋体"/>
          <w:color w:val="auto"/>
          <w:kern w:val="0"/>
          <w:szCs w:val="21"/>
          <w:highlight w:val="none"/>
        </w:rPr>
        <w:t>（</w:t>
      </w:r>
      <w:r>
        <w:rPr>
          <w:color w:val="auto"/>
          <w:kern w:val="0"/>
          <w:szCs w:val="21"/>
          <w:highlight w:val="none"/>
        </w:rPr>
        <w:t>10</w:t>
      </w:r>
      <w:r>
        <w:rPr>
          <w:rFonts w:hint="eastAsia" w:hAnsi="宋体"/>
          <w:color w:val="auto"/>
          <w:kern w:val="0"/>
          <w:szCs w:val="21"/>
          <w:highlight w:val="none"/>
        </w:rPr>
        <w:t>）承包人应履行的其他义务：</w:t>
      </w:r>
    </w:p>
    <w:p w14:paraId="56713E68">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承包人应负责提供完成合同工作所需的劳务、材料、施工设备、工程设备和其他物品，并按合同约定负责临时设施的设计、建造、运行、维护、管理和拆除   </w:t>
      </w:r>
      <w:r>
        <w:rPr>
          <w:rFonts w:hint="eastAsia" w:ascii="宋体" w:hAnsi="宋体" w:cs="宋体"/>
          <w:color w:val="auto"/>
          <w:szCs w:val="21"/>
          <w:highlight w:val="none"/>
        </w:rPr>
        <w:t>。</w:t>
      </w:r>
    </w:p>
    <w:p w14:paraId="79EBAB2E">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按照《中华人民共和国工会法》、《国务院关于进一步做好为农民工服务工作的意见》（国发〔2014〕40号）、《中华全国总工会关于深入贯彻落实&lt;国务院关于进一步做好为农民工服务工作的意见&gt;的实施意见》（总工发〔2015〕14号）有关要求，深入开展“农民工入会集中行动”。</w:t>
      </w:r>
    </w:p>
    <w:p w14:paraId="0D0C745E">
      <w:pPr>
        <w:pStyle w:val="7"/>
        <w:rPr>
          <w:color w:val="auto"/>
          <w:highlight w:val="none"/>
        </w:rPr>
      </w:pPr>
      <w:r>
        <w:rPr>
          <w:color w:val="auto"/>
          <w:highlight w:val="none"/>
        </w:rPr>
        <w:t xml:space="preserve">3.2 </w:t>
      </w:r>
      <w:r>
        <w:rPr>
          <w:rFonts w:hint="eastAsia" w:hAnsi="宋体" w:cs="黑体"/>
          <w:color w:val="auto"/>
          <w:highlight w:val="none"/>
        </w:rPr>
        <w:t>项目经理</w:t>
      </w:r>
      <w:bookmarkEnd w:id="294"/>
      <w:bookmarkEnd w:id="295"/>
      <w:bookmarkEnd w:id="296"/>
      <w:bookmarkEnd w:id="297"/>
      <w:bookmarkEnd w:id="298"/>
      <w:bookmarkEnd w:id="299"/>
      <w:bookmarkEnd w:id="300"/>
    </w:p>
    <w:p w14:paraId="241C1C16">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41F7F05B">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A1E273F">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1505DEF">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8E5DCD6">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6FD95BC">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9B85326">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02251FD">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16D072">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771F773">
      <w:pPr>
        <w:pStyle w:val="227"/>
        <w:spacing w:line="360" w:lineRule="auto"/>
        <w:ind w:firstLine="420" w:firstLineChars="200"/>
        <w:rPr>
          <w:color w:val="auto"/>
          <w:szCs w:val="21"/>
          <w:highlight w:val="none"/>
        </w:rPr>
      </w:pPr>
      <w:r>
        <w:rPr>
          <w:rFonts w:hint="eastAsia" w:hAnsi="宋体"/>
          <w:color w:val="auto"/>
          <w:szCs w:val="21"/>
          <w:highlight w:val="none"/>
        </w:rPr>
        <w:t>承包人对项目经理的授权范围如下：</w:t>
      </w:r>
      <w:r>
        <w:rPr>
          <w:rFonts w:hint="eastAsia" w:ascii="宋体" w:hAnsi="宋体"/>
          <w:color w:val="auto"/>
          <w:szCs w:val="21"/>
          <w:highlight w:val="none"/>
          <w:u w:val="single"/>
        </w:rPr>
        <w:t>执行通用条款</w:t>
      </w:r>
      <w:r>
        <w:rPr>
          <w:rFonts w:hint="eastAsia" w:hAnsi="宋体"/>
          <w:color w:val="auto"/>
          <w:szCs w:val="21"/>
          <w:highlight w:val="none"/>
        </w:rPr>
        <w:t>。</w:t>
      </w:r>
    </w:p>
    <w:p w14:paraId="05A064D7">
      <w:pPr>
        <w:pStyle w:val="227"/>
        <w:spacing w:line="360" w:lineRule="auto"/>
        <w:ind w:firstLine="420" w:firstLineChars="200"/>
        <w:jc w:val="left"/>
        <w:rPr>
          <w:color w:val="auto"/>
          <w:kern w:val="0"/>
          <w:szCs w:val="21"/>
          <w:highlight w:val="none"/>
        </w:rPr>
      </w:pPr>
      <w:r>
        <w:rPr>
          <w:rFonts w:hint="eastAsia" w:hAnsi="宋体"/>
          <w:color w:val="auto"/>
          <w:kern w:val="0"/>
          <w:szCs w:val="21"/>
          <w:highlight w:val="none"/>
        </w:rPr>
        <w:t>关于项目经理每月在施工现场的时间要求：</w:t>
      </w:r>
      <w:r>
        <w:rPr>
          <w:rFonts w:hint="eastAsia" w:ascii="新宋体" w:hAnsi="新宋体" w:eastAsia="新宋体" w:cs="新宋体"/>
          <w:color w:val="auto"/>
          <w:szCs w:val="21"/>
          <w:highlight w:val="none"/>
          <w:u w:val="single"/>
        </w:rPr>
        <w:t>项目经理应常驻现场，每月在现场工作时间应不少于</w:t>
      </w:r>
      <w:r>
        <w:rPr>
          <w:rFonts w:hint="eastAsia" w:ascii="宋体" w:hAnsi="宋体" w:cs="宋体"/>
          <w:color w:val="auto"/>
          <w:szCs w:val="21"/>
          <w:highlight w:val="none"/>
          <w:u w:val="single"/>
        </w:rPr>
        <w:t>当月施工时间</w:t>
      </w:r>
      <w:r>
        <w:rPr>
          <w:rFonts w:hint="eastAsia" w:ascii="宋体" w:hAnsi="宋体" w:cs="宋体"/>
          <w:color w:val="auto"/>
          <w:szCs w:val="21"/>
          <w:highlight w:val="none"/>
          <w:u w:val="single"/>
          <w:lang w:eastAsia="zh-CN"/>
        </w:rPr>
        <w:t>的</w:t>
      </w:r>
      <w:r>
        <w:rPr>
          <w:rFonts w:hint="eastAsia" w:ascii="宋体" w:hAnsi="宋体" w:cs="宋体"/>
          <w:color w:val="auto"/>
          <w:szCs w:val="21"/>
          <w:highlight w:val="none"/>
          <w:u w:val="single"/>
        </w:rPr>
        <w:t>80%</w:t>
      </w:r>
      <w:r>
        <w:rPr>
          <w:rFonts w:hint="eastAsia" w:hAnsi="宋体"/>
          <w:color w:val="auto"/>
          <w:szCs w:val="21"/>
          <w:highlight w:val="none"/>
        </w:rPr>
        <w:t>。</w:t>
      </w:r>
    </w:p>
    <w:p w14:paraId="0EFEF859">
      <w:pPr>
        <w:pStyle w:val="23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 xml:space="preserve">由承包人负责    </w:t>
      </w:r>
      <w:r>
        <w:rPr>
          <w:rFonts w:hint="eastAsia" w:ascii="宋体" w:hAnsi="宋体" w:cs="宋体"/>
          <w:color w:val="auto"/>
          <w:szCs w:val="21"/>
          <w:highlight w:val="none"/>
        </w:rPr>
        <w:t>。</w:t>
      </w:r>
    </w:p>
    <w:p w14:paraId="1BD8FECF">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 xml:space="preserve"> 项目经理每月在岗带班时间不得少于当月施工时间的80%。未经发包人同意或正当理由，项目经理每月在岗带班时间少于当月施工时间80%的，少在岗带班一天，发包人有权处违约金 1000元/日（人民币）。</w:t>
      </w:r>
    </w:p>
    <w:p w14:paraId="28AA28DF">
      <w:pPr>
        <w:spacing w:line="360" w:lineRule="auto"/>
        <w:ind w:firstLine="420" w:firstLineChars="200"/>
        <w:rPr>
          <w:color w:val="auto"/>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承包人项目经理必须与承包人竞标时所承诺的人员一致，并在  （开工日期）  前到任。在监理人向承包人颁发    （竣工证明材料名称）    前，项目经理不得同时兼任其他任何项目的项目经理（符合桂建管﹝2013﹞17号和桂建管﹝2014﹞25号文除外）。未经发包人书面同意，承包人擅自更换项目经理的视为违约，</w:t>
      </w:r>
      <w:r>
        <w:rPr>
          <w:color w:val="auto"/>
          <w:highlight w:val="none"/>
        </w:rPr>
        <w:t>违约金处</w:t>
      </w:r>
      <w:r>
        <w:rPr>
          <w:rFonts w:hint="eastAsia"/>
          <w:color w:val="auto"/>
          <w:highlight w:val="none"/>
        </w:rPr>
        <w:t>5000</w:t>
      </w:r>
      <w:r>
        <w:rPr>
          <w:color w:val="auto"/>
          <w:highlight w:val="none"/>
          <w:u w:val="single"/>
        </w:rPr>
        <w:t xml:space="preserve"> </w:t>
      </w:r>
      <w:r>
        <w:rPr>
          <w:color w:val="auto"/>
          <w:highlight w:val="none"/>
        </w:rPr>
        <w:t>元/人•次（人民币）</w:t>
      </w:r>
      <w:r>
        <w:rPr>
          <w:rFonts w:hint="eastAsia" w:ascii="宋体" w:hAnsi="宋体" w:cs="宋体"/>
          <w:color w:val="auto"/>
          <w:szCs w:val="21"/>
          <w:highlight w:val="none"/>
        </w:rPr>
        <w:t>。</w:t>
      </w: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rPr>
        <w:t>5000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2186913C">
      <w:pPr>
        <w:pStyle w:val="7"/>
        <w:rPr>
          <w:color w:val="auto"/>
          <w:highlight w:val="none"/>
        </w:rPr>
      </w:pPr>
      <w:bookmarkStart w:id="301" w:name="_Toc78449797"/>
      <w:bookmarkStart w:id="302" w:name="_Toc373478356"/>
      <w:bookmarkStart w:id="303" w:name="_Toc389065275"/>
      <w:bookmarkStart w:id="304" w:name="_Toc373227709"/>
      <w:bookmarkStart w:id="305" w:name="_Toc407135211"/>
      <w:bookmarkStart w:id="306" w:name="_Toc747710271"/>
      <w:bookmarkStart w:id="307" w:name="_Toc1443830486"/>
      <w:r>
        <w:rPr>
          <w:color w:val="auto"/>
          <w:highlight w:val="none"/>
        </w:rPr>
        <w:t xml:space="preserve">3.3 </w:t>
      </w:r>
      <w:r>
        <w:rPr>
          <w:rFonts w:hint="eastAsia" w:hAnsi="宋体" w:cs="黑体"/>
          <w:color w:val="auto"/>
          <w:highlight w:val="none"/>
        </w:rPr>
        <w:t>承包人人员</w:t>
      </w:r>
      <w:bookmarkEnd w:id="301"/>
      <w:bookmarkEnd w:id="302"/>
      <w:bookmarkEnd w:id="303"/>
      <w:bookmarkEnd w:id="304"/>
      <w:bookmarkEnd w:id="305"/>
      <w:bookmarkEnd w:id="306"/>
      <w:bookmarkEnd w:id="307"/>
    </w:p>
    <w:p w14:paraId="57BD73F2">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承包人提交项目管理机构及施工现场管理人员安排报告的期限：</w:t>
      </w:r>
      <w:r>
        <w:rPr>
          <w:rFonts w:hint="eastAsia" w:ascii="宋体" w:hAnsi="宋体" w:cs="宋体"/>
          <w:color w:val="auto"/>
          <w:szCs w:val="21"/>
          <w:highlight w:val="none"/>
          <w:u w:val="single"/>
        </w:rPr>
        <w:t xml:space="preserve">  开工前7天内   </w:t>
      </w:r>
      <w:r>
        <w:rPr>
          <w:rFonts w:hint="eastAsia" w:ascii="宋体" w:hAnsi="宋体" w:cs="宋体"/>
          <w:color w:val="auto"/>
          <w:szCs w:val="21"/>
          <w:highlight w:val="none"/>
        </w:rPr>
        <w:t>。</w:t>
      </w:r>
    </w:p>
    <w:p w14:paraId="331FF801">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3.3.2 承包人无正当理由拒绝撤换主要施工管理人员的违约责任：</w:t>
      </w:r>
      <w:r>
        <w:rPr>
          <w:rFonts w:hint="eastAsia" w:ascii="宋体" w:hAnsi="宋体" w:cs="宋体"/>
          <w:color w:val="auto"/>
          <w:szCs w:val="21"/>
          <w:highlight w:val="none"/>
          <w:u w:val="single"/>
        </w:rPr>
        <w:t xml:space="preserve">  因承包人主要施工管理人员不称职，发包人要求调换而无正当理由拒绝撤换或未及时调换的，视为承包人违约，必须向发包人交纳处罚金，处罚标准：技术负责人500元/人•次（人民币）；专业工程师500元/人•次（人民币）  </w:t>
      </w:r>
      <w:r>
        <w:rPr>
          <w:rFonts w:hint="eastAsia" w:ascii="宋体" w:hAnsi="宋体" w:cs="宋体"/>
          <w:color w:val="auto"/>
          <w:szCs w:val="21"/>
          <w:highlight w:val="none"/>
        </w:rPr>
        <w:t>。</w:t>
      </w:r>
    </w:p>
    <w:p w14:paraId="41515083">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3.3.4 承包人主要施工管理人员离开施工现场的批准要求：   </w:t>
      </w:r>
      <w:r>
        <w:rPr>
          <w:rFonts w:hint="eastAsia" w:ascii="宋体" w:hAnsi="宋体" w:cs="宋体"/>
          <w:color w:val="auto"/>
          <w:szCs w:val="21"/>
          <w:highlight w:val="none"/>
          <w:u w:val="single"/>
        </w:rPr>
        <w:t xml:space="preserve">  应取得监理或发包人许可   </w:t>
      </w:r>
      <w:r>
        <w:rPr>
          <w:rFonts w:hint="eastAsia" w:ascii="宋体" w:hAnsi="宋体" w:cs="宋体"/>
          <w:color w:val="auto"/>
          <w:szCs w:val="21"/>
          <w:highlight w:val="none"/>
        </w:rPr>
        <w:t>。</w:t>
      </w:r>
    </w:p>
    <w:p w14:paraId="54A66E85">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w:t>
      </w:r>
      <w:r>
        <w:rPr>
          <w:rFonts w:hint="eastAsia" w:ascii="宋体" w:hAnsi="宋体" w:cs="宋体"/>
          <w:color w:val="auto"/>
          <w:szCs w:val="21"/>
          <w:highlight w:val="none"/>
        </w:rPr>
        <w:t>。</w:t>
      </w:r>
    </w:p>
    <w:p w14:paraId="483F4234">
      <w:pPr>
        <w:pStyle w:val="23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承包人主要施工管理人员擅自离开施工现场的违约责任：发现擅自离场罚款1000</w:t>
      </w:r>
      <w:r>
        <w:rPr>
          <w:rFonts w:hint="eastAsia" w:ascii="宋体" w:hAnsi="宋体" w:cs="宋体"/>
          <w:color w:val="auto"/>
          <w:szCs w:val="21"/>
          <w:highlight w:val="none"/>
          <w:u w:val="single"/>
        </w:rPr>
        <w:t>元/人•次（人民币）</w:t>
      </w:r>
      <w:r>
        <w:rPr>
          <w:rFonts w:hint="eastAsia" w:ascii="宋体" w:hAnsi="宋体" w:cs="宋体"/>
          <w:color w:val="auto"/>
          <w:szCs w:val="21"/>
          <w:highlight w:val="none"/>
        </w:rPr>
        <w:t>，每月按30日计。</w:t>
      </w:r>
    </w:p>
    <w:p w14:paraId="6A4B1087">
      <w:pPr>
        <w:pStyle w:val="7"/>
        <w:rPr>
          <w:color w:val="auto"/>
          <w:highlight w:val="none"/>
        </w:rPr>
      </w:pPr>
      <w:bookmarkStart w:id="308" w:name="_Toc407135212"/>
      <w:bookmarkStart w:id="309" w:name="_Toc373478357"/>
      <w:bookmarkStart w:id="310" w:name="_Toc2066279184"/>
      <w:bookmarkStart w:id="311" w:name="_Toc389065276"/>
      <w:bookmarkStart w:id="312" w:name="_Toc78449798"/>
      <w:bookmarkStart w:id="313" w:name="_Toc373227710"/>
      <w:bookmarkStart w:id="314" w:name="_Toc2025600126"/>
      <w:r>
        <w:rPr>
          <w:color w:val="auto"/>
          <w:highlight w:val="none"/>
        </w:rPr>
        <w:t>3</w:t>
      </w:r>
      <w:bookmarkStart w:id="315" w:name="_Toc296890987"/>
      <w:bookmarkStart w:id="316" w:name="_Toc292559364"/>
      <w:bookmarkStart w:id="317" w:name="_Toc297120459"/>
      <w:bookmarkStart w:id="318" w:name="_Toc297123492"/>
      <w:bookmarkStart w:id="319" w:name="_Toc297048345"/>
      <w:bookmarkStart w:id="320" w:name="_Toc296347158"/>
      <w:bookmarkStart w:id="321" w:name="_Toc296944498"/>
      <w:bookmarkStart w:id="322" w:name="_Toc300934945"/>
      <w:bookmarkStart w:id="323" w:name="_Toc312677988"/>
      <w:bookmarkStart w:id="324" w:name="_Toc292559869"/>
      <w:bookmarkStart w:id="325" w:name="_Toc297216151"/>
      <w:bookmarkStart w:id="326" w:name="_Toc296891199"/>
      <w:bookmarkStart w:id="327" w:name="_Toc296503159"/>
      <w:bookmarkStart w:id="328" w:name="_Toc303539102"/>
      <w:bookmarkStart w:id="329" w:name="_Toc304295523"/>
      <w:bookmarkStart w:id="330" w:name="_Toc296346660"/>
      <w:r>
        <w:rPr>
          <w:color w:val="auto"/>
          <w:highlight w:val="none"/>
        </w:rPr>
        <w:t xml:space="preserve">.5 </w:t>
      </w:r>
      <w:r>
        <w:rPr>
          <w:rFonts w:hint="eastAsia" w:hAnsi="宋体" w:cs="黑体"/>
          <w:color w:val="auto"/>
          <w:highlight w:val="none"/>
        </w:rPr>
        <w:t>分包</w:t>
      </w:r>
      <w:bookmarkEnd w:id="308"/>
      <w:bookmarkEnd w:id="309"/>
      <w:bookmarkEnd w:id="310"/>
      <w:bookmarkEnd w:id="311"/>
      <w:bookmarkEnd w:id="312"/>
      <w:bookmarkEnd w:id="313"/>
      <w:bookmarkEnd w:id="314"/>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51839223">
      <w:pPr>
        <w:spacing w:line="360" w:lineRule="auto"/>
        <w:ind w:firstLine="420" w:firstLineChars="200"/>
        <w:rPr>
          <w:color w:val="auto"/>
          <w:highlight w:val="none"/>
        </w:rPr>
      </w:pPr>
      <w:r>
        <w:rPr>
          <w:color w:val="auto"/>
          <w:highlight w:val="none"/>
        </w:rPr>
        <w:t>3</w:t>
      </w:r>
      <w:bookmarkStart w:id="331" w:name="_Toc300934946"/>
      <w:bookmarkStart w:id="332" w:name="_Toc318581158"/>
      <w:bookmarkStart w:id="333" w:name="_Toc296347159"/>
      <w:bookmarkStart w:id="334" w:name="_Toc297216152"/>
      <w:bookmarkStart w:id="335" w:name="_Toc296503160"/>
      <w:bookmarkStart w:id="336" w:name="_Toc292559365"/>
      <w:bookmarkStart w:id="337" w:name="_Toc312677989"/>
      <w:bookmarkStart w:id="338" w:name="_Toc297048346"/>
      <w:bookmarkStart w:id="339" w:name="_Toc292559870"/>
      <w:bookmarkStart w:id="340" w:name="_Toc296944499"/>
      <w:bookmarkStart w:id="341" w:name="_Toc296891200"/>
      <w:bookmarkStart w:id="342" w:name="_Toc296890988"/>
      <w:bookmarkStart w:id="343" w:name="_Toc304295524"/>
      <w:bookmarkStart w:id="344" w:name="_Toc303539103"/>
      <w:bookmarkStart w:id="345" w:name="_Toc297120460"/>
      <w:bookmarkStart w:id="346" w:name="_Toc296346661"/>
      <w:bookmarkStart w:id="347" w:name="_Toc297123493"/>
      <w:r>
        <w:rPr>
          <w:color w:val="auto"/>
          <w:highlight w:val="none"/>
        </w:rPr>
        <w:t xml:space="preserve">.5.1 </w:t>
      </w:r>
      <w:r>
        <w:rPr>
          <w:rFonts w:hint="eastAsia" w:hAnsi="宋体" w:cs="宋体"/>
          <w:color w:val="auto"/>
          <w:highlight w:val="none"/>
        </w:rPr>
        <w:t>分包的一般约定</w:t>
      </w:r>
    </w:p>
    <w:p w14:paraId="62D1994F">
      <w:pPr>
        <w:spacing w:line="360" w:lineRule="auto"/>
        <w:ind w:firstLine="420" w:firstLineChars="200"/>
        <w:jc w:val="left"/>
        <w:rPr>
          <w:color w:val="auto"/>
          <w:highlight w:val="none"/>
        </w:rPr>
      </w:pPr>
      <w:r>
        <w:rPr>
          <w:rFonts w:hint="eastAsia" w:hAnsi="宋体" w:cs="宋体"/>
          <w:color w:val="auto"/>
          <w:highlight w:val="none"/>
        </w:rPr>
        <w:t>禁止分包的工程包括：</w:t>
      </w:r>
      <w:r>
        <w:rPr>
          <w:rFonts w:hint="eastAsia"/>
          <w:color w:val="auto"/>
          <w:highlight w:val="none"/>
          <w:u w:val="single"/>
        </w:rPr>
        <w:t>本工程不允许分包。</w:t>
      </w:r>
    </w:p>
    <w:p w14:paraId="677FB8E8">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rPr>
        <w:t>全部工程</w:t>
      </w:r>
      <w:r>
        <w:rPr>
          <w:color w:val="auto"/>
          <w:highlight w:val="none"/>
          <w:u w:val="single"/>
        </w:rPr>
        <w:t xml:space="preserve"> </w:t>
      </w:r>
      <w:r>
        <w:rPr>
          <w:rFonts w:hint="eastAsia" w:hAnsi="宋体" w:cs="宋体"/>
          <w:color w:val="auto"/>
          <w:highlight w:val="none"/>
        </w:rPr>
        <w: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37EF652E">
      <w:pPr>
        <w:spacing w:line="360" w:lineRule="auto"/>
        <w:ind w:firstLine="420" w:firstLineChars="200"/>
        <w:jc w:val="left"/>
        <w:rPr>
          <w:color w:val="auto"/>
          <w:highlight w:val="none"/>
        </w:rPr>
      </w:pPr>
      <w:r>
        <w:rPr>
          <w:color w:val="auto"/>
          <w:highlight w:val="none"/>
        </w:rPr>
        <w:t>3</w:t>
      </w:r>
      <w:bookmarkStart w:id="348" w:name="_Toc312677990"/>
      <w:bookmarkStart w:id="349" w:name="_Toc318581159"/>
      <w:r>
        <w:rPr>
          <w:color w:val="auto"/>
          <w:highlight w:val="none"/>
        </w:rPr>
        <w:t xml:space="preserve">.5.2 </w:t>
      </w:r>
      <w:r>
        <w:rPr>
          <w:rFonts w:hint="eastAsia" w:hAnsi="宋体" w:cs="宋体"/>
          <w:color w:val="auto"/>
          <w:highlight w:val="none"/>
        </w:rPr>
        <w:t>分包的确定</w:t>
      </w:r>
    </w:p>
    <w:p w14:paraId="67946A4F">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rFonts w:hint="eastAsia"/>
          <w:color w:val="auto"/>
          <w:highlight w:val="none"/>
          <w:u w:val="single"/>
        </w:rPr>
        <w:t>无</w:t>
      </w:r>
      <w:r>
        <w:rPr>
          <w:rFonts w:hint="eastAsia" w:hAnsi="宋体" w:cs="宋体"/>
          <w:color w:val="auto"/>
          <w:highlight w:val="none"/>
        </w:rPr>
        <w:t>。</w:t>
      </w:r>
    </w:p>
    <w:p w14:paraId="012C9C62">
      <w:pPr>
        <w:spacing w:line="360" w:lineRule="auto"/>
        <w:ind w:firstLine="420" w:firstLineChars="200"/>
        <w:rPr>
          <w:color w:val="auto"/>
          <w:highlight w:val="none"/>
        </w:rPr>
      </w:pPr>
      <w:r>
        <w:rPr>
          <w:rFonts w:hint="eastAsia" w:hAnsi="宋体" w:cs="宋体"/>
          <w:color w:val="auto"/>
          <w:highlight w:val="none"/>
        </w:rPr>
        <w:t>其他关于分包的约定：</w:t>
      </w:r>
    </w:p>
    <w:p w14:paraId="3137AAA6">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0094FC29">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533591EB">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延误的工期由发包人承担。</w:t>
      </w:r>
    </w:p>
    <w:p w14:paraId="41B30AB4">
      <w:pPr>
        <w:pStyle w:val="26"/>
        <w:spacing w:line="360" w:lineRule="auto"/>
        <w:ind w:firstLine="420" w:firstLineChars="200"/>
        <w:rPr>
          <w:rFonts w:ascii="Times New Roman" w:hAnsi="Times New Roman"/>
          <w:color w:val="auto"/>
          <w:sz w:val="21"/>
          <w:highlight w:val="none"/>
        </w:rPr>
      </w:pPr>
      <w:r>
        <w:rPr>
          <w:rFonts w:hint="eastAsia" w:ascii="Times New Roman" w:hAnsi="Times New Roman"/>
          <w:color w:val="auto"/>
          <w:sz w:val="21"/>
          <w:highlight w:val="none"/>
        </w:rPr>
        <w:t>（</w:t>
      </w:r>
      <w:r>
        <w:rPr>
          <w:rFonts w:ascii="Times New Roman" w:hAnsi="Times New Roman"/>
          <w:color w:val="auto"/>
          <w:sz w:val="21"/>
          <w:highlight w:val="none"/>
        </w:rPr>
        <w:t>4</w:t>
      </w:r>
      <w:r>
        <w:rPr>
          <w:rFonts w:hint="eastAsia" w:ascii="Times New Roman" w:hAnsi="Times New Roman"/>
          <w:color w:val="auto"/>
          <w:sz w:val="21"/>
          <w:highlight w:val="none"/>
        </w:rPr>
        <w:t>）</w:t>
      </w:r>
      <w:r>
        <w:rPr>
          <w:rFonts w:hint="eastAsia" w:ascii="Times New Roman" w:hAnsi="宋体"/>
          <w:color w:val="auto"/>
          <w:sz w:val="21"/>
          <w:highlight w:val="none"/>
        </w:rPr>
        <w:t>承包人有以下情况之一者，发包人有权解除合同，并视情况扣除其履约保证金：</w:t>
      </w:r>
    </w:p>
    <w:p w14:paraId="6D689F0E">
      <w:pPr>
        <w:pStyle w:val="26"/>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①个人承包工程，包括本人单位及外单位人员承包，发包人不承认其个人拥有任何资质等级及营业许可资格。没收全部履约保证金。</w:t>
      </w:r>
    </w:p>
    <w:p w14:paraId="27EE2B3D">
      <w:pPr>
        <w:pStyle w:val="26"/>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②几个人联合承包工程，就地组织暗分包队伍，不具备完成本工程的技术、机械能力，被发包人判定为没有能力履行的承包人。没收全部履约保证金。</w:t>
      </w:r>
    </w:p>
    <w:p w14:paraId="72A7B019">
      <w:pPr>
        <w:pStyle w:val="26"/>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③就地转包全部的工程，以谋取高额转让费、管理费的承包人。没收全部履约保证金。</w:t>
      </w:r>
    </w:p>
    <w:p w14:paraId="4F15E852">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72A34CF9">
      <w:pPr>
        <w:spacing w:line="360" w:lineRule="auto"/>
        <w:ind w:firstLine="420" w:firstLineChars="200"/>
        <w:rPr>
          <w:color w:val="auto"/>
          <w:highlight w:val="none"/>
        </w:rPr>
      </w:pPr>
      <w:r>
        <w:rPr>
          <w:color w:val="auto"/>
          <w:highlight w:val="none"/>
        </w:rPr>
        <w:t xml:space="preserve">3.5.4 </w:t>
      </w:r>
      <w:r>
        <w:rPr>
          <w:rFonts w:hint="eastAsia" w:hAnsi="宋体" w:cs="宋体"/>
          <w:color w:val="auto"/>
          <w:highlight w:val="none"/>
        </w:rPr>
        <w:t>分包合同价款</w:t>
      </w:r>
    </w:p>
    <w:bookmarkEnd w:id="348"/>
    <w:bookmarkEnd w:id="349"/>
    <w:p w14:paraId="0D0D9505">
      <w:pPr>
        <w:spacing w:line="360" w:lineRule="auto"/>
        <w:ind w:firstLine="420" w:firstLineChars="200"/>
        <w:rPr>
          <w:color w:val="auto"/>
          <w:highlight w:val="none"/>
        </w:rPr>
      </w:pPr>
      <w:bookmarkStart w:id="350" w:name="_Toc389065277"/>
      <w:bookmarkStart w:id="351" w:name="_Toc373478358"/>
      <w:bookmarkStart w:id="352" w:name="_Toc373227711"/>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3FF1E3C5">
      <w:pPr>
        <w:pStyle w:val="7"/>
        <w:rPr>
          <w:color w:val="auto"/>
          <w:highlight w:val="none"/>
        </w:rPr>
      </w:pPr>
      <w:bookmarkStart w:id="353" w:name="_Toc57329529"/>
      <w:bookmarkStart w:id="354" w:name="_Toc78449799"/>
      <w:bookmarkStart w:id="355" w:name="_Toc101808609"/>
      <w:bookmarkStart w:id="356" w:name="_Toc407135213"/>
      <w:r>
        <w:rPr>
          <w:color w:val="auto"/>
          <w:highlight w:val="none"/>
        </w:rPr>
        <w:t xml:space="preserve">3.6 </w:t>
      </w:r>
      <w:r>
        <w:rPr>
          <w:rFonts w:hint="eastAsia" w:cs="黑体"/>
          <w:color w:val="auto"/>
          <w:highlight w:val="none"/>
        </w:rPr>
        <w:t>工程照管与成品、半成品保护</w:t>
      </w:r>
      <w:bookmarkEnd w:id="350"/>
      <w:bookmarkEnd w:id="351"/>
      <w:bookmarkEnd w:id="352"/>
      <w:bookmarkEnd w:id="353"/>
      <w:bookmarkEnd w:id="354"/>
      <w:bookmarkEnd w:id="355"/>
      <w:bookmarkEnd w:id="356"/>
    </w:p>
    <w:p w14:paraId="32461B29">
      <w:pPr>
        <w:pStyle w:val="230"/>
        <w:spacing w:before="120" w:after="120"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kern w:val="0"/>
          <w:szCs w:val="21"/>
          <w:highlight w:val="none"/>
          <w:u w:val="single"/>
        </w:rPr>
        <w:t xml:space="preserve">  设备、人员进场至验收交付使用前由承包人负责保管，无其他特殊要求的，费用由承包人承担 </w:t>
      </w:r>
      <w:r>
        <w:rPr>
          <w:rFonts w:hint="eastAsia" w:ascii="宋体" w:hAnsi="宋体" w:cs="宋体"/>
          <w:color w:val="auto"/>
          <w:kern w:val="0"/>
          <w:szCs w:val="21"/>
          <w:highlight w:val="none"/>
        </w:rPr>
        <w:t>。</w:t>
      </w:r>
    </w:p>
    <w:p w14:paraId="2E482D1B">
      <w:pPr>
        <w:pStyle w:val="7"/>
        <w:rPr>
          <w:color w:val="auto"/>
          <w:highlight w:val="none"/>
        </w:rPr>
      </w:pPr>
      <w:bookmarkStart w:id="357" w:name="_Toc389065278"/>
      <w:bookmarkStart w:id="358" w:name="_Toc373478359"/>
      <w:bookmarkStart w:id="359" w:name="_Toc373227712"/>
      <w:bookmarkStart w:id="360" w:name="_Toc1649716734"/>
      <w:bookmarkStart w:id="361" w:name="_Toc407135214"/>
      <w:bookmarkStart w:id="362" w:name="_Toc1042049436"/>
      <w:bookmarkStart w:id="363" w:name="_Toc78449800"/>
      <w:r>
        <w:rPr>
          <w:color w:val="auto"/>
          <w:highlight w:val="none"/>
        </w:rPr>
        <w:t xml:space="preserve">3.7 </w:t>
      </w:r>
      <w:r>
        <w:rPr>
          <w:rFonts w:hint="eastAsia" w:hAnsi="宋体" w:cs="黑体"/>
          <w:color w:val="auto"/>
          <w:highlight w:val="none"/>
        </w:rPr>
        <w:t>履约</w:t>
      </w:r>
      <w:bookmarkEnd w:id="357"/>
      <w:bookmarkEnd w:id="358"/>
      <w:bookmarkEnd w:id="359"/>
      <w:r>
        <w:rPr>
          <w:rFonts w:hint="eastAsia" w:hAnsi="宋体" w:cs="黑体"/>
          <w:color w:val="auto"/>
          <w:highlight w:val="none"/>
        </w:rPr>
        <w:t>保证金</w:t>
      </w:r>
      <w:bookmarkEnd w:id="360"/>
      <w:bookmarkEnd w:id="361"/>
      <w:bookmarkEnd w:id="362"/>
      <w:bookmarkEnd w:id="363"/>
    </w:p>
    <w:p w14:paraId="2C6F40F4">
      <w:pPr>
        <w:pStyle w:val="230"/>
        <w:spacing w:line="400" w:lineRule="exact"/>
        <w:ind w:firstLine="420" w:firstLineChars="200"/>
        <w:jc w:val="left"/>
        <w:rPr>
          <w:rFonts w:hint="eastAsia" w:ascii="宋体" w:hAnsi="宋体" w:cs="宋体"/>
          <w:color w:val="auto"/>
          <w:szCs w:val="21"/>
          <w:highlight w:val="none"/>
        </w:rPr>
      </w:pPr>
      <w:bookmarkStart w:id="364" w:name="_Toc389065279"/>
      <w:bookmarkStart w:id="365" w:name="_Toc351203636"/>
      <w:bookmarkStart w:id="366" w:name="_Toc373227713"/>
      <w:bookmarkStart w:id="367" w:name="_Toc373478360"/>
      <w:r>
        <w:rPr>
          <w:rFonts w:hint="eastAsia" w:ascii="宋体" w:hAnsi="宋体" w:cs="宋体"/>
          <w:color w:val="auto"/>
          <w:szCs w:val="21"/>
          <w:highlight w:val="none"/>
        </w:rPr>
        <w:t>承包人是否提供履约担保：</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w:t>
      </w:r>
    </w:p>
    <w:p w14:paraId="4C6415EF">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承包人提供履约担保的形式、金额及期限的：</w:t>
      </w:r>
      <w:r>
        <w:rPr>
          <w:rFonts w:hint="eastAsia" w:ascii="宋体" w:hAnsi="宋体" w:cs="宋体"/>
          <w:color w:val="auto"/>
          <w:szCs w:val="21"/>
          <w:highlight w:val="none"/>
          <w:u w:val="single"/>
        </w:rPr>
        <w:t>承包人在收到成交通知书后，须在    日内向发包人提交合同价款的</w:t>
      </w:r>
      <w:r>
        <w:rPr>
          <w:rFonts w:ascii="宋体" w:hAnsi="宋体" w:cs="宋体"/>
          <w:color w:val="auto"/>
          <w:szCs w:val="21"/>
          <w:highlight w:val="none"/>
          <w:u w:val="single"/>
        </w:rPr>
        <w:t>2</w:t>
      </w:r>
      <w:r>
        <w:rPr>
          <w:rFonts w:hint="eastAsia" w:ascii="宋体" w:hAnsi="宋体" w:cs="宋体"/>
          <w:color w:val="auto"/>
          <w:szCs w:val="21"/>
          <w:highlight w:val="none"/>
          <w:u w:val="single"/>
        </w:rPr>
        <w:t xml:space="preserve"> %的履约担保（格式见合同附件7）。履约担保的有效期应当自本合同生效之日起至发包人签认并由监理人向承包人出具        （竣工证明材料名称）之日止。如果承包人无法获得一份不带具体截止日期的担保，履约担保中应当有“变更工程竣工日期的，保证期间按照变更后的竣工日期做相应调整”或类似约定的条款。</w:t>
      </w:r>
    </w:p>
    <w:p w14:paraId="6F59430A">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工程竣工验收合格并对验收发现的问题完成整改</w:t>
      </w:r>
      <w:r>
        <w:rPr>
          <w:rFonts w:hint="eastAsia" w:ascii="宋体" w:hAnsi="宋体" w:cs="宋体"/>
          <w:color w:val="auto"/>
          <w:szCs w:val="21"/>
          <w:highlight w:val="none"/>
          <w:u w:val="single"/>
          <w:lang w:eastAsia="zh-CN"/>
        </w:rPr>
        <w:t>，且</w:t>
      </w:r>
      <w:r>
        <w:rPr>
          <w:rFonts w:hint="eastAsia" w:ascii="宋体" w:hAnsi="宋体" w:cs="宋体"/>
          <w:color w:val="auto"/>
          <w:szCs w:val="21"/>
          <w:highlight w:val="none"/>
          <w:u w:val="single"/>
        </w:rPr>
        <w:t>承包人向发包人完成（施工）竣工资料移交手续后，可向发包人申请退还履约保证金，发包人应在收到申请之日起28个日历天内扣减承包人赔偿金和其他应从承包人扣回的款项后，将履约保证金退还给承包人。</w:t>
      </w:r>
    </w:p>
    <w:p w14:paraId="03DAABAC">
      <w:pPr>
        <w:pStyle w:val="23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承包人在成交后7个工作日内，按         （各市住房城乡建设行政主管部门规定）规定将农民工工资保障金存入帐户。工程竣工验收结算经审定后，按照规定程序，将农民工工资保障金没有使用或剩余的金额退还给承包人。</w:t>
      </w:r>
    </w:p>
    <w:p w14:paraId="6FC14A9A">
      <w:pPr>
        <w:pStyle w:val="6"/>
        <w:rPr>
          <w:color w:val="auto"/>
          <w:highlight w:val="none"/>
        </w:rPr>
      </w:pPr>
      <w:bookmarkStart w:id="368" w:name="_Toc931514330"/>
      <w:bookmarkStart w:id="369" w:name="_Toc78449801"/>
      <w:bookmarkStart w:id="370" w:name="_Toc407135215"/>
      <w:bookmarkStart w:id="371" w:name="_Toc907912356"/>
      <w:r>
        <w:rPr>
          <w:color w:val="auto"/>
          <w:highlight w:val="none"/>
        </w:rPr>
        <w:t>4</w:t>
      </w:r>
      <w:bookmarkStart w:id="372" w:name="_Toc296346663"/>
      <w:bookmarkStart w:id="373" w:name="_Toc297048348"/>
      <w:bookmarkStart w:id="374" w:name="_Toc296891202"/>
      <w:bookmarkStart w:id="375" w:name="_Toc292559871"/>
      <w:bookmarkStart w:id="376" w:name="_Toc292559366"/>
      <w:bookmarkStart w:id="377" w:name="_Toc296347161"/>
      <w:bookmarkStart w:id="378" w:name="_Toc296503162"/>
      <w:bookmarkStart w:id="379" w:name="_Toc267251413"/>
      <w:bookmarkStart w:id="380" w:name="_Toc296890990"/>
      <w:bookmarkStart w:id="381" w:name="_Toc296944501"/>
      <w:bookmarkStart w:id="382" w:name="_Toc297120462"/>
      <w:r>
        <w:rPr>
          <w:color w:val="auto"/>
          <w:highlight w:val="none"/>
        </w:rPr>
        <w:t xml:space="preserve">. </w:t>
      </w:r>
      <w:r>
        <w:rPr>
          <w:rFonts w:hint="eastAsia" w:hAnsi="宋体" w:cs="黑体"/>
          <w:color w:val="auto"/>
          <w:highlight w:val="none"/>
        </w:rPr>
        <w:t>监</w:t>
      </w:r>
      <w:bookmarkEnd w:id="372"/>
      <w:bookmarkEnd w:id="373"/>
      <w:bookmarkEnd w:id="374"/>
      <w:bookmarkEnd w:id="375"/>
      <w:bookmarkEnd w:id="376"/>
      <w:bookmarkEnd w:id="377"/>
      <w:bookmarkEnd w:id="378"/>
      <w:bookmarkEnd w:id="379"/>
      <w:bookmarkEnd w:id="380"/>
      <w:bookmarkEnd w:id="381"/>
      <w:bookmarkEnd w:id="382"/>
      <w:r>
        <w:rPr>
          <w:rFonts w:hint="eastAsia" w:hAnsi="宋体" w:cs="黑体"/>
          <w:color w:val="auto"/>
          <w:highlight w:val="none"/>
        </w:rPr>
        <w:t>理人</w:t>
      </w:r>
      <w:bookmarkEnd w:id="364"/>
      <w:bookmarkEnd w:id="365"/>
      <w:bookmarkEnd w:id="366"/>
      <w:bookmarkEnd w:id="367"/>
      <w:bookmarkEnd w:id="368"/>
      <w:bookmarkEnd w:id="369"/>
      <w:bookmarkEnd w:id="370"/>
      <w:bookmarkEnd w:id="371"/>
    </w:p>
    <w:p w14:paraId="19B00AE0">
      <w:pPr>
        <w:pStyle w:val="7"/>
        <w:rPr>
          <w:color w:val="auto"/>
          <w:highlight w:val="none"/>
        </w:rPr>
      </w:pPr>
      <w:bookmarkStart w:id="383" w:name="_Toc407135216"/>
      <w:bookmarkStart w:id="384" w:name="_Toc373227714"/>
      <w:bookmarkStart w:id="385" w:name="_Toc78449802"/>
      <w:bookmarkStart w:id="386" w:name="_Toc1595043148"/>
      <w:bookmarkStart w:id="387" w:name="_Toc373478361"/>
      <w:bookmarkStart w:id="388" w:name="_Toc389065280"/>
      <w:bookmarkStart w:id="389" w:name="_Toc1008304989"/>
      <w:r>
        <w:rPr>
          <w:color w:val="auto"/>
          <w:highlight w:val="none"/>
        </w:rPr>
        <w:t xml:space="preserve">4.1 </w:t>
      </w:r>
      <w:r>
        <w:rPr>
          <w:rFonts w:hint="eastAsia" w:cs="黑体"/>
          <w:color w:val="auto"/>
          <w:highlight w:val="none"/>
        </w:rPr>
        <w:t>监理人的一般规定</w:t>
      </w:r>
      <w:bookmarkEnd w:id="383"/>
      <w:bookmarkEnd w:id="384"/>
      <w:bookmarkEnd w:id="385"/>
      <w:bookmarkEnd w:id="386"/>
      <w:bookmarkEnd w:id="387"/>
      <w:bookmarkEnd w:id="388"/>
      <w:bookmarkEnd w:id="389"/>
    </w:p>
    <w:p w14:paraId="6BFC03EF">
      <w:pPr>
        <w:pStyle w:val="227"/>
        <w:spacing w:line="360" w:lineRule="auto"/>
        <w:ind w:firstLine="420" w:firstLineChars="200"/>
        <w:jc w:val="left"/>
        <w:rPr>
          <w:color w:val="auto"/>
          <w:szCs w:val="21"/>
          <w:highlight w:val="none"/>
        </w:rPr>
      </w:pPr>
      <w:bookmarkStart w:id="390" w:name="_Toc386397261"/>
      <w:bookmarkStart w:id="391" w:name="_Toc407135217"/>
      <w:bookmarkStart w:id="392" w:name="_Toc389065281"/>
      <w:bookmarkStart w:id="393" w:name="_Toc1350458461"/>
      <w:bookmarkStart w:id="394" w:name="_Toc78449803"/>
      <w:bookmarkStart w:id="395" w:name="_Toc373478362"/>
      <w:bookmarkStart w:id="396" w:name="_Toc373227715"/>
      <w:r>
        <w:rPr>
          <w:rFonts w:hint="eastAsia" w:hAnsi="宋体"/>
          <w:color w:val="auto"/>
          <w:szCs w:val="21"/>
          <w:highlight w:val="none"/>
        </w:rPr>
        <w:t>关于监理人的监理内容：</w:t>
      </w:r>
      <w:r>
        <w:rPr>
          <w:rFonts w:hint="eastAsia" w:ascii="新宋体" w:hAnsi="新宋体" w:eastAsia="新宋体" w:cs="新宋体"/>
          <w:color w:val="auto"/>
          <w:spacing w:val="2"/>
          <w:szCs w:val="21"/>
          <w:highlight w:val="none"/>
          <w:u w:val="single"/>
        </w:rPr>
        <w:t>按本工程的监理合同中的相关条款</w:t>
      </w:r>
      <w:r>
        <w:rPr>
          <w:rFonts w:hint="eastAsia" w:hAnsi="宋体"/>
          <w:color w:val="auto"/>
          <w:szCs w:val="21"/>
          <w:highlight w:val="none"/>
        </w:rPr>
        <w:t>。</w:t>
      </w:r>
    </w:p>
    <w:p w14:paraId="41CE02B7">
      <w:pPr>
        <w:pStyle w:val="227"/>
        <w:spacing w:line="360" w:lineRule="auto"/>
        <w:ind w:firstLine="420" w:firstLineChars="200"/>
        <w:jc w:val="left"/>
        <w:rPr>
          <w:color w:val="auto"/>
          <w:szCs w:val="21"/>
          <w:highlight w:val="none"/>
        </w:rPr>
      </w:pPr>
      <w:r>
        <w:rPr>
          <w:rFonts w:hint="eastAsia" w:hAnsi="宋体"/>
          <w:color w:val="auto"/>
          <w:szCs w:val="21"/>
          <w:highlight w:val="none"/>
        </w:rPr>
        <w:t>关于监理人的监理权限：</w:t>
      </w:r>
      <w:r>
        <w:rPr>
          <w:rFonts w:hint="eastAsia" w:ascii="新宋体" w:hAnsi="新宋体" w:eastAsia="新宋体" w:cs="新宋体"/>
          <w:color w:val="auto"/>
          <w:spacing w:val="2"/>
          <w:szCs w:val="21"/>
          <w:highlight w:val="none"/>
          <w:u w:val="single"/>
        </w:rPr>
        <w:t>按本工程的监理合同中的相关条款</w:t>
      </w:r>
      <w:r>
        <w:rPr>
          <w:rFonts w:hint="eastAsia" w:hAnsi="宋体"/>
          <w:color w:val="auto"/>
          <w:szCs w:val="21"/>
          <w:highlight w:val="none"/>
        </w:rPr>
        <w:t>。</w:t>
      </w:r>
    </w:p>
    <w:p w14:paraId="102963F3">
      <w:pPr>
        <w:pStyle w:val="227"/>
        <w:spacing w:line="360" w:lineRule="auto"/>
        <w:ind w:firstLine="420" w:firstLineChars="200"/>
        <w:rPr>
          <w:color w:val="auto"/>
          <w:szCs w:val="21"/>
          <w:highlight w:val="none"/>
        </w:rPr>
      </w:pPr>
      <w:r>
        <w:rPr>
          <w:rFonts w:hint="eastAsia" w:hAnsi="宋体"/>
          <w:color w:val="auto"/>
          <w:szCs w:val="21"/>
          <w:highlight w:val="none"/>
        </w:rPr>
        <w:t>关于监理人在施工现场的办公场所、生活场所的提供和费用承担的约定：</w:t>
      </w:r>
      <w:r>
        <w:rPr>
          <w:rFonts w:hint="eastAsia" w:ascii="新宋体" w:hAnsi="新宋体" w:eastAsia="新宋体" w:cs="新宋体"/>
          <w:color w:val="auto"/>
          <w:spacing w:val="2"/>
          <w:szCs w:val="21"/>
          <w:highlight w:val="none"/>
          <w:u w:val="single"/>
        </w:rPr>
        <w:t>按本工程的监理合同中的相关条款</w:t>
      </w:r>
      <w:r>
        <w:rPr>
          <w:rFonts w:hint="eastAsia" w:hAnsi="宋体"/>
          <w:color w:val="auto"/>
          <w:szCs w:val="21"/>
          <w:highlight w:val="none"/>
        </w:rPr>
        <w:t>。</w:t>
      </w:r>
    </w:p>
    <w:p w14:paraId="404946CD">
      <w:pPr>
        <w:pStyle w:val="7"/>
        <w:rPr>
          <w:color w:val="auto"/>
          <w:highlight w:val="none"/>
        </w:rPr>
      </w:pPr>
      <w:r>
        <w:rPr>
          <w:color w:val="auto"/>
          <w:highlight w:val="none"/>
        </w:rPr>
        <w:t xml:space="preserve">4.2 </w:t>
      </w:r>
      <w:r>
        <w:rPr>
          <w:rFonts w:hint="eastAsia" w:hAnsi="宋体" w:cs="黑体"/>
          <w:color w:val="auto"/>
          <w:highlight w:val="none"/>
        </w:rPr>
        <w:t>监理人员</w:t>
      </w:r>
      <w:bookmarkEnd w:id="390"/>
      <w:bookmarkEnd w:id="391"/>
      <w:bookmarkEnd w:id="392"/>
      <w:bookmarkEnd w:id="393"/>
      <w:bookmarkEnd w:id="394"/>
      <w:bookmarkEnd w:id="395"/>
      <w:bookmarkEnd w:id="396"/>
    </w:p>
    <w:p w14:paraId="234E2161">
      <w:pPr>
        <w:spacing w:line="360" w:lineRule="auto"/>
        <w:ind w:firstLine="420" w:firstLineChars="200"/>
        <w:rPr>
          <w:color w:val="auto"/>
          <w:highlight w:val="none"/>
        </w:rPr>
      </w:pPr>
      <w:r>
        <w:rPr>
          <w:rFonts w:hint="eastAsia" w:hAnsi="宋体" w:cs="宋体"/>
          <w:color w:val="auto"/>
          <w:highlight w:val="none"/>
        </w:rPr>
        <w:t>总监理工程师：</w:t>
      </w:r>
    </w:p>
    <w:p w14:paraId="25D174DD">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D89C434">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F30EB5">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51A5DD94">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9BEEE70">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6537158">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7A45393">
      <w:pPr>
        <w:spacing w:line="360" w:lineRule="auto"/>
        <w:ind w:firstLine="420" w:firstLineChars="200"/>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CE88080">
      <w:pPr>
        <w:pStyle w:val="7"/>
        <w:rPr>
          <w:color w:val="auto"/>
          <w:highlight w:val="none"/>
        </w:rPr>
      </w:pPr>
      <w:bookmarkStart w:id="397" w:name="_Toc389065282"/>
      <w:bookmarkStart w:id="398" w:name="_Toc373478363"/>
      <w:bookmarkStart w:id="399" w:name="_Toc373227716"/>
      <w:bookmarkStart w:id="400" w:name="_Toc539923186"/>
      <w:bookmarkStart w:id="401" w:name="_Toc78449804"/>
      <w:bookmarkStart w:id="402" w:name="_Toc941562442"/>
      <w:bookmarkStart w:id="403" w:name="_Toc407135218"/>
      <w:r>
        <w:rPr>
          <w:color w:val="auto"/>
          <w:highlight w:val="none"/>
        </w:rPr>
        <w:t xml:space="preserve">4.4 </w:t>
      </w:r>
      <w:r>
        <w:rPr>
          <w:rFonts w:hint="eastAsia" w:hAnsi="宋体" w:cs="黑体"/>
          <w:color w:val="auto"/>
          <w:highlight w:val="none"/>
        </w:rPr>
        <w:t>商定或确定</w:t>
      </w:r>
      <w:bookmarkEnd w:id="397"/>
      <w:bookmarkEnd w:id="398"/>
      <w:bookmarkEnd w:id="399"/>
      <w:bookmarkEnd w:id="400"/>
      <w:bookmarkEnd w:id="401"/>
      <w:bookmarkEnd w:id="402"/>
      <w:bookmarkEnd w:id="403"/>
    </w:p>
    <w:p w14:paraId="18DC1F94">
      <w:pPr>
        <w:spacing w:line="360" w:lineRule="auto"/>
        <w:ind w:firstLine="420" w:firstLineChars="200"/>
        <w:rPr>
          <w:color w:val="auto"/>
          <w:highlight w:val="none"/>
        </w:rPr>
      </w:pPr>
      <w:bookmarkStart w:id="404" w:name="_Toc267251418"/>
      <w:r>
        <w:rPr>
          <w:rFonts w:hint="eastAsia" w:hAnsi="宋体" w:cs="宋体"/>
          <w:color w:val="auto"/>
          <w:highlight w:val="none"/>
        </w:rPr>
        <w:t>在发包人和承包人不能通过协商达成一致意见时，发包人授权监理人对以下事项进行确定：</w:t>
      </w:r>
    </w:p>
    <w:p w14:paraId="19454AD7">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809B9D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3B5D850">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468AD38A">
      <w:pPr>
        <w:pStyle w:val="6"/>
        <w:rPr>
          <w:color w:val="auto"/>
          <w:highlight w:val="none"/>
        </w:rPr>
      </w:pPr>
      <w:bookmarkStart w:id="405" w:name="_Toc389065283"/>
      <w:bookmarkStart w:id="406" w:name="_Toc1603077308"/>
      <w:bookmarkStart w:id="407" w:name="_Toc78449805"/>
      <w:bookmarkStart w:id="408" w:name="_Toc373227717"/>
      <w:bookmarkStart w:id="409" w:name="_Toc373478364"/>
      <w:bookmarkStart w:id="410" w:name="_Toc351203637"/>
      <w:bookmarkStart w:id="411" w:name="_Toc407135219"/>
      <w:bookmarkStart w:id="412" w:name="_Toc1687297496"/>
      <w:r>
        <w:rPr>
          <w:color w:val="auto"/>
          <w:highlight w:val="none"/>
        </w:rPr>
        <w:t>5</w:t>
      </w:r>
      <w:bookmarkEnd w:id="404"/>
      <w:bookmarkStart w:id="413" w:name="_Toc296503163"/>
      <w:bookmarkStart w:id="414" w:name="_Toc292559367"/>
      <w:bookmarkStart w:id="415" w:name="_Toc296347162"/>
      <w:bookmarkStart w:id="416" w:name="_Toc292559872"/>
      <w:bookmarkStart w:id="417" w:name="_Toc297048349"/>
      <w:bookmarkStart w:id="418" w:name="_Toc296891203"/>
      <w:bookmarkStart w:id="419" w:name="_Toc296944502"/>
      <w:bookmarkStart w:id="420" w:name="_Toc297120463"/>
      <w:bookmarkStart w:id="421" w:name="_Toc296890991"/>
      <w:bookmarkStart w:id="422" w:name="_Toc296346664"/>
      <w:r>
        <w:rPr>
          <w:color w:val="auto"/>
          <w:highlight w:val="none"/>
        </w:rPr>
        <w:t xml:space="preserve">. </w:t>
      </w:r>
      <w:r>
        <w:rPr>
          <w:rFonts w:hint="eastAsia" w:hAnsi="宋体" w:cs="黑体"/>
          <w:color w:val="auto"/>
          <w:highlight w:val="none"/>
        </w:rPr>
        <w:t>工程质量</w:t>
      </w:r>
      <w:bookmarkEnd w:id="405"/>
      <w:bookmarkEnd w:id="406"/>
      <w:bookmarkEnd w:id="407"/>
      <w:bookmarkEnd w:id="408"/>
      <w:bookmarkEnd w:id="409"/>
      <w:bookmarkEnd w:id="410"/>
      <w:bookmarkEnd w:id="411"/>
      <w:bookmarkEnd w:id="412"/>
    </w:p>
    <w:p w14:paraId="7465FD49">
      <w:pPr>
        <w:pStyle w:val="7"/>
        <w:rPr>
          <w:color w:val="auto"/>
          <w:highlight w:val="none"/>
        </w:rPr>
      </w:pPr>
      <w:bookmarkStart w:id="423" w:name="_Toc407135220"/>
      <w:bookmarkStart w:id="424" w:name="_Toc1952042622"/>
      <w:bookmarkStart w:id="425" w:name="_Toc389065284"/>
      <w:bookmarkStart w:id="426" w:name="_Toc373227718"/>
      <w:bookmarkStart w:id="427" w:name="_Toc373478365"/>
      <w:bookmarkStart w:id="428" w:name="_Toc1835421345"/>
      <w:bookmarkStart w:id="429" w:name="_Toc78449806"/>
      <w:r>
        <w:rPr>
          <w:color w:val="auto"/>
          <w:highlight w:val="none"/>
        </w:rPr>
        <w:t xml:space="preserve">5.1 </w:t>
      </w:r>
      <w:r>
        <w:rPr>
          <w:rFonts w:hint="eastAsia" w:hAnsi="宋体" w:cs="黑体"/>
          <w:color w:val="auto"/>
          <w:highlight w:val="none"/>
        </w:rPr>
        <w:t>质量要求</w:t>
      </w:r>
      <w:bookmarkEnd w:id="423"/>
      <w:bookmarkEnd w:id="424"/>
      <w:bookmarkEnd w:id="425"/>
      <w:bookmarkEnd w:id="426"/>
      <w:bookmarkEnd w:id="427"/>
      <w:bookmarkEnd w:id="428"/>
      <w:bookmarkEnd w:id="429"/>
    </w:p>
    <w:p w14:paraId="55175520">
      <w:pPr>
        <w:spacing w:line="360" w:lineRule="auto"/>
        <w:ind w:firstLine="420" w:firstLineChars="200"/>
        <w:jc w:val="left"/>
        <w:rPr>
          <w:color w:val="auto"/>
          <w:highlight w:val="none"/>
          <w:u w:val="single"/>
        </w:rPr>
      </w:pPr>
      <w:r>
        <w:rPr>
          <w:color w:val="auto"/>
          <w:highlight w:val="none"/>
        </w:rPr>
        <w:t>5</w:t>
      </w:r>
      <w:bookmarkStart w:id="430" w:name="_Toc304295527"/>
      <w:bookmarkStart w:id="431" w:name="_Toc312677997"/>
      <w:bookmarkStart w:id="432" w:name="_Toc318581164"/>
      <w:bookmarkStart w:id="433" w:name="_Toc297123496"/>
      <w:bookmarkStart w:id="434" w:name="_Toc300934949"/>
      <w:bookmarkStart w:id="435" w:name="_Toc303539106"/>
      <w:bookmarkStart w:id="436" w:name="_Toc297216155"/>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hAnsi="宋体" w:cs="宋体"/>
          <w:color w:val="auto"/>
          <w:highlight w:val="none"/>
        </w:rPr>
        <w:t>。</w:t>
      </w:r>
    </w:p>
    <w:p w14:paraId="40F634F7">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color w:val="auto"/>
          <w:highlight w:val="none"/>
          <w:u w:val="single"/>
        </w:rPr>
        <w:t>/</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。（建设单位创建优质工程的，鼓励在招标控制价和预算中按我区工程建设定额规定计列工程优质费，并在磋商文件中明确工程优质费不可竞争。）</w:t>
      </w:r>
    </w:p>
    <w:p w14:paraId="07103CE6">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7E208D3D">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D58512A">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rFonts w:hint="eastAsia"/>
          <w:color w:val="auto"/>
          <w:highlight w:val="none"/>
          <w:u w:val="single"/>
        </w:rPr>
        <w:t>12</w:t>
      </w:r>
      <w:r>
        <w:rPr>
          <w:rFonts w:hint="eastAsia" w:hAnsi="宋体" w:cs="宋体"/>
          <w:color w:val="auto"/>
          <w:highlight w:val="none"/>
        </w:rPr>
        <w:t>小时提交书面延期要求。</w:t>
      </w:r>
    </w:p>
    <w:p w14:paraId="733B6EBA">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rFonts w:hint="eastAsia"/>
          <w:color w:val="auto"/>
          <w:highlight w:val="none"/>
          <w:u w:val="single"/>
        </w:rPr>
        <w:t>24</w:t>
      </w:r>
      <w:r>
        <w:rPr>
          <w:rFonts w:hint="eastAsia" w:hAnsi="宋体" w:cs="宋体"/>
          <w:color w:val="auto"/>
          <w:highlight w:val="none"/>
        </w:rPr>
        <w:t>小时。</w:t>
      </w:r>
    </w:p>
    <w:p w14:paraId="76B20878">
      <w:pPr>
        <w:pStyle w:val="6"/>
        <w:rPr>
          <w:color w:val="auto"/>
          <w:highlight w:val="none"/>
        </w:rPr>
      </w:pPr>
      <w:bookmarkStart w:id="437" w:name="_Toc351203638"/>
      <w:bookmarkStart w:id="438" w:name="_Toc407135221"/>
      <w:bookmarkStart w:id="439" w:name="_Toc703841976"/>
      <w:bookmarkStart w:id="440" w:name="_Toc389065285"/>
      <w:bookmarkStart w:id="441" w:name="_Toc373227719"/>
      <w:bookmarkStart w:id="442" w:name="_Toc78449807"/>
      <w:bookmarkStart w:id="443" w:name="_Toc1259019817"/>
      <w:bookmarkStart w:id="444" w:name="_Toc373478366"/>
      <w:r>
        <w:rPr>
          <w:color w:val="auto"/>
          <w:highlight w:val="none"/>
        </w:rPr>
        <w:t xml:space="preserve">6. </w:t>
      </w:r>
      <w:r>
        <w:rPr>
          <w:rFonts w:hint="eastAsia" w:cs="黑体"/>
          <w:color w:val="auto"/>
          <w:highlight w:val="none"/>
        </w:rPr>
        <w:t>安全文明施工与环境保护</w:t>
      </w:r>
      <w:bookmarkEnd w:id="437"/>
      <w:bookmarkEnd w:id="438"/>
      <w:bookmarkEnd w:id="439"/>
      <w:bookmarkEnd w:id="440"/>
      <w:bookmarkEnd w:id="441"/>
      <w:bookmarkEnd w:id="442"/>
      <w:bookmarkEnd w:id="443"/>
      <w:bookmarkEnd w:id="444"/>
    </w:p>
    <w:p w14:paraId="77A06E96">
      <w:pPr>
        <w:pStyle w:val="7"/>
        <w:rPr>
          <w:color w:val="auto"/>
          <w:highlight w:val="none"/>
        </w:rPr>
      </w:pPr>
      <w:bookmarkStart w:id="445" w:name="_Toc407135222"/>
      <w:bookmarkStart w:id="446" w:name="_Toc180514231"/>
      <w:bookmarkStart w:id="447" w:name="_Toc1296292062"/>
      <w:bookmarkStart w:id="448" w:name="_Toc373478367"/>
      <w:bookmarkStart w:id="449" w:name="_Toc373227720"/>
      <w:bookmarkStart w:id="450" w:name="_Toc78449808"/>
      <w:bookmarkStart w:id="451" w:name="_Toc389065286"/>
      <w:r>
        <w:rPr>
          <w:color w:val="auto"/>
          <w:highlight w:val="none"/>
        </w:rPr>
        <w:t xml:space="preserve">6.1 </w:t>
      </w:r>
      <w:r>
        <w:rPr>
          <w:rFonts w:hint="eastAsia" w:cs="黑体"/>
          <w:color w:val="auto"/>
          <w:highlight w:val="none"/>
        </w:rPr>
        <w:t>安全文明施工</w:t>
      </w:r>
      <w:bookmarkEnd w:id="445"/>
      <w:bookmarkEnd w:id="446"/>
      <w:bookmarkEnd w:id="447"/>
      <w:bookmarkEnd w:id="448"/>
      <w:bookmarkEnd w:id="449"/>
      <w:bookmarkEnd w:id="450"/>
      <w:bookmarkEnd w:id="451"/>
    </w:p>
    <w:p w14:paraId="7C2DB707">
      <w:pPr>
        <w:pStyle w:val="230"/>
        <w:spacing w:line="400" w:lineRule="exact"/>
        <w:ind w:firstLine="420" w:firstLineChars="200"/>
        <w:jc w:val="left"/>
        <w:rPr>
          <w:rFonts w:hint="eastAsia" w:ascii="宋体" w:hAnsi="宋体" w:cs="宋体"/>
          <w:color w:val="auto"/>
          <w:szCs w:val="21"/>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ascii="宋体" w:hAnsi="宋体" w:cs="宋体"/>
          <w:color w:val="auto"/>
          <w:szCs w:val="21"/>
          <w:highlight w:val="none"/>
          <w:u w:val="single"/>
        </w:rPr>
        <w:t xml:space="preserve">承包人应严格按桂建质[2015]16号文《广西壮族自治区建筑工程安全防护、文明施工措施费及管理细则》和南建质安[2013]22号文《关于印发&lt;南宁市建设工程安全防护、文明施工措施费用管理规定&gt;的通知》等法律、法规采取安全措施、组织施工，如发生事故、发生的一切责任与后果均由承包人承担   </w:t>
      </w:r>
      <w:r>
        <w:rPr>
          <w:rFonts w:hint="eastAsia" w:ascii="宋体" w:hAnsi="宋体" w:cs="宋体"/>
          <w:color w:val="auto"/>
          <w:szCs w:val="21"/>
          <w:highlight w:val="none"/>
        </w:rPr>
        <w:t>。</w:t>
      </w:r>
    </w:p>
    <w:p w14:paraId="4DC37E2C">
      <w:pPr>
        <w:spacing w:line="360" w:lineRule="auto"/>
        <w:ind w:firstLine="420" w:firstLineChars="200"/>
        <w:jc w:val="left"/>
        <w:rPr>
          <w:rFonts w:hAnsi="宋体"/>
          <w:color w:val="auto"/>
          <w:highlight w:val="none"/>
        </w:rPr>
      </w:pPr>
      <w:r>
        <w:rPr>
          <w:rFonts w:hint="eastAsia" w:hAnsi="宋体" w:cs="宋体"/>
          <w:color w:val="auto"/>
          <w:highlight w:val="none"/>
        </w:rPr>
        <w:t>。</w:t>
      </w:r>
    </w:p>
    <w:p w14:paraId="44C06BD8">
      <w:pPr>
        <w:spacing w:line="360" w:lineRule="auto"/>
        <w:ind w:firstLine="420" w:firstLineChars="200"/>
        <w:jc w:val="left"/>
        <w:rPr>
          <w:rFonts w:hint="eastAsia"/>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rPr>
        <w:t>。</w:t>
      </w:r>
    </w:p>
    <w:p w14:paraId="65F6CAC2">
      <w:pPr>
        <w:pStyle w:val="230"/>
        <w:spacing w:line="400" w:lineRule="exact"/>
        <w:ind w:firstLine="420" w:firstLineChars="200"/>
        <w:jc w:val="left"/>
        <w:rPr>
          <w:rFonts w:hint="eastAsia" w:ascii="宋体" w:hAnsi="宋体" w:cs="宋体"/>
          <w:color w:val="auto"/>
          <w:szCs w:val="21"/>
          <w:highlight w:val="none"/>
        </w:rPr>
      </w:pPr>
      <w:r>
        <w:rPr>
          <w:color w:val="auto"/>
          <w:highlight w:val="none"/>
        </w:rPr>
        <w:t xml:space="preserve">6.1.4 </w:t>
      </w:r>
      <w:r>
        <w:rPr>
          <w:rFonts w:hint="eastAsia" w:hAnsi="宋体" w:cs="宋体"/>
          <w:color w:val="auto"/>
          <w:highlight w:val="none"/>
        </w:rPr>
        <w:t>关于治安保卫的特别约定：</w:t>
      </w:r>
      <w:r>
        <w:rPr>
          <w:rFonts w:hint="eastAsia" w:ascii="宋体" w:hAnsi="宋体" w:cs="宋体"/>
          <w:color w:val="auto"/>
          <w:szCs w:val="21"/>
          <w:highlight w:val="none"/>
          <w:u w:val="single"/>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r>
        <w:rPr>
          <w:rFonts w:hint="eastAsia" w:ascii="宋体" w:hAnsi="宋体" w:cs="宋体"/>
          <w:color w:val="auto"/>
          <w:szCs w:val="21"/>
          <w:highlight w:val="none"/>
        </w:rPr>
        <w:t>。</w:t>
      </w:r>
    </w:p>
    <w:p w14:paraId="18836325">
      <w:pPr>
        <w:spacing w:line="360" w:lineRule="auto"/>
        <w:ind w:firstLine="420" w:firstLineChars="200"/>
        <w:jc w:val="left"/>
        <w:rPr>
          <w:color w:val="auto"/>
          <w:highlight w:val="none"/>
          <w:u w:val="single"/>
        </w:rPr>
      </w:pPr>
    </w:p>
    <w:p w14:paraId="4722329D">
      <w:pPr>
        <w:pStyle w:val="227"/>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rFonts w:hint="eastAsia" w:ascii="宋体" w:hAnsi="宋体" w:cs="宋体"/>
          <w:color w:val="auto"/>
          <w:szCs w:val="21"/>
          <w:highlight w:val="none"/>
          <w:u w:val="single"/>
        </w:rPr>
        <w:t xml:space="preserve">  由承包人编制 </w:t>
      </w:r>
      <w:r>
        <w:rPr>
          <w:rFonts w:hint="eastAsia" w:hAnsi="宋体"/>
          <w:color w:val="auto"/>
          <w:szCs w:val="21"/>
          <w:highlight w:val="none"/>
        </w:rPr>
        <w:t>。</w:t>
      </w:r>
    </w:p>
    <w:p w14:paraId="1F925456">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50C564D5">
      <w:pPr>
        <w:widowControl/>
        <w:shd w:val="clear" w:color="auto" w:fill="FFFFFF"/>
        <w:spacing w:line="530" w:lineRule="exact"/>
        <w:ind w:firstLine="420" w:firstLineChars="200"/>
        <w:jc w:val="left"/>
        <w:outlineLvl w:val="1"/>
        <w:rPr>
          <w:rFonts w:ascii="宋体" w:hAnsi="宋体"/>
          <w:color w:val="auto"/>
          <w:szCs w:val="21"/>
          <w:highlight w:val="none"/>
        </w:rPr>
      </w:pPr>
      <w:r>
        <w:rPr>
          <w:rFonts w:hint="eastAsia" w:hAnsi="宋体" w:cs="宋体"/>
          <w:color w:val="auto"/>
          <w:highlight w:val="none"/>
        </w:rPr>
        <w:t>合同当事人对文明施工的要求：</w:t>
      </w:r>
      <w:r>
        <w:rPr>
          <w:rFonts w:hint="eastAsia" w:ascii="宋体" w:hAnsi="宋体"/>
          <w:color w:val="auto"/>
          <w:szCs w:val="21"/>
          <w:highlight w:val="none"/>
        </w:rPr>
        <w:t>严格执行《大气污染防治法》（主席令第三十一号）、《广西壮族自治区建筑工程安全生产管理办法》（广西壮族自治区人民政府令第124号）、《南宁市建设工程质量和安全生产管理办法》（南宁市政府令第 46 号）、《关于推进建筑业改革发展提升工程治理水平的若干意见》（南府规[2016]24 号）、《南宁市土方作业文明施工工作导则》、《南宁市建设工程质量安全标准化图集》、《广西壮族自治区建设工程安全文明施工费使用管理细则》（桂建质[2015]16 号）、《南宁市建设工程施工现场管理若干规定》（南宁市人民政府令 第8号）、《〈南宁市建设工程施工现场管理若干规定〉贯彻实施工作方案》(南府办函[2018]375号)的有关规定，必须与经城管部门及行业协会核查建立的合法合规运输企业名录当中的企业签订运输合同，保证车辆受管控、服务够专业、利益分配较合理；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21611C3D">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423D71A0">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157BC898">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int="eastAsia" w:hAnsi="宋体"/>
          <w:color w:val="auto"/>
          <w:kern w:val="0"/>
          <w:highlight w:val="none"/>
          <w:u w:val="single"/>
        </w:rPr>
        <w:t>南宁</w:t>
      </w:r>
      <w:r>
        <w:rPr>
          <w:rFonts w:hint="eastAsia" w:hAnsi="宋体" w:cs="宋体"/>
          <w:color w:val="auto"/>
          <w:kern w:val="0"/>
          <w:highlight w:val="none"/>
        </w:rPr>
        <w:t>市相关规定执行。</w:t>
      </w:r>
    </w:p>
    <w:p w14:paraId="28624579">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ascii="宋体" w:hAnsi="宋体" w:eastAsia="宋体" w:cs="宋体"/>
          <w:color w:val="auto"/>
          <w:kern w:val="0"/>
          <w:sz w:val="21"/>
          <w:szCs w:val="21"/>
          <w:highlight w:val="none"/>
        </w:rPr>
        <w:t>在本合同签订后 15个工作日内，预付安全文明施工费总额的50%，其余部分与进度款同期支付，安全文明施工费预付款在</w:t>
      </w:r>
      <w:r>
        <w:rPr>
          <w:rFonts w:hint="eastAsia" w:ascii="宋体" w:hAnsi="宋体" w:cs="宋体"/>
          <w:color w:val="auto"/>
          <w:kern w:val="0"/>
          <w:sz w:val="21"/>
          <w:szCs w:val="21"/>
          <w:highlight w:val="none"/>
          <w:lang w:eastAsia="zh-CN"/>
        </w:rPr>
        <w:t>支付最后一笔</w:t>
      </w:r>
      <w:r>
        <w:rPr>
          <w:rFonts w:hint="eastAsia" w:ascii="宋体" w:hAnsi="宋体" w:eastAsia="宋体" w:cs="宋体"/>
          <w:color w:val="auto"/>
          <w:kern w:val="0"/>
          <w:sz w:val="21"/>
          <w:szCs w:val="21"/>
          <w:highlight w:val="none"/>
        </w:rPr>
        <w:t>工程进度款时扣</w:t>
      </w:r>
      <w:r>
        <w:rPr>
          <w:rFonts w:hint="eastAsia" w:ascii="宋体" w:hAnsi="宋体" w:cs="宋体"/>
          <w:color w:val="auto"/>
          <w:kern w:val="0"/>
          <w:sz w:val="21"/>
          <w:szCs w:val="21"/>
          <w:highlight w:val="none"/>
          <w:lang w:eastAsia="zh-CN"/>
        </w:rPr>
        <w:t>回</w:t>
      </w:r>
      <w:r>
        <w:rPr>
          <w:rFonts w:hint="eastAsia" w:ascii="宋体" w:hAnsi="宋体" w:eastAsia="宋体" w:cs="宋体"/>
          <w:color w:val="auto"/>
          <w:kern w:val="0"/>
          <w:sz w:val="21"/>
          <w:szCs w:val="21"/>
          <w:highlight w:val="none"/>
        </w:rPr>
        <w:t>。</w:t>
      </w:r>
    </w:p>
    <w:p w14:paraId="52F89BBF">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51555EB6">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2638AA30">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7F059952">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180D2928">
      <w:pPr>
        <w:spacing w:line="360" w:lineRule="auto"/>
        <w:ind w:firstLine="420" w:firstLineChars="200"/>
        <w:jc w:val="left"/>
        <w:rPr>
          <w:rFonts w:hAnsi="宋体" w:cs="宋体"/>
          <w:color w:val="auto"/>
          <w:kern w:val="0"/>
          <w:highlight w:val="none"/>
        </w:rPr>
      </w:pPr>
      <w:r>
        <w:rPr>
          <w:color w:val="auto"/>
          <w:highlight w:val="none"/>
        </w:rPr>
        <w:t>6.1.</w:t>
      </w:r>
      <w:r>
        <w:rPr>
          <w:rFonts w:hint="eastAsia"/>
          <w:color w:val="auto"/>
          <w:highlight w:val="none"/>
          <w:lang w:val="en-US" w:eastAsia="zh-CN"/>
        </w:rPr>
        <w:t>7</w:t>
      </w:r>
      <w:r>
        <w:rPr>
          <w:rFonts w:hAnsi="宋体" w:cs="宋体"/>
          <w:color w:val="auto"/>
          <w:kern w:val="0"/>
          <w:highlight w:val="none"/>
        </w:rPr>
        <w:t>关于安全</w:t>
      </w:r>
      <w:r>
        <w:rPr>
          <w:rFonts w:hint="eastAsia" w:hAnsi="宋体" w:cs="宋体"/>
          <w:color w:val="auto"/>
          <w:kern w:val="0"/>
          <w:highlight w:val="none"/>
        </w:rPr>
        <w:t>生产</w:t>
      </w:r>
      <w:r>
        <w:rPr>
          <w:rFonts w:hint="eastAsia" w:hAnsi="宋体" w:cs="宋体"/>
          <w:color w:val="auto"/>
          <w:kern w:val="0"/>
          <w:highlight w:val="none"/>
          <w:lang w:val="en-US" w:eastAsia="zh-CN"/>
        </w:rPr>
        <w:t>责任险</w:t>
      </w:r>
      <w:r>
        <w:rPr>
          <w:rFonts w:hAnsi="宋体" w:cs="宋体"/>
          <w:color w:val="auto"/>
          <w:kern w:val="0"/>
          <w:highlight w:val="none"/>
        </w:rPr>
        <w:t>的约定：</w:t>
      </w:r>
    </w:p>
    <w:p w14:paraId="44525A87">
      <w:pPr>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安全生产责任保险费按分部分项工程费及措施项目费(含单价及总价措施项目费)为计算基数乘以0.2</w:t>
      </w:r>
      <w:r>
        <w:rPr>
          <w:rFonts w:hint="eastAsia" w:hAnsi="宋体" w:cs="宋体"/>
          <w:color w:val="auto"/>
          <w:kern w:val="0"/>
          <w:highlight w:val="none"/>
          <w:lang w:val="en-US" w:eastAsia="zh-CN"/>
        </w:rPr>
        <w:t>%</w:t>
      </w:r>
      <w:r>
        <w:rPr>
          <w:rFonts w:hint="eastAsia" w:hAnsi="宋体" w:cs="宋体"/>
          <w:color w:val="auto"/>
          <w:kern w:val="0"/>
          <w:highlight w:val="none"/>
        </w:rPr>
        <w:t>计入暂估价，工程结算时，由发承包双方根据工程实际情况确认的安全生产责任保险费计入工程造价。</w:t>
      </w:r>
    </w:p>
    <w:p w14:paraId="08722AD6">
      <w:pPr>
        <w:pStyle w:val="7"/>
        <w:rPr>
          <w:color w:val="auto"/>
          <w:highlight w:val="none"/>
        </w:rPr>
      </w:pPr>
      <w:bookmarkStart w:id="452" w:name="_Toc1922268668"/>
      <w:bookmarkStart w:id="453" w:name="_Toc78449809"/>
      <w:bookmarkStart w:id="454" w:name="_Toc1519050792"/>
      <w:bookmarkStart w:id="455" w:name="_Toc407135223"/>
      <w:bookmarkStart w:id="456" w:name="_Toc389065287"/>
      <w:bookmarkStart w:id="457" w:name="_Toc373478368"/>
      <w:bookmarkStart w:id="458" w:name="_Toc373227721"/>
      <w:r>
        <w:rPr>
          <w:color w:val="auto"/>
          <w:highlight w:val="none"/>
        </w:rPr>
        <w:t xml:space="preserve">6.3 </w:t>
      </w:r>
      <w:r>
        <w:rPr>
          <w:rFonts w:hint="eastAsia" w:hAnsi="宋体" w:cs="黑体"/>
          <w:color w:val="auto"/>
          <w:highlight w:val="none"/>
        </w:rPr>
        <w:t>环境保护</w:t>
      </w:r>
      <w:bookmarkEnd w:id="452"/>
      <w:bookmarkEnd w:id="453"/>
      <w:bookmarkEnd w:id="454"/>
      <w:bookmarkEnd w:id="455"/>
      <w:bookmarkEnd w:id="456"/>
      <w:bookmarkEnd w:id="457"/>
      <w:bookmarkEnd w:id="458"/>
    </w:p>
    <w:p w14:paraId="1493943A">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7C15FD0C">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430"/>
    <w:bookmarkEnd w:id="431"/>
    <w:bookmarkEnd w:id="432"/>
    <w:bookmarkEnd w:id="433"/>
    <w:bookmarkEnd w:id="434"/>
    <w:bookmarkEnd w:id="435"/>
    <w:bookmarkEnd w:id="436"/>
    <w:p w14:paraId="6916623E">
      <w:pPr>
        <w:pStyle w:val="6"/>
        <w:rPr>
          <w:color w:val="auto"/>
          <w:highlight w:val="none"/>
        </w:rPr>
      </w:pPr>
      <w:bookmarkStart w:id="459" w:name="_Toc407135224"/>
      <w:bookmarkStart w:id="460" w:name="_Toc78449810"/>
      <w:bookmarkStart w:id="461" w:name="_Toc389065288"/>
      <w:bookmarkStart w:id="462" w:name="_Toc1408286886"/>
      <w:bookmarkStart w:id="463" w:name="_Toc315674767"/>
      <w:bookmarkStart w:id="464" w:name="_Toc373478369"/>
      <w:bookmarkStart w:id="465" w:name="_Toc351203639"/>
      <w:bookmarkStart w:id="466" w:name="_Toc373227722"/>
      <w:r>
        <w:rPr>
          <w:color w:val="auto"/>
          <w:highlight w:val="none"/>
        </w:rPr>
        <w:t xml:space="preserve">7. </w:t>
      </w:r>
      <w:r>
        <w:rPr>
          <w:rFonts w:hint="eastAsia" w:cs="黑体"/>
          <w:color w:val="auto"/>
          <w:highlight w:val="none"/>
        </w:rPr>
        <w:t>工期和进度</w:t>
      </w:r>
      <w:bookmarkEnd w:id="459"/>
      <w:bookmarkEnd w:id="460"/>
      <w:bookmarkEnd w:id="461"/>
      <w:bookmarkEnd w:id="462"/>
      <w:bookmarkEnd w:id="463"/>
      <w:bookmarkEnd w:id="464"/>
      <w:bookmarkEnd w:id="465"/>
      <w:bookmarkEnd w:id="466"/>
    </w:p>
    <w:p w14:paraId="7079E0BA">
      <w:pPr>
        <w:pStyle w:val="7"/>
        <w:rPr>
          <w:color w:val="auto"/>
          <w:highlight w:val="none"/>
        </w:rPr>
      </w:pPr>
      <w:bookmarkStart w:id="467" w:name="_Toc78449811"/>
      <w:bookmarkStart w:id="468" w:name="_Toc389065289"/>
      <w:bookmarkStart w:id="469" w:name="_Toc1194482517"/>
      <w:bookmarkStart w:id="470" w:name="_Toc664905709"/>
      <w:bookmarkStart w:id="471" w:name="_Toc407135225"/>
      <w:bookmarkStart w:id="472" w:name="_Toc373478370"/>
      <w:bookmarkStart w:id="473" w:name="_Toc373227723"/>
      <w:r>
        <w:rPr>
          <w:color w:val="auto"/>
          <w:highlight w:val="none"/>
        </w:rPr>
        <w:t xml:space="preserve">7.1 </w:t>
      </w:r>
      <w:r>
        <w:rPr>
          <w:rFonts w:hint="eastAsia" w:cs="黑体"/>
          <w:color w:val="auto"/>
          <w:highlight w:val="none"/>
        </w:rPr>
        <w:t>施工组织设计</w:t>
      </w:r>
      <w:bookmarkEnd w:id="467"/>
      <w:bookmarkEnd w:id="468"/>
      <w:bookmarkEnd w:id="469"/>
      <w:bookmarkEnd w:id="470"/>
      <w:bookmarkEnd w:id="471"/>
      <w:bookmarkEnd w:id="472"/>
      <w:bookmarkEnd w:id="473"/>
    </w:p>
    <w:p w14:paraId="5FD95FD4">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rFonts w:hint="eastAsia" w:ascii="新宋体" w:hAnsi="新宋体" w:eastAsia="新宋体" w:cs="新宋体"/>
          <w:color w:val="auto"/>
          <w:spacing w:val="2"/>
          <w:szCs w:val="21"/>
          <w:highlight w:val="none"/>
          <w:u w:val="single"/>
        </w:rPr>
        <w:t>按通用条款第 7.1.1 条执行</w:t>
      </w:r>
      <w:r>
        <w:rPr>
          <w:rFonts w:hint="eastAsia" w:hAnsi="宋体" w:cs="宋体"/>
          <w:color w:val="auto"/>
          <w:highlight w:val="none"/>
        </w:rPr>
        <w:t>。</w:t>
      </w:r>
    </w:p>
    <w:p w14:paraId="071CFBCE">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1C4A73D0">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rFonts w:hint="eastAsia" w:ascii="新宋体" w:hAnsi="新宋体" w:eastAsia="新宋体" w:cs="新宋体"/>
          <w:color w:val="auto"/>
          <w:spacing w:val="2"/>
          <w:szCs w:val="21"/>
          <w:highlight w:val="none"/>
          <w:u w:val="single"/>
        </w:rPr>
        <w:t>开工前 7 天内</w:t>
      </w:r>
      <w:r>
        <w:rPr>
          <w:rFonts w:hint="eastAsia" w:hAnsi="宋体" w:cs="宋体"/>
          <w:color w:val="auto"/>
          <w:highlight w:val="none"/>
        </w:rPr>
        <w:t>。</w:t>
      </w:r>
    </w:p>
    <w:p w14:paraId="447ABA99">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rFonts w:hint="eastAsia" w:ascii="宋体" w:hAnsi="宋体"/>
          <w:color w:val="auto"/>
          <w:szCs w:val="21"/>
          <w:highlight w:val="none"/>
          <w:u w:val="single"/>
        </w:rPr>
        <w:t>收到后7天内</w:t>
      </w:r>
      <w:r>
        <w:rPr>
          <w:rFonts w:hint="eastAsia" w:hAnsi="宋体" w:cs="宋体"/>
          <w:color w:val="auto"/>
          <w:highlight w:val="none"/>
        </w:rPr>
        <w:t>。</w:t>
      </w:r>
    </w:p>
    <w:p w14:paraId="529AE4AF">
      <w:pPr>
        <w:pStyle w:val="7"/>
        <w:rPr>
          <w:color w:val="auto"/>
          <w:highlight w:val="none"/>
        </w:rPr>
      </w:pPr>
      <w:bookmarkStart w:id="474" w:name="_Toc1674747833"/>
      <w:bookmarkStart w:id="475" w:name="_Toc373227724"/>
      <w:bookmarkStart w:id="476" w:name="_Toc373478371"/>
      <w:bookmarkStart w:id="477" w:name="_Toc407135226"/>
      <w:bookmarkStart w:id="478" w:name="_Toc78449812"/>
      <w:bookmarkStart w:id="479" w:name="_Toc1393005721"/>
      <w:bookmarkStart w:id="480" w:name="_Toc389065290"/>
      <w:r>
        <w:rPr>
          <w:color w:val="auto"/>
          <w:highlight w:val="none"/>
        </w:rPr>
        <w:t>7</w:t>
      </w:r>
      <w:bookmarkStart w:id="481" w:name="_Toc300934966"/>
      <w:bookmarkStart w:id="482" w:name="_Toc297123514"/>
      <w:bookmarkStart w:id="483" w:name="_Toc312678005"/>
      <w:bookmarkStart w:id="484" w:name="_Toc297216173"/>
      <w:bookmarkStart w:id="485" w:name="_Toc303539123"/>
      <w:bookmarkStart w:id="486" w:name="_Toc312677479"/>
      <w:bookmarkStart w:id="487" w:name="_Toc304295541"/>
      <w:r>
        <w:rPr>
          <w:color w:val="auto"/>
          <w:highlight w:val="none"/>
        </w:rPr>
        <w:t xml:space="preserve">.2 </w:t>
      </w:r>
      <w:r>
        <w:rPr>
          <w:rFonts w:hint="eastAsia" w:cs="黑体"/>
          <w:color w:val="auto"/>
          <w:highlight w:val="none"/>
        </w:rPr>
        <w:t>施工进度计划</w:t>
      </w:r>
      <w:bookmarkEnd w:id="474"/>
      <w:bookmarkEnd w:id="475"/>
      <w:bookmarkEnd w:id="476"/>
      <w:bookmarkEnd w:id="477"/>
      <w:bookmarkEnd w:id="478"/>
      <w:bookmarkEnd w:id="479"/>
      <w:bookmarkEnd w:id="480"/>
    </w:p>
    <w:p w14:paraId="515DEAA8">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6CB2D9D9">
      <w:pPr>
        <w:pStyle w:val="227"/>
        <w:spacing w:line="360" w:lineRule="auto"/>
        <w:ind w:firstLine="420" w:firstLineChars="200"/>
        <w:jc w:val="left"/>
        <w:rPr>
          <w:color w:val="auto"/>
          <w:szCs w:val="21"/>
          <w:highlight w:val="none"/>
        </w:rPr>
      </w:pPr>
      <w:r>
        <w:rPr>
          <w:rFonts w:hint="eastAsia" w:hAnsi="宋体" w:cs="宋体"/>
          <w:color w:val="auto"/>
          <w:highlight w:val="none"/>
        </w:rPr>
        <w:t>发包人和监理人在收到修订的施工进度计划后确认或提出修改意见的期限：</w:t>
      </w:r>
      <w:r>
        <w:rPr>
          <w:rFonts w:hint="eastAsia" w:ascii="宋体" w:hAnsi="宋体"/>
          <w:color w:val="auto"/>
          <w:szCs w:val="21"/>
          <w:highlight w:val="none"/>
          <w:u w:val="single"/>
        </w:rPr>
        <w:t>收到后7天内</w:t>
      </w:r>
      <w:r>
        <w:rPr>
          <w:rFonts w:hint="eastAsia" w:hAnsi="宋体"/>
          <w:color w:val="auto"/>
          <w:szCs w:val="21"/>
          <w:highlight w:val="none"/>
        </w:rPr>
        <w:t>。</w:t>
      </w:r>
    </w:p>
    <w:p w14:paraId="2552A7FF">
      <w:pPr>
        <w:pStyle w:val="7"/>
        <w:rPr>
          <w:color w:val="auto"/>
          <w:highlight w:val="none"/>
        </w:rPr>
      </w:pPr>
      <w:bookmarkStart w:id="488" w:name="_Toc78449813"/>
      <w:bookmarkStart w:id="489" w:name="_Toc1498273563"/>
      <w:bookmarkStart w:id="490" w:name="_Toc423062567"/>
      <w:bookmarkStart w:id="491" w:name="_Toc407135227"/>
      <w:bookmarkStart w:id="492" w:name="_Toc373227725"/>
      <w:bookmarkStart w:id="493" w:name="_Toc373478372"/>
      <w:bookmarkStart w:id="494" w:name="_Toc389065291"/>
      <w:r>
        <w:rPr>
          <w:color w:val="auto"/>
          <w:highlight w:val="none"/>
        </w:rPr>
        <w:t xml:space="preserve">7.3 </w:t>
      </w:r>
      <w:r>
        <w:rPr>
          <w:rFonts w:hint="eastAsia" w:cs="黑体"/>
          <w:color w:val="auto"/>
          <w:highlight w:val="none"/>
        </w:rPr>
        <w:t>开工</w:t>
      </w:r>
      <w:bookmarkEnd w:id="488"/>
      <w:bookmarkEnd w:id="489"/>
      <w:bookmarkEnd w:id="490"/>
      <w:bookmarkEnd w:id="491"/>
      <w:bookmarkEnd w:id="492"/>
      <w:bookmarkEnd w:id="493"/>
      <w:bookmarkEnd w:id="494"/>
    </w:p>
    <w:p w14:paraId="29E4B203">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1CD07F4B">
      <w:pPr>
        <w:pStyle w:val="227"/>
        <w:spacing w:line="360" w:lineRule="auto"/>
        <w:ind w:firstLine="426"/>
        <w:jc w:val="left"/>
        <w:rPr>
          <w:color w:val="auto"/>
          <w:szCs w:val="21"/>
          <w:highlight w:val="none"/>
          <w:u w:val="single"/>
        </w:rPr>
      </w:pPr>
      <w:r>
        <w:rPr>
          <w:rFonts w:hint="eastAsia" w:hAnsi="宋体"/>
          <w:color w:val="auto"/>
          <w:szCs w:val="21"/>
          <w:highlight w:val="none"/>
        </w:rPr>
        <w:t>关于承包人提交</w:t>
      </w:r>
      <w:r>
        <w:rPr>
          <w:rFonts w:hint="eastAsia" w:hAnsi="宋体"/>
          <w:color w:val="auto"/>
          <w:kern w:val="0"/>
          <w:szCs w:val="21"/>
          <w:highlight w:val="none"/>
        </w:rPr>
        <w:t>工程开工报审表的期限：</w:t>
      </w:r>
      <w:r>
        <w:rPr>
          <w:rFonts w:hint="eastAsia" w:ascii="新宋体" w:hAnsi="新宋体" w:eastAsia="新宋体" w:cs="新宋体"/>
          <w:color w:val="auto"/>
          <w:spacing w:val="2"/>
          <w:szCs w:val="21"/>
          <w:highlight w:val="none"/>
          <w:u w:val="single"/>
        </w:rPr>
        <w:t xml:space="preserve">开工前7天内  </w:t>
      </w:r>
      <w:r>
        <w:rPr>
          <w:rFonts w:hint="eastAsia" w:hAnsi="宋体"/>
          <w:color w:val="auto"/>
          <w:szCs w:val="21"/>
          <w:highlight w:val="none"/>
        </w:rPr>
        <w:t>。</w:t>
      </w:r>
    </w:p>
    <w:p w14:paraId="62ADA40A">
      <w:pPr>
        <w:pStyle w:val="227"/>
        <w:spacing w:line="360" w:lineRule="auto"/>
        <w:ind w:firstLine="426"/>
        <w:jc w:val="left"/>
        <w:rPr>
          <w:color w:val="auto"/>
          <w:szCs w:val="21"/>
          <w:highlight w:val="none"/>
          <w:u w:val="single"/>
        </w:rPr>
      </w:pPr>
      <w:r>
        <w:rPr>
          <w:rFonts w:hint="eastAsia" w:hAnsi="宋体"/>
          <w:color w:val="auto"/>
          <w:szCs w:val="21"/>
          <w:highlight w:val="none"/>
        </w:rPr>
        <w:t>关于发包人应完成的其他开工准备工作及期限：</w:t>
      </w:r>
      <w:r>
        <w:rPr>
          <w:rFonts w:hint="eastAsia" w:ascii="宋体" w:hAnsi="宋体"/>
          <w:color w:val="auto"/>
          <w:szCs w:val="21"/>
          <w:highlight w:val="none"/>
          <w:u w:val="single"/>
        </w:rPr>
        <w:t>开工前7天内</w:t>
      </w:r>
      <w:r>
        <w:rPr>
          <w:rFonts w:hint="eastAsia" w:hAnsi="宋体"/>
          <w:color w:val="auto"/>
          <w:szCs w:val="21"/>
          <w:highlight w:val="none"/>
        </w:rPr>
        <w:t>。</w:t>
      </w:r>
    </w:p>
    <w:p w14:paraId="146CD741">
      <w:pPr>
        <w:pStyle w:val="227"/>
        <w:spacing w:line="360" w:lineRule="auto"/>
        <w:ind w:firstLine="420" w:firstLineChars="200"/>
        <w:jc w:val="left"/>
        <w:rPr>
          <w:rFonts w:hint="eastAsia" w:hAnsi="宋体"/>
          <w:color w:val="auto"/>
          <w:szCs w:val="21"/>
          <w:highlight w:val="none"/>
        </w:rPr>
      </w:pPr>
      <w:r>
        <w:rPr>
          <w:rFonts w:hint="eastAsia" w:hAnsi="宋体"/>
          <w:color w:val="auto"/>
          <w:szCs w:val="21"/>
          <w:highlight w:val="none"/>
        </w:rPr>
        <w:t>关于承包人应完成的其他开工准备工作及期限：</w:t>
      </w:r>
      <w:r>
        <w:rPr>
          <w:rFonts w:hint="eastAsia" w:ascii="宋体" w:hAnsi="宋体"/>
          <w:color w:val="auto"/>
          <w:szCs w:val="21"/>
          <w:highlight w:val="none"/>
          <w:u w:val="single"/>
        </w:rPr>
        <w:t>开工前7天内</w:t>
      </w:r>
      <w:r>
        <w:rPr>
          <w:rFonts w:hint="eastAsia" w:hAnsi="宋体"/>
          <w:color w:val="auto"/>
          <w:szCs w:val="21"/>
          <w:highlight w:val="none"/>
        </w:rPr>
        <w:t>。</w:t>
      </w:r>
    </w:p>
    <w:p w14:paraId="41F5E4F7">
      <w:pPr>
        <w:pStyle w:val="227"/>
        <w:spacing w:line="360" w:lineRule="auto"/>
        <w:ind w:firstLine="420" w:firstLineChars="200"/>
        <w:jc w:val="left"/>
        <w:rPr>
          <w:rFonts w:hint="eastAsia" w:hAnsi="宋体"/>
          <w:color w:val="auto"/>
          <w:szCs w:val="21"/>
          <w:highlight w:val="none"/>
        </w:rPr>
      </w:pPr>
      <w:r>
        <w:rPr>
          <w:rFonts w:hint="eastAsia" w:ascii="宋体" w:hAnsi="宋体" w:cs="宋体"/>
          <w:color w:val="auto"/>
          <w:szCs w:val="21"/>
          <w:highlight w:val="none"/>
          <w:u w:val="single"/>
        </w:rPr>
        <w:t xml:space="preserve">开工前完成临时设施的搭设；开工前完成施工组织设计、施工方案及施工进度计划；项目经理部的组建 </w:t>
      </w:r>
    </w:p>
    <w:p w14:paraId="523EAB57">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0A919C36">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30</w:t>
      </w:r>
      <w:r>
        <w:rPr>
          <w:rFonts w:hint="eastAsia" w:hAnsi="宋体" w:cs="宋体"/>
          <w:color w:val="auto"/>
          <w:highlight w:val="none"/>
        </w:rPr>
        <w:t>天内发出开工通知的，承包人有权提出价格调整要求，或者解除合同。</w:t>
      </w:r>
    </w:p>
    <w:bookmarkEnd w:id="481"/>
    <w:bookmarkEnd w:id="482"/>
    <w:bookmarkEnd w:id="483"/>
    <w:bookmarkEnd w:id="484"/>
    <w:bookmarkEnd w:id="485"/>
    <w:bookmarkEnd w:id="486"/>
    <w:bookmarkEnd w:id="487"/>
    <w:p w14:paraId="5B2AD973">
      <w:pPr>
        <w:pStyle w:val="7"/>
        <w:rPr>
          <w:color w:val="auto"/>
          <w:highlight w:val="none"/>
        </w:rPr>
      </w:pPr>
      <w:bookmarkStart w:id="495" w:name="_Toc373227726"/>
      <w:bookmarkStart w:id="496" w:name="_Toc407135228"/>
      <w:bookmarkStart w:id="497" w:name="_Toc373478373"/>
      <w:bookmarkStart w:id="498" w:name="_Toc741356765"/>
      <w:bookmarkStart w:id="499" w:name="_Toc86855608"/>
      <w:bookmarkStart w:id="500" w:name="_Toc389065292"/>
      <w:bookmarkStart w:id="501" w:name="_Toc78449814"/>
      <w:r>
        <w:rPr>
          <w:color w:val="auto"/>
          <w:highlight w:val="none"/>
        </w:rPr>
        <w:t xml:space="preserve">7.4 </w:t>
      </w:r>
      <w:r>
        <w:rPr>
          <w:rFonts w:hint="eastAsia" w:hAnsi="宋体" w:cs="黑体"/>
          <w:color w:val="auto"/>
          <w:highlight w:val="none"/>
        </w:rPr>
        <w:t>测量放线</w:t>
      </w:r>
      <w:bookmarkEnd w:id="495"/>
      <w:bookmarkEnd w:id="496"/>
      <w:bookmarkEnd w:id="497"/>
      <w:bookmarkEnd w:id="498"/>
      <w:bookmarkEnd w:id="499"/>
      <w:bookmarkEnd w:id="500"/>
      <w:bookmarkEnd w:id="501"/>
    </w:p>
    <w:p w14:paraId="60E28F43">
      <w:pPr>
        <w:pStyle w:val="227"/>
        <w:spacing w:line="360" w:lineRule="auto"/>
        <w:ind w:firstLine="420" w:firstLineChars="200"/>
        <w:jc w:val="left"/>
        <w:rPr>
          <w:color w:val="auto"/>
          <w:szCs w:val="21"/>
          <w:highlight w:val="none"/>
          <w:u w:val="singl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bookmarkStart w:id="502" w:name="_Toc373478374"/>
      <w:bookmarkStart w:id="503" w:name="_Toc373227727"/>
      <w:bookmarkStart w:id="504" w:name="_Toc389065293"/>
      <w:bookmarkStart w:id="505" w:name="_Toc1417437583"/>
      <w:bookmarkStart w:id="506" w:name="_Toc78449815"/>
      <w:bookmarkStart w:id="507" w:name="_Toc1863025072"/>
      <w:bookmarkStart w:id="508" w:name="_Toc407135229"/>
      <w:r>
        <w:rPr>
          <w:rFonts w:hint="eastAsia" w:ascii="新宋体" w:hAnsi="新宋体" w:eastAsia="新宋体" w:cs="新宋体"/>
          <w:color w:val="auto"/>
          <w:spacing w:val="2"/>
          <w:szCs w:val="21"/>
          <w:highlight w:val="none"/>
          <w:u w:val="single"/>
        </w:rPr>
        <w:t>开工前 7 日内承包人发现发包人资料明显错误和疏忽的要及时通知监理人。否则因发包人资料错误造成承包人放线及施工损失的由承包人自行承担</w:t>
      </w:r>
      <w:r>
        <w:rPr>
          <w:rFonts w:hint="eastAsia" w:hAnsi="宋体"/>
          <w:color w:val="auto"/>
          <w:szCs w:val="21"/>
          <w:highlight w:val="none"/>
        </w:rPr>
        <w:t>。</w:t>
      </w:r>
    </w:p>
    <w:p w14:paraId="19A63BE2">
      <w:pPr>
        <w:spacing w:line="360" w:lineRule="auto"/>
        <w:ind w:firstLine="420" w:firstLineChars="200"/>
        <w:jc w:val="left"/>
        <w:rPr>
          <w:color w:val="auto"/>
          <w:highlight w:val="none"/>
        </w:rPr>
      </w:pPr>
      <w:r>
        <w:rPr>
          <w:color w:val="auto"/>
          <w:highlight w:val="none"/>
        </w:rPr>
        <w:t>7</w:t>
      </w:r>
      <w:bookmarkStart w:id="509" w:name="_Toc312677484"/>
      <w:bookmarkStart w:id="510" w:name="_Toc312678010"/>
      <w:bookmarkStart w:id="511" w:name="_Toc300934968"/>
      <w:bookmarkStart w:id="512" w:name="_Toc303539125"/>
      <w:bookmarkStart w:id="513" w:name="_Toc297216175"/>
      <w:bookmarkStart w:id="514" w:name="_Toc304295546"/>
      <w:bookmarkStart w:id="515" w:name="_Toc297123516"/>
      <w:r>
        <w:rPr>
          <w:color w:val="auto"/>
          <w:highlight w:val="none"/>
        </w:rPr>
        <w:t xml:space="preserve">.5 </w:t>
      </w:r>
      <w:r>
        <w:rPr>
          <w:rFonts w:hint="eastAsia" w:hAnsi="宋体" w:cs="黑体"/>
          <w:color w:val="auto"/>
          <w:highlight w:val="none"/>
        </w:rPr>
        <w:t>工期延误</w:t>
      </w:r>
      <w:bookmarkEnd w:id="502"/>
      <w:bookmarkEnd w:id="503"/>
      <w:bookmarkEnd w:id="504"/>
      <w:bookmarkEnd w:id="505"/>
      <w:bookmarkEnd w:id="506"/>
      <w:bookmarkEnd w:id="507"/>
      <w:bookmarkEnd w:id="508"/>
    </w:p>
    <w:bookmarkEnd w:id="509"/>
    <w:bookmarkEnd w:id="510"/>
    <w:bookmarkEnd w:id="511"/>
    <w:bookmarkEnd w:id="512"/>
    <w:bookmarkEnd w:id="513"/>
    <w:bookmarkEnd w:id="514"/>
    <w:bookmarkEnd w:id="515"/>
    <w:p w14:paraId="6D2EBAD0">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542D9A1C">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086243DC">
      <w:pPr>
        <w:spacing w:line="360" w:lineRule="auto"/>
        <w:ind w:firstLine="420" w:firstLineChars="200"/>
        <w:jc w:val="left"/>
        <w:rPr>
          <w:color w:val="auto"/>
          <w:highlight w:val="none"/>
        </w:rPr>
      </w:pPr>
      <w:r>
        <w:rPr>
          <w:color w:val="auto"/>
          <w:highlight w:val="none"/>
        </w:rPr>
        <w:t>7</w:t>
      </w:r>
      <w:bookmarkStart w:id="516" w:name="_Toc312677486"/>
      <w:bookmarkStart w:id="517" w:name="_Toc312678012"/>
      <w:bookmarkStart w:id="518" w:name="_Toc318581169"/>
      <w:bookmarkStart w:id="519" w:name="_Toc297216177"/>
      <w:bookmarkStart w:id="520" w:name="_Toc303539127"/>
      <w:bookmarkStart w:id="521" w:name="_Toc300934970"/>
      <w:bookmarkStart w:id="522" w:name="_Toc304295548"/>
      <w:bookmarkStart w:id="523" w:name="_Toc297123518"/>
      <w:r>
        <w:rPr>
          <w:color w:val="auto"/>
          <w:highlight w:val="none"/>
        </w:rPr>
        <w:t xml:space="preserve">.5.2 </w:t>
      </w:r>
      <w:r>
        <w:rPr>
          <w:rFonts w:hint="eastAsia" w:hAnsi="宋体" w:cs="宋体"/>
          <w:color w:val="auto"/>
          <w:highlight w:val="none"/>
        </w:rPr>
        <w:t>因承包人原因导致工期延误</w:t>
      </w:r>
    </w:p>
    <w:bookmarkEnd w:id="516"/>
    <w:bookmarkEnd w:id="517"/>
    <w:bookmarkEnd w:id="518"/>
    <w:p w14:paraId="15EB81D3">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因承包人原因造成工期延误，逾期竣工违约金的计算方法为：</w:t>
      </w:r>
    </w:p>
    <w:p w14:paraId="49DD1DF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非上述原因，承包人不能按合同约定的时间竣工，承包人应承担违约责任。应向发包人支付误期赔偿费（赔偿费按逾期竣工的单项工程罚款，每延误一天,按单项工程结算造价扣除建安劳保费、发包人材料设备价款、暂估专业工程、暂列金额后的万分之五处罚,罚款直接从结算款中扣除。），误期时间从规定竣工日期起直到实际竣工日期的天数（扣除发包人批准顺延的工期）。发包人可从应向承包人支付的任何金额中扣除此项赔款费或其他方式收回此款，此赔偿款的支付并不能解除承包人应完成工程的责任或合同规定的其他责任 </w:t>
      </w:r>
      <w:r>
        <w:rPr>
          <w:rFonts w:hint="eastAsia" w:ascii="宋体" w:hAnsi="宋体" w:cs="宋体"/>
          <w:color w:val="auto"/>
          <w:szCs w:val="21"/>
          <w:highlight w:val="none"/>
        </w:rPr>
        <w:t>。</w:t>
      </w:r>
    </w:p>
    <w:p w14:paraId="7401692F">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因承包人原因造成工期延误，逾期竣工违约金的上限：</w:t>
      </w:r>
      <w:r>
        <w:rPr>
          <w:rFonts w:hint="eastAsia" w:ascii="宋体" w:hAnsi="宋体" w:cs="宋体"/>
          <w:color w:val="auto"/>
          <w:szCs w:val="21"/>
          <w:highlight w:val="none"/>
          <w:u w:val="single"/>
        </w:rPr>
        <w:t xml:space="preserve"> 逾期竣工的单位工程结算造价扣除建安劳保费、发包人材料价款、暂估专业工程、暂列金额后的5%</w:t>
      </w:r>
      <w:r>
        <w:rPr>
          <w:rFonts w:hint="eastAsia" w:ascii="宋体" w:hAnsi="宋体" w:cs="宋体"/>
          <w:color w:val="auto"/>
          <w:szCs w:val="21"/>
          <w:highlight w:val="none"/>
        </w:rPr>
        <w:t>。</w:t>
      </w:r>
    </w:p>
    <w:bookmarkEnd w:id="519"/>
    <w:bookmarkEnd w:id="520"/>
    <w:bookmarkEnd w:id="521"/>
    <w:bookmarkEnd w:id="522"/>
    <w:bookmarkEnd w:id="523"/>
    <w:p w14:paraId="319B57FE">
      <w:pPr>
        <w:pStyle w:val="7"/>
        <w:rPr>
          <w:color w:val="auto"/>
          <w:highlight w:val="none"/>
        </w:rPr>
      </w:pPr>
      <w:bookmarkStart w:id="524" w:name="_Toc373478375"/>
      <w:bookmarkStart w:id="525" w:name="_Toc373227728"/>
      <w:bookmarkStart w:id="526" w:name="_Toc389065294"/>
      <w:bookmarkStart w:id="527" w:name="_Toc407135230"/>
      <w:bookmarkStart w:id="528" w:name="_Toc78449816"/>
      <w:bookmarkStart w:id="529" w:name="_Toc888037017"/>
      <w:bookmarkStart w:id="530" w:name="_Toc1954543271"/>
      <w:r>
        <w:rPr>
          <w:color w:val="auto"/>
          <w:highlight w:val="none"/>
        </w:rPr>
        <w:t>7</w:t>
      </w:r>
      <w:bookmarkStart w:id="531" w:name="_Toc312678015"/>
      <w:bookmarkStart w:id="532" w:name="_Toc304295549"/>
      <w:bookmarkStart w:id="533" w:name="_Toc297216178"/>
      <w:bookmarkStart w:id="534" w:name="_Toc300934971"/>
      <w:bookmarkStart w:id="535" w:name="_Toc303539128"/>
      <w:bookmarkStart w:id="536" w:name="_Toc297123519"/>
      <w:r>
        <w:rPr>
          <w:color w:val="auto"/>
          <w:highlight w:val="none"/>
        </w:rPr>
        <w:t xml:space="preserve">.6 </w:t>
      </w:r>
      <w:r>
        <w:rPr>
          <w:rFonts w:hint="eastAsia" w:cs="黑体"/>
          <w:color w:val="auto"/>
          <w:highlight w:val="none"/>
        </w:rPr>
        <w:t>不</w:t>
      </w:r>
      <w:bookmarkEnd w:id="531"/>
      <w:bookmarkEnd w:id="532"/>
      <w:bookmarkEnd w:id="533"/>
      <w:bookmarkEnd w:id="534"/>
      <w:bookmarkEnd w:id="535"/>
      <w:bookmarkEnd w:id="536"/>
      <w:r>
        <w:rPr>
          <w:rFonts w:hint="eastAsia" w:cs="黑体"/>
          <w:color w:val="auto"/>
          <w:highlight w:val="none"/>
        </w:rPr>
        <w:t>利物质条件</w:t>
      </w:r>
      <w:bookmarkEnd w:id="524"/>
      <w:bookmarkEnd w:id="525"/>
      <w:bookmarkEnd w:id="526"/>
      <w:bookmarkEnd w:id="527"/>
      <w:bookmarkEnd w:id="528"/>
      <w:bookmarkEnd w:id="529"/>
      <w:bookmarkEnd w:id="530"/>
    </w:p>
    <w:p w14:paraId="24D05420">
      <w:pPr>
        <w:pStyle w:val="230"/>
        <w:spacing w:line="400" w:lineRule="exact"/>
        <w:ind w:firstLine="420" w:firstLineChars="200"/>
        <w:jc w:val="left"/>
        <w:rPr>
          <w:rFonts w:hint="eastAsia" w:ascii="宋体" w:hAnsi="宋体" w:cs="宋体"/>
          <w:color w:val="auto"/>
          <w:szCs w:val="21"/>
          <w:highlight w:val="none"/>
        </w:rPr>
      </w:pPr>
      <w:bookmarkStart w:id="537" w:name="_Toc300934972"/>
      <w:bookmarkStart w:id="538" w:name="_Toc303539129"/>
      <w:bookmarkStart w:id="539" w:name="_Toc297216179"/>
      <w:bookmarkStart w:id="540" w:name="_Toc318581172"/>
      <w:bookmarkStart w:id="541" w:name="_Toc312678016"/>
      <w:bookmarkStart w:id="542" w:name="_Toc304295550"/>
      <w:bookmarkStart w:id="543" w:name="_Toc297123520"/>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磋商文件中已明确或响应文件承包人承诺完成，但暂未计入报价的项目不作为顺延工期的理由。雨雪、冰雹、台风、高温天气、低温天气、停水、停电、节假日、扰民和民扰、市政影响等不利因素等在总工期内，不另外考虑。如遇国家和政府要求短期（临时）停工的，双方协商处理    </w:t>
      </w:r>
      <w:r>
        <w:rPr>
          <w:rFonts w:hint="eastAsia" w:ascii="宋体" w:hAnsi="宋体" w:cs="宋体"/>
          <w:color w:val="auto"/>
          <w:szCs w:val="21"/>
          <w:highlight w:val="none"/>
        </w:rPr>
        <w:t>。</w:t>
      </w:r>
    </w:p>
    <w:bookmarkEnd w:id="537"/>
    <w:bookmarkEnd w:id="538"/>
    <w:bookmarkEnd w:id="539"/>
    <w:bookmarkEnd w:id="540"/>
    <w:bookmarkEnd w:id="541"/>
    <w:bookmarkEnd w:id="542"/>
    <w:bookmarkEnd w:id="543"/>
    <w:p w14:paraId="5B3F2B48">
      <w:pPr>
        <w:pStyle w:val="7"/>
        <w:rPr>
          <w:color w:val="auto"/>
          <w:highlight w:val="none"/>
        </w:rPr>
      </w:pPr>
      <w:bookmarkStart w:id="544" w:name="_Toc851880484"/>
      <w:bookmarkStart w:id="545" w:name="_Toc78449817"/>
      <w:bookmarkStart w:id="546" w:name="_Toc389065295"/>
      <w:bookmarkStart w:id="547" w:name="_Toc407135231"/>
      <w:bookmarkStart w:id="548" w:name="_Toc373478376"/>
      <w:bookmarkStart w:id="549" w:name="_Toc2031116443"/>
      <w:bookmarkStart w:id="550" w:name="_Toc373227729"/>
      <w:r>
        <w:rPr>
          <w:color w:val="auto"/>
          <w:highlight w:val="none"/>
        </w:rPr>
        <w:t>7</w:t>
      </w:r>
      <w:bookmarkStart w:id="551" w:name="_Toc297123521"/>
      <w:bookmarkStart w:id="552" w:name="_Toc304295551"/>
      <w:bookmarkStart w:id="553" w:name="_Toc297216180"/>
      <w:bookmarkStart w:id="554" w:name="_Toc312678017"/>
      <w:bookmarkStart w:id="555" w:name="_Toc300934973"/>
      <w:bookmarkStart w:id="556" w:name="_Toc303539130"/>
      <w:r>
        <w:rPr>
          <w:color w:val="auto"/>
          <w:highlight w:val="none"/>
        </w:rPr>
        <w:t xml:space="preserve">.7 </w:t>
      </w:r>
      <w:r>
        <w:rPr>
          <w:rFonts w:hint="eastAsia" w:cs="黑体"/>
          <w:color w:val="auto"/>
          <w:highlight w:val="none"/>
        </w:rPr>
        <w:t>异常恶劣的气候条件</w:t>
      </w:r>
      <w:bookmarkEnd w:id="544"/>
      <w:bookmarkEnd w:id="545"/>
      <w:bookmarkEnd w:id="546"/>
      <w:bookmarkEnd w:id="547"/>
      <w:bookmarkEnd w:id="548"/>
      <w:bookmarkEnd w:id="549"/>
      <w:bookmarkEnd w:id="550"/>
    </w:p>
    <w:bookmarkEnd w:id="551"/>
    <w:bookmarkEnd w:id="552"/>
    <w:bookmarkEnd w:id="553"/>
    <w:bookmarkEnd w:id="554"/>
    <w:bookmarkEnd w:id="555"/>
    <w:bookmarkEnd w:id="556"/>
    <w:p w14:paraId="1F67511C">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14:paraId="1BCE1514">
      <w:pPr>
        <w:pStyle w:val="230"/>
        <w:spacing w:line="400" w:lineRule="exact"/>
        <w:ind w:firstLine="420" w:firstLineChars="200"/>
        <w:jc w:val="left"/>
        <w:rPr>
          <w:rFonts w:hint="eastAsia" w:ascii="宋体" w:hAnsi="宋体" w:cs="宋体"/>
          <w:color w:val="auto"/>
          <w:szCs w:val="21"/>
          <w:highlight w:val="none"/>
          <w:u w:val="single"/>
        </w:rPr>
      </w:pPr>
      <w:bookmarkStart w:id="557" w:name="_Toc373227730"/>
      <w:bookmarkStart w:id="558" w:name="_Toc389065296"/>
      <w:bookmarkStart w:id="559" w:name="_Toc657185480"/>
      <w:bookmarkStart w:id="560" w:name="_Toc2087373611"/>
      <w:bookmarkStart w:id="561" w:name="_Toc373478377"/>
      <w:bookmarkStart w:id="562" w:name="_Toc407135232"/>
      <w:bookmarkStart w:id="563" w:name="_Toc78449818"/>
      <w:r>
        <w:rPr>
          <w:rFonts w:hint="eastAsia" w:ascii="宋体" w:hAnsi="宋体" w:cs="宋体"/>
          <w:color w:val="auto"/>
          <w:szCs w:val="21"/>
          <w:highlight w:val="none"/>
          <w:u w:val="single"/>
        </w:rPr>
        <w:t>（1）日降雨量大于200㎜的雨日超过 1 天；</w:t>
      </w:r>
    </w:p>
    <w:p w14:paraId="6AFF1EEE">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（2）7 级以上的的大风（以气象部门鉴定为准）；</w:t>
      </w:r>
    </w:p>
    <w:p w14:paraId="1B50D282">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（3）日气温超过 40 ℃的高温大于 2 天；</w:t>
      </w:r>
    </w:p>
    <w:p w14:paraId="6CC2528A">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（4）造成工程损坏的冰雹和大雪灾害；</w:t>
      </w:r>
    </w:p>
    <w:p w14:paraId="0E1265C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（5）其他异常恶劣气候灾害</w:t>
      </w:r>
      <w:r>
        <w:rPr>
          <w:rFonts w:hint="eastAsia" w:ascii="宋体" w:hAnsi="宋体" w:cs="宋体"/>
          <w:color w:val="auto"/>
          <w:szCs w:val="21"/>
          <w:highlight w:val="none"/>
        </w:rPr>
        <w:t>。</w:t>
      </w:r>
    </w:p>
    <w:p w14:paraId="31E32A37">
      <w:pPr>
        <w:pStyle w:val="7"/>
        <w:rPr>
          <w:color w:val="auto"/>
          <w:highlight w:val="none"/>
        </w:rPr>
      </w:pPr>
      <w:r>
        <w:rPr>
          <w:color w:val="auto"/>
          <w:highlight w:val="none"/>
        </w:rPr>
        <w:t xml:space="preserve">7.9 </w:t>
      </w:r>
      <w:r>
        <w:rPr>
          <w:rFonts w:hint="eastAsia" w:hAnsi="宋体" w:cs="黑体"/>
          <w:color w:val="auto"/>
          <w:highlight w:val="none"/>
        </w:rPr>
        <w:t>提前竣工</w:t>
      </w:r>
      <w:bookmarkEnd w:id="557"/>
      <w:bookmarkEnd w:id="558"/>
      <w:bookmarkEnd w:id="559"/>
      <w:bookmarkEnd w:id="560"/>
      <w:bookmarkEnd w:id="561"/>
      <w:bookmarkEnd w:id="562"/>
      <w:bookmarkEnd w:id="563"/>
    </w:p>
    <w:p w14:paraId="2DA1EE02">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D1D7CFC">
      <w:pPr>
        <w:pStyle w:val="6"/>
        <w:rPr>
          <w:color w:val="auto"/>
          <w:highlight w:val="none"/>
        </w:rPr>
      </w:pPr>
      <w:bookmarkStart w:id="564" w:name="_Toc389065297"/>
      <w:bookmarkStart w:id="565" w:name="_Toc407135233"/>
      <w:bookmarkStart w:id="566" w:name="_Toc373478378"/>
      <w:bookmarkStart w:id="567" w:name="_Toc1302158431"/>
      <w:bookmarkStart w:id="568" w:name="_Toc351203640"/>
      <w:bookmarkStart w:id="569" w:name="_Toc78449819"/>
      <w:bookmarkStart w:id="570" w:name="_Toc373227731"/>
      <w:bookmarkStart w:id="571" w:name="_Toc1400878670"/>
      <w:r>
        <w:rPr>
          <w:color w:val="auto"/>
          <w:highlight w:val="none"/>
        </w:rPr>
        <w:t xml:space="preserve">8. </w:t>
      </w:r>
      <w:r>
        <w:rPr>
          <w:rFonts w:hint="eastAsia" w:cs="黑体"/>
          <w:color w:val="auto"/>
          <w:highlight w:val="none"/>
        </w:rPr>
        <w:t>材料与设备</w:t>
      </w:r>
      <w:bookmarkEnd w:id="564"/>
      <w:bookmarkEnd w:id="565"/>
      <w:bookmarkEnd w:id="566"/>
      <w:bookmarkEnd w:id="567"/>
      <w:bookmarkEnd w:id="568"/>
      <w:bookmarkEnd w:id="569"/>
      <w:bookmarkEnd w:id="570"/>
      <w:bookmarkEnd w:id="571"/>
    </w:p>
    <w:bookmarkEnd w:id="413"/>
    <w:bookmarkEnd w:id="414"/>
    <w:bookmarkEnd w:id="415"/>
    <w:bookmarkEnd w:id="416"/>
    <w:bookmarkEnd w:id="417"/>
    <w:bookmarkEnd w:id="418"/>
    <w:bookmarkEnd w:id="419"/>
    <w:bookmarkEnd w:id="420"/>
    <w:bookmarkEnd w:id="421"/>
    <w:bookmarkEnd w:id="422"/>
    <w:p w14:paraId="5D1DA15C">
      <w:pPr>
        <w:pStyle w:val="7"/>
        <w:rPr>
          <w:color w:val="auto"/>
          <w:highlight w:val="none"/>
        </w:rPr>
      </w:pPr>
      <w:bookmarkStart w:id="572" w:name="_Toc407135234"/>
      <w:bookmarkStart w:id="573" w:name="_Toc373478379"/>
      <w:bookmarkStart w:id="574" w:name="_Toc389065298"/>
      <w:bookmarkStart w:id="575" w:name="_Toc1078610395"/>
      <w:bookmarkStart w:id="576" w:name="_Toc78449820"/>
      <w:bookmarkStart w:id="577" w:name="_Toc1119561048"/>
      <w:bookmarkStart w:id="578" w:name="_Toc373227732"/>
      <w:r>
        <w:rPr>
          <w:color w:val="auto"/>
          <w:highlight w:val="none"/>
        </w:rPr>
        <w:t xml:space="preserve">8.2 </w:t>
      </w:r>
      <w:r>
        <w:rPr>
          <w:rFonts w:hint="eastAsia" w:cs="黑体"/>
          <w:color w:val="auto"/>
          <w:highlight w:val="none"/>
        </w:rPr>
        <w:t>承包人采购材料与工程设备</w:t>
      </w:r>
      <w:bookmarkEnd w:id="572"/>
      <w:bookmarkEnd w:id="573"/>
      <w:bookmarkEnd w:id="574"/>
      <w:bookmarkEnd w:id="575"/>
      <w:bookmarkEnd w:id="576"/>
      <w:bookmarkEnd w:id="577"/>
      <w:bookmarkEnd w:id="578"/>
    </w:p>
    <w:p w14:paraId="5ED40421">
      <w:pPr>
        <w:autoSpaceDE w:val="0"/>
        <w:autoSpaceDN w:val="0"/>
        <w:adjustRightInd w:val="0"/>
        <w:spacing w:line="360" w:lineRule="auto"/>
        <w:ind w:firstLine="420" w:firstLineChars="200"/>
        <w:jc w:val="left"/>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579" w:name="_Toc373478380"/>
      <w:bookmarkStart w:id="580" w:name="_Toc389065299"/>
      <w:bookmarkStart w:id="581" w:name="_Toc373227733"/>
    </w:p>
    <w:p w14:paraId="580E015B">
      <w:pPr>
        <w:autoSpaceDE w:val="0"/>
        <w:autoSpaceDN w:val="0"/>
        <w:adjustRightInd w:val="0"/>
        <w:spacing w:line="360" w:lineRule="auto"/>
        <w:ind w:firstLine="420" w:firstLineChars="200"/>
        <w:jc w:val="left"/>
        <w:rPr>
          <w:rFonts w:cs="宋体"/>
          <w:color w:val="auto"/>
          <w:highlight w:val="none"/>
        </w:rPr>
      </w:pPr>
      <w:r>
        <w:rPr>
          <w:rFonts w:hint="eastAsia" w:cs="宋体"/>
          <w:color w:val="auto"/>
          <w:highlight w:val="none"/>
        </w:rPr>
        <w:t>对发包人在采购时有“参照或相当于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品牌、级别”约定的材料或设备，承包人采购时必须按类似于或优于所约定品牌、等级进行采购，施工期间该部分材料或设备如未超过采购约定的风险幅度的，结算时按竞标单价支付，不得调整。</w:t>
      </w:r>
    </w:p>
    <w:p w14:paraId="2DFBC51A">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p w14:paraId="2FD451CD">
      <w:pPr>
        <w:pStyle w:val="7"/>
        <w:rPr>
          <w:color w:val="auto"/>
          <w:highlight w:val="none"/>
        </w:rPr>
      </w:pPr>
      <w:bookmarkStart w:id="582" w:name="_Toc407135235"/>
      <w:bookmarkStart w:id="583" w:name="_Toc800965933"/>
      <w:bookmarkStart w:id="584" w:name="_Toc78449821"/>
      <w:bookmarkStart w:id="585" w:name="_Toc1355357553"/>
      <w:r>
        <w:rPr>
          <w:color w:val="auto"/>
          <w:highlight w:val="none"/>
        </w:rPr>
        <w:t>8</w:t>
      </w:r>
      <w:bookmarkStart w:id="586" w:name="_Toc297048353"/>
      <w:bookmarkStart w:id="587" w:name="_Toc280868654"/>
      <w:bookmarkStart w:id="588" w:name="_Toc296890995"/>
      <w:bookmarkStart w:id="589" w:name="_Toc296891207"/>
      <w:bookmarkStart w:id="590" w:name="_Toc292559372"/>
      <w:bookmarkStart w:id="591" w:name="_Toc292559877"/>
      <w:bookmarkStart w:id="592" w:name="_Toc296346668"/>
      <w:bookmarkStart w:id="593" w:name="_Toc297216186"/>
      <w:bookmarkStart w:id="594" w:name="_Toc300934979"/>
      <w:bookmarkStart w:id="595" w:name="_Toc312678019"/>
      <w:bookmarkStart w:id="596" w:name="_Toc304295556"/>
      <w:bookmarkStart w:id="597" w:name="_Toc296503167"/>
      <w:bookmarkStart w:id="598" w:name="_Toc303539136"/>
      <w:bookmarkStart w:id="599" w:name="_Toc296347166"/>
      <w:bookmarkStart w:id="600" w:name="_Toc296944506"/>
      <w:bookmarkStart w:id="601" w:name="_Toc297120467"/>
      <w:bookmarkStart w:id="602" w:name="_Toc297123527"/>
      <w:bookmarkStart w:id="603" w:name="_Toc312677493"/>
      <w:bookmarkStart w:id="604" w:name="_Toc280868656"/>
      <w:bookmarkStart w:id="605" w:name="_Toc267251424"/>
      <w:bookmarkStart w:id="606" w:name="_Toc280868655"/>
      <w:r>
        <w:rPr>
          <w:color w:val="auto"/>
          <w:highlight w:val="none"/>
        </w:rPr>
        <w:t xml:space="preserve">.4 </w:t>
      </w:r>
      <w:r>
        <w:rPr>
          <w:rFonts w:hint="eastAsia" w:cs="黑体"/>
          <w:color w:val="auto"/>
          <w:highlight w:val="none"/>
        </w:rPr>
        <w:t>材料与工程设备的保管与使用</w:t>
      </w:r>
      <w:bookmarkEnd w:id="579"/>
      <w:bookmarkEnd w:id="580"/>
      <w:bookmarkEnd w:id="581"/>
      <w:bookmarkEnd w:id="582"/>
      <w:bookmarkEnd w:id="583"/>
      <w:bookmarkEnd w:id="584"/>
      <w:bookmarkEnd w:id="585"/>
    </w:p>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53E69687">
      <w:pPr>
        <w:pStyle w:val="227"/>
        <w:spacing w:line="360" w:lineRule="auto"/>
        <w:ind w:firstLine="420" w:firstLineChars="200"/>
        <w:jc w:val="left"/>
        <w:rPr>
          <w:color w:val="auto"/>
          <w:szCs w:val="21"/>
          <w:highlight w:val="none"/>
          <w:u w:val="single"/>
        </w:rPr>
      </w:pPr>
      <w:r>
        <w:rPr>
          <w:color w:val="auto"/>
          <w:highlight w:val="none"/>
        </w:rPr>
        <w:t>8</w:t>
      </w:r>
      <w:bookmarkStart w:id="607" w:name="_Toc292559373"/>
      <w:bookmarkStart w:id="608" w:name="_Toc292559878"/>
      <w:bookmarkStart w:id="609" w:name="_Toc304295557"/>
      <w:bookmarkStart w:id="610" w:name="_Toc296891208"/>
      <w:bookmarkStart w:id="611" w:name="_Toc297120468"/>
      <w:bookmarkStart w:id="612" w:name="_Toc312677494"/>
      <w:bookmarkStart w:id="613" w:name="_Toc296347167"/>
      <w:bookmarkStart w:id="614" w:name="_Toc300934980"/>
      <w:bookmarkStart w:id="615" w:name="_Toc296890996"/>
      <w:bookmarkStart w:id="616" w:name="_Toc297216187"/>
      <w:bookmarkStart w:id="617" w:name="_Toc312678020"/>
      <w:bookmarkStart w:id="618" w:name="_Toc296346669"/>
      <w:bookmarkStart w:id="619" w:name="_Toc297048354"/>
      <w:bookmarkStart w:id="620" w:name="_Toc296503168"/>
      <w:bookmarkStart w:id="621" w:name="_Toc296944507"/>
      <w:bookmarkStart w:id="622" w:name="_Toc303539137"/>
      <w:bookmarkStart w:id="623" w:name="_Toc297123528"/>
      <w:bookmarkStart w:id="624" w:name="_Toc318581173"/>
      <w:r>
        <w:rPr>
          <w:color w:val="auto"/>
          <w:highlight w:val="none"/>
        </w:rPr>
        <w:t>.4.1</w:t>
      </w:r>
      <w:r>
        <w:rPr>
          <w:rFonts w:hint="eastAsia" w:hAnsi="宋体" w:cs="宋体"/>
          <w:color w:val="auto"/>
          <w:highlight w:val="none"/>
        </w:rPr>
        <w:t>发包人供应的材料设备的保管费用的承担：</w:t>
      </w:r>
      <w:r>
        <w:rPr>
          <w:rFonts w:hint="eastAsia" w:ascii="宋体" w:hAnsi="宋体"/>
          <w:color w:val="auto"/>
          <w:szCs w:val="21"/>
          <w:highlight w:val="none"/>
          <w:u w:val="single"/>
        </w:rPr>
        <w:t>发包人供应的材料设备，承包人清点后由承包人负责保管，保管费用由承包人承担</w:t>
      </w:r>
      <w:r>
        <w:rPr>
          <w:rFonts w:hint="eastAsia" w:ascii="新宋体" w:hAnsi="新宋体" w:eastAsia="新宋体" w:cs="新宋体"/>
          <w:color w:val="auto"/>
          <w:szCs w:val="21"/>
          <w:highlight w:val="none"/>
        </w:rPr>
        <w:t>。</w:t>
      </w:r>
    </w:p>
    <w:p w14:paraId="7906DA08">
      <w:pPr>
        <w:spacing w:line="360" w:lineRule="auto"/>
        <w:ind w:firstLine="420" w:firstLineChars="200"/>
        <w:jc w:val="left"/>
        <w:rPr>
          <w:color w:val="auto"/>
          <w:highlight w:val="none"/>
          <w:u w:val="single"/>
        </w:rPr>
      </w:pPr>
    </w:p>
    <w:bookmarkEnd w:id="607"/>
    <w:bookmarkEnd w:id="608"/>
    <w:p w14:paraId="6803C3EE">
      <w:pPr>
        <w:pStyle w:val="7"/>
        <w:rPr>
          <w:color w:val="auto"/>
          <w:highlight w:val="none"/>
        </w:rPr>
      </w:pPr>
      <w:bookmarkStart w:id="625" w:name="_Toc1948522881"/>
      <w:bookmarkStart w:id="626" w:name="_Toc78449822"/>
      <w:bookmarkStart w:id="627" w:name="_Toc373227734"/>
      <w:bookmarkStart w:id="628" w:name="_Toc389065300"/>
      <w:bookmarkStart w:id="629" w:name="_Toc125914831"/>
      <w:bookmarkStart w:id="630" w:name="_Toc373478381"/>
      <w:bookmarkStart w:id="631" w:name="_Toc407135236"/>
      <w:r>
        <w:rPr>
          <w:color w:val="auto"/>
          <w:highlight w:val="none"/>
        </w:rPr>
        <w:t xml:space="preserve">8.6 </w:t>
      </w:r>
      <w:r>
        <w:rPr>
          <w:rFonts w:hint="eastAsia" w:hAnsi="宋体" w:cs="黑体"/>
          <w:color w:val="auto"/>
          <w:highlight w:val="none"/>
        </w:rPr>
        <w:t>样品</w:t>
      </w:r>
      <w:bookmarkEnd w:id="625"/>
      <w:bookmarkEnd w:id="626"/>
      <w:bookmarkEnd w:id="627"/>
      <w:bookmarkEnd w:id="628"/>
      <w:bookmarkEnd w:id="629"/>
      <w:bookmarkEnd w:id="630"/>
      <w:bookmarkEnd w:id="631"/>
    </w:p>
    <w:p w14:paraId="69471474">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76DBF644">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66EEA08B">
      <w:pPr>
        <w:pStyle w:val="7"/>
        <w:rPr>
          <w:color w:val="auto"/>
          <w:highlight w:val="none"/>
        </w:rPr>
      </w:pPr>
      <w:bookmarkStart w:id="632" w:name="_Toc1049576644"/>
      <w:bookmarkStart w:id="633" w:name="_Toc389065301"/>
      <w:bookmarkStart w:id="634" w:name="_Toc997640704"/>
      <w:bookmarkStart w:id="635" w:name="_Toc407135237"/>
      <w:bookmarkStart w:id="636" w:name="_Toc373227735"/>
      <w:bookmarkStart w:id="637" w:name="_Toc78449823"/>
      <w:bookmarkStart w:id="638" w:name="_Toc373478382"/>
      <w:r>
        <w:rPr>
          <w:color w:val="auto"/>
          <w:highlight w:val="none"/>
        </w:rPr>
        <w:t xml:space="preserve">8.8 </w:t>
      </w:r>
      <w:r>
        <w:rPr>
          <w:rFonts w:hint="eastAsia" w:cs="黑体"/>
          <w:color w:val="auto"/>
          <w:highlight w:val="none"/>
        </w:rPr>
        <w:t>施工设备和临时设施</w:t>
      </w:r>
      <w:bookmarkEnd w:id="632"/>
      <w:bookmarkEnd w:id="633"/>
      <w:bookmarkEnd w:id="634"/>
      <w:bookmarkEnd w:id="635"/>
      <w:bookmarkEnd w:id="636"/>
      <w:bookmarkEnd w:id="637"/>
      <w:bookmarkEnd w:id="638"/>
    </w:p>
    <w:p w14:paraId="57D1ED6F">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10BE54D2">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12F39A53">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0BC82751">
      <w:pPr>
        <w:pStyle w:val="227"/>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①承包人的临时用地（含项目部驻地等）租用费（含拆迁补偿）、临时用地的环保、恢复、临时用地的青苗补偿及地面附着物拆除等费用均由承包人负责，以上费用在竞标报价中综合考虑。</w:t>
      </w:r>
    </w:p>
    <w:p w14:paraId="03B4933F">
      <w:pPr>
        <w:pStyle w:val="227"/>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②承包人负责合同实施期间其合同段内临时交通道路（含场内外连接公共交通道路）和交通设施的修建、维修、养护和交通管理工作，并承担一切费用。</w:t>
      </w:r>
    </w:p>
    <w:p w14:paraId="52D0A3DF">
      <w:pPr>
        <w:pStyle w:val="227"/>
        <w:autoSpaceDE w:val="0"/>
        <w:autoSpaceDN w:val="0"/>
        <w:adjustRightInd w:val="0"/>
        <w:spacing w:line="360" w:lineRule="auto"/>
        <w:ind w:firstLine="420" w:firstLineChars="200"/>
        <w:jc w:val="left"/>
        <w:rPr>
          <w:rFonts w:hAnsi="宋体"/>
          <w:color w:val="auto"/>
          <w:szCs w:val="21"/>
          <w:highlight w:val="none"/>
          <w:u w:val="single"/>
        </w:rPr>
      </w:pPr>
      <w:r>
        <w:rPr>
          <w:rFonts w:hint="eastAsia"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22DB9844">
      <w:pPr>
        <w:autoSpaceDE w:val="0"/>
        <w:autoSpaceDN w:val="0"/>
        <w:adjustRightInd w:val="0"/>
        <w:spacing w:line="360" w:lineRule="auto"/>
        <w:ind w:firstLine="420" w:firstLineChars="200"/>
        <w:jc w:val="left"/>
        <w:rPr>
          <w:color w:val="auto"/>
          <w:highlight w:val="none"/>
        </w:rPr>
      </w:pPr>
      <w:r>
        <w:rPr>
          <w:rFonts w:hAnsi="宋体"/>
          <w:color w:val="auto"/>
          <w:highlight w:val="none"/>
          <w:u w:val="single"/>
        </w:rPr>
        <w:t xml:space="preserve"> </w:t>
      </w:r>
      <w:r>
        <w:rPr>
          <w:color w:val="auto"/>
          <w:highlight w:val="none"/>
        </w:rPr>
        <w:t xml:space="preserve">8.8.2 </w:t>
      </w:r>
      <w:r>
        <w:rPr>
          <w:rFonts w:hint="eastAsia" w:hAnsi="宋体" w:cs="宋体"/>
          <w:color w:val="auto"/>
          <w:highlight w:val="none"/>
        </w:rPr>
        <w:t>发包人提供的施工设备和临时设施</w:t>
      </w:r>
    </w:p>
    <w:p w14:paraId="6AFB5A07">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rFonts w:hint="eastAsia"/>
          <w:color w:val="auto"/>
          <w:highlight w:val="none"/>
          <w:u w:val="single"/>
        </w:rPr>
        <w:t>无</w:t>
      </w:r>
      <w:r>
        <w:rPr>
          <w:rFonts w:hint="eastAsia" w:hAnsi="宋体" w:cs="宋体"/>
          <w:color w:val="auto"/>
          <w:highlight w:val="none"/>
        </w:rPr>
        <w:t>。</w:t>
      </w:r>
    </w:p>
    <w:p w14:paraId="04B44A61">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rFonts w:hint="eastAsia"/>
          <w:color w:val="auto"/>
          <w:highlight w:val="none"/>
          <w:u w:val="single"/>
        </w:rPr>
        <w:t>无</w:t>
      </w:r>
      <w:r>
        <w:rPr>
          <w:rFonts w:hint="eastAsia" w:hAnsi="宋体" w:cs="宋体"/>
          <w:color w:val="auto"/>
          <w:highlight w:val="none"/>
        </w:rPr>
        <w:t>。</w:t>
      </w:r>
    </w:p>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14:paraId="21991D11">
      <w:pPr>
        <w:pStyle w:val="6"/>
        <w:rPr>
          <w:color w:val="auto"/>
          <w:highlight w:val="none"/>
        </w:rPr>
      </w:pPr>
      <w:bookmarkStart w:id="639" w:name="_Toc373227736"/>
      <w:bookmarkStart w:id="640" w:name="_Toc78449824"/>
      <w:bookmarkStart w:id="641" w:name="_Toc351203641"/>
      <w:bookmarkStart w:id="642" w:name="_Toc389065302"/>
      <w:bookmarkStart w:id="643" w:name="_Toc407135238"/>
      <w:bookmarkStart w:id="644" w:name="_Toc2027787496"/>
      <w:bookmarkStart w:id="645" w:name="_Toc373478383"/>
      <w:bookmarkStart w:id="646" w:name="_Toc2039161841"/>
      <w:r>
        <w:rPr>
          <w:color w:val="auto"/>
          <w:highlight w:val="none"/>
        </w:rPr>
        <w:t>9</w:t>
      </w:r>
      <w:bookmarkEnd w:id="604"/>
      <w:bookmarkEnd w:id="605"/>
      <w:bookmarkEnd w:id="606"/>
      <w:bookmarkStart w:id="647" w:name="_Toc304295559"/>
      <w:bookmarkStart w:id="648" w:name="_Toc300934982"/>
      <w:bookmarkStart w:id="649" w:name="_Toc297123533"/>
      <w:bookmarkStart w:id="650" w:name="_Toc312677495"/>
      <w:bookmarkStart w:id="651" w:name="_Toc297216192"/>
      <w:bookmarkStart w:id="652" w:name="_Toc312678021"/>
      <w:bookmarkStart w:id="653" w:name="_Toc303539139"/>
      <w:bookmarkStart w:id="654" w:name="_Toc296503173"/>
      <w:bookmarkStart w:id="655" w:name="_Toc296347172"/>
      <w:bookmarkStart w:id="656" w:name="_Toc296944512"/>
      <w:bookmarkStart w:id="657" w:name="_Toc296891001"/>
      <w:bookmarkStart w:id="658" w:name="_Toc267251427"/>
      <w:bookmarkStart w:id="659" w:name="_Toc267251428"/>
      <w:bookmarkStart w:id="660" w:name="_Toc297120473"/>
      <w:bookmarkStart w:id="661" w:name="_Toc292559883"/>
      <w:bookmarkStart w:id="662" w:name="_Toc297048359"/>
      <w:bookmarkStart w:id="663" w:name="_Toc296346674"/>
      <w:bookmarkStart w:id="664" w:name="_Toc292559378"/>
      <w:bookmarkStart w:id="665" w:name="_Toc296891213"/>
      <w:r>
        <w:rPr>
          <w:color w:val="auto"/>
          <w:highlight w:val="none"/>
        </w:rPr>
        <w:t xml:space="preserve">. </w:t>
      </w:r>
      <w:r>
        <w:rPr>
          <w:rFonts w:hint="eastAsia" w:cs="黑体"/>
          <w:color w:val="auto"/>
          <w:highlight w:val="none"/>
        </w:rPr>
        <w:t>试验与检验</w:t>
      </w:r>
      <w:bookmarkEnd w:id="639"/>
      <w:bookmarkEnd w:id="640"/>
      <w:bookmarkEnd w:id="641"/>
      <w:bookmarkEnd w:id="642"/>
      <w:bookmarkEnd w:id="643"/>
      <w:bookmarkEnd w:id="644"/>
      <w:bookmarkEnd w:id="645"/>
      <w:bookmarkEnd w:id="646"/>
    </w:p>
    <w:bookmarkEnd w:id="647"/>
    <w:bookmarkEnd w:id="648"/>
    <w:bookmarkEnd w:id="649"/>
    <w:bookmarkEnd w:id="650"/>
    <w:bookmarkEnd w:id="651"/>
    <w:bookmarkEnd w:id="652"/>
    <w:bookmarkEnd w:id="653"/>
    <w:p w14:paraId="127D2FA4">
      <w:pPr>
        <w:pStyle w:val="7"/>
        <w:rPr>
          <w:color w:val="auto"/>
          <w:highlight w:val="none"/>
        </w:rPr>
      </w:pPr>
      <w:bookmarkStart w:id="666" w:name="_Toc530697003"/>
      <w:bookmarkStart w:id="667" w:name="_Toc78449825"/>
      <w:bookmarkStart w:id="668" w:name="_Toc373478384"/>
      <w:bookmarkStart w:id="669" w:name="_Toc1307315193"/>
      <w:bookmarkStart w:id="670" w:name="_Toc373227737"/>
      <w:bookmarkStart w:id="671" w:name="_Toc407135239"/>
      <w:bookmarkStart w:id="672" w:name="_Toc389065303"/>
      <w:r>
        <w:rPr>
          <w:color w:val="auto"/>
          <w:highlight w:val="none"/>
        </w:rPr>
        <w:t>9</w:t>
      </w:r>
      <w:bookmarkStart w:id="673" w:name="_Toc297216193"/>
      <w:bookmarkStart w:id="674" w:name="_Toc312677496"/>
      <w:bookmarkStart w:id="675" w:name="_Toc297123534"/>
      <w:bookmarkStart w:id="676" w:name="_Toc300934983"/>
      <w:bookmarkStart w:id="677" w:name="_Toc303539140"/>
      <w:bookmarkStart w:id="678" w:name="_Toc312678022"/>
      <w:bookmarkStart w:id="679" w:name="_Toc304295560"/>
      <w:r>
        <w:rPr>
          <w:color w:val="auto"/>
          <w:highlight w:val="none"/>
        </w:rPr>
        <w:t xml:space="preserve">.1 </w:t>
      </w:r>
      <w:r>
        <w:rPr>
          <w:rFonts w:hint="eastAsia" w:cs="黑体"/>
          <w:color w:val="auto"/>
          <w:highlight w:val="none"/>
        </w:rPr>
        <w:t>试验设备与试验人员</w:t>
      </w:r>
      <w:bookmarkEnd w:id="666"/>
      <w:bookmarkEnd w:id="667"/>
      <w:bookmarkEnd w:id="668"/>
      <w:bookmarkEnd w:id="669"/>
      <w:bookmarkEnd w:id="670"/>
      <w:bookmarkEnd w:id="671"/>
      <w:bookmarkEnd w:id="672"/>
    </w:p>
    <w:bookmarkEnd w:id="673"/>
    <w:bookmarkEnd w:id="674"/>
    <w:bookmarkEnd w:id="675"/>
    <w:bookmarkEnd w:id="676"/>
    <w:bookmarkEnd w:id="677"/>
    <w:bookmarkEnd w:id="678"/>
    <w:bookmarkEnd w:id="679"/>
    <w:p w14:paraId="663B62EE">
      <w:pPr>
        <w:spacing w:line="360" w:lineRule="auto"/>
        <w:ind w:firstLine="420" w:firstLineChars="200"/>
        <w:jc w:val="left"/>
        <w:rPr>
          <w:color w:val="auto"/>
          <w:highlight w:val="none"/>
        </w:rPr>
      </w:pPr>
      <w:r>
        <w:rPr>
          <w:color w:val="auto"/>
          <w:highlight w:val="none"/>
        </w:rPr>
        <w:t>9</w:t>
      </w:r>
      <w:bookmarkStart w:id="680" w:name="_Toc312678023"/>
      <w:bookmarkStart w:id="681" w:name="_Toc312677497"/>
      <w:bookmarkStart w:id="682" w:name="_Toc303539141"/>
      <w:bookmarkStart w:id="683" w:name="_Toc297123535"/>
      <w:bookmarkStart w:id="684" w:name="_Toc297216194"/>
      <w:bookmarkStart w:id="685" w:name="_Toc300934984"/>
      <w:bookmarkStart w:id="686" w:name="_Toc304295561"/>
      <w:bookmarkStart w:id="687" w:name="_Toc318581174"/>
      <w:r>
        <w:rPr>
          <w:color w:val="auto"/>
          <w:highlight w:val="none"/>
        </w:rPr>
        <w:t xml:space="preserve">.1.2 </w:t>
      </w:r>
      <w:r>
        <w:rPr>
          <w:rFonts w:hint="eastAsia" w:hAnsi="宋体" w:cs="宋体"/>
          <w:color w:val="auto"/>
          <w:highlight w:val="none"/>
        </w:rPr>
        <w:t>试验设备</w:t>
      </w:r>
    </w:p>
    <w:bookmarkEnd w:id="680"/>
    <w:bookmarkEnd w:id="681"/>
    <w:bookmarkEnd w:id="682"/>
    <w:bookmarkEnd w:id="683"/>
    <w:bookmarkEnd w:id="684"/>
    <w:bookmarkEnd w:id="685"/>
    <w:bookmarkEnd w:id="686"/>
    <w:p w14:paraId="6D9E4C93">
      <w:pPr>
        <w:pStyle w:val="227"/>
        <w:spacing w:line="360" w:lineRule="auto"/>
        <w:ind w:firstLine="420" w:firstLineChars="200"/>
        <w:jc w:val="left"/>
        <w:rPr>
          <w:color w:val="auto"/>
          <w:szCs w:val="21"/>
          <w:highlight w:val="none"/>
          <w:u w:val="single"/>
        </w:rPr>
      </w:pPr>
      <w:bookmarkStart w:id="688" w:name="_Toc373478385"/>
      <w:bookmarkStart w:id="689" w:name="_Toc78449826"/>
      <w:bookmarkStart w:id="690" w:name="_Toc2012255079"/>
      <w:bookmarkStart w:id="691" w:name="_Toc407135240"/>
      <w:bookmarkStart w:id="692" w:name="_Toc373227738"/>
      <w:bookmarkStart w:id="693" w:name="_Toc389065304"/>
      <w:bookmarkStart w:id="694" w:name="_Toc492347879"/>
      <w:bookmarkStart w:id="695" w:name="_Toc303539142"/>
      <w:bookmarkStart w:id="696" w:name="_Toc297123536"/>
      <w:bookmarkStart w:id="697" w:name="_Toc312677498"/>
      <w:bookmarkStart w:id="698" w:name="_Toc300934985"/>
      <w:bookmarkStart w:id="699" w:name="_Toc312678024"/>
      <w:bookmarkStart w:id="700" w:name="_Toc304295562"/>
      <w:bookmarkStart w:id="701" w:name="_Toc297216195"/>
      <w:r>
        <w:rPr>
          <w:rFonts w:hint="eastAsia" w:hAnsi="宋体"/>
          <w:color w:val="auto"/>
          <w:szCs w:val="21"/>
          <w:highlight w:val="none"/>
        </w:rPr>
        <w:t>施工现场需要配置的试验场所：</w:t>
      </w:r>
      <w:r>
        <w:rPr>
          <w:rFonts w:hint="eastAsia" w:ascii="宋体" w:hAnsi="宋体"/>
          <w:color w:val="auto"/>
          <w:szCs w:val="21"/>
          <w:highlight w:val="none"/>
          <w:u w:val="single"/>
        </w:rPr>
        <w:t>按有关规定执行</w:t>
      </w:r>
      <w:r>
        <w:rPr>
          <w:rFonts w:hint="eastAsia" w:hAnsi="宋体"/>
          <w:color w:val="auto"/>
          <w:szCs w:val="21"/>
          <w:highlight w:val="none"/>
        </w:rPr>
        <w:t>。</w:t>
      </w:r>
    </w:p>
    <w:p w14:paraId="5CF598F4">
      <w:pPr>
        <w:pStyle w:val="227"/>
        <w:spacing w:line="360" w:lineRule="auto"/>
        <w:ind w:firstLine="420" w:firstLineChars="200"/>
        <w:jc w:val="left"/>
        <w:rPr>
          <w:color w:val="auto"/>
          <w:szCs w:val="21"/>
          <w:highlight w:val="none"/>
          <w:u w:val="single"/>
        </w:rPr>
      </w:pPr>
      <w:r>
        <w:rPr>
          <w:rFonts w:hint="eastAsia" w:hAnsi="宋体"/>
          <w:color w:val="auto"/>
          <w:szCs w:val="21"/>
          <w:highlight w:val="none"/>
        </w:rPr>
        <w:t>施工现场需要配备的试验设备：</w:t>
      </w:r>
      <w:r>
        <w:rPr>
          <w:rFonts w:hint="eastAsia" w:ascii="宋体" w:hAnsi="宋体"/>
          <w:color w:val="auto"/>
          <w:szCs w:val="21"/>
          <w:highlight w:val="none"/>
          <w:u w:val="single"/>
        </w:rPr>
        <w:t>按有关规定执行</w:t>
      </w:r>
      <w:r>
        <w:rPr>
          <w:rFonts w:hint="eastAsia" w:hAnsi="宋体"/>
          <w:color w:val="auto"/>
          <w:szCs w:val="21"/>
          <w:highlight w:val="none"/>
        </w:rPr>
        <w:t>。</w:t>
      </w:r>
    </w:p>
    <w:p w14:paraId="0201995F">
      <w:pPr>
        <w:pStyle w:val="227"/>
        <w:spacing w:line="360" w:lineRule="auto"/>
        <w:ind w:firstLine="420" w:firstLineChars="200"/>
        <w:jc w:val="left"/>
        <w:rPr>
          <w:color w:val="auto"/>
          <w:szCs w:val="21"/>
          <w:highlight w:val="none"/>
          <w:u w:val="single"/>
        </w:rPr>
      </w:pPr>
      <w:r>
        <w:rPr>
          <w:rFonts w:hint="eastAsia" w:hAnsi="宋体"/>
          <w:color w:val="auto"/>
          <w:szCs w:val="21"/>
          <w:highlight w:val="none"/>
        </w:rPr>
        <w:t>施工现场需要具备的其他试验条件：</w:t>
      </w:r>
      <w:r>
        <w:rPr>
          <w:rFonts w:hint="eastAsia"/>
          <w:color w:val="auto"/>
          <w:szCs w:val="21"/>
          <w:highlight w:val="none"/>
          <w:u w:val="single"/>
        </w:rPr>
        <w:t>无</w:t>
      </w:r>
      <w:r>
        <w:rPr>
          <w:rFonts w:hint="eastAsia" w:hAnsi="宋体"/>
          <w:color w:val="auto"/>
          <w:szCs w:val="21"/>
          <w:highlight w:val="none"/>
        </w:rPr>
        <w:t>。</w:t>
      </w:r>
    </w:p>
    <w:p w14:paraId="181F7A26">
      <w:pPr>
        <w:pStyle w:val="7"/>
        <w:rPr>
          <w:color w:val="auto"/>
          <w:highlight w:val="none"/>
        </w:rPr>
      </w:pPr>
      <w:r>
        <w:rPr>
          <w:color w:val="auto"/>
          <w:highlight w:val="none"/>
        </w:rPr>
        <w:t xml:space="preserve">9.4 </w:t>
      </w:r>
      <w:r>
        <w:rPr>
          <w:rFonts w:hint="eastAsia" w:hAnsi="宋体" w:cs="黑体"/>
          <w:color w:val="auto"/>
          <w:highlight w:val="none"/>
        </w:rPr>
        <w:t>现场工艺试验</w:t>
      </w:r>
      <w:bookmarkEnd w:id="688"/>
      <w:bookmarkEnd w:id="689"/>
      <w:bookmarkEnd w:id="690"/>
      <w:bookmarkEnd w:id="691"/>
      <w:bookmarkEnd w:id="692"/>
      <w:bookmarkEnd w:id="693"/>
      <w:bookmarkEnd w:id="694"/>
      <w:r>
        <w:rPr>
          <w:color w:val="auto"/>
          <w:highlight w:val="none"/>
        </w:rPr>
        <w:t xml:space="preserve"> </w:t>
      </w:r>
    </w:p>
    <w:p w14:paraId="65E30B24">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76EB9F1">
      <w:pPr>
        <w:pStyle w:val="7"/>
        <w:rPr>
          <w:color w:val="auto"/>
          <w:highlight w:val="none"/>
        </w:rPr>
      </w:pPr>
      <w:bookmarkStart w:id="702" w:name="_Toc78449827"/>
      <w:bookmarkStart w:id="703" w:name="_Toc407135241"/>
      <w:bookmarkStart w:id="704" w:name="_Toc1539824686"/>
      <w:bookmarkStart w:id="705" w:name="_Toc393419678"/>
      <w:bookmarkStart w:id="706" w:name="OLE_LINK1"/>
      <w:r>
        <w:rPr>
          <w:color w:val="auto"/>
          <w:highlight w:val="none"/>
        </w:rPr>
        <w:t xml:space="preserve">9.5 </w:t>
      </w:r>
      <w:r>
        <w:rPr>
          <w:rFonts w:hint="eastAsia" w:hAnsi="宋体" w:cs="黑体"/>
          <w:color w:val="auto"/>
          <w:highlight w:val="none"/>
        </w:rPr>
        <w:t>检验费用</w:t>
      </w:r>
      <w:bookmarkEnd w:id="702"/>
      <w:bookmarkEnd w:id="703"/>
      <w:bookmarkEnd w:id="704"/>
      <w:bookmarkEnd w:id="705"/>
    </w:p>
    <w:p w14:paraId="1B051FE5">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687"/>
    <w:bookmarkEnd w:id="695"/>
    <w:bookmarkEnd w:id="696"/>
    <w:bookmarkEnd w:id="697"/>
    <w:bookmarkEnd w:id="698"/>
    <w:bookmarkEnd w:id="699"/>
    <w:bookmarkEnd w:id="700"/>
    <w:bookmarkEnd w:id="701"/>
    <w:bookmarkEnd w:id="706"/>
    <w:p w14:paraId="2007A05B">
      <w:pPr>
        <w:pStyle w:val="6"/>
        <w:rPr>
          <w:color w:val="auto"/>
          <w:highlight w:val="none"/>
        </w:rPr>
      </w:pPr>
      <w:bookmarkStart w:id="707" w:name="_Toc351203642"/>
      <w:bookmarkStart w:id="708" w:name="_Toc389065305"/>
      <w:bookmarkStart w:id="709" w:name="_Toc373227739"/>
      <w:bookmarkStart w:id="710" w:name="_Toc1278407274"/>
      <w:bookmarkStart w:id="711" w:name="_Toc373478386"/>
      <w:bookmarkStart w:id="712" w:name="_Toc407135242"/>
      <w:bookmarkStart w:id="713" w:name="_Toc603662032"/>
      <w:bookmarkStart w:id="714" w:name="_Toc78449828"/>
      <w:r>
        <w:rPr>
          <w:color w:val="auto"/>
          <w:highlight w:val="none"/>
        </w:rPr>
        <w:t>1</w:t>
      </w:r>
      <w:bookmarkEnd w:id="654"/>
      <w:bookmarkEnd w:id="655"/>
      <w:bookmarkEnd w:id="656"/>
      <w:bookmarkEnd w:id="657"/>
      <w:bookmarkEnd w:id="658"/>
      <w:bookmarkEnd w:id="659"/>
      <w:bookmarkEnd w:id="660"/>
      <w:bookmarkEnd w:id="661"/>
      <w:bookmarkEnd w:id="662"/>
      <w:bookmarkEnd w:id="663"/>
      <w:bookmarkEnd w:id="664"/>
      <w:bookmarkEnd w:id="665"/>
      <w:bookmarkStart w:id="715" w:name="_Toc292559903"/>
      <w:bookmarkStart w:id="716" w:name="_Toc292559398"/>
      <w:bookmarkStart w:id="717" w:name="_Toc300934989"/>
      <w:bookmarkStart w:id="718" w:name="_Toc297216199"/>
      <w:bookmarkStart w:id="719" w:name="_Toc296503193"/>
      <w:bookmarkStart w:id="720" w:name="_Toc297120493"/>
      <w:bookmarkStart w:id="721" w:name="_Toc296891233"/>
      <w:bookmarkStart w:id="722" w:name="_Toc303539146"/>
      <w:bookmarkStart w:id="723" w:name="_Toc296347192"/>
      <w:bookmarkStart w:id="724" w:name="_Toc297123540"/>
      <w:bookmarkStart w:id="725" w:name="_Toc296944532"/>
      <w:bookmarkStart w:id="726" w:name="_Toc296891021"/>
      <w:bookmarkStart w:id="727" w:name="_Toc304295566"/>
      <w:bookmarkStart w:id="728" w:name="_Toc296346694"/>
      <w:bookmarkStart w:id="729" w:name="_Toc297048379"/>
      <w:bookmarkStart w:id="730" w:name="_Toc312677499"/>
      <w:bookmarkStart w:id="731" w:name="_Toc312678025"/>
      <w:bookmarkStart w:id="732" w:name="_Toc267251439"/>
      <w:bookmarkStart w:id="733" w:name="_Toc267251435"/>
      <w:bookmarkStart w:id="734" w:name="_Toc267251433"/>
      <w:bookmarkStart w:id="735" w:name="_Toc267251437"/>
      <w:bookmarkStart w:id="736" w:name="_Toc267251440"/>
      <w:bookmarkStart w:id="737" w:name="_Toc267251441"/>
      <w:bookmarkStart w:id="738" w:name="_Toc267251442"/>
      <w:r>
        <w:rPr>
          <w:color w:val="auto"/>
          <w:highlight w:val="none"/>
        </w:rPr>
        <w:t xml:space="preserve">0. </w:t>
      </w:r>
      <w:r>
        <w:rPr>
          <w:rFonts w:hint="eastAsia" w:hAnsi="宋体" w:cs="黑体"/>
          <w:color w:val="auto"/>
          <w:highlight w:val="none"/>
        </w:rPr>
        <w:t>变更</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bookmarkEnd w:id="730"/>
    <w:bookmarkEnd w:id="731"/>
    <w:p w14:paraId="7E0E79F5">
      <w:pPr>
        <w:pStyle w:val="7"/>
        <w:rPr>
          <w:color w:val="auto"/>
          <w:highlight w:val="none"/>
        </w:rPr>
      </w:pPr>
      <w:bookmarkStart w:id="739" w:name="_Toc373478387"/>
      <w:bookmarkStart w:id="740" w:name="_Toc411143415"/>
      <w:bookmarkStart w:id="741" w:name="_Toc407135243"/>
      <w:bookmarkStart w:id="742" w:name="_Toc1890371558"/>
      <w:bookmarkStart w:id="743" w:name="_Toc78449829"/>
      <w:bookmarkStart w:id="744" w:name="_Toc389065306"/>
      <w:bookmarkStart w:id="745" w:name="_Toc373227740"/>
      <w:r>
        <w:rPr>
          <w:color w:val="auto"/>
          <w:highlight w:val="none"/>
        </w:rPr>
        <w:t>1</w:t>
      </w:r>
      <w:bookmarkStart w:id="746" w:name="_Toc296503194"/>
      <w:bookmarkStart w:id="747" w:name="_Toc296346695"/>
      <w:bookmarkStart w:id="748" w:name="_Toc300934990"/>
      <w:bookmarkStart w:id="749" w:name="_Toc303539147"/>
      <w:bookmarkStart w:id="750" w:name="_Toc296347193"/>
      <w:bookmarkStart w:id="751" w:name="_Toc297216200"/>
      <w:bookmarkStart w:id="752" w:name="_Toc292559399"/>
      <w:bookmarkStart w:id="753" w:name="_Toc296891022"/>
      <w:bookmarkStart w:id="754" w:name="_Toc312677500"/>
      <w:bookmarkStart w:id="755" w:name="_Toc304295567"/>
      <w:bookmarkStart w:id="756" w:name="_Toc292559904"/>
      <w:bookmarkStart w:id="757" w:name="_Toc296944533"/>
      <w:bookmarkStart w:id="758" w:name="_Toc297048380"/>
      <w:bookmarkStart w:id="759" w:name="_Toc297123541"/>
      <w:bookmarkStart w:id="760" w:name="_Toc296891234"/>
      <w:bookmarkStart w:id="761" w:name="_Toc312678026"/>
      <w:bookmarkStart w:id="762" w:name="_Toc297120494"/>
      <w:r>
        <w:rPr>
          <w:color w:val="auto"/>
          <w:highlight w:val="none"/>
        </w:rPr>
        <w:t xml:space="preserve">0.1 </w:t>
      </w:r>
      <w:r>
        <w:rPr>
          <w:rFonts w:hint="eastAsia" w:hAnsi="宋体" w:cs="黑体"/>
          <w:color w:val="auto"/>
          <w:highlight w:val="none"/>
        </w:rPr>
        <w:t>变更的范围</w:t>
      </w:r>
      <w:bookmarkEnd w:id="739"/>
      <w:bookmarkEnd w:id="740"/>
      <w:bookmarkEnd w:id="741"/>
      <w:bookmarkEnd w:id="742"/>
      <w:bookmarkEnd w:id="743"/>
      <w:bookmarkEnd w:id="744"/>
      <w:bookmarkEnd w:id="745"/>
    </w:p>
    <w:p w14:paraId="34C4193F">
      <w:pPr>
        <w:pStyle w:val="227"/>
        <w:spacing w:line="360" w:lineRule="auto"/>
        <w:ind w:firstLine="426"/>
        <w:jc w:val="left"/>
        <w:rPr>
          <w:color w:val="auto"/>
          <w:szCs w:val="21"/>
          <w:highlight w:val="none"/>
        </w:rPr>
      </w:pPr>
      <w:r>
        <w:rPr>
          <w:rFonts w:hint="eastAsia" w:hAnsi="宋体" w:cs="宋体"/>
          <w:color w:val="auto"/>
          <w:highlight w:val="none"/>
        </w:rPr>
        <w:t>关于变更的范围的约定：</w:t>
      </w:r>
      <w:r>
        <w:rPr>
          <w:rFonts w:hint="eastAsia" w:ascii="宋体" w:hAnsi="宋体"/>
          <w:color w:val="auto"/>
          <w:szCs w:val="21"/>
          <w:highlight w:val="none"/>
          <w:u w:val="single"/>
        </w:rPr>
        <w:t>除通用合同条款约定的范围外，发包人有权根据本工程的实际提出其他的变更事项。凡涉及合同价款增减变化的变更事项，必须以发包人代表及总监理工程师共同签字并经发包人盖章确认后的书面文件为准</w:t>
      </w:r>
      <w:r>
        <w:rPr>
          <w:rFonts w:hint="eastAsia" w:hAnsi="宋体"/>
          <w:color w:val="auto"/>
          <w:szCs w:val="21"/>
          <w:highlight w:val="none"/>
        </w:rPr>
        <w:t>。</w:t>
      </w:r>
    </w:p>
    <w:p w14:paraId="40534BBD">
      <w:pPr>
        <w:pStyle w:val="7"/>
        <w:rPr>
          <w:color w:val="auto"/>
          <w:highlight w:val="none"/>
        </w:rPr>
      </w:pPr>
      <w:bookmarkStart w:id="763" w:name="_Toc389065307"/>
      <w:bookmarkStart w:id="764" w:name="_Toc373227741"/>
      <w:bookmarkStart w:id="765" w:name="_Toc450749207"/>
      <w:bookmarkStart w:id="766" w:name="_Toc373478388"/>
      <w:bookmarkStart w:id="767" w:name="_Toc78449830"/>
      <w:bookmarkStart w:id="768" w:name="_Toc1641633295"/>
      <w:bookmarkStart w:id="769" w:name="_Toc407135244"/>
      <w:r>
        <w:rPr>
          <w:color w:val="auto"/>
          <w:highlight w:val="none"/>
        </w:rPr>
        <w:t xml:space="preserve">10.3 </w:t>
      </w:r>
      <w:r>
        <w:rPr>
          <w:rFonts w:hint="eastAsia" w:hAnsi="宋体" w:cs="黑体"/>
          <w:color w:val="auto"/>
          <w:highlight w:val="none"/>
        </w:rPr>
        <w:t>变更程序</w:t>
      </w:r>
      <w:bookmarkEnd w:id="763"/>
      <w:bookmarkEnd w:id="764"/>
      <w:bookmarkEnd w:id="765"/>
      <w:bookmarkEnd w:id="766"/>
      <w:bookmarkEnd w:id="767"/>
      <w:bookmarkEnd w:id="768"/>
      <w:bookmarkEnd w:id="769"/>
    </w:p>
    <w:p w14:paraId="75B9DF1C">
      <w:pPr>
        <w:pStyle w:val="26"/>
        <w:spacing w:line="360" w:lineRule="auto"/>
        <w:ind w:firstLine="441" w:firstLineChars="210"/>
        <w:rPr>
          <w:rFonts w:ascii="Times New Roman" w:hAnsi="Times New Roman"/>
          <w:color w:val="auto"/>
          <w:sz w:val="21"/>
          <w:highlight w:val="none"/>
        </w:rPr>
      </w:pPr>
      <w:r>
        <w:rPr>
          <w:rFonts w:ascii="Times New Roman" w:hAnsi="Times New Roman"/>
          <w:color w:val="auto"/>
          <w:sz w:val="21"/>
          <w:highlight w:val="none"/>
        </w:rPr>
        <w:t>10.3.1</w:t>
      </w:r>
      <w:r>
        <w:rPr>
          <w:rFonts w:hint="eastAsia" w:ascii="Times New Roman" w:hAnsi="Times New Roman"/>
          <w:color w:val="auto"/>
          <w:sz w:val="21"/>
          <w:highlight w:val="none"/>
        </w:rPr>
        <w:t>国有投资项目：</w:t>
      </w:r>
    </w:p>
    <w:p w14:paraId="136763D7">
      <w:pPr>
        <w:pStyle w:val="26"/>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⑴设计变更和工程签证，按各市政府或相关部门的规定办理。属不可抗力（自然灾害、突发事件等）造成变更的，按特事特办原则予以办理。</w:t>
      </w:r>
    </w:p>
    <w:p w14:paraId="2D007424">
      <w:pPr>
        <w:pStyle w:val="26"/>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⑵建设单位在实施项目过程中，若发生单价变动，由发包人、承包人、监理或造价咨询等单位共同商定并签字确认。</w:t>
      </w:r>
    </w:p>
    <w:p w14:paraId="4E1EFB06">
      <w:pPr>
        <w:pStyle w:val="26"/>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⑶</w:t>
      </w:r>
      <w:r>
        <w:rPr>
          <w:rFonts w:ascii="Times New Roman" w:hAnsi="宋体"/>
          <w:bCs/>
          <w:color w:val="auto"/>
          <w:sz w:val="21"/>
          <w:highlight w:val="none"/>
        </w:rPr>
        <w:t xml:space="preserve"> </w:t>
      </w:r>
      <w:r>
        <w:rPr>
          <w:rFonts w:hint="eastAsia" w:ascii="Times New Roman" w:hAnsi="宋体"/>
          <w:bCs/>
          <w:color w:val="auto"/>
          <w:sz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7472C611">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r>
        <w:rPr>
          <w:rFonts w:hint="eastAsia"/>
          <w:color w:val="auto"/>
          <w:highlight w:val="none"/>
        </w:rPr>
        <w:t>无</w:t>
      </w:r>
      <w:r>
        <w:rPr>
          <w:rFonts w:hint="eastAsia" w:hAnsi="宋体" w:cs="宋体"/>
          <w:color w:val="auto"/>
          <w:highlight w:val="none"/>
        </w:rPr>
        <w:t>。</w:t>
      </w:r>
    </w:p>
    <w:p w14:paraId="3277C3DC">
      <w:pPr>
        <w:pStyle w:val="7"/>
        <w:rPr>
          <w:color w:val="auto"/>
          <w:highlight w:val="none"/>
        </w:rPr>
      </w:pPr>
      <w:bookmarkStart w:id="770" w:name="_Toc373227742"/>
      <w:bookmarkStart w:id="771" w:name="_Toc407135245"/>
      <w:bookmarkStart w:id="772" w:name="_Toc780640360"/>
      <w:bookmarkStart w:id="773" w:name="_Toc78449831"/>
      <w:bookmarkStart w:id="774" w:name="_Toc389065308"/>
      <w:bookmarkStart w:id="775" w:name="_Toc1645711468"/>
      <w:bookmarkStart w:id="776" w:name="_Toc373478389"/>
      <w:r>
        <w:rPr>
          <w:color w:val="auto"/>
          <w:highlight w:val="none"/>
        </w:rPr>
        <w:t xml:space="preserve">10.4 </w:t>
      </w:r>
      <w:r>
        <w:rPr>
          <w:rFonts w:hint="eastAsia" w:hAnsi="宋体" w:cs="黑体"/>
          <w:color w:val="auto"/>
          <w:highlight w:val="none"/>
        </w:rPr>
        <w:t>变更估价</w:t>
      </w:r>
      <w:bookmarkEnd w:id="770"/>
      <w:bookmarkEnd w:id="771"/>
      <w:bookmarkEnd w:id="772"/>
      <w:bookmarkEnd w:id="773"/>
      <w:bookmarkEnd w:id="774"/>
      <w:bookmarkEnd w:id="775"/>
      <w:bookmarkEnd w:id="776"/>
    </w:p>
    <w:p w14:paraId="612244BD">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5D8CDDAD">
      <w:pPr>
        <w:spacing w:line="400" w:lineRule="exact"/>
        <w:ind w:firstLine="420" w:firstLineChars="200"/>
        <w:jc w:val="left"/>
        <w:rPr>
          <w:rFonts w:hint="eastAsia" w:ascii="宋体" w:hAnsi="宋体" w:cs="宋体"/>
          <w:color w:val="auto"/>
          <w:highlight w:val="none"/>
        </w:rPr>
      </w:pPr>
      <w:r>
        <w:rPr>
          <w:rFonts w:hint="eastAsia" w:hAnsi="宋体" w:cs="宋体"/>
          <w:color w:val="auto"/>
          <w:highlight w:val="none"/>
        </w:rPr>
        <w:t>关于变更估价的约定</w:t>
      </w:r>
      <w:r>
        <w:rPr>
          <w:color w:val="auto"/>
          <w:highlight w:val="none"/>
        </w:rPr>
        <w:t xml:space="preserve">: </w:t>
      </w:r>
      <w:bookmarkStart w:id="777" w:name="_Toc251051742"/>
      <w:r>
        <w:rPr>
          <w:rFonts w:hint="eastAsia" w:ascii="宋体" w:hAnsi="宋体" w:cs="宋体"/>
          <w:color w:val="auto"/>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highlight w:val="none"/>
          <w:u w:val="single"/>
        </w:rPr>
        <w:t>乘以下浮系数     %（成交价/经业主审定的工程控制价）计算，</w:t>
      </w:r>
      <w:r>
        <w:rPr>
          <w:rFonts w:hint="eastAsia" w:ascii="宋体" w:hAnsi="宋体" w:cs="宋体"/>
          <w:b/>
          <w:bCs/>
          <w:color w:val="auto"/>
          <w:highlight w:val="none"/>
        </w:rPr>
        <w:t>□</w:t>
      </w:r>
      <w:r>
        <w:rPr>
          <w:rFonts w:hint="eastAsia" w:ascii="宋体" w:hAnsi="宋体" w:cs="宋体"/>
          <w:color w:val="auto"/>
          <w:highlight w:val="none"/>
          <w:u w:val="single"/>
        </w:rPr>
        <w:t>不乘下浮系数）计算，其中：材料设备价格按施工期间的《南宁市建设工程造价信息》相应信息价的加权平均值计算，《南宁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cs="宋体"/>
          <w:color w:val="auto"/>
          <w:highlight w:val="none"/>
        </w:rPr>
        <w:t>。以上约定同时适用于工程量清单缺项的价款确定。</w:t>
      </w:r>
      <w:r>
        <w:rPr>
          <w:rFonts w:hint="eastAsia" w:ascii="宋体" w:hAnsi="宋体" w:cs="宋体"/>
          <w:bCs/>
          <w:color w:val="auto"/>
          <w:szCs w:val="21"/>
          <w:highlight w:val="none"/>
          <w:u w:val="single"/>
        </w:rPr>
        <w:t>对于政府及国有资金投资的项目，新增项目的单价必须经   发包人  审定</w:t>
      </w:r>
      <w:r>
        <w:rPr>
          <w:rFonts w:hint="eastAsia" w:ascii="宋体" w:hAnsi="宋体" w:cs="宋体"/>
          <w:color w:val="auto"/>
          <w:szCs w:val="21"/>
          <w:highlight w:val="none"/>
        </w:rPr>
        <w:t>。</w:t>
      </w:r>
    </w:p>
    <w:p w14:paraId="4852C25F">
      <w:pPr>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工程变更导致实际完成的变更工程量与已标价清单或预算书中列明的该项目工程量有偏差时，其综合单价的确定按专用条款“1.13工程量清单错误的修正”执行。</w:t>
      </w:r>
    </w:p>
    <w:bookmarkEnd w:id="777"/>
    <w:p w14:paraId="47BDB268">
      <w:pPr>
        <w:spacing w:line="360" w:lineRule="auto"/>
        <w:ind w:firstLine="420" w:firstLineChars="200"/>
        <w:jc w:val="left"/>
        <w:rPr>
          <w:rFonts w:hint="eastAsia" w:cs="宋体"/>
          <w:color w:val="auto"/>
          <w:highlight w:val="none"/>
          <w:u w:val="single"/>
        </w:rPr>
      </w:pPr>
    </w:p>
    <w:p w14:paraId="3677F36F">
      <w:pPr>
        <w:pStyle w:val="7"/>
        <w:rPr>
          <w:color w:val="auto"/>
          <w:highlight w:val="none"/>
        </w:rPr>
      </w:pPr>
      <w:bookmarkStart w:id="778" w:name="_Toc389065309"/>
      <w:bookmarkStart w:id="779" w:name="_Toc78449832"/>
      <w:bookmarkStart w:id="780" w:name="_Toc1342657745"/>
      <w:bookmarkStart w:id="781" w:name="_Toc373227743"/>
      <w:bookmarkStart w:id="782" w:name="_Toc650800266"/>
      <w:bookmarkStart w:id="783" w:name="_Toc407135246"/>
      <w:bookmarkStart w:id="784" w:name="_Toc373478390"/>
      <w:r>
        <w:rPr>
          <w:color w:val="auto"/>
          <w:highlight w:val="none"/>
        </w:rPr>
        <w:t>1</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Start w:id="785" w:name="_Toc297048383"/>
      <w:bookmarkStart w:id="786" w:name="_Toc292559907"/>
      <w:bookmarkStart w:id="787" w:name="_Toc296503197"/>
      <w:bookmarkStart w:id="788" w:name="_Toc296891025"/>
      <w:bookmarkStart w:id="789" w:name="_Toc300934993"/>
      <w:bookmarkStart w:id="790" w:name="_Toc296346698"/>
      <w:bookmarkStart w:id="791" w:name="_Toc297216203"/>
      <w:bookmarkStart w:id="792" w:name="_Toc292559402"/>
      <w:bookmarkStart w:id="793" w:name="_Toc303539150"/>
      <w:bookmarkStart w:id="794" w:name="_Toc297120497"/>
      <w:bookmarkStart w:id="795" w:name="_Toc296347196"/>
      <w:bookmarkStart w:id="796" w:name="_Toc296944536"/>
      <w:bookmarkStart w:id="797" w:name="_Toc296891237"/>
      <w:bookmarkStart w:id="798" w:name="_Toc297123544"/>
      <w:bookmarkStart w:id="799" w:name="_Toc312677503"/>
      <w:bookmarkStart w:id="800" w:name="_Toc312678029"/>
      <w:bookmarkStart w:id="801" w:name="_Toc304295570"/>
      <w:r>
        <w:rPr>
          <w:color w:val="auto"/>
          <w:highlight w:val="none"/>
        </w:rPr>
        <w:t xml:space="preserve">0.5 </w:t>
      </w:r>
      <w:r>
        <w:rPr>
          <w:rFonts w:hint="eastAsia" w:cs="黑体"/>
          <w:color w:val="auto"/>
          <w:highlight w:val="none"/>
        </w:rPr>
        <w:t>承</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Start w:id="802" w:name="_Toc300934994"/>
      <w:bookmarkStart w:id="803" w:name="_Toc296944542"/>
      <w:bookmarkStart w:id="804" w:name="_Toc296347202"/>
      <w:bookmarkStart w:id="805" w:name="_Toc296503203"/>
      <w:bookmarkStart w:id="806" w:name="_Toc297120503"/>
      <w:bookmarkStart w:id="807" w:name="_Toc303539151"/>
      <w:bookmarkStart w:id="808" w:name="_Toc292559913"/>
      <w:bookmarkStart w:id="809" w:name="_Toc297048389"/>
      <w:bookmarkStart w:id="810" w:name="_Toc296346704"/>
      <w:bookmarkStart w:id="811" w:name="_Toc296891243"/>
      <w:bookmarkStart w:id="812" w:name="_Toc296891031"/>
      <w:bookmarkStart w:id="813" w:name="_Toc297123545"/>
      <w:bookmarkStart w:id="814" w:name="_Toc292559408"/>
      <w:bookmarkStart w:id="815" w:name="_Toc297216204"/>
      <w:r>
        <w:rPr>
          <w:rFonts w:hint="eastAsia" w:cs="黑体"/>
          <w:color w:val="auto"/>
          <w:highlight w:val="none"/>
        </w:rPr>
        <w:t>包人的合理化建议</w:t>
      </w:r>
      <w:bookmarkEnd w:id="778"/>
      <w:bookmarkEnd w:id="779"/>
      <w:bookmarkEnd w:id="780"/>
      <w:bookmarkEnd w:id="781"/>
      <w:bookmarkEnd w:id="782"/>
      <w:bookmarkEnd w:id="783"/>
      <w:bookmarkEnd w:id="784"/>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14:paraId="71557850">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rFonts w:hint="eastAsia" w:ascii="宋体" w:hAnsi="宋体"/>
          <w:color w:val="auto"/>
          <w:szCs w:val="21"/>
          <w:highlight w:val="none"/>
          <w:u w:val="single"/>
        </w:rPr>
        <w:t>到承包人提交的合理化建议后7日内审查完毕</w:t>
      </w:r>
      <w:r>
        <w:rPr>
          <w:color w:val="auto"/>
          <w:highlight w:val="none"/>
          <w:u w:val="single"/>
        </w:rPr>
        <w:t xml:space="preserve"> </w:t>
      </w:r>
      <w:r>
        <w:rPr>
          <w:rFonts w:hint="eastAsia" w:hAnsi="宋体" w:cs="宋体"/>
          <w:color w:val="auto"/>
          <w:highlight w:val="none"/>
        </w:rPr>
        <w:t>。</w:t>
      </w:r>
    </w:p>
    <w:p w14:paraId="082A903E">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ascii="宋体" w:hAnsi="宋体"/>
          <w:color w:val="auto"/>
          <w:szCs w:val="21"/>
          <w:highlight w:val="none"/>
          <w:u w:val="single"/>
        </w:rPr>
        <w:t>到承包人提交的合理化建议后7日内审查完毕</w:t>
      </w:r>
      <w:r>
        <w:rPr>
          <w:rFonts w:hint="eastAsia" w:hAnsi="宋体" w:cs="宋体"/>
          <w:color w:val="auto"/>
          <w:highlight w:val="none"/>
        </w:rPr>
        <w:t>。</w:t>
      </w:r>
    </w:p>
    <w:p w14:paraId="5D254691">
      <w:pPr>
        <w:spacing w:line="360" w:lineRule="auto"/>
        <w:ind w:firstLine="420" w:firstLineChars="200"/>
        <w:jc w:val="left"/>
        <w:rPr>
          <w:color w:val="auto"/>
          <w:highlight w:val="none"/>
          <w:u w:val="single"/>
        </w:rPr>
      </w:pPr>
      <w:r>
        <w:rPr>
          <w:rFonts w:hint="eastAsia" w:hAnsi="宋体" w:cs="宋体"/>
          <w:color w:val="auto"/>
          <w:highlight w:val="none"/>
        </w:rPr>
        <w:t>承</w:t>
      </w:r>
      <w:bookmarkStart w:id="816" w:name="_Toc304295571"/>
      <w:bookmarkStart w:id="817" w:name="_Toc318581175"/>
      <w:bookmarkStart w:id="818" w:name="_Toc300934995"/>
      <w:bookmarkStart w:id="819" w:name="_Toc297123546"/>
      <w:bookmarkStart w:id="820" w:name="_Toc312677504"/>
      <w:bookmarkStart w:id="821" w:name="_Toc296891244"/>
      <w:bookmarkStart w:id="822" w:name="_Toc292559409"/>
      <w:bookmarkStart w:id="823" w:name="_Toc296503204"/>
      <w:bookmarkStart w:id="824" w:name="_Toc296891032"/>
      <w:bookmarkStart w:id="825" w:name="_Toc312678030"/>
      <w:bookmarkStart w:id="826" w:name="_Toc296346705"/>
      <w:bookmarkStart w:id="827" w:name="_Toc303539152"/>
      <w:bookmarkStart w:id="828" w:name="_Toc296347203"/>
      <w:bookmarkStart w:id="829" w:name="_Toc297120504"/>
      <w:bookmarkStart w:id="830" w:name="_Toc292559914"/>
      <w:bookmarkStart w:id="831" w:name="_Toc297216205"/>
      <w:bookmarkStart w:id="832" w:name="_Toc296944543"/>
      <w:bookmarkStart w:id="833" w:name="_Toc297048390"/>
      <w:r>
        <w:rPr>
          <w:rFonts w:hint="eastAsia" w:hAnsi="宋体" w:cs="宋体"/>
          <w:color w:val="auto"/>
          <w:highlight w:val="none"/>
        </w:rPr>
        <w:t>包人提出的合理化建议降低了合同价格或者提高了工程经济效益的奖励的方法和金额为：</w:t>
      </w:r>
      <w:r>
        <w:rPr>
          <w:rFonts w:hint="eastAsia"/>
          <w:color w:val="auto"/>
          <w:highlight w:val="none"/>
          <w:u w:val="single"/>
        </w:rPr>
        <w:t>无</w:t>
      </w:r>
      <w:r>
        <w:rPr>
          <w:rFonts w:hint="eastAsia" w:hAnsi="宋体" w:cs="宋体"/>
          <w:color w:val="auto"/>
          <w:highlight w:val="none"/>
        </w:rPr>
        <w:t>。</w:t>
      </w:r>
    </w:p>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14:paraId="6D462E89">
      <w:pPr>
        <w:pStyle w:val="7"/>
        <w:rPr>
          <w:color w:val="auto"/>
          <w:highlight w:val="none"/>
        </w:rPr>
      </w:pPr>
      <w:bookmarkStart w:id="834" w:name="_Toc389065310"/>
      <w:bookmarkStart w:id="835" w:name="_Toc2045792355"/>
      <w:bookmarkStart w:id="836" w:name="_Toc373227744"/>
      <w:bookmarkStart w:id="837" w:name="_Toc407135247"/>
      <w:bookmarkStart w:id="838" w:name="_Toc373478391"/>
      <w:bookmarkStart w:id="839" w:name="_Toc78449833"/>
      <w:bookmarkStart w:id="840" w:name="_Toc502454636"/>
      <w:r>
        <w:rPr>
          <w:color w:val="auto"/>
          <w:highlight w:val="none"/>
        </w:rPr>
        <w:t>1</w:t>
      </w:r>
      <w:bookmarkStart w:id="841" w:name="_Toc296503199"/>
      <w:bookmarkStart w:id="842" w:name="_Toc304295574"/>
      <w:bookmarkStart w:id="843" w:name="_Toc292559909"/>
      <w:bookmarkStart w:id="844" w:name="_Toc296346700"/>
      <w:bookmarkStart w:id="845" w:name="_Toc300934997"/>
      <w:bookmarkStart w:id="846" w:name="_Toc312678033"/>
      <w:bookmarkStart w:id="847" w:name="_Toc297120499"/>
      <w:bookmarkStart w:id="848" w:name="_Toc297216207"/>
      <w:bookmarkStart w:id="849" w:name="_Toc296944538"/>
      <w:bookmarkStart w:id="850" w:name="_Toc296891027"/>
      <w:bookmarkStart w:id="851" w:name="_Toc303539154"/>
      <w:bookmarkStart w:id="852" w:name="_Toc297123548"/>
      <w:bookmarkStart w:id="853" w:name="_Toc312677507"/>
      <w:bookmarkStart w:id="854" w:name="_Toc296347198"/>
      <w:bookmarkStart w:id="855" w:name="_Toc296891239"/>
      <w:bookmarkStart w:id="856" w:name="_Toc292559404"/>
      <w:bookmarkStart w:id="857" w:name="_Toc297048385"/>
      <w:r>
        <w:rPr>
          <w:color w:val="auto"/>
          <w:highlight w:val="none"/>
        </w:rPr>
        <w:t xml:space="preserve">0.7 </w:t>
      </w:r>
      <w:r>
        <w:rPr>
          <w:rFonts w:hint="eastAsia" w:hAnsi="宋体" w:cs="黑体"/>
          <w:color w:val="auto"/>
          <w:highlight w:val="none"/>
        </w:rPr>
        <w:t>暂估价</w:t>
      </w:r>
      <w:bookmarkEnd w:id="834"/>
      <w:bookmarkEnd w:id="835"/>
      <w:bookmarkEnd w:id="836"/>
      <w:bookmarkEnd w:id="837"/>
      <w:bookmarkEnd w:id="838"/>
      <w:bookmarkEnd w:id="839"/>
      <w:bookmarkEnd w:id="840"/>
    </w:p>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14:paraId="26CB71B6">
      <w:pPr>
        <w:spacing w:line="360" w:lineRule="auto"/>
        <w:ind w:firstLine="420" w:firstLineChars="200"/>
        <w:jc w:val="left"/>
        <w:rPr>
          <w:color w:val="auto"/>
          <w:highlight w:val="none"/>
        </w:rPr>
      </w:pPr>
      <w:r>
        <w:rPr>
          <w:rFonts w:hint="eastAsia" w:hAnsi="宋体" w:cs="宋体"/>
          <w:color w:val="auto"/>
          <w:kern w:val="0"/>
          <w:highlight w:val="none"/>
        </w:rPr>
        <w:t>暂</w:t>
      </w:r>
      <w:bookmarkStart w:id="858" w:name="_Toc318581176"/>
      <w:bookmarkStart w:id="859" w:name="_Toc312677508"/>
      <w:bookmarkStart w:id="860" w:name="_Toc312678034"/>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858"/>
    <w:bookmarkEnd w:id="859"/>
    <w:bookmarkEnd w:id="860"/>
    <w:p w14:paraId="7C6CEC4E">
      <w:pPr>
        <w:spacing w:line="360" w:lineRule="auto"/>
        <w:ind w:firstLine="420" w:firstLineChars="200"/>
        <w:jc w:val="left"/>
        <w:rPr>
          <w:color w:val="auto"/>
          <w:highlight w:val="none"/>
        </w:rPr>
      </w:pPr>
      <w:r>
        <w:rPr>
          <w:color w:val="auto"/>
          <w:highlight w:val="none"/>
        </w:rPr>
        <w:t>1</w:t>
      </w:r>
      <w:bookmarkStart w:id="861" w:name="_Toc318581177"/>
      <w:bookmarkStart w:id="862" w:name="_Toc312678035"/>
      <w:bookmarkStart w:id="863" w:name="_Toc312677509"/>
      <w:r>
        <w:rPr>
          <w:color w:val="auto"/>
          <w:highlight w:val="none"/>
        </w:rPr>
        <w:t xml:space="preserve">0.7.1 </w:t>
      </w:r>
      <w:r>
        <w:rPr>
          <w:rFonts w:hint="eastAsia" w:hAnsi="宋体" w:cs="宋体"/>
          <w:color w:val="auto"/>
          <w:highlight w:val="none"/>
        </w:rPr>
        <w:t>依法必须招标的暂估价项目</w:t>
      </w:r>
    </w:p>
    <w:bookmarkEnd w:id="861"/>
    <w:bookmarkEnd w:id="862"/>
    <w:bookmarkEnd w:id="863"/>
    <w:p w14:paraId="55958F7A">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w:t>
      </w:r>
      <w:r>
        <w:rPr>
          <w:rFonts w:hint="eastAsia" w:hAnsi="宋体" w:cs="宋体"/>
          <w:color w:val="auto"/>
          <w:highlight w:val="none"/>
        </w:rPr>
        <w:t>种方式确定。</w:t>
      </w:r>
    </w:p>
    <w:p w14:paraId="25F27996">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78CB7266">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w:t>
      </w:r>
      <w:r>
        <w:rPr>
          <w:color w:val="auto"/>
          <w:highlight w:val="none"/>
        </w:rPr>
        <w:t xml:space="preserve"> </w:t>
      </w:r>
      <w:r>
        <w:rPr>
          <w:rFonts w:hint="eastAsia" w:hAnsi="宋体" w:cs="宋体"/>
          <w:color w:val="auto"/>
          <w:highlight w:val="none"/>
        </w:rPr>
        <w:t>种方式确定。</w:t>
      </w:r>
    </w:p>
    <w:p w14:paraId="13CC5939">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355BE6A4">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rFonts w:hint="eastAsia"/>
          <w:color w:val="auto"/>
          <w:highlight w:val="none"/>
          <w:u w:val="single"/>
        </w:rPr>
        <w:t>无</w:t>
      </w:r>
      <w:r>
        <w:rPr>
          <w:rFonts w:hint="eastAsia" w:hAnsi="宋体" w:cs="宋体"/>
          <w:color w:val="auto"/>
          <w:highlight w:val="none"/>
        </w:rPr>
        <w:t>。</w:t>
      </w:r>
    </w:p>
    <w:p w14:paraId="3FDBBFFC">
      <w:pPr>
        <w:pStyle w:val="7"/>
        <w:rPr>
          <w:color w:val="auto"/>
          <w:highlight w:val="none"/>
        </w:rPr>
      </w:pPr>
      <w:bookmarkStart w:id="864" w:name="_Toc78449834"/>
      <w:bookmarkStart w:id="865" w:name="_Toc2032108729"/>
      <w:bookmarkStart w:id="866" w:name="_Toc389065311"/>
      <w:bookmarkStart w:id="867" w:name="_Toc2131098822"/>
      <w:bookmarkStart w:id="868" w:name="_Toc407135248"/>
      <w:bookmarkStart w:id="869" w:name="_Toc373478392"/>
      <w:bookmarkStart w:id="870" w:name="_Toc373227745"/>
      <w:r>
        <w:rPr>
          <w:color w:val="auto"/>
          <w:highlight w:val="none"/>
        </w:rPr>
        <w:t xml:space="preserve">10.8 </w:t>
      </w:r>
      <w:r>
        <w:rPr>
          <w:rFonts w:hint="eastAsia" w:hAnsi="宋体" w:cs="黑体"/>
          <w:color w:val="auto"/>
          <w:highlight w:val="none"/>
        </w:rPr>
        <w:t>暂列金额</w:t>
      </w:r>
      <w:bookmarkEnd w:id="864"/>
      <w:bookmarkEnd w:id="865"/>
      <w:bookmarkEnd w:id="866"/>
      <w:bookmarkEnd w:id="867"/>
      <w:bookmarkEnd w:id="868"/>
      <w:bookmarkEnd w:id="869"/>
      <w:bookmarkEnd w:id="870"/>
    </w:p>
    <w:p w14:paraId="5E515776">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rFonts w:hint="eastAsia"/>
          <w:color w:val="auto"/>
          <w:highlight w:val="none"/>
          <w:u w:val="single"/>
        </w:rPr>
        <w:t>无</w:t>
      </w:r>
      <w:r>
        <w:rPr>
          <w:rFonts w:hint="eastAsia" w:hAnsi="宋体" w:cs="宋体"/>
          <w:color w:val="auto"/>
          <w:kern w:val="0"/>
          <w:highlight w:val="none"/>
        </w:rPr>
        <w:t>。</w:t>
      </w:r>
    </w:p>
    <w:p w14:paraId="6E0BD2A9">
      <w:pPr>
        <w:pStyle w:val="6"/>
        <w:numPr>
          <w:ilvl w:val="0"/>
          <w:numId w:val="4"/>
        </w:numPr>
        <w:spacing w:before="60" w:after="60" w:line="413" w:lineRule="auto"/>
        <w:rPr>
          <w:color w:val="auto"/>
          <w:highlight w:val="none"/>
        </w:rPr>
      </w:pPr>
      <w:bookmarkStart w:id="871" w:name="_Toc389065312"/>
      <w:bookmarkStart w:id="872" w:name="_Toc78449835"/>
      <w:bookmarkStart w:id="873" w:name="_Toc407135249"/>
      <w:bookmarkStart w:id="874" w:name="_Toc1190723452"/>
      <w:bookmarkStart w:id="875" w:name="_Toc136736539"/>
      <w:bookmarkStart w:id="876" w:name="_Toc351203643"/>
      <w:bookmarkStart w:id="877" w:name="_Toc373478393"/>
      <w:bookmarkStart w:id="878" w:name="_Toc373227746"/>
      <w:r>
        <w:rPr>
          <w:rFonts w:hint="eastAsia" w:hAnsi="宋体" w:cs="黑体"/>
          <w:color w:val="auto"/>
          <w:highlight w:val="none"/>
        </w:rPr>
        <w:t>价格调整</w:t>
      </w:r>
      <w:bookmarkEnd w:id="871"/>
      <w:bookmarkEnd w:id="872"/>
      <w:bookmarkEnd w:id="873"/>
      <w:bookmarkEnd w:id="874"/>
      <w:bookmarkEnd w:id="875"/>
      <w:bookmarkEnd w:id="876"/>
      <w:bookmarkEnd w:id="877"/>
      <w:bookmarkEnd w:id="878"/>
    </w:p>
    <w:p w14:paraId="56F4CD58">
      <w:pPr>
        <w:pStyle w:val="7"/>
        <w:rPr>
          <w:color w:val="auto"/>
          <w:highlight w:val="none"/>
        </w:rPr>
      </w:pPr>
      <w:bookmarkStart w:id="879" w:name="_Toc42268484"/>
      <w:bookmarkStart w:id="880" w:name="_Toc389065313"/>
      <w:bookmarkStart w:id="881" w:name="_Toc78449836"/>
      <w:bookmarkStart w:id="882" w:name="_Toc373478394"/>
      <w:bookmarkStart w:id="883" w:name="_Toc373227747"/>
      <w:bookmarkStart w:id="884" w:name="_Toc407135250"/>
      <w:bookmarkStart w:id="885" w:name="_Toc1501386015"/>
      <w:bookmarkStart w:id="886" w:name="_Toc297123550"/>
      <w:bookmarkStart w:id="887" w:name="_Toc312678039"/>
      <w:bookmarkStart w:id="888" w:name="_Toc300935000"/>
      <w:bookmarkStart w:id="889" w:name="_Toc304295577"/>
      <w:bookmarkStart w:id="890" w:name="_Toc296347200"/>
      <w:bookmarkStart w:id="891" w:name="_Toc303539157"/>
      <w:bookmarkStart w:id="892" w:name="_Toc296891241"/>
      <w:bookmarkStart w:id="893" w:name="_Toc296944540"/>
      <w:bookmarkStart w:id="894" w:name="_Toc297120501"/>
      <w:bookmarkStart w:id="895" w:name="_Toc292559911"/>
      <w:bookmarkStart w:id="896" w:name="_Toc297048387"/>
      <w:bookmarkStart w:id="897" w:name="_Toc292559406"/>
      <w:bookmarkStart w:id="898" w:name="_Toc296891029"/>
      <w:bookmarkStart w:id="899" w:name="_Toc297216209"/>
      <w:bookmarkStart w:id="900" w:name="_Toc296503201"/>
      <w:bookmarkStart w:id="901" w:name="_Toc296346702"/>
      <w:r>
        <w:rPr>
          <w:color w:val="auto"/>
          <w:highlight w:val="none"/>
        </w:rPr>
        <w:t xml:space="preserve">11.1 </w:t>
      </w:r>
      <w:r>
        <w:rPr>
          <w:rFonts w:hint="eastAsia" w:cs="黑体"/>
          <w:color w:val="auto"/>
          <w:highlight w:val="none"/>
        </w:rPr>
        <w:t>市场价格波动引起的调整</w:t>
      </w:r>
      <w:bookmarkEnd w:id="879"/>
      <w:bookmarkEnd w:id="880"/>
      <w:bookmarkEnd w:id="881"/>
      <w:bookmarkEnd w:id="882"/>
      <w:bookmarkEnd w:id="883"/>
      <w:bookmarkEnd w:id="884"/>
      <w:bookmarkEnd w:id="885"/>
    </w:p>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14:paraId="36E95211">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否          </w:t>
      </w:r>
      <w:r>
        <w:rPr>
          <w:rFonts w:hint="eastAsia" w:ascii="宋体" w:hAnsi="宋体" w:cs="宋体"/>
          <w:color w:val="auto"/>
          <w:szCs w:val="21"/>
          <w:highlight w:val="none"/>
        </w:rPr>
        <w:t>。</w:t>
      </w:r>
    </w:p>
    <w:p w14:paraId="759ECFDA">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种方式对合同价格进行调整：</w:t>
      </w:r>
    </w:p>
    <w:p w14:paraId="37DFD56C">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5223D759">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B639D3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169CAC8D">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AC1CB9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（1）允许调整的主要材料和设备、基期价格、风险系数、竞标报价：详见《承包人提供主要材料和设备一览表》</w:t>
      </w:r>
      <w:r>
        <w:rPr>
          <w:rFonts w:hint="eastAsia" w:ascii="宋体" w:hAnsi="宋体" w:cs="宋体"/>
          <w:color w:val="auto"/>
          <w:highlight w:val="none"/>
        </w:rPr>
        <w:t>,价差调整部分仅计算税金，除此表列明的材料、设备外，其余材料设备价差原则上不予调整</w:t>
      </w:r>
      <w:r>
        <w:rPr>
          <w:rFonts w:hint="eastAsia" w:ascii="宋体" w:hAnsi="宋体" w:cs="宋体"/>
          <w:color w:val="auto"/>
          <w:szCs w:val="21"/>
          <w:highlight w:val="none"/>
        </w:rPr>
        <w:t>。</w:t>
      </w:r>
    </w:p>
    <w:p w14:paraId="577F84F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（2）主要材料和设备确认价：</w:t>
      </w:r>
    </w:p>
    <w:p w14:paraId="661B6F1C">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按施工期间《</w:t>
      </w:r>
      <w:r>
        <w:rPr>
          <w:rFonts w:hint="eastAsia" w:ascii="宋体" w:hAnsi="宋体" w:cs="宋体"/>
          <w:color w:val="auto"/>
          <w:szCs w:val="21"/>
          <w:highlight w:val="none"/>
          <w:u w:val="single"/>
        </w:rPr>
        <w:t xml:space="preserve"> 南宁 </w:t>
      </w:r>
      <w:r>
        <w:rPr>
          <w:rFonts w:hint="eastAsia" w:ascii="宋体" w:hAnsi="宋体" w:cs="宋体"/>
          <w:color w:val="auto"/>
          <w:szCs w:val="21"/>
          <w:highlight w:val="none"/>
        </w:rPr>
        <w:t>市建设工程造价信息》加权平均计算，信息价没有的按通用条款规定确定。</w:t>
      </w:r>
    </w:p>
    <w:p w14:paraId="183A9F5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（3）价差计算方法：</w:t>
      </w:r>
    </w:p>
    <w:p w14:paraId="1D4097B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highlight w:val="none"/>
        </w:rPr>
        <w:t>《承包人提供主要材料和设备一览表》中载明的材料和设备竞标报价低于基准价格的：合同履行期间材料和设备单价涨幅以基准价格为基础超过约定的风险范围时，或材料和设备单价跌幅以竞标报价为基础超过约定的风险范围时，对其超过部分进行价差调整，价差计算公式：价格上涨价差=确认价-基准单价*（1+风险系数），价格下跌价差=确认价-竞标报价*（1+风险系数）。</w:t>
      </w:r>
    </w:p>
    <w:p w14:paraId="21C5EAA2">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②承包人在《承包人提供主要材料和设备一览表》中载明的材料和设备竞标报价高于基准价格的：</w:t>
      </w:r>
      <w:r>
        <w:rPr>
          <w:rFonts w:hint="eastAsia" w:ascii="宋体" w:hAnsi="宋体" w:cs="宋体"/>
          <w:color w:val="auto"/>
          <w:highlight w:val="none"/>
        </w:rPr>
        <w:t>合同履行期间材料和设备单价跌幅以基准价格为基础超过约定的风险范围时，或材料和设备单价涨幅以竞标报价为基础超过约定的风险范围时，对其超过部分进行价差调整。价差计算公式：价格上涨价差=确认价-竞标报价*（1+风险系数），价格下跌价差=确认价-基准价*（1+风险系数。）</w:t>
      </w:r>
    </w:p>
    <w:p w14:paraId="333D9F0E">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③承包人在《承包人提供主要材料和设备一览表》中载明的材料和设备单价等于基准单价的：合同履行期间材料和设备单价涨跌幅以基准单价为基础超过约定的风险范围时，其超过部分据实调整。</w:t>
      </w:r>
      <w:r>
        <w:rPr>
          <w:rFonts w:hint="eastAsia" w:ascii="宋体" w:hAnsi="宋体" w:cs="宋体"/>
          <w:color w:val="auto"/>
          <w:highlight w:val="none"/>
        </w:rPr>
        <w:t>价差计算公式：上涨或下跌价差=确认价-基准单价*（1+风险系数）</w:t>
      </w:r>
    </w:p>
    <w:p w14:paraId="7CFAA300">
      <w:pPr>
        <w:pStyle w:val="230"/>
        <w:spacing w:line="400" w:lineRule="exact"/>
        <w:ind w:firstLine="645"/>
        <w:jc w:val="left"/>
        <w:rPr>
          <w:rFonts w:hint="eastAsia"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E1DAA3">
      <w:pPr>
        <w:spacing w:line="360" w:lineRule="auto"/>
        <w:ind w:firstLine="645"/>
        <w:jc w:val="left"/>
        <w:rPr>
          <w:color w:val="auto"/>
          <w:highlight w:val="none"/>
        </w:rPr>
      </w:pPr>
    </w:p>
    <w:bookmarkEnd w:id="732"/>
    <w:bookmarkEnd w:id="733"/>
    <w:bookmarkEnd w:id="734"/>
    <w:bookmarkEnd w:id="735"/>
    <w:bookmarkEnd w:id="736"/>
    <w:bookmarkEnd w:id="737"/>
    <w:p w14:paraId="162B90EA">
      <w:pPr>
        <w:pStyle w:val="6"/>
        <w:rPr>
          <w:color w:val="auto"/>
          <w:highlight w:val="none"/>
        </w:rPr>
      </w:pPr>
      <w:bookmarkStart w:id="902" w:name="_Toc297120505"/>
      <w:bookmarkStart w:id="903" w:name="_Toc292559915"/>
      <w:bookmarkStart w:id="904" w:name="_Toc296346706"/>
      <w:bookmarkStart w:id="905" w:name="_Toc296891033"/>
      <w:bookmarkStart w:id="906" w:name="_Toc297048391"/>
      <w:bookmarkStart w:id="907" w:name="_Toc296891245"/>
      <w:bookmarkStart w:id="908" w:name="_Toc296944544"/>
      <w:bookmarkStart w:id="909" w:name="_Toc296347204"/>
      <w:bookmarkStart w:id="910" w:name="_Toc296503205"/>
      <w:bookmarkStart w:id="911" w:name="_Toc292559410"/>
      <w:bookmarkStart w:id="912" w:name="_Toc1935657796"/>
      <w:bookmarkStart w:id="913" w:name="_Toc351203644"/>
      <w:bookmarkStart w:id="914" w:name="_Toc373227748"/>
      <w:bookmarkStart w:id="915" w:name="_Toc78449837"/>
      <w:bookmarkStart w:id="916" w:name="_Toc373478395"/>
      <w:bookmarkStart w:id="917" w:name="_Toc407135251"/>
      <w:bookmarkStart w:id="918" w:name="_Toc1720046426"/>
      <w:bookmarkStart w:id="919" w:name="_Toc297216211"/>
      <w:bookmarkStart w:id="920" w:name="_Toc303539159"/>
      <w:bookmarkStart w:id="921" w:name="_Toc304295579"/>
      <w:bookmarkStart w:id="922" w:name="_Toc312678040"/>
      <w:bookmarkStart w:id="923" w:name="_Toc297123552"/>
      <w:bookmarkStart w:id="924" w:name="_Toc300935002"/>
      <w:r>
        <w:rPr>
          <w:color w:val="auto"/>
          <w:highlight w:val="none"/>
        </w:rPr>
        <w:t xml:space="preserve">12. </w:t>
      </w:r>
      <w:bookmarkEnd w:id="902"/>
      <w:bookmarkEnd w:id="903"/>
      <w:bookmarkEnd w:id="904"/>
      <w:bookmarkEnd w:id="905"/>
      <w:bookmarkEnd w:id="906"/>
      <w:bookmarkEnd w:id="907"/>
      <w:bookmarkEnd w:id="908"/>
      <w:bookmarkEnd w:id="909"/>
      <w:bookmarkEnd w:id="910"/>
      <w:bookmarkEnd w:id="911"/>
      <w:r>
        <w:rPr>
          <w:rFonts w:hint="eastAsia" w:cs="黑体"/>
          <w:color w:val="auto"/>
          <w:highlight w:val="none"/>
        </w:rPr>
        <w:t>合同价格、计量与支付</w:t>
      </w:r>
      <w:bookmarkEnd w:id="912"/>
      <w:bookmarkEnd w:id="913"/>
      <w:bookmarkEnd w:id="914"/>
      <w:bookmarkEnd w:id="915"/>
      <w:bookmarkEnd w:id="916"/>
      <w:bookmarkEnd w:id="917"/>
      <w:bookmarkEnd w:id="918"/>
    </w:p>
    <w:bookmarkEnd w:id="919"/>
    <w:bookmarkEnd w:id="920"/>
    <w:bookmarkEnd w:id="921"/>
    <w:bookmarkEnd w:id="922"/>
    <w:bookmarkEnd w:id="923"/>
    <w:bookmarkEnd w:id="924"/>
    <w:p w14:paraId="432BBD45">
      <w:pPr>
        <w:pStyle w:val="230"/>
        <w:spacing w:after="120" w:line="400" w:lineRule="exact"/>
        <w:ind w:firstLine="420" w:firstLineChars="200"/>
        <w:rPr>
          <w:rFonts w:hint="eastAsia" w:ascii="宋体" w:hAnsi="宋体" w:cs="宋体"/>
          <w:color w:val="auto"/>
          <w:szCs w:val="21"/>
          <w:highlight w:val="none"/>
        </w:rPr>
      </w:pPr>
      <w:bookmarkStart w:id="925" w:name="_Toc296503206"/>
      <w:bookmarkStart w:id="926" w:name="_Toc296347205"/>
      <w:bookmarkStart w:id="927" w:name="_Toc292559916"/>
      <w:bookmarkStart w:id="928" w:name="_Toc407135252"/>
      <w:bookmarkStart w:id="929" w:name="_Toc373478396"/>
      <w:bookmarkStart w:id="930" w:name="_Toc389065314"/>
      <w:bookmarkStart w:id="931" w:name="_Toc296891246"/>
      <w:bookmarkStart w:id="932" w:name="_Toc373227749"/>
      <w:bookmarkStart w:id="933" w:name="_Toc1395756356"/>
      <w:bookmarkStart w:id="934" w:name="_Toc304295580"/>
      <w:bookmarkStart w:id="935" w:name="_Toc78449838"/>
      <w:bookmarkStart w:id="936" w:name="_Toc296944545"/>
      <w:bookmarkStart w:id="937" w:name="_Toc303539160"/>
      <w:bookmarkStart w:id="938" w:name="_Toc296891034"/>
      <w:bookmarkStart w:id="939" w:name="_Toc297216212"/>
      <w:bookmarkStart w:id="940" w:name="_Toc267251461"/>
      <w:bookmarkStart w:id="941" w:name="_Toc1894565429"/>
      <w:bookmarkStart w:id="942" w:name="_Toc300935003"/>
      <w:bookmarkStart w:id="943" w:name="_Toc312678041"/>
      <w:bookmarkStart w:id="944" w:name="_Toc292559411"/>
      <w:bookmarkStart w:id="945" w:name="_Toc297123553"/>
      <w:bookmarkStart w:id="946" w:name="_Toc297048392"/>
      <w:bookmarkStart w:id="947" w:name="_Toc296346707"/>
      <w:bookmarkStart w:id="948" w:name="_Toc297120506"/>
      <w:r>
        <w:rPr>
          <w:rFonts w:hint="eastAsia" w:ascii="宋体" w:hAnsi="宋体" w:cs="宋体"/>
          <w:color w:val="auto"/>
          <w:szCs w:val="21"/>
          <w:highlight w:val="none"/>
        </w:rPr>
        <w:t>12.1 合同价格形式</w:t>
      </w:r>
    </w:p>
    <w:p w14:paraId="37D896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本工程采用</w:t>
      </w:r>
      <w:r>
        <w:rPr>
          <w:rFonts w:hint="eastAsia" w:ascii="宋体" w:hAnsi="宋体" w:cs="宋体"/>
          <w:color w:val="auto"/>
          <w:szCs w:val="21"/>
          <w:highlight w:val="none"/>
          <w:u w:val="single"/>
        </w:rPr>
        <w:t>（1）</w:t>
      </w:r>
      <w:r>
        <w:rPr>
          <w:rFonts w:hint="eastAsia" w:ascii="宋体" w:hAnsi="宋体" w:cs="宋体"/>
          <w:color w:val="auto"/>
          <w:szCs w:val="21"/>
          <w:highlight w:val="none"/>
        </w:rPr>
        <w:t>合同价格形式</w:t>
      </w:r>
      <w:r>
        <w:rPr>
          <w:rFonts w:hint="eastAsia" w:ascii="宋体" w:hAnsi="宋体" w:cs="宋体"/>
          <w:color w:val="auto"/>
          <w:highlight w:val="none"/>
        </w:rPr>
        <w:t>，合同价格包含增值税，本工程计价时采用的增值税计税方法为：</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highlight w:val="none"/>
        </w:rPr>
        <w:t xml:space="preserve">一般计税法   </w:t>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szCs w:val="21"/>
          <w:highlight w:val="none"/>
        </w:rPr>
        <w:instrText xml:space="preserve">)</w:instrText>
      </w:r>
      <w:r>
        <w:rPr>
          <w:rFonts w:hint="eastAsia" w:ascii="宋体" w:hAnsi="宋体" w:cs="宋体"/>
          <w:color w:val="auto"/>
          <w:szCs w:val="21"/>
          <w:highlight w:val="none"/>
        </w:rPr>
        <w:fldChar w:fldCharType="end"/>
      </w:r>
      <w:r>
        <w:rPr>
          <w:rFonts w:hint="eastAsia" w:ascii="宋体" w:hAnsi="宋体" w:cs="宋体"/>
          <w:color w:val="auto"/>
          <w:highlight w:val="none"/>
        </w:rPr>
        <w:t>简易计税法</w:t>
      </w:r>
      <w:r>
        <w:rPr>
          <w:rFonts w:hint="eastAsia" w:ascii="宋体" w:hAnsi="宋体" w:cs="宋体"/>
          <w:color w:val="auto"/>
          <w:szCs w:val="21"/>
          <w:highlight w:val="none"/>
        </w:rPr>
        <w:t>。</w:t>
      </w:r>
    </w:p>
    <w:p w14:paraId="0EB0C85D">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2C5018EB">
      <w:pPr>
        <w:pStyle w:val="230"/>
        <w:spacing w:after="120"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本合同价款采用固定综合单价方式确定，工程量按实际结算(</w:t>
      </w:r>
      <w:r>
        <w:rPr>
          <w:rFonts w:hint="eastAsia" w:ascii="宋体" w:hAnsi="宋体" w:cs="宋体"/>
          <w:color w:val="auto"/>
          <w:szCs w:val="21"/>
          <w:highlight w:val="none"/>
          <w:u w:val="single"/>
        </w:rPr>
        <w:t>工程变更导致实际完成的变更工程量与已标价清单或预算书中列明的该项目工程量有偏差时，按专用条款“1.13工程量清单错误的修正”执行)。</w:t>
      </w:r>
    </w:p>
    <w:p w14:paraId="79211519">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综合单价中包括的风险范围：</w:t>
      </w:r>
      <w:r>
        <w:rPr>
          <w:rFonts w:hint="eastAsia" w:ascii="宋体" w:hAnsi="宋体" w:cs="宋体"/>
          <w:color w:val="auto"/>
          <w:szCs w:val="21"/>
          <w:highlight w:val="none"/>
          <w:u w:val="single"/>
        </w:rPr>
        <w:t>除工程变更、工程量清单缺项、政策性调整以外的其他风险</w:t>
      </w:r>
      <w:r>
        <w:rPr>
          <w:rFonts w:hint="eastAsia" w:ascii="宋体" w:hAnsi="宋体" w:cs="宋体"/>
          <w:color w:val="auto"/>
          <w:szCs w:val="21"/>
          <w:highlight w:val="none"/>
        </w:rPr>
        <w:t>。</w:t>
      </w:r>
    </w:p>
    <w:p w14:paraId="46D2BFB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风险费用的计算方法：单价采用固定综合单价，风险费用已综合考虑在单价中。</w:t>
      </w:r>
    </w:p>
    <w:p w14:paraId="50A197ED">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①风险范围以外合同价款调整方法：</w:t>
      </w:r>
    </w:p>
    <w:p w14:paraId="71D2DA8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a.本合同实施期间因工程变更、工程量清单缺项引起工程项目、工程量变化的，其工程量按实际发生并监理工程师及发包人确认，变更合同价款按下列方法进行：工程量清单中有相同细目的按供应商竞标时的成交单价进行结算，工程量清单中有类似细目的参考类似成交单价结算；工程量清单中没有适用或类似于变更工程的价格，则有定额的套定额计算，执行本磋商文件工程计价参考依据，并乘以下浮系数（成交价/经审定的工程招标控制价）结算，其中材料价格有信息价的按施工期间信息价的平均价计取，无信息价的由发包人、监理单位及承包人根据市场价格协商议定；新增项目无定额可套的，由发包人、监理单位及承包人根据市场协商确定；新增结算单价=综合单价×（成交价/经审定的工程招标控制价）。</w:t>
      </w:r>
    </w:p>
    <w:p w14:paraId="41C997BF">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b.工程量偏差调整方法：</w:t>
      </w:r>
      <w:r>
        <w:rPr>
          <w:rFonts w:hint="eastAsia" w:ascii="宋体" w:hAnsi="宋体" w:cs="宋体"/>
          <w:color w:val="auto"/>
          <w:szCs w:val="21"/>
          <w:highlight w:val="none"/>
          <w:u w:val="single"/>
        </w:rPr>
        <w:t>按专用条款“1.13工程量清单错误的修正”执行)。</w:t>
      </w:r>
    </w:p>
    <w:p w14:paraId="5FFEC9F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c.材料和设备价格风险的调整方法：</w:t>
      </w: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否        </w:t>
      </w:r>
    </w:p>
    <w:p w14:paraId="40FCDD9B">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d.措施项目费调整原则按《(GB50500-2013)建设工程工程量清单计价规范-广西壮族自治区实施细则》第9.3.2款执行。</w:t>
      </w:r>
    </w:p>
    <w:p w14:paraId="5735BFE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e.国家和自治区政策性调整有关费用标准的，按文件规定执行。</w:t>
      </w:r>
    </w:p>
    <w:p w14:paraId="0C4F01B0">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f.无约定的参照我区现行《建设工程工程量清单计价规范》相关规定执行。</w:t>
      </w:r>
    </w:p>
    <w:p w14:paraId="20F0E0A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本工程最终结算评审按《自治区本级财政投资评审实施办法》（桂财办〔2015〕70号）相关规定办理。</w:t>
      </w:r>
    </w:p>
    <w:p w14:paraId="3F13085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w:t>
      </w:r>
    </w:p>
    <w:p w14:paraId="5869E25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rPr>
        <w:t>包含除工程变更。发包方要求设计变更或增减施工内容的除外，结算时不再对招标施工图和工程量清单对应的工程量重新计量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8CBB7B">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CCD9260">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rPr>
        <w:t>按10.4.1变更估价原则的约定调整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C950C34">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24619F0">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预付款</w:t>
      </w:r>
    </w:p>
    <w:p w14:paraId="212BCDF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52A127A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5FF86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EE6D867">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82BD079">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4F4C3E4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cs="宋体"/>
          <w:color w:val="auto"/>
          <w:szCs w:val="21"/>
          <w:highlight w:val="none"/>
        </w:rPr>
        <w:t>。</w:t>
      </w:r>
    </w:p>
    <w:p w14:paraId="1B3FAAE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cs="宋体"/>
          <w:color w:val="auto"/>
          <w:szCs w:val="21"/>
          <w:highlight w:val="none"/>
        </w:rPr>
        <w:t>。</w:t>
      </w:r>
    </w:p>
    <w:p w14:paraId="44741852">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计量</w:t>
      </w:r>
    </w:p>
    <w:p w14:paraId="0FBBAAB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15347CFB">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 xml:space="preserve"> 工程的计量均以《建设工程工程量清单计价规范》（GB50500－2013）和及其广西壮族自治区实施细则、《建设工程工程量清单计算规范》（GB50854~50862－2013）及其广西实施细则、本工程补充项目清单为准 </w:t>
      </w:r>
      <w:r>
        <w:rPr>
          <w:rFonts w:hint="eastAsia" w:ascii="宋体" w:hAnsi="宋体" w:cs="宋体"/>
          <w:color w:val="auto"/>
          <w:szCs w:val="21"/>
          <w:highlight w:val="none"/>
        </w:rPr>
        <w:t>。</w:t>
      </w:r>
    </w:p>
    <w:p w14:paraId="165CB13A">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554101F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每月25日前  </w:t>
      </w:r>
      <w:r>
        <w:rPr>
          <w:rFonts w:hint="eastAsia" w:ascii="宋体" w:hAnsi="宋体" w:cs="宋体"/>
          <w:color w:val="auto"/>
          <w:szCs w:val="21"/>
          <w:highlight w:val="none"/>
        </w:rPr>
        <w:t>。</w:t>
      </w:r>
    </w:p>
    <w:p w14:paraId="69A60E8C">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12.3.3 单价合同的计量</w:t>
      </w:r>
    </w:p>
    <w:p w14:paraId="42F7B7DE">
      <w:pPr>
        <w:pStyle w:val="230"/>
        <w:spacing w:after="120"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(1) 工程量清单所列的工程量，不能作为承包人按合同履行其责任依据，实际施工中发生的工程量增加或减少并不影响承包人履行合同的责任，工程结算以完成的实际工程量为准(工程量有偏差时，按专用条款“1.13工程量清单错误的修正”执行)。</w:t>
      </w:r>
    </w:p>
    <w:p w14:paraId="06B97BA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(2) 除另有规定外，工程师应按照合同通过计量来核实确定已完成的工程量和价款，承包人应得到该价款扣除保留金后的金额。当工程师要对已完工的工程量进行计量时，应适时地通知承包人参加。</w:t>
      </w:r>
    </w:p>
    <w:p w14:paraId="4C0E57EB">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5F7E5457">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1）关于采用经审定批准的施工图纸及其预算方式的总价合同计量约定：除工程变更外，原图纸范围内的工程量不得按实计量。进度款按支付分解表支付，按通用条款第12.3.4项〔总价合同的计量〕约定进行计量，但合同价款按照支付分解表进行支付。</w:t>
      </w:r>
    </w:p>
    <w:p w14:paraId="7D1312D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（2）关于采用工程量清单方式的总价合同计量约定：按通用条款第12.3.3项（单价合同的计量）的约定进行计量</w:t>
      </w:r>
      <w:r>
        <w:rPr>
          <w:rFonts w:hint="eastAsia" w:ascii="宋体" w:hAnsi="宋体" w:cs="宋体"/>
          <w:color w:val="auto"/>
          <w:szCs w:val="21"/>
          <w:highlight w:val="none"/>
        </w:rPr>
        <w:t>。</w:t>
      </w:r>
    </w:p>
    <w:p w14:paraId="24393F4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B37F3C9">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13FCE386">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1A6C58">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12.4 工程进度款支付</w:t>
      </w:r>
    </w:p>
    <w:p w14:paraId="2B762EE1">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12.4.1 付款周期</w:t>
      </w:r>
    </w:p>
    <w:p w14:paraId="1C02C0D4">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关于付款周期的约定：</w:t>
      </w:r>
    </w:p>
    <w:p w14:paraId="27D4C1C6">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工程款原则上按月支付，合同内进度款支付限额为已完成合格工程量的80%，工程变更部分进度款支付限额为已完成合格工程量的</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u w:val="single"/>
        </w:rPr>
        <w:t>%；工程完工验收达到质量要求，并按照采购人验收整改意见完成相关整改工作后，结算经自治区财政厅定点的第三方工程造价单位</w:t>
      </w:r>
      <w:r>
        <w:rPr>
          <w:rFonts w:hint="eastAsia" w:ascii="宋体" w:hAnsi="宋体" w:cs="宋体"/>
          <w:color w:val="auto"/>
          <w:szCs w:val="21"/>
          <w:highlight w:val="none"/>
          <w:u w:val="single"/>
          <w:lang w:val="en-US" w:eastAsia="zh-CN"/>
        </w:rPr>
        <w:t>结算</w:t>
      </w:r>
      <w:r>
        <w:rPr>
          <w:rFonts w:hint="eastAsia" w:ascii="宋体" w:hAnsi="宋体" w:cs="宋体"/>
          <w:color w:val="auto"/>
          <w:szCs w:val="21"/>
          <w:highlight w:val="none"/>
          <w:u w:val="single"/>
        </w:rPr>
        <w:t>审计审定，承包人按工程价款结算总额的3%缴纳工程质量保证金给发包人（待工程质量缺陷责任期满之日起</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天内返还），发包人将工程款支付至结算总价的 100%。（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r>
        <w:rPr>
          <w:rFonts w:hint="eastAsia" w:ascii="宋体" w:hAnsi="宋体" w:cs="宋体"/>
          <w:color w:val="auto"/>
          <w:szCs w:val="21"/>
          <w:highlight w:val="none"/>
        </w:rPr>
        <w:t>。</w:t>
      </w:r>
    </w:p>
    <w:p w14:paraId="689A40FA">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12.4.2 进度付款申请单的编制</w:t>
      </w:r>
    </w:p>
    <w:p w14:paraId="571C069F">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color w:val="auto"/>
          <w:szCs w:val="21"/>
          <w:highlight w:val="none"/>
          <w:u w:val="single"/>
        </w:rPr>
        <w:t xml:space="preserve">    进度付款申请单进度编制，并经监理及发包人确认(进度付款申请单不能作为最后竣工结算依据) 。</w:t>
      </w:r>
    </w:p>
    <w:p w14:paraId="232FE7EF">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12.4.3 进度付款申请单的提交</w:t>
      </w:r>
    </w:p>
    <w:p w14:paraId="7917EAF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（1）单价合同进度付款申请单提交的约定：</w:t>
      </w:r>
      <w:r>
        <w:rPr>
          <w:rFonts w:hint="eastAsia" w:ascii="宋体" w:hAnsi="宋体" w:cs="宋体"/>
          <w:color w:val="auto"/>
          <w:szCs w:val="21"/>
          <w:highlight w:val="none"/>
          <w:u w:val="single"/>
        </w:rPr>
        <w:t xml:space="preserve">  申请工程进度款时，承包人应提供以下资料：①《工程用款支付申请》；②工程量计量报表；③其他需要补充说明的材料  </w:t>
      </w:r>
      <w:r>
        <w:rPr>
          <w:rFonts w:hint="eastAsia" w:ascii="宋体" w:hAnsi="宋体" w:cs="宋体"/>
          <w:color w:val="auto"/>
          <w:szCs w:val="21"/>
          <w:highlight w:val="none"/>
        </w:rPr>
        <w:t>。</w:t>
      </w:r>
    </w:p>
    <w:p w14:paraId="032F51F7">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7F043EB">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108FF8B">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30B41C1E">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 xml:space="preserve">  监理人应收到承包人进度付款申请单以及相关资料后7天内完成审查并报送发包 </w:t>
      </w:r>
      <w:r>
        <w:rPr>
          <w:rFonts w:hint="eastAsia" w:ascii="宋体" w:hAnsi="宋体" w:cs="宋体"/>
          <w:color w:val="auto"/>
          <w:szCs w:val="21"/>
          <w:highlight w:val="none"/>
        </w:rPr>
        <w:t>。</w:t>
      </w:r>
    </w:p>
    <w:p w14:paraId="6FEB77E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 xml:space="preserve"> 发包人应在收到监理人报送的进度付款申请单及相关资料后7天内完成审批并发进度支付证书  </w:t>
      </w:r>
      <w:r>
        <w:rPr>
          <w:rFonts w:hint="eastAsia" w:ascii="宋体" w:hAnsi="宋体" w:cs="宋体"/>
          <w:color w:val="auto"/>
          <w:szCs w:val="21"/>
          <w:highlight w:val="none"/>
        </w:rPr>
        <w:t>。</w:t>
      </w:r>
    </w:p>
    <w:p w14:paraId="4D3CDBD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  发包人应在进度款支付证书或临时进度款支付证书签发后7天内完成支付  </w:t>
      </w:r>
      <w:r>
        <w:rPr>
          <w:rFonts w:hint="eastAsia" w:ascii="宋体" w:hAnsi="宋体" w:cs="宋体"/>
          <w:color w:val="auto"/>
          <w:szCs w:val="21"/>
          <w:highlight w:val="none"/>
        </w:rPr>
        <w:t>。</w:t>
      </w:r>
    </w:p>
    <w:p w14:paraId="40E8A48F">
      <w:pPr>
        <w:pStyle w:val="230"/>
        <w:spacing w:line="40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130ED60">
      <w:pPr>
        <w:pStyle w:val="230"/>
        <w:spacing w:line="400" w:lineRule="exact"/>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5C885E7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298E831">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3、单价合同的总价项目支付分解表的编制与审批：</w:t>
      </w:r>
      <w:r>
        <w:rPr>
          <w:rFonts w:hint="eastAsia" w:ascii="宋体" w:hAnsi="宋体" w:cs="宋体"/>
          <w:color w:val="auto"/>
          <w:szCs w:val="21"/>
          <w:highlight w:val="none"/>
          <w:u w:val="single"/>
        </w:rPr>
        <w:t xml:space="preserve"> 总价项目不采用支付分解表的方式计算，而按《建设工程工程量清单计价规范（GB50500-2013）广西壮族自治区实施细则》的规定执行</w:t>
      </w:r>
      <w:r>
        <w:rPr>
          <w:rFonts w:hint="eastAsia" w:ascii="宋体" w:hAnsi="宋体" w:cs="宋体"/>
          <w:color w:val="auto"/>
          <w:szCs w:val="21"/>
          <w:highlight w:val="none"/>
        </w:rPr>
        <w:t>。</w:t>
      </w:r>
    </w:p>
    <w:p w14:paraId="32B0E537">
      <w:pPr>
        <w:pStyle w:val="231"/>
        <w:spacing w:before="120" w:after="120" w:line="40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13. 验收和工程试车</w:t>
      </w:r>
    </w:p>
    <w:p w14:paraId="3ED9201B">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分部分项工程验收</w:t>
      </w:r>
    </w:p>
    <w:p w14:paraId="3276259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小时提交书面延期要求。</w:t>
      </w:r>
    </w:p>
    <w:p w14:paraId="01490268">
      <w:pPr>
        <w:pStyle w:val="23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w:t>
      </w:r>
    </w:p>
    <w:p w14:paraId="0F92C179">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竣工验收</w:t>
      </w:r>
    </w:p>
    <w:p w14:paraId="30282A9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13.2.2竣工验收程序</w:t>
      </w:r>
    </w:p>
    <w:p w14:paraId="2E0DAE4C">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关于竣工验收程序的约定：</w:t>
      </w:r>
      <w:r>
        <w:rPr>
          <w:rFonts w:hint="eastAsia" w:ascii="宋体" w:hAnsi="宋体" w:cs="宋体"/>
          <w:color w:val="auto"/>
          <w:szCs w:val="21"/>
          <w:highlight w:val="none"/>
          <w:u w:val="single"/>
        </w:rPr>
        <w:t xml:space="preserve">  按建设行政主管部门要求的程序组织     </w:t>
      </w:r>
      <w:r>
        <w:rPr>
          <w:rFonts w:hint="eastAsia" w:ascii="宋体" w:hAnsi="宋体" w:cs="宋体"/>
          <w:color w:val="auto"/>
          <w:szCs w:val="21"/>
          <w:highlight w:val="none"/>
        </w:rPr>
        <w:t>。</w:t>
      </w:r>
    </w:p>
    <w:p w14:paraId="5C168227">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w:t>
      </w:r>
    </w:p>
    <w:p w14:paraId="5D1E00C5">
      <w:pPr>
        <w:pStyle w:val="23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58FD18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承包人向发包人移交工程骏工验收资料份数:</w:t>
      </w:r>
      <w:r>
        <w:rPr>
          <w:rFonts w:hint="eastAsia" w:ascii="宋体" w:hAnsi="宋体" w:cs="宋体"/>
          <w:color w:val="auto"/>
          <w:kern w:val="0"/>
          <w:szCs w:val="21"/>
          <w:highlight w:val="none"/>
          <w:u w:val="single"/>
        </w:rPr>
        <w:t>一式</w:t>
      </w:r>
      <w:r>
        <w:rPr>
          <w:rFonts w:hint="eastAsia" w:ascii="宋体" w:hAnsi="宋体" w:cs="宋体"/>
          <w:color w:val="auto"/>
          <w:kern w:val="0"/>
          <w:szCs w:val="21"/>
          <w:highlight w:val="none"/>
          <w:u w:val="single"/>
          <w:lang w:val="en-US" w:eastAsia="zh-CN"/>
        </w:rPr>
        <w:t>三</w:t>
      </w:r>
      <w:r>
        <w:rPr>
          <w:rFonts w:hint="eastAsia" w:ascii="宋体" w:hAnsi="宋体" w:cs="宋体"/>
          <w:color w:val="auto"/>
          <w:kern w:val="0"/>
          <w:szCs w:val="21"/>
          <w:highlight w:val="none"/>
          <w:u w:val="single"/>
        </w:rPr>
        <w:t>份。</w:t>
      </w:r>
    </w:p>
    <w:p w14:paraId="0E01021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p w14:paraId="2C9F3BB2">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竣工验收合格后28天内     </w:t>
      </w:r>
      <w:r>
        <w:rPr>
          <w:rFonts w:hint="eastAsia" w:ascii="宋体" w:hAnsi="宋体" w:cs="宋体"/>
          <w:color w:val="auto"/>
          <w:szCs w:val="21"/>
          <w:highlight w:val="none"/>
        </w:rPr>
        <w:t>。</w:t>
      </w:r>
    </w:p>
    <w:p w14:paraId="60B53B72">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6FD4BC6">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9D1A042">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工程试车</w:t>
      </w:r>
    </w:p>
    <w:p w14:paraId="4AC020D0">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12866E02">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按通用合同条款13.3执行      </w:t>
      </w:r>
      <w:r>
        <w:rPr>
          <w:rFonts w:hint="eastAsia" w:ascii="宋体" w:hAnsi="宋体" w:cs="宋体"/>
          <w:color w:val="auto"/>
          <w:szCs w:val="21"/>
          <w:highlight w:val="none"/>
        </w:rPr>
        <w:t>。</w:t>
      </w:r>
    </w:p>
    <w:p w14:paraId="1EF1FD2F">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7C9DBEC4">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         </w:t>
      </w:r>
      <w:r>
        <w:rPr>
          <w:rFonts w:hint="eastAsia" w:ascii="宋体" w:hAnsi="宋体" w:cs="宋体"/>
          <w:color w:val="auto"/>
          <w:kern w:val="0"/>
          <w:szCs w:val="21"/>
          <w:highlight w:val="none"/>
        </w:rPr>
        <w:t>承担。</w:t>
      </w:r>
    </w:p>
    <w:p w14:paraId="0A3E6787">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42A35149">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CF8A3B">
      <w:pPr>
        <w:pStyle w:val="230"/>
        <w:spacing w:after="120" w:line="400" w:lineRule="exact"/>
        <w:ind w:firstLine="420" w:firstLineChars="200"/>
        <w:outlineLvl w:val="0"/>
        <w:rPr>
          <w:rFonts w:hint="eastAsia" w:ascii="宋体" w:hAnsi="宋体" w:cs="宋体"/>
          <w:color w:val="auto"/>
          <w:szCs w:val="21"/>
          <w:highlight w:val="none"/>
        </w:rPr>
      </w:pPr>
      <w:bookmarkStart w:id="949" w:name="_Toc15053467"/>
      <w:r>
        <w:rPr>
          <w:rFonts w:hint="eastAsia" w:ascii="宋体" w:hAnsi="宋体" w:cs="宋体"/>
          <w:color w:val="auto"/>
          <w:szCs w:val="21"/>
          <w:highlight w:val="none"/>
        </w:rPr>
        <w:t>13.6 竣工退场</w:t>
      </w:r>
      <w:bookmarkEnd w:id="949"/>
    </w:p>
    <w:p w14:paraId="55278370">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69313694">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 xml:space="preserve">   颁发工程接收证书后28天内    </w:t>
      </w:r>
      <w:r>
        <w:rPr>
          <w:rFonts w:hint="eastAsia" w:ascii="宋体" w:hAnsi="宋体" w:cs="宋体"/>
          <w:color w:val="auto"/>
          <w:kern w:val="0"/>
          <w:szCs w:val="21"/>
          <w:highlight w:val="none"/>
        </w:rPr>
        <w:t>。</w:t>
      </w:r>
    </w:p>
    <w:p w14:paraId="5C6663E9">
      <w:pPr>
        <w:pStyle w:val="231"/>
        <w:spacing w:before="120" w:after="120" w:line="40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14. 竣工结算</w:t>
      </w:r>
    </w:p>
    <w:p w14:paraId="1C0DDE6F">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竣工结算申请</w:t>
      </w:r>
    </w:p>
    <w:p w14:paraId="5FB2C8A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承包人提交竣工结算申请单的期限：</w:t>
      </w:r>
      <w:r>
        <w:rPr>
          <w:rFonts w:hint="eastAsia" w:ascii="宋体" w:hAnsi="宋体" w:cs="宋体"/>
          <w:color w:val="auto"/>
          <w:szCs w:val="21"/>
          <w:highlight w:val="none"/>
          <w:u w:val="single"/>
        </w:rPr>
        <w:t xml:space="preserve">  按通用合同条款14.1执行   </w:t>
      </w:r>
      <w:r>
        <w:rPr>
          <w:rFonts w:hint="eastAsia" w:ascii="宋体" w:hAnsi="宋体" w:cs="宋体"/>
          <w:color w:val="auto"/>
          <w:szCs w:val="21"/>
          <w:highlight w:val="none"/>
        </w:rPr>
        <w:t>。</w:t>
      </w:r>
    </w:p>
    <w:p w14:paraId="79CE469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竣工结算申请单应包括的内容：</w:t>
      </w:r>
      <w:r>
        <w:rPr>
          <w:rFonts w:hint="eastAsia" w:ascii="宋体" w:hAnsi="宋体" w:cs="宋体"/>
          <w:color w:val="auto"/>
          <w:szCs w:val="21"/>
          <w:highlight w:val="none"/>
          <w:u w:val="single"/>
        </w:rPr>
        <w:t xml:space="preserve">    按通用合同条款14.1执行       </w:t>
      </w:r>
      <w:r>
        <w:rPr>
          <w:rFonts w:hint="eastAsia" w:ascii="宋体" w:hAnsi="宋体" w:cs="宋体"/>
          <w:color w:val="auto"/>
          <w:szCs w:val="21"/>
          <w:highlight w:val="none"/>
        </w:rPr>
        <w:t>。</w:t>
      </w:r>
    </w:p>
    <w:p w14:paraId="1F950BB2">
      <w:pPr>
        <w:pStyle w:val="230"/>
        <w:spacing w:after="120" w:line="400" w:lineRule="exact"/>
        <w:ind w:firstLine="420" w:firstLineChars="200"/>
        <w:outlineLvl w:val="0"/>
        <w:rPr>
          <w:rFonts w:hint="eastAsia" w:ascii="宋体" w:hAnsi="宋体" w:cs="宋体"/>
          <w:color w:val="auto"/>
          <w:szCs w:val="21"/>
          <w:highlight w:val="none"/>
        </w:rPr>
      </w:pPr>
      <w:bookmarkStart w:id="950" w:name="_Toc15053468"/>
      <w:r>
        <w:rPr>
          <w:rFonts w:hint="eastAsia" w:ascii="宋体" w:hAnsi="宋体" w:cs="宋体"/>
          <w:color w:val="auto"/>
          <w:szCs w:val="21"/>
          <w:highlight w:val="none"/>
        </w:rPr>
        <w:t>14.2 竣工结算审核</w:t>
      </w:r>
      <w:bookmarkEnd w:id="950"/>
    </w:p>
    <w:p w14:paraId="3B9FA1B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发包人审批竣工付款申请单的期限：</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2FA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1A81F64">
            <w:pPr>
              <w:pStyle w:val="230"/>
              <w:spacing w:line="400" w:lineRule="exact"/>
              <w:rPr>
                <w:rFonts w:hint="eastAsia" w:ascii="宋体" w:hAnsi="宋体" w:cs="宋体"/>
                <w:color w:val="auto"/>
                <w:szCs w:val="21"/>
                <w:highlight w:val="none"/>
              </w:rPr>
            </w:pPr>
          </w:p>
        </w:tc>
        <w:tc>
          <w:tcPr>
            <w:tcW w:w="2466" w:type="dxa"/>
            <w:noWrap w:val="0"/>
            <w:vAlign w:val="center"/>
          </w:tcPr>
          <w:p w14:paraId="243ADEC7">
            <w:pPr>
              <w:pStyle w:val="230"/>
              <w:spacing w:line="400" w:lineRule="exact"/>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工程竣工结算报告金额</w:t>
            </w:r>
          </w:p>
        </w:tc>
        <w:tc>
          <w:tcPr>
            <w:tcW w:w="5967" w:type="dxa"/>
            <w:noWrap w:val="0"/>
            <w:vAlign w:val="center"/>
          </w:tcPr>
          <w:p w14:paraId="3620AE22">
            <w:pPr>
              <w:pStyle w:val="230"/>
              <w:spacing w:line="400" w:lineRule="exact"/>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发包人审查时间</w:t>
            </w:r>
          </w:p>
        </w:tc>
      </w:tr>
      <w:tr w14:paraId="529E1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2A09C7">
            <w:pPr>
              <w:pStyle w:val="23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466" w:type="dxa"/>
            <w:noWrap w:val="0"/>
            <w:vAlign w:val="center"/>
          </w:tcPr>
          <w:p w14:paraId="1314534D">
            <w:pPr>
              <w:pStyle w:val="230"/>
              <w:spacing w:line="400" w:lineRule="exact"/>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500万元以下</w:t>
            </w:r>
          </w:p>
        </w:tc>
        <w:tc>
          <w:tcPr>
            <w:tcW w:w="5967" w:type="dxa"/>
            <w:noWrap w:val="0"/>
            <w:vAlign w:val="center"/>
          </w:tcPr>
          <w:p w14:paraId="6186593A">
            <w:pPr>
              <w:pStyle w:val="230"/>
              <w:spacing w:line="400" w:lineRule="exact"/>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从接到竣工结算报告和完整的竣工结算资料之日起20天</w:t>
            </w:r>
          </w:p>
        </w:tc>
      </w:tr>
      <w:tr w14:paraId="2F76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5FECC25">
            <w:pPr>
              <w:pStyle w:val="23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466" w:type="dxa"/>
            <w:noWrap w:val="0"/>
            <w:vAlign w:val="center"/>
          </w:tcPr>
          <w:p w14:paraId="646F51F5">
            <w:pPr>
              <w:pStyle w:val="230"/>
              <w:spacing w:line="400" w:lineRule="exact"/>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500万元-2000万元</w:t>
            </w:r>
          </w:p>
        </w:tc>
        <w:tc>
          <w:tcPr>
            <w:tcW w:w="5967" w:type="dxa"/>
            <w:noWrap w:val="0"/>
            <w:vAlign w:val="center"/>
          </w:tcPr>
          <w:p w14:paraId="49967474">
            <w:pPr>
              <w:pStyle w:val="230"/>
              <w:spacing w:line="400" w:lineRule="exact"/>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从接到竣工结算报告和完整的竣工结算资料之日起30天</w:t>
            </w:r>
          </w:p>
        </w:tc>
      </w:tr>
      <w:tr w14:paraId="4200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86A0C55">
            <w:pPr>
              <w:pStyle w:val="23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466" w:type="dxa"/>
            <w:noWrap w:val="0"/>
            <w:vAlign w:val="center"/>
          </w:tcPr>
          <w:p w14:paraId="6DC84891">
            <w:pPr>
              <w:pStyle w:val="230"/>
              <w:spacing w:line="400" w:lineRule="exact"/>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2000万元-5000万元</w:t>
            </w:r>
          </w:p>
        </w:tc>
        <w:tc>
          <w:tcPr>
            <w:tcW w:w="5967" w:type="dxa"/>
            <w:noWrap w:val="0"/>
            <w:vAlign w:val="center"/>
          </w:tcPr>
          <w:p w14:paraId="5492EE28">
            <w:pPr>
              <w:pStyle w:val="230"/>
              <w:spacing w:line="400" w:lineRule="exact"/>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从接到竣工结算报告和完整的竣工结算资料之日起45天</w:t>
            </w:r>
          </w:p>
        </w:tc>
      </w:tr>
      <w:tr w14:paraId="2AAE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9D7800B">
            <w:pPr>
              <w:pStyle w:val="23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466" w:type="dxa"/>
            <w:noWrap w:val="0"/>
            <w:vAlign w:val="center"/>
          </w:tcPr>
          <w:p w14:paraId="3F93405F">
            <w:pPr>
              <w:pStyle w:val="230"/>
              <w:spacing w:line="400" w:lineRule="exact"/>
              <w:ind w:firstLine="27" w:firstLineChars="13"/>
              <w:jc w:val="center"/>
              <w:rPr>
                <w:rFonts w:hint="eastAsia" w:ascii="宋体" w:hAnsi="宋体" w:cs="宋体"/>
                <w:color w:val="auto"/>
                <w:szCs w:val="21"/>
                <w:highlight w:val="none"/>
              </w:rPr>
            </w:pPr>
            <w:r>
              <w:rPr>
                <w:rFonts w:hint="eastAsia" w:ascii="宋体" w:hAnsi="宋体" w:cs="宋体"/>
                <w:color w:val="auto"/>
                <w:szCs w:val="21"/>
                <w:highlight w:val="none"/>
              </w:rPr>
              <w:t>5000万元以上</w:t>
            </w:r>
          </w:p>
        </w:tc>
        <w:tc>
          <w:tcPr>
            <w:tcW w:w="5967" w:type="dxa"/>
            <w:noWrap w:val="0"/>
            <w:vAlign w:val="center"/>
          </w:tcPr>
          <w:p w14:paraId="74D3B001">
            <w:pPr>
              <w:pStyle w:val="230"/>
              <w:spacing w:line="400" w:lineRule="exact"/>
              <w:ind w:firstLine="441" w:firstLineChars="210"/>
              <w:jc w:val="center"/>
              <w:rPr>
                <w:rFonts w:hint="eastAsia" w:ascii="宋体" w:hAnsi="宋体" w:cs="宋体"/>
                <w:color w:val="auto"/>
                <w:szCs w:val="21"/>
                <w:highlight w:val="none"/>
              </w:rPr>
            </w:pPr>
            <w:r>
              <w:rPr>
                <w:rFonts w:hint="eastAsia" w:ascii="宋体" w:hAnsi="宋体" w:cs="宋体"/>
                <w:color w:val="auto"/>
                <w:szCs w:val="21"/>
                <w:highlight w:val="none"/>
              </w:rPr>
              <w:t>从接到竣工结算报告和完整的竣工结算资料之日起60天</w:t>
            </w:r>
          </w:p>
        </w:tc>
      </w:tr>
    </w:tbl>
    <w:p w14:paraId="6CBEB6F1">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因承包人提供的结算资料不完整而需要补充或承包人不按时对账耽误时间时，审查时间应相应顺延。</w:t>
      </w:r>
    </w:p>
    <w:p w14:paraId="7997E2EF">
      <w:pPr>
        <w:pStyle w:val="230"/>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结算审核约定：由选定的第三方工程结算审计单位审计</w:t>
      </w:r>
    </w:p>
    <w:p w14:paraId="0978B645">
      <w:pPr>
        <w:pStyle w:val="230"/>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rPr>
        <w:t>非国有投资项目：</w:t>
      </w:r>
      <w:r>
        <w:rPr>
          <w:rFonts w:hint="eastAsia" w:ascii="宋体" w:hAnsi="宋体" w:cs="宋体"/>
          <w:color w:val="auto"/>
          <w:szCs w:val="21"/>
          <w:highlight w:val="none"/>
          <w:u w:val="single"/>
        </w:rPr>
        <w:t>1、工程竣工验收报告经发包人认可后   天内，承包人向发包人递交竣工验收合格资料及完整的结算资料和报告，双方按照协议书约定的合同价款及专用条款约定的合同价调整内容，进行工程竣工结算。2、发包人收到承包人递交的竣工结算报告及结算资料之日起   天内进行审核，给予确认或者提出初审意见。发包人逾期不予审定结算的视为发包人已同意上述竣工结算报告及结算资料，并以此作为最终结算的依据。发包人初审竣工结算完毕之日起  天内，按审定后的结算价款，通知经办银行向承包人支付工程竣工结算价款。承包人应根据发包人的需要随时将竣工工程交付发包人。</w:t>
      </w:r>
    </w:p>
    <w:p w14:paraId="56A7BE8A">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u w:val="single"/>
        </w:rPr>
        <w:t>国有投资项目：</w:t>
      </w:r>
      <w:r>
        <w:rPr>
          <w:rFonts w:hint="eastAsia" w:ascii="宋体" w:hAnsi="宋体" w:cs="宋体"/>
          <w:bCs/>
          <w:color w:val="auto"/>
          <w:szCs w:val="21"/>
          <w:highlight w:val="none"/>
          <w:u w:val="single"/>
        </w:rPr>
        <w:t>（双方结合各地政府或有关部门管理规定进行局部调整）</w:t>
      </w:r>
      <w:r>
        <w:rPr>
          <w:rFonts w:hint="eastAsia" w:ascii="宋体" w:hAnsi="宋体" w:cs="宋体"/>
          <w:color w:val="auto"/>
          <w:szCs w:val="21"/>
          <w:highlight w:val="none"/>
          <w:u w:val="single"/>
        </w:rPr>
        <w:t xml:space="preserve">     </w:t>
      </w:r>
    </w:p>
    <w:p w14:paraId="2DF9FC3C">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 xml:space="preserve">   按通用合同条款14.2执行    </w:t>
      </w:r>
      <w:r>
        <w:rPr>
          <w:rFonts w:hint="eastAsia" w:ascii="宋体" w:hAnsi="宋体" w:cs="宋体"/>
          <w:color w:val="auto"/>
          <w:szCs w:val="21"/>
          <w:highlight w:val="none"/>
        </w:rPr>
        <w:t>。</w:t>
      </w:r>
    </w:p>
    <w:p w14:paraId="768CB0B5">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 xml:space="preserve">   按通用合同条款14.2执行   </w:t>
      </w:r>
      <w:r>
        <w:rPr>
          <w:rFonts w:hint="eastAsia" w:ascii="宋体" w:hAnsi="宋体" w:cs="宋体"/>
          <w:color w:val="auto"/>
          <w:szCs w:val="21"/>
          <w:highlight w:val="none"/>
        </w:rPr>
        <w:t>。</w:t>
      </w:r>
    </w:p>
    <w:p w14:paraId="79AB6A60">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 最终结清</w:t>
      </w:r>
    </w:p>
    <w:p w14:paraId="2932632C">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3F164E24">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一式五份   </w:t>
      </w:r>
      <w:r>
        <w:rPr>
          <w:rFonts w:hint="eastAsia" w:ascii="宋体" w:hAnsi="宋体" w:cs="宋体"/>
          <w:color w:val="auto"/>
          <w:szCs w:val="21"/>
          <w:highlight w:val="none"/>
        </w:rPr>
        <w:t>。</w:t>
      </w:r>
    </w:p>
    <w:p w14:paraId="0902DF80">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szCs w:val="21"/>
          <w:highlight w:val="none"/>
          <w:u w:val="single"/>
        </w:rPr>
        <w:t xml:space="preserve">   按通用合同条款14.4.2执行   </w:t>
      </w:r>
      <w:r>
        <w:rPr>
          <w:rFonts w:hint="eastAsia" w:ascii="宋体" w:hAnsi="宋体" w:cs="宋体"/>
          <w:color w:val="auto"/>
          <w:szCs w:val="21"/>
          <w:highlight w:val="none"/>
        </w:rPr>
        <w:t xml:space="preserve">。 </w:t>
      </w:r>
    </w:p>
    <w:p w14:paraId="0BABEAC9">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08BF473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szCs w:val="21"/>
          <w:highlight w:val="none"/>
          <w:u w:val="single"/>
        </w:rPr>
        <w:t>按通用合同条款14.4.2执行</w:t>
      </w:r>
      <w:r>
        <w:rPr>
          <w:rFonts w:hint="eastAsia" w:ascii="宋体" w:hAnsi="宋体" w:cs="宋体"/>
          <w:color w:val="auto"/>
          <w:szCs w:val="21"/>
          <w:highlight w:val="none"/>
        </w:rPr>
        <w:t>。</w:t>
      </w:r>
    </w:p>
    <w:p w14:paraId="2ACBE0C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按通用合同条款14.4.2执行    </w:t>
      </w:r>
      <w:r>
        <w:rPr>
          <w:rFonts w:hint="eastAsia" w:ascii="宋体" w:hAnsi="宋体" w:cs="宋体"/>
          <w:color w:val="auto"/>
          <w:szCs w:val="21"/>
          <w:highlight w:val="none"/>
        </w:rPr>
        <w:t>。</w:t>
      </w:r>
    </w:p>
    <w:p w14:paraId="0A12831F">
      <w:pPr>
        <w:pStyle w:val="231"/>
        <w:spacing w:before="120" w:after="120" w:line="40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15. 缺陷责任期与保修</w:t>
      </w:r>
    </w:p>
    <w:p w14:paraId="280861F3">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15.2缺陷责任期</w:t>
      </w:r>
    </w:p>
    <w:p w14:paraId="6CB2D981">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eastAsia="宋体" w:cs="宋体"/>
          <w:color w:val="auto"/>
          <w:sz w:val="21"/>
          <w:szCs w:val="21"/>
          <w:highlight w:val="none"/>
          <w:u w:val="none"/>
          <w:lang w:val="en-US" w:eastAsia="zh-CN"/>
        </w:rPr>
        <w:t>2年</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从验收合格之日起算</w:t>
      </w:r>
      <w:r>
        <w:rPr>
          <w:rFonts w:hint="eastAsia" w:ascii="宋体" w:hAnsi="宋体" w:cs="宋体"/>
          <w:color w:val="auto"/>
          <w:szCs w:val="21"/>
          <w:highlight w:val="none"/>
          <w:u w:val="none"/>
        </w:rPr>
        <w:t>。</w:t>
      </w:r>
    </w:p>
    <w:p w14:paraId="7C51E77B">
      <w:pPr>
        <w:pStyle w:val="230"/>
        <w:spacing w:after="120" w:line="400" w:lineRule="exact"/>
        <w:ind w:firstLine="420" w:firstLineChars="200"/>
        <w:outlineLvl w:val="0"/>
        <w:rPr>
          <w:rFonts w:hint="eastAsia" w:ascii="宋体" w:hAnsi="宋体" w:cs="宋体"/>
          <w:color w:val="auto"/>
          <w:szCs w:val="21"/>
          <w:highlight w:val="none"/>
        </w:rPr>
      </w:pPr>
      <w:bookmarkStart w:id="951" w:name="_Toc15053469"/>
      <w:r>
        <w:rPr>
          <w:rFonts w:hint="eastAsia" w:ascii="宋体" w:hAnsi="宋体" w:cs="宋体"/>
          <w:color w:val="auto"/>
          <w:szCs w:val="21"/>
          <w:highlight w:val="none"/>
        </w:rPr>
        <w:t>15.3 质量保证金</w:t>
      </w:r>
      <w:bookmarkEnd w:id="951"/>
      <w:r>
        <w:rPr>
          <w:rFonts w:hint="eastAsia" w:ascii="宋体" w:hAnsi="宋体" w:cs="宋体"/>
          <w:color w:val="auto"/>
          <w:highlight w:val="none"/>
        </w:rPr>
        <w:t>　　</w:t>
      </w:r>
    </w:p>
    <w:p w14:paraId="70C8904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 xml:space="preserve">   是   </w:t>
      </w:r>
      <w:r>
        <w:rPr>
          <w:rFonts w:hint="eastAsia" w:ascii="宋体" w:hAnsi="宋体" w:cs="宋体"/>
          <w:color w:val="auto"/>
          <w:szCs w:val="21"/>
          <w:highlight w:val="none"/>
        </w:rPr>
        <w:t>。在工程项目竣工前，承包人按专用合同条款第3.7条提供履约担保的，发包人不得同时预留工程质量保证金。</w:t>
      </w:r>
    </w:p>
    <w:p w14:paraId="144FFB2E">
      <w:pPr>
        <w:pStyle w:val="230"/>
        <w:spacing w:line="400" w:lineRule="exact"/>
        <w:ind w:firstLine="420" w:firstLineChars="200"/>
        <w:jc w:val="left"/>
        <w:outlineLvl w:val="0"/>
        <w:rPr>
          <w:rFonts w:hint="eastAsia" w:ascii="宋体" w:hAnsi="宋体" w:cs="宋体"/>
          <w:color w:val="auto"/>
          <w:szCs w:val="21"/>
          <w:highlight w:val="none"/>
        </w:rPr>
      </w:pPr>
      <w:bookmarkStart w:id="952" w:name="_Toc15053470"/>
      <w:r>
        <w:rPr>
          <w:rFonts w:hint="eastAsia" w:ascii="宋体" w:hAnsi="宋体" w:cs="宋体"/>
          <w:color w:val="auto"/>
          <w:szCs w:val="21"/>
          <w:highlight w:val="none"/>
        </w:rPr>
        <w:t>15.3.1 承包人提供质量保证金的方式</w:t>
      </w:r>
      <w:bookmarkEnd w:id="952"/>
    </w:p>
    <w:p w14:paraId="50E96767">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w:t>
      </w:r>
    </w:p>
    <w:p w14:paraId="075C4751">
      <w:pPr>
        <w:pStyle w:val="230"/>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 xml:space="preserve">； </w:t>
      </w:r>
    </w:p>
    <w:p w14:paraId="0A1FB095">
      <w:pPr>
        <w:pStyle w:val="230"/>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%预留工程质量保修金，待缺陷责任期满后返还</w:t>
      </w:r>
      <w:r>
        <w:rPr>
          <w:rFonts w:hint="eastAsia" w:ascii="宋体" w:hAnsi="宋体" w:cs="宋体"/>
          <w:color w:val="auto"/>
          <w:kern w:val="0"/>
          <w:szCs w:val="21"/>
          <w:highlight w:val="none"/>
        </w:rPr>
        <w:t>；</w:t>
      </w:r>
    </w:p>
    <w:p w14:paraId="6671E888">
      <w:pPr>
        <w:pStyle w:val="230"/>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color w:val="auto"/>
          <w:szCs w:val="21"/>
          <w:highlight w:val="none"/>
          <w:u w:val="single"/>
        </w:rPr>
        <w:t xml:space="preserve"> 承包人按工程价款结算总额的 3%缴纳工程质量保证金给发包人</w:t>
      </w:r>
      <w:r>
        <w:rPr>
          <w:rFonts w:hint="eastAsia" w:ascii="宋体" w:hAnsi="宋体" w:cs="宋体"/>
          <w:color w:val="auto"/>
          <w:kern w:val="0"/>
          <w:szCs w:val="21"/>
          <w:highlight w:val="none"/>
        </w:rPr>
        <w:t>。</w:t>
      </w:r>
    </w:p>
    <w:p w14:paraId="215868F7">
      <w:pPr>
        <w:pStyle w:val="230"/>
        <w:spacing w:line="400" w:lineRule="exact"/>
        <w:ind w:firstLine="420" w:firstLineChars="200"/>
        <w:jc w:val="left"/>
        <w:outlineLvl w:val="0"/>
        <w:rPr>
          <w:rFonts w:hint="eastAsia" w:ascii="宋体" w:hAnsi="宋体" w:cs="宋体"/>
          <w:color w:val="auto"/>
          <w:szCs w:val="21"/>
          <w:highlight w:val="none"/>
        </w:rPr>
      </w:pPr>
      <w:bookmarkStart w:id="953" w:name="_Toc15053471"/>
      <w:r>
        <w:rPr>
          <w:rFonts w:hint="eastAsia" w:ascii="宋体" w:hAnsi="宋体" w:cs="宋体"/>
          <w:color w:val="auto"/>
          <w:szCs w:val="21"/>
          <w:highlight w:val="none"/>
        </w:rPr>
        <w:t>15.3.2 质量保证金的扣留</w:t>
      </w:r>
      <w:bookmarkEnd w:id="953"/>
      <w:r>
        <w:rPr>
          <w:rFonts w:hint="eastAsia" w:ascii="宋体" w:hAnsi="宋体" w:cs="宋体"/>
          <w:color w:val="auto"/>
          <w:szCs w:val="21"/>
          <w:highlight w:val="none"/>
        </w:rPr>
        <w:t xml:space="preserve"> </w:t>
      </w:r>
    </w:p>
    <w:p w14:paraId="432EB79E">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20643998">
      <w:pPr>
        <w:pStyle w:val="230"/>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1D423A65">
      <w:pPr>
        <w:pStyle w:val="230"/>
        <w:autoSpaceDE w:val="0"/>
        <w:autoSpaceDN w:val="0"/>
        <w:adjustRightInd w:val="0"/>
        <w:spacing w:line="400" w:lineRule="exact"/>
        <w:ind w:firstLine="420" w:firstLineChars="200"/>
        <w:jc w:val="left"/>
        <w:outlineLvl w:val="0"/>
        <w:rPr>
          <w:rFonts w:hint="eastAsia" w:ascii="宋体" w:hAnsi="宋体" w:cs="宋体"/>
          <w:color w:val="auto"/>
          <w:kern w:val="0"/>
          <w:szCs w:val="21"/>
          <w:highlight w:val="none"/>
        </w:rPr>
      </w:pPr>
      <w:r>
        <w:rPr>
          <w:rFonts w:hint="eastAsia" w:ascii="宋体" w:hAnsi="宋体" w:cs="宋体"/>
          <w:color w:val="auto"/>
          <w:kern w:val="0"/>
          <w:szCs w:val="21"/>
          <w:highlight w:val="none"/>
        </w:rPr>
        <w:t>（2）工程竣工结算时，</w:t>
      </w:r>
      <w:r>
        <w:rPr>
          <w:rFonts w:hint="eastAsia" w:ascii="宋体" w:hAnsi="宋体" w:cs="宋体"/>
          <w:color w:val="auto"/>
          <w:szCs w:val="21"/>
          <w:highlight w:val="none"/>
          <w:u w:val="single"/>
        </w:rPr>
        <w:t>承包人按工程价款结算总额的 3%缴纳工程质量保证金给发包人。</w:t>
      </w:r>
    </w:p>
    <w:p w14:paraId="417F2990">
      <w:pPr>
        <w:pStyle w:val="230"/>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9E95E00">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关于质量保证金的补充约定：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8785756">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15.4保修</w:t>
      </w:r>
    </w:p>
    <w:p w14:paraId="77C63705">
      <w:pPr>
        <w:pStyle w:val="230"/>
        <w:spacing w:line="400" w:lineRule="exact"/>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15.4.1 保修责任</w:t>
      </w:r>
    </w:p>
    <w:p w14:paraId="14113FC1">
      <w:pPr>
        <w:pStyle w:val="230"/>
        <w:spacing w:line="40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详见本合同附件：《工程质量保修书》       </w:t>
      </w:r>
      <w:r>
        <w:rPr>
          <w:rFonts w:hint="eastAsia" w:ascii="宋体" w:hAnsi="宋体" w:cs="宋体"/>
          <w:color w:val="auto"/>
          <w:kern w:val="0"/>
          <w:szCs w:val="21"/>
          <w:highlight w:val="none"/>
        </w:rPr>
        <w:t>。</w:t>
      </w:r>
    </w:p>
    <w:p w14:paraId="5D1FBC0F">
      <w:pPr>
        <w:pStyle w:val="230"/>
        <w:spacing w:line="400" w:lineRule="exact"/>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77C46B4F">
      <w:pPr>
        <w:pStyle w:val="230"/>
        <w:spacing w:line="400" w:lineRule="exact"/>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接到通知后7天内     </w:t>
      </w:r>
      <w:r>
        <w:rPr>
          <w:rFonts w:hint="eastAsia" w:ascii="宋体" w:hAnsi="宋体" w:cs="宋体"/>
          <w:color w:val="auto"/>
          <w:kern w:val="0"/>
          <w:szCs w:val="21"/>
          <w:highlight w:val="none"/>
        </w:rPr>
        <w:t>。</w:t>
      </w:r>
    </w:p>
    <w:p w14:paraId="607039B9">
      <w:pPr>
        <w:pStyle w:val="231"/>
        <w:spacing w:before="120" w:after="120" w:line="40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16. 违约</w:t>
      </w:r>
    </w:p>
    <w:p w14:paraId="21991DCF">
      <w:pPr>
        <w:pStyle w:val="230"/>
        <w:spacing w:after="120" w:line="400" w:lineRule="exact"/>
        <w:ind w:firstLine="420" w:firstLineChars="200"/>
        <w:outlineLvl w:val="0"/>
        <w:rPr>
          <w:rFonts w:hint="eastAsia" w:ascii="宋体" w:hAnsi="宋体" w:cs="宋体"/>
          <w:color w:val="auto"/>
          <w:szCs w:val="21"/>
          <w:highlight w:val="none"/>
        </w:rPr>
      </w:pPr>
      <w:bookmarkStart w:id="954" w:name="_Toc15053473"/>
      <w:r>
        <w:rPr>
          <w:rFonts w:hint="eastAsia" w:ascii="宋体" w:hAnsi="宋体" w:cs="宋体"/>
          <w:color w:val="auto"/>
          <w:szCs w:val="21"/>
          <w:highlight w:val="none"/>
        </w:rPr>
        <w:t>16.1 发包人违约</w:t>
      </w:r>
      <w:bookmarkEnd w:id="954"/>
    </w:p>
    <w:p w14:paraId="3A30AD85">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4738393A">
      <w:pPr>
        <w:pStyle w:val="230"/>
        <w:spacing w:line="400" w:lineRule="exact"/>
        <w:ind w:left="1050" w:leftChars="200" w:hanging="630" w:hangingChars="3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按通用合同条款16.1.1执行      </w:t>
      </w:r>
      <w:r>
        <w:rPr>
          <w:rFonts w:hint="eastAsia" w:ascii="宋体" w:hAnsi="宋体" w:cs="宋体"/>
          <w:color w:val="auto"/>
          <w:kern w:val="0"/>
          <w:szCs w:val="21"/>
          <w:highlight w:val="none"/>
        </w:rPr>
        <w:t>。</w:t>
      </w:r>
    </w:p>
    <w:p w14:paraId="4B320FFB">
      <w:pPr>
        <w:pStyle w:val="230"/>
        <w:spacing w:line="400" w:lineRule="exact"/>
        <w:ind w:left="1050" w:hanging="1050" w:hangingChars="5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14:paraId="44BAA608">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29CE60E5">
      <w:pPr>
        <w:pStyle w:val="230"/>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 xml:space="preserve">    双方另行协商   </w:t>
      </w:r>
      <w:r>
        <w:rPr>
          <w:rFonts w:hint="eastAsia" w:ascii="宋体" w:hAnsi="宋体" w:cs="宋体"/>
          <w:color w:val="auto"/>
          <w:kern w:val="0"/>
          <w:szCs w:val="21"/>
          <w:highlight w:val="none"/>
        </w:rPr>
        <w:t>。</w:t>
      </w:r>
    </w:p>
    <w:p w14:paraId="36A1C77B">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4FCB1EDE">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6CC0BC7">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D4FFB49">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367A11A">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EAED838">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209AB32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71B43549">
      <w:pPr>
        <w:pStyle w:val="230"/>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30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天后发包人仍不纠正其违约行为并致使合同目的不能实现的，承包人有权解除合同。</w:t>
      </w:r>
    </w:p>
    <w:p w14:paraId="614B29CC">
      <w:pPr>
        <w:pStyle w:val="230"/>
        <w:spacing w:after="120" w:line="400" w:lineRule="exact"/>
        <w:ind w:firstLine="420" w:firstLineChars="200"/>
        <w:outlineLvl w:val="0"/>
        <w:rPr>
          <w:rFonts w:hint="eastAsia" w:ascii="宋体" w:hAnsi="宋体" w:cs="宋体"/>
          <w:color w:val="auto"/>
          <w:szCs w:val="21"/>
          <w:highlight w:val="none"/>
        </w:rPr>
      </w:pPr>
      <w:bookmarkStart w:id="955" w:name="_Toc15053474"/>
      <w:r>
        <w:rPr>
          <w:rFonts w:hint="eastAsia" w:ascii="宋体" w:hAnsi="宋体" w:cs="宋体"/>
          <w:color w:val="auto"/>
          <w:szCs w:val="21"/>
          <w:highlight w:val="none"/>
        </w:rPr>
        <w:t>16.2 承包人违约</w:t>
      </w:r>
      <w:bookmarkEnd w:id="955"/>
    </w:p>
    <w:p w14:paraId="36C3AAA5">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7C3004E8">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   按通用合同条款16.1.2执行         </w:t>
      </w:r>
      <w:r>
        <w:rPr>
          <w:rFonts w:hint="eastAsia" w:ascii="宋体" w:hAnsi="宋体" w:cs="宋体"/>
          <w:color w:val="auto"/>
          <w:kern w:val="0"/>
          <w:szCs w:val="21"/>
          <w:highlight w:val="none"/>
        </w:rPr>
        <w:t>。</w:t>
      </w:r>
    </w:p>
    <w:p w14:paraId="0348D9B6">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4704ED74">
      <w:pPr>
        <w:pStyle w:val="230"/>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承包人违约责任的承担方式和计算方法：</w:t>
      </w:r>
      <w:r>
        <w:rPr>
          <w:rFonts w:hint="eastAsia" w:ascii="宋体" w:hAnsi="宋体" w:cs="宋体"/>
          <w:color w:val="auto"/>
          <w:kern w:val="0"/>
          <w:szCs w:val="21"/>
          <w:highlight w:val="none"/>
          <w:u w:val="singl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0ED00F32">
      <w:pPr>
        <w:pStyle w:val="230"/>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（2）承包人有本合同通用条款第16.2.1（6）条情形的，或经监理人检验认为修复质量不合格而承包人拒绝再进行修补的，发包人将扣除承包人全部质量保证金。</w:t>
      </w:r>
    </w:p>
    <w:p w14:paraId="30C150C5">
      <w:pPr>
        <w:pStyle w:val="230"/>
        <w:spacing w:line="400" w:lineRule="exact"/>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14:paraId="04EAEF01">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045B8F7D">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 xml:space="preserve"> 承包人有违反以下情况之一的，发包人有权解除合同，并没收其全部履约保证金   </w:t>
      </w:r>
      <w:r>
        <w:rPr>
          <w:rFonts w:hint="eastAsia" w:ascii="宋体" w:hAnsi="宋体" w:cs="宋体"/>
          <w:color w:val="auto"/>
          <w:kern w:val="0"/>
          <w:szCs w:val="21"/>
          <w:highlight w:val="none"/>
        </w:rPr>
        <w:t>。</w:t>
      </w:r>
    </w:p>
    <w:p w14:paraId="0BE8B638">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(1)承包人无正当理由不按开工通知的要求及时进场组织施工和不按签订协议书时商定的进度计划有效地开展施工准备，造成工期延误的；</w:t>
      </w:r>
    </w:p>
    <w:p w14:paraId="5A38CF52">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712561EE">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(3)未经监理人批准，承包人私自将已按响应文件承诺进入工地的工程设备、施工设备、临时工程或材料撤离工地的；</w:t>
      </w:r>
    </w:p>
    <w:p w14:paraId="0E728B18">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(4)由于承包人原因拒绝按合同进度计划及时完成合同规定的工程，而又未采取有效措施赶上进度，造成工期严重延误的；</w:t>
      </w:r>
    </w:p>
    <w:p w14:paraId="09057025">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6A7C35CA">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(6)合同签订且具备法定开工条件后之日起十五日内，承包人无法按合同规定及响应文件的承诺进场经监理工程师认可的该施工阶段应有的全部人员和机械的。</w:t>
      </w:r>
    </w:p>
    <w:p w14:paraId="3AE6C525">
      <w:pPr>
        <w:pStyle w:val="230"/>
        <w:spacing w:before="120" w:after="120"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由发包人承担      </w:t>
      </w:r>
      <w:r>
        <w:rPr>
          <w:rFonts w:hint="eastAsia" w:ascii="宋体" w:hAnsi="宋体" w:cs="宋体"/>
          <w:color w:val="auto"/>
          <w:kern w:val="0"/>
          <w:szCs w:val="21"/>
          <w:highlight w:val="none"/>
        </w:rPr>
        <w:t>。</w:t>
      </w:r>
    </w:p>
    <w:p w14:paraId="4961C3A0">
      <w:pPr>
        <w:pStyle w:val="231"/>
        <w:spacing w:before="120" w:after="120" w:line="40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17. 不可抗力 </w:t>
      </w:r>
    </w:p>
    <w:p w14:paraId="24CCFE62">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不可抗力的确认</w:t>
      </w:r>
    </w:p>
    <w:p w14:paraId="46CD8C15">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除通用合同条款约定的不可抗力事件之外，视为不可抗力的其他情形： </w:t>
      </w:r>
    </w:p>
    <w:p w14:paraId="2F101E5C">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（1）发生烈度6级（含6级）以上的地震；</w:t>
      </w:r>
    </w:p>
    <w:p w14:paraId="18680E90">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（2）10级以上持续1天的大风；</w:t>
      </w:r>
    </w:p>
    <w:p w14:paraId="7FB2D4B7">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（3）暴雨级以上持续1天的大雨；</w:t>
      </w:r>
    </w:p>
    <w:p w14:paraId="625F8814">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（4）50年以上未发生过，持续2天的高温（40℃）天气；</w:t>
      </w:r>
    </w:p>
    <w:p w14:paraId="4F2967CB">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（5）50年以上未发生过，持续2天的低温天气；</w:t>
      </w:r>
    </w:p>
    <w:p w14:paraId="5AB800C4">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（6）100年以上未发生过的洪水；</w:t>
      </w:r>
    </w:p>
    <w:p w14:paraId="29B115AD">
      <w:pPr>
        <w:pStyle w:val="232"/>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（7）战争、恐怖主义、动乱、空中飞行物体坠落；</w:t>
      </w:r>
    </w:p>
    <w:p w14:paraId="78BFB0ED">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（8）当地气象部门规定的情况，当地地震部门及卫生部门规定的情况。</w:t>
      </w:r>
    </w:p>
    <w:p w14:paraId="7E0E95E0">
      <w:pPr>
        <w:pStyle w:val="230"/>
        <w:spacing w:after="120" w:line="400" w:lineRule="exact"/>
        <w:ind w:firstLine="420" w:firstLineChars="200"/>
        <w:outlineLvl w:val="0"/>
        <w:rPr>
          <w:rFonts w:hint="eastAsia" w:ascii="宋体" w:hAnsi="宋体" w:cs="宋体"/>
          <w:color w:val="auto"/>
          <w:szCs w:val="21"/>
          <w:highlight w:val="none"/>
        </w:rPr>
      </w:pPr>
      <w:bookmarkStart w:id="956" w:name="_Toc15053475"/>
      <w:r>
        <w:rPr>
          <w:rFonts w:hint="eastAsia" w:ascii="宋体" w:hAnsi="宋体" w:cs="宋体"/>
          <w:color w:val="auto"/>
          <w:szCs w:val="21"/>
          <w:highlight w:val="none"/>
        </w:rPr>
        <w:t>17.4 因不可抗力解除合同</w:t>
      </w:r>
      <w:bookmarkEnd w:id="956"/>
    </w:p>
    <w:p w14:paraId="1AB1EEE1">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28 </w:t>
      </w:r>
      <w:r>
        <w:rPr>
          <w:rFonts w:hint="eastAsia" w:ascii="宋体" w:hAnsi="宋体" w:cs="宋体"/>
          <w:color w:val="auto"/>
          <w:szCs w:val="21"/>
          <w:highlight w:val="none"/>
        </w:rPr>
        <w:t>天内完成款项的支付。</w:t>
      </w:r>
    </w:p>
    <w:p w14:paraId="509ADC64">
      <w:pPr>
        <w:pStyle w:val="231"/>
        <w:spacing w:before="120" w:after="120" w:line="40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18. 保险</w:t>
      </w:r>
    </w:p>
    <w:p w14:paraId="25157AD6">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 工程保险</w:t>
      </w:r>
    </w:p>
    <w:p w14:paraId="12DDA6E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 xml:space="preserve">   承包人按相关规定缴纳工程保险费    </w:t>
      </w:r>
      <w:r>
        <w:rPr>
          <w:rFonts w:hint="eastAsia" w:ascii="宋体" w:hAnsi="宋体" w:cs="宋体"/>
          <w:color w:val="auto"/>
          <w:kern w:val="0"/>
          <w:szCs w:val="21"/>
          <w:highlight w:val="none"/>
        </w:rPr>
        <w:t>。</w:t>
      </w:r>
    </w:p>
    <w:p w14:paraId="5CABC8A1">
      <w:pPr>
        <w:pStyle w:val="230"/>
        <w:spacing w:after="120" w:line="400" w:lineRule="exact"/>
        <w:ind w:firstLine="420" w:firstLineChars="200"/>
        <w:outlineLvl w:val="0"/>
        <w:rPr>
          <w:rFonts w:hint="eastAsia" w:ascii="宋体" w:hAnsi="宋体" w:cs="宋体"/>
          <w:color w:val="auto"/>
          <w:szCs w:val="21"/>
          <w:highlight w:val="none"/>
        </w:rPr>
      </w:pPr>
      <w:bookmarkStart w:id="957" w:name="_Toc15053476"/>
      <w:r>
        <w:rPr>
          <w:rFonts w:hint="eastAsia" w:ascii="宋体" w:hAnsi="宋体" w:cs="宋体"/>
          <w:color w:val="auto"/>
          <w:szCs w:val="21"/>
          <w:highlight w:val="none"/>
        </w:rPr>
        <w:t>18.3 其他保险</w:t>
      </w:r>
      <w:bookmarkEnd w:id="957"/>
    </w:p>
    <w:p w14:paraId="3A0C2380">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 xml:space="preserve">  承包人必须为施工现场从事施工的所有作业人员和管理人员办理意外伤害保险，并支付保险费   </w:t>
      </w:r>
      <w:r>
        <w:rPr>
          <w:rFonts w:hint="eastAsia" w:ascii="宋体" w:hAnsi="宋体" w:cs="宋体"/>
          <w:color w:val="auto"/>
          <w:kern w:val="0"/>
          <w:szCs w:val="21"/>
          <w:highlight w:val="none"/>
        </w:rPr>
        <w:t>。</w:t>
      </w:r>
    </w:p>
    <w:p w14:paraId="5535E4BA">
      <w:pPr>
        <w:pStyle w:val="230"/>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由承包人自行决定     </w:t>
      </w:r>
      <w:r>
        <w:rPr>
          <w:rFonts w:hint="eastAsia" w:ascii="宋体" w:hAnsi="宋体" w:cs="宋体"/>
          <w:color w:val="auto"/>
          <w:szCs w:val="21"/>
          <w:highlight w:val="none"/>
        </w:rPr>
        <w:t>。</w:t>
      </w:r>
    </w:p>
    <w:p w14:paraId="2D86A598">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通知义务</w:t>
      </w:r>
    </w:p>
    <w:p w14:paraId="3544B78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F4D9D5D">
      <w:pPr>
        <w:pStyle w:val="231"/>
        <w:spacing w:before="120" w:after="120" w:line="400" w:lineRule="exact"/>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20. 争议解决</w:t>
      </w:r>
    </w:p>
    <w:p w14:paraId="404E5B20">
      <w:pPr>
        <w:pStyle w:val="230"/>
        <w:spacing w:after="120" w:line="400" w:lineRule="exact"/>
        <w:ind w:firstLine="420" w:firstLineChars="200"/>
        <w:outlineLvl w:val="0"/>
        <w:rPr>
          <w:rFonts w:hint="eastAsia" w:ascii="宋体" w:hAnsi="宋体" w:cs="宋体"/>
          <w:color w:val="auto"/>
          <w:szCs w:val="21"/>
          <w:highlight w:val="none"/>
        </w:rPr>
      </w:pPr>
      <w:bookmarkStart w:id="958" w:name="_Toc15053477"/>
      <w:r>
        <w:rPr>
          <w:rFonts w:hint="eastAsia" w:ascii="宋体" w:hAnsi="宋体" w:cs="宋体"/>
          <w:color w:val="auto"/>
          <w:szCs w:val="21"/>
          <w:highlight w:val="none"/>
        </w:rPr>
        <w:t>20.3 争议评审</w:t>
      </w:r>
      <w:bookmarkEnd w:id="958"/>
    </w:p>
    <w:p w14:paraId="155D7B92">
      <w:pPr>
        <w:pStyle w:val="230"/>
        <w:spacing w:line="400" w:lineRule="exact"/>
        <w:ind w:left="149" w:leftChars="71"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BB2497F">
      <w:pPr>
        <w:pStyle w:val="230"/>
        <w:spacing w:line="400" w:lineRule="exact"/>
        <w:ind w:firstLine="420" w:firstLineChars="200"/>
        <w:jc w:val="left"/>
        <w:outlineLvl w:val="0"/>
        <w:rPr>
          <w:rFonts w:hint="eastAsia" w:ascii="宋体" w:hAnsi="宋体" w:cs="宋体"/>
          <w:color w:val="auto"/>
          <w:szCs w:val="21"/>
          <w:highlight w:val="none"/>
        </w:rPr>
      </w:pPr>
      <w:bookmarkStart w:id="959" w:name="_Toc15053478"/>
      <w:r>
        <w:rPr>
          <w:rFonts w:hint="eastAsia" w:ascii="宋体" w:hAnsi="宋体" w:cs="宋体"/>
          <w:color w:val="auto"/>
          <w:szCs w:val="21"/>
          <w:highlight w:val="none"/>
        </w:rPr>
        <w:t>20.3.1 争议评审小组的确定</w:t>
      </w:r>
      <w:bookmarkEnd w:id="959"/>
    </w:p>
    <w:p w14:paraId="6274E276">
      <w:pPr>
        <w:pStyle w:val="230"/>
        <w:spacing w:line="40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66DC1E3">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2F97C0">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739067A">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BBA4801">
      <w:pPr>
        <w:pStyle w:val="230"/>
        <w:autoSpaceDE w:val="0"/>
        <w:autoSpaceDN w:val="0"/>
        <w:adjustRightInd w:val="0"/>
        <w:spacing w:line="400" w:lineRule="exact"/>
        <w:ind w:firstLine="420" w:firstLineChars="200"/>
        <w:jc w:val="left"/>
        <w:outlineLvl w:val="0"/>
        <w:rPr>
          <w:rFonts w:hint="eastAsia" w:ascii="宋体" w:hAnsi="宋体" w:cs="宋体"/>
          <w:color w:val="auto"/>
          <w:kern w:val="0"/>
          <w:szCs w:val="21"/>
          <w:highlight w:val="none"/>
        </w:rPr>
      </w:pPr>
      <w:bookmarkStart w:id="960" w:name="_Toc15053479"/>
      <w:r>
        <w:rPr>
          <w:rFonts w:hint="eastAsia" w:ascii="宋体" w:hAnsi="宋体" w:cs="宋体"/>
          <w:color w:val="auto"/>
          <w:kern w:val="0"/>
          <w:szCs w:val="21"/>
          <w:highlight w:val="none"/>
        </w:rPr>
        <w:t>20.3.2 争议评审小组的决定</w:t>
      </w:r>
      <w:bookmarkEnd w:id="960"/>
    </w:p>
    <w:p w14:paraId="435309F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B6A8CB">
      <w:pPr>
        <w:pStyle w:val="230"/>
        <w:spacing w:after="120" w:line="400" w:lineRule="exact"/>
        <w:ind w:firstLine="420" w:firstLineChars="200"/>
        <w:outlineLvl w:val="0"/>
        <w:rPr>
          <w:rFonts w:hint="eastAsia" w:ascii="宋体" w:hAnsi="宋体" w:cs="宋体"/>
          <w:color w:val="auto"/>
          <w:szCs w:val="21"/>
          <w:highlight w:val="none"/>
        </w:rPr>
      </w:pPr>
      <w:bookmarkStart w:id="961" w:name="_Toc15053480"/>
      <w:r>
        <w:rPr>
          <w:rFonts w:hint="eastAsia" w:ascii="宋体" w:hAnsi="宋体" w:cs="宋体"/>
          <w:color w:val="auto"/>
          <w:szCs w:val="21"/>
          <w:highlight w:val="none"/>
        </w:rPr>
        <w:t>20.4仲裁或诉讼</w:t>
      </w:r>
      <w:bookmarkEnd w:id="961"/>
    </w:p>
    <w:p w14:paraId="51A1C84D">
      <w:pPr>
        <w:pStyle w:val="230"/>
        <w:spacing w:after="12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104A4CB2">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14:paraId="54BB773D">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工程所在地有管辖权的    </w:t>
      </w:r>
      <w:r>
        <w:rPr>
          <w:rFonts w:hint="eastAsia" w:ascii="宋体" w:hAnsi="宋体" w:cs="宋体"/>
          <w:color w:val="auto"/>
          <w:szCs w:val="21"/>
          <w:highlight w:val="none"/>
        </w:rPr>
        <w:t>人民法院起诉。</w:t>
      </w:r>
    </w:p>
    <w:p w14:paraId="6CA0BCB8">
      <w:pPr>
        <w:pStyle w:val="23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21. 补充条款</w:t>
      </w:r>
    </w:p>
    <w:p w14:paraId="6ADB39A8">
      <w:pPr>
        <w:pStyle w:val="23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 凡进入本工程工作的妇女应持有计生证、否则不准安排工作，禁止使用童工。</w:t>
      </w:r>
    </w:p>
    <w:bookmarkEnd w:id="738"/>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14:paraId="5B96DCDA">
      <w:pPr>
        <w:spacing w:line="440" w:lineRule="exact"/>
        <w:rPr>
          <w:rFonts w:hint="eastAsia" w:hAnsi="宋体" w:cs="宋体"/>
          <w:color w:val="auto"/>
          <w:sz w:val="30"/>
          <w:szCs w:val="30"/>
          <w:highlight w:val="none"/>
        </w:rPr>
      </w:pPr>
    </w:p>
    <w:p w14:paraId="4A43D2EE">
      <w:pPr>
        <w:spacing w:line="440" w:lineRule="exact"/>
        <w:rPr>
          <w:rFonts w:hint="eastAsia" w:hAnsi="宋体" w:cs="宋体"/>
          <w:color w:val="auto"/>
          <w:sz w:val="30"/>
          <w:szCs w:val="30"/>
          <w:highlight w:val="none"/>
        </w:rPr>
      </w:pPr>
    </w:p>
    <w:p w14:paraId="7FD83A4C">
      <w:pPr>
        <w:spacing w:line="440" w:lineRule="exact"/>
        <w:rPr>
          <w:rFonts w:hint="eastAsia" w:hAnsi="宋体" w:cs="宋体"/>
          <w:color w:val="auto"/>
          <w:sz w:val="30"/>
          <w:szCs w:val="30"/>
          <w:highlight w:val="none"/>
        </w:rPr>
      </w:pPr>
    </w:p>
    <w:p w14:paraId="19028858">
      <w:pPr>
        <w:spacing w:line="440" w:lineRule="exact"/>
        <w:rPr>
          <w:rFonts w:hint="eastAsia" w:hAnsi="宋体" w:cs="宋体"/>
          <w:color w:val="auto"/>
          <w:sz w:val="30"/>
          <w:szCs w:val="30"/>
          <w:highlight w:val="none"/>
        </w:rPr>
      </w:pPr>
    </w:p>
    <w:p w14:paraId="76EB0603">
      <w:pPr>
        <w:spacing w:line="440" w:lineRule="exact"/>
        <w:rPr>
          <w:rFonts w:hint="eastAsia" w:hAnsi="宋体" w:cs="宋体"/>
          <w:color w:val="auto"/>
          <w:sz w:val="30"/>
          <w:szCs w:val="30"/>
          <w:highlight w:val="none"/>
        </w:rPr>
      </w:pPr>
    </w:p>
    <w:p w14:paraId="3ED66946">
      <w:pPr>
        <w:spacing w:line="440" w:lineRule="exact"/>
        <w:rPr>
          <w:rFonts w:hint="eastAsia" w:hAnsi="宋体" w:cs="宋体"/>
          <w:color w:val="auto"/>
          <w:sz w:val="30"/>
          <w:szCs w:val="30"/>
          <w:highlight w:val="none"/>
        </w:rPr>
      </w:pPr>
    </w:p>
    <w:p w14:paraId="4B03980F">
      <w:pPr>
        <w:spacing w:line="440" w:lineRule="exact"/>
        <w:rPr>
          <w:rFonts w:hint="eastAsia" w:hAnsi="宋体" w:cs="宋体"/>
          <w:color w:val="auto"/>
          <w:sz w:val="30"/>
          <w:szCs w:val="30"/>
          <w:highlight w:val="none"/>
        </w:rPr>
      </w:pPr>
    </w:p>
    <w:p w14:paraId="35193109">
      <w:pPr>
        <w:spacing w:line="440" w:lineRule="exact"/>
        <w:rPr>
          <w:rFonts w:hint="eastAsia" w:hAnsi="宋体" w:cs="宋体"/>
          <w:color w:val="auto"/>
          <w:sz w:val="30"/>
          <w:szCs w:val="30"/>
          <w:highlight w:val="none"/>
        </w:rPr>
      </w:pPr>
    </w:p>
    <w:p w14:paraId="7848A22B">
      <w:pPr>
        <w:spacing w:line="440" w:lineRule="exact"/>
        <w:rPr>
          <w:rFonts w:hint="eastAsia" w:hAnsi="宋体" w:cs="宋体"/>
          <w:color w:val="auto"/>
          <w:sz w:val="30"/>
          <w:szCs w:val="30"/>
          <w:highlight w:val="none"/>
        </w:rPr>
      </w:pPr>
    </w:p>
    <w:p w14:paraId="68915DB2">
      <w:pPr>
        <w:spacing w:line="440" w:lineRule="exact"/>
        <w:rPr>
          <w:rFonts w:hint="eastAsia" w:hAnsi="宋体" w:cs="宋体"/>
          <w:color w:val="auto"/>
          <w:sz w:val="30"/>
          <w:szCs w:val="30"/>
          <w:highlight w:val="none"/>
        </w:rPr>
      </w:pPr>
    </w:p>
    <w:p w14:paraId="3825F901">
      <w:pPr>
        <w:spacing w:line="440" w:lineRule="exact"/>
        <w:rPr>
          <w:rFonts w:hint="eastAsia" w:hAnsi="宋体" w:cs="宋体"/>
          <w:color w:val="auto"/>
          <w:sz w:val="30"/>
          <w:szCs w:val="30"/>
          <w:highlight w:val="none"/>
        </w:rPr>
      </w:pPr>
    </w:p>
    <w:p w14:paraId="25ABD9FE">
      <w:pPr>
        <w:spacing w:line="440" w:lineRule="exact"/>
        <w:rPr>
          <w:rFonts w:hint="eastAsia" w:hAnsi="宋体" w:cs="宋体"/>
          <w:color w:val="auto"/>
          <w:sz w:val="30"/>
          <w:szCs w:val="30"/>
          <w:highlight w:val="none"/>
        </w:rPr>
      </w:pPr>
    </w:p>
    <w:p w14:paraId="2CEA454B">
      <w:pPr>
        <w:spacing w:line="440" w:lineRule="exact"/>
        <w:rPr>
          <w:rFonts w:hint="eastAsia" w:hAnsi="宋体" w:cs="宋体"/>
          <w:color w:val="auto"/>
          <w:sz w:val="30"/>
          <w:szCs w:val="30"/>
          <w:highlight w:val="none"/>
        </w:rPr>
      </w:pPr>
    </w:p>
    <w:p w14:paraId="0908CEBA">
      <w:pPr>
        <w:spacing w:line="440" w:lineRule="exact"/>
        <w:rPr>
          <w:rFonts w:hint="eastAsia" w:hAnsi="宋体" w:cs="宋体"/>
          <w:color w:val="auto"/>
          <w:sz w:val="30"/>
          <w:szCs w:val="30"/>
          <w:highlight w:val="none"/>
        </w:rPr>
      </w:pPr>
    </w:p>
    <w:p w14:paraId="2AED50C2">
      <w:pPr>
        <w:spacing w:line="440" w:lineRule="exact"/>
        <w:rPr>
          <w:rFonts w:hint="eastAsia" w:hAnsi="宋体" w:cs="宋体"/>
          <w:color w:val="auto"/>
          <w:sz w:val="30"/>
          <w:szCs w:val="30"/>
          <w:highlight w:val="none"/>
        </w:rPr>
      </w:pPr>
    </w:p>
    <w:p w14:paraId="6F097C6D">
      <w:pPr>
        <w:spacing w:line="440" w:lineRule="exact"/>
        <w:rPr>
          <w:rFonts w:hint="eastAsia" w:hAnsi="宋体" w:cs="宋体"/>
          <w:color w:val="auto"/>
          <w:sz w:val="30"/>
          <w:szCs w:val="30"/>
          <w:highlight w:val="none"/>
        </w:rPr>
      </w:pPr>
    </w:p>
    <w:p w14:paraId="4557E92B">
      <w:pPr>
        <w:spacing w:line="440" w:lineRule="exact"/>
        <w:rPr>
          <w:rFonts w:hint="eastAsia" w:hAnsi="宋体" w:cs="宋体"/>
          <w:color w:val="auto"/>
          <w:sz w:val="30"/>
          <w:szCs w:val="30"/>
          <w:highlight w:val="none"/>
        </w:rPr>
      </w:pPr>
    </w:p>
    <w:p w14:paraId="17179773">
      <w:pPr>
        <w:spacing w:line="440" w:lineRule="exact"/>
        <w:rPr>
          <w:rFonts w:hint="eastAsia" w:hAnsi="宋体" w:cs="宋体"/>
          <w:color w:val="auto"/>
          <w:sz w:val="30"/>
          <w:szCs w:val="30"/>
          <w:highlight w:val="none"/>
        </w:rPr>
      </w:pPr>
    </w:p>
    <w:p w14:paraId="4511DAF1">
      <w:pPr>
        <w:spacing w:line="440" w:lineRule="exact"/>
        <w:rPr>
          <w:rFonts w:hint="eastAsia" w:hAnsi="宋体" w:cs="宋体"/>
          <w:color w:val="auto"/>
          <w:sz w:val="30"/>
          <w:szCs w:val="30"/>
          <w:highlight w:val="none"/>
        </w:rPr>
      </w:pPr>
    </w:p>
    <w:p w14:paraId="4FDA84DE">
      <w:pPr>
        <w:spacing w:line="440" w:lineRule="exact"/>
        <w:rPr>
          <w:rFonts w:hint="eastAsia" w:hAnsi="宋体" w:cs="宋体"/>
          <w:color w:val="auto"/>
          <w:sz w:val="30"/>
          <w:szCs w:val="30"/>
          <w:highlight w:val="none"/>
        </w:rPr>
      </w:pPr>
    </w:p>
    <w:p w14:paraId="715C9C72">
      <w:pPr>
        <w:spacing w:line="440" w:lineRule="exact"/>
        <w:rPr>
          <w:rFonts w:hint="eastAsia" w:hAnsi="宋体" w:cs="宋体"/>
          <w:color w:val="auto"/>
          <w:sz w:val="30"/>
          <w:szCs w:val="30"/>
          <w:highlight w:val="none"/>
        </w:rPr>
      </w:pPr>
    </w:p>
    <w:p w14:paraId="21C36045">
      <w:pPr>
        <w:spacing w:line="440" w:lineRule="exact"/>
        <w:rPr>
          <w:rFonts w:hint="eastAsia" w:hAnsi="宋体" w:cs="宋体"/>
          <w:color w:val="auto"/>
          <w:sz w:val="30"/>
          <w:szCs w:val="30"/>
          <w:highlight w:val="none"/>
        </w:rPr>
      </w:pPr>
    </w:p>
    <w:p w14:paraId="3EADC60D">
      <w:pPr>
        <w:spacing w:line="440" w:lineRule="exact"/>
        <w:rPr>
          <w:color w:val="auto"/>
          <w:sz w:val="30"/>
          <w:szCs w:val="30"/>
          <w:highlight w:val="none"/>
        </w:rPr>
      </w:pPr>
      <w:r>
        <w:rPr>
          <w:rFonts w:hint="eastAsia" w:hAnsi="宋体" w:cs="宋体"/>
          <w:color w:val="auto"/>
          <w:sz w:val="30"/>
          <w:szCs w:val="30"/>
          <w:highlight w:val="none"/>
        </w:rPr>
        <w:t>附件1：</w:t>
      </w:r>
    </w:p>
    <w:p w14:paraId="02DAAA68">
      <w:pPr>
        <w:spacing w:before="156" w:beforeLines="50" w:after="156"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w:t>
      </w:r>
      <w:r>
        <w:rPr>
          <w:rFonts w:hint="eastAsia" w:ascii="黑体" w:hAnsi="宋体" w:eastAsia="黑体" w:cs="黑体"/>
          <w:color w:val="auto"/>
          <w:sz w:val="32"/>
          <w:szCs w:val="32"/>
          <w:highlight w:val="none"/>
          <w:lang w:val="en-US" w:eastAsia="zh-CN"/>
        </w:rPr>
        <w:t>房屋建筑工程版本</w:t>
      </w:r>
      <w:r>
        <w:rPr>
          <w:rFonts w:hint="eastAsia" w:ascii="黑体" w:hAnsi="宋体" w:eastAsia="黑体" w:cs="黑体"/>
          <w:color w:val="auto"/>
          <w:sz w:val="32"/>
          <w:szCs w:val="32"/>
          <w:highlight w:val="none"/>
        </w:rPr>
        <w:t>）</w:t>
      </w:r>
    </w:p>
    <w:p w14:paraId="319D0706">
      <w:pPr>
        <w:keepNext w:val="0"/>
        <w:keepLines w:val="0"/>
        <w:pageBreakBefore w:val="0"/>
        <w:widowControl w:val="0"/>
        <w:kinsoku/>
        <w:wordWrap/>
        <w:overflowPunct/>
        <w:topLinePunct w:val="0"/>
        <w:autoSpaceDE/>
        <w:autoSpaceDN/>
        <w:bidi w:val="0"/>
        <w:adjustRightInd/>
        <w:snapToGrid/>
        <w:spacing w:line="360" w:lineRule="auto"/>
        <w:ind w:firstLine="475"/>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发包人（全称）：</w:t>
      </w:r>
      <w:r>
        <w:rPr>
          <w:rFonts w:hint="eastAsia" w:hAnsi="宋体"/>
          <w:color w:val="auto"/>
          <w:sz w:val="21"/>
          <w:szCs w:val="21"/>
          <w:highlight w:val="none"/>
          <w:u w:val="single"/>
          <w:lang w:eastAsia="zh-CN"/>
        </w:rPr>
        <w:t>中国共产党广西壮族自治区委员会党校</w:t>
      </w:r>
    </w:p>
    <w:p w14:paraId="2E0574D3">
      <w:pPr>
        <w:keepNext w:val="0"/>
        <w:keepLines w:val="0"/>
        <w:pageBreakBefore w:val="0"/>
        <w:widowControl w:val="0"/>
        <w:kinsoku/>
        <w:wordWrap/>
        <w:overflowPunct/>
        <w:topLinePunct w:val="0"/>
        <w:autoSpaceDE/>
        <w:autoSpaceDN/>
        <w:bidi w:val="0"/>
        <w:adjustRightInd/>
        <w:snapToGrid/>
        <w:spacing w:line="360" w:lineRule="auto"/>
        <w:ind w:firstLine="475"/>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rPr>
        <w:t>承包人（全称）：</w:t>
      </w:r>
      <w:r>
        <w:rPr>
          <w:rFonts w:hint="eastAsia" w:ascii="宋体" w:hAnsi="宋体"/>
          <w:color w:val="auto"/>
          <w:sz w:val="21"/>
          <w:szCs w:val="21"/>
          <w:highlight w:val="none"/>
          <w:u w:val="single"/>
          <w:lang w:val="en-US" w:eastAsia="zh-CN"/>
        </w:rPr>
        <w:t xml:space="preserve">                                  </w:t>
      </w:r>
    </w:p>
    <w:p w14:paraId="3841B4B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w:t>
      </w:r>
      <w:r>
        <w:rPr>
          <w:rFonts w:hint="eastAsia" w:ascii="宋体" w:hAnsi="宋体" w:eastAsia="宋体" w:cs="宋体"/>
          <w:color w:val="auto"/>
          <w:sz w:val="21"/>
          <w:szCs w:val="21"/>
          <w:highlight w:val="none"/>
        </w:rPr>
        <w:t>就</w:t>
      </w:r>
      <w:r>
        <w:rPr>
          <w:rFonts w:hint="eastAsia" w:ascii="宋体" w:hAnsi="宋体" w:eastAsia="宋体" w:cs="宋体"/>
          <w:color w:val="auto"/>
          <w:sz w:val="21"/>
          <w:szCs w:val="21"/>
          <w:highlight w:val="none"/>
          <w:u w:val="single"/>
          <w:lang w:val="en-US" w:eastAsia="zh-CN"/>
        </w:rPr>
        <w:t xml:space="preserve">  会议中心报告厅屋面钢结构修缮项目</w:t>
      </w:r>
      <w:r>
        <w:rPr>
          <w:rFonts w:hint="eastAsia" w:ascii="宋体" w:hAnsi="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shd w:val="clear" w:color="auto" w:fill="auto"/>
        </w:rPr>
        <w:t>（</w:t>
      </w:r>
      <w:r>
        <w:rPr>
          <w:rFonts w:hint="eastAsia" w:ascii="宋体" w:hAnsi="宋体" w:eastAsia="宋体" w:cs="宋体"/>
          <w:color w:val="auto"/>
          <w:sz w:val="21"/>
          <w:szCs w:val="21"/>
          <w:highlight w:val="none"/>
        </w:rPr>
        <w:t>工程全称）签订工程质量保修书。</w:t>
      </w:r>
    </w:p>
    <w:p w14:paraId="27DCDF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7669F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0E04BF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Times New Roman"/>
          <w:color w:val="auto"/>
          <w:kern w:val="2"/>
          <w:sz w:val="21"/>
          <w:szCs w:val="21"/>
          <w:highlight w:val="none"/>
          <w:u w:val="single"/>
          <w:lang w:val="en-US" w:eastAsia="zh-CN"/>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项目地点位于南宁市荔滨大道18号中共广西区委党校校园内，对会议中心报告厅屋面钢结构</w:t>
      </w:r>
      <w:r>
        <w:rPr>
          <w:rFonts w:hint="eastAsia" w:ascii="宋体" w:hAnsi="宋体" w:cs="宋体"/>
          <w:color w:val="auto"/>
          <w:sz w:val="21"/>
          <w:szCs w:val="21"/>
          <w:highlight w:val="none"/>
          <w:u w:val="single"/>
          <w:lang w:val="en-US" w:eastAsia="zh-CN"/>
        </w:rPr>
        <w:t>雨棚构件进行翻新维修</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lang w:val="en-US" w:eastAsia="zh-CN"/>
        </w:rPr>
        <w:t>对已锈蚀的钢构件进行更换、除锈，对原有钢结构构件重新刷防火涂料，屋面铝塑板更换为氟碳铝单板，安装避雷带等，具体以《招标工程量清单》为准。</w:t>
      </w:r>
    </w:p>
    <w:p w14:paraId="3C4BB7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39C0EE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2F974ED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1．地基基础工程和主体结构工程为设计文件规定的工程合理使用年限；</w:t>
      </w:r>
    </w:p>
    <w:p w14:paraId="567EB7B5">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2．屋面防水工程、有防水要求的卫生间、房间和外墙面的防渗为</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p>
    <w:p w14:paraId="3FAEA22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3．装修工程为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2</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p>
    <w:p w14:paraId="3A9485F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4．电气管线、给排水管道、设备安装工程为</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p>
    <w:p w14:paraId="4E11E0D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5．供热与供冷系统为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ascii="宋体" w:hAnsi="宋体" w:cs="宋体"/>
          <w:color w:val="auto"/>
          <w:sz w:val="21"/>
          <w:szCs w:val="21"/>
          <w:highlight w:val="none"/>
          <w:u w:val="single"/>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个采暖期、供冷期；</w:t>
      </w:r>
    </w:p>
    <w:p w14:paraId="6E6EF2A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6．住宅小区内的给排水设施、道路等配套工程为</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2</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年；</w:t>
      </w:r>
    </w:p>
    <w:p w14:paraId="4CE96FC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ascii="宋体" w:hAnsi="宋体" w:cs="宋体"/>
          <w:color w:val="auto"/>
          <w:sz w:val="21"/>
          <w:szCs w:val="21"/>
          <w:highlight w:val="none"/>
        </w:rPr>
        <w:t>7</w:t>
      </w:r>
      <w:r>
        <w:rPr>
          <w:rFonts w:hint="eastAsia" w:ascii="宋体" w:hAnsi="宋体" w:cs="宋体"/>
          <w:color w:val="auto"/>
          <w:sz w:val="21"/>
          <w:szCs w:val="21"/>
          <w:highlight w:val="none"/>
        </w:rPr>
        <w:t>．其他项目保修期限约定如下：</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070FA9C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hAnsi="宋体" w:cs="宋体"/>
          <w:color w:val="auto"/>
          <w:sz w:val="21"/>
          <w:szCs w:val="21"/>
          <w:highlight w:val="none"/>
        </w:rPr>
      </w:pPr>
      <w:r>
        <w:rPr>
          <w:rFonts w:hint="eastAsia" w:ascii="宋体" w:hAnsi="宋体" w:cs="宋体"/>
          <w:color w:val="auto"/>
          <w:sz w:val="21"/>
          <w:szCs w:val="21"/>
          <w:highlight w:val="none"/>
        </w:rPr>
        <w:t>质量保修期自工程竣工验收合格之日起计算。</w:t>
      </w:r>
    </w:p>
    <w:p w14:paraId="5DFEA1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2C16696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lang w:val="en-US" w:eastAsia="zh-CN"/>
        </w:rPr>
        <w:t>2年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缺陷责任期自工程竣工验收合格之日起计算。单位工程先于全部工程进行验收，单位工程缺陷责任期自单位工程验收合格之日起算。</w:t>
      </w:r>
    </w:p>
    <w:p w14:paraId="0FF8E5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w:t>
      </w:r>
      <w:r>
        <w:rPr>
          <w:rFonts w:hint="eastAsia" w:ascii="宋体" w:hAnsi="宋体" w:eastAsia="宋体" w:cs="宋体"/>
          <w:color w:val="auto"/>
          <w:sz w:val="21"/>
          <w:szCs w:val="21"/>
          <w:highlight w:val="none"/>
          <w:u w:val="single"/>
        </w:rPr>
        <w:t>满</w:t>
      </w:r>
      <w:r>
        <w:rPr>
          <w:rFonts w:hint="eastAsia" w:ascii="宋体" w:hAnsi="宋体" w:eastAsia="宋体" w:cs="宋体"/>
          <w:color w:val="auto"/>
          <w:sz w:val="21"/>
          <w:szCs w:val="21"/>
          <w:highlight w:val="none"/>
        </w:rPr>
        <w:t>之日起</w:t>
      </w:r>
      <w:r>
        <w:rPr>
          <w:rFonts w:hint="eastAsia" w:ascii="宋体" w:hAnsi="宋体" w:eastAsia="宋体" w:cs="宋体"/>
          <w:color w:val="auto"/>
          <w:sz w:val="21"/>
          <w:szCs w:val="21"/>
          <w:highlight w:val="none"/>
          <w:u w:val="single"/>
        </w:rPr>
        <w:t>30</w:t>
      </w:r>
      <w:r>
        <w:rPr>
          <w:rFonts w:hint="eastAsia" w:ascii="宋体" w:hAnsi="宋体" w:eastAsia="宋体" w:cs="宋体"/>
          <w:color w:val="auto"/>
          <w:sz w:val="21"/>
          <w:szCs w:val="21"/>
          <w:highlight w:val="none"/>
        </w:rPr>
        <w:t>天</w:t>
      </w:r>
      <w:r>
        <w:rPr>
          <w:rFonts w:hint="eastAsia" w:ascii="宋体" w:hAnsi="宋体" w:eastAsia="宋体" w:cs="宋体"/>
          <w:color w:val="auto"/>
          <w:sz w:val="21"/>
          <w:szCs w:val="21"/>
          <w:highlight w:val="none"/>
          <w:u w:val="single"/>
        </w:rPr>
        <w:t>（按合同约定期限），</w:t>
      </w:r>
      <w:r>
        <w:rPr>
          <w:rFonts w:hint="eastAsia" w:ascii="宋体" w:hAnsi="宋体" w:eastAsia="宋体" w:cs="宋体"/>
          <w:color w:val="auto"/>
          <w:sz w:val="21"/>
          <w:szCs w:val="21"/>
          <w:highlight w:val="none"/>
        </w:rPr>
        <w:t>发包人应退还剩余的质量保证金。</w:t>
      </w:r>
    </w:p>
    <w:p w14:paraId="410B55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25B138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1．属于保修范围、内容的项目，承包人应当在接到保修通知之日起</w:t>
      </w:r>
      <w:r>
        <w:rPr>
          <w:rFonts w:hint="eastAsia" w:ascii="宋体" w:hAnsi="宋体" w:eastAsia="宋体" w:cs="宋体"/>
          <w:color w:val="auto"/>
          <w:sz w:val="21"/>
          <w:szCs w:val="21"/>
          <w:highlight w:val="none"/>
          <w:u w:val="single"/>
        </w:rPr>
        <w:t>7</w:t>
      </w:r>
      <w:r>
        <w:rPr>
          <w:rFonts w:hint="eastAsia" w:ascii="宋体" w:hAnsi="宋体" w:eastAsia="宋体" w:cs="宋体"/>
          <w:color w:val="auto"/>
          <w:sz w:val="21"/>
          <w:szCs w:val="21"/>
          <w:highlight w:val="none"/>
        </w:rPr>
        <w:t>天内派人保修。承包人不在约定期限内派人保修的，发包人可以委托他人修理，修理费用从质量保证金内扣除。</w:t>
      </w:r>
    </w:p>
    <w:p w14:paraId="7C2308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2．发生紧急事故需抢修的，承包人在接到事故通知后，应当立即到达事故现场抢修。</w:t>
      </w:r>
    </w:p>
    <w:p w14:paraId="257C70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E56B9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4．质量保修完成后，由发包人组织验收。</w:t>
      </w:r>
    </w:p>
    <w:p w14:paraId="087374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624A8A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7E6F54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sz w:val="21"/>
          <w:szCs w:val="21"/>
          <w:highlight w:val="none"/>
        </w:rPr>
        <w:t>。</w:t>
      </w:r>
    </w:p>
    <w:p w14:paraId="7DC11726">
      <w:pPr>
        <w:keepNext w:val="0"/>
        <w:keepLines w:val="0"/>
        <w:pageBreakBefore w:val="0"/>
        <w:widowControl w:val="0"/>
        <w:kinsoku/>
        <w:wordWrap/>
        <w:overflowPunct/>
        <w:topLinePunct w:val="0"/>
        <w:autoSpaceDE/>
        <w:autoSpaceDN/>
        <w:bidi w:val="0"/>
        <w:adjustRightInd/>
        <w:snapToGrid/>
        <w:spacing w:line="360" w:lineRule="auto"/>
        <w:ind w:firstLine="399" w:firstLineChars="19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4965FBFC">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Style w:val="47"/>
          <w:rFonts w:hint="eastAsia"/>
          <w:color w:val="auto"/>
          <w:sz w:val="21"/>
          <w:szCs w:val="21"/>
          <w:highlight w:val="none"/>
          <w:lang w:val="en-US"/>
        </w:rPr>
      </w:pPr>
      <w:r>
        <w:rPr>
          <w:rStyle w:val="47"/>
          <w:rFonts w:hint="eastAsia"/>
          <w:color w:val="auto"/>
          <w:sz w:val="21"/>
          <w:szCs w:val="21"/>
          <w:highlight w:val="none"/>
          <w:lang w:val="en-US" w:eastAsia="zh-CN"/>
        </w:rPr>
        <w:t>发</w:t>
      </w:r>
      <w:r>
        <w:rPr>
          <w:rStyle w:val="47"/>
          <w:color w:val="auto"/>
          <w:sz w:val="21"/>
          <w:szCs w:val="21"/>
          <w:highlight w:val="none"/>
        </w:rPr>
        <w:t>包人（公章）：</w:t>
      </w:r>
      <w:r>
        <w:rPr>
          <w:rFonts w:hint="eastAsia" w:hAnsi="宋体"/>
          <w:color w:val="auto"/>
          <w:sz w:val="21"/>
          <w:szCs w:val="21"/>
          <w:highlight w:val="none"/>
          <w:u w:val="single"/>
          <w:lang w:eastAsia="zh-CN"/>
        </w:rPr>
        <w:t>中国共产党广西壮族自治区委员会党校</w:t>
      </w:r>
      <w:r>
        <w:rPr>
          <w:rStyle w:val="47"/>
          <w:rFonts w:hint="eastAsia"/>
          <w:color w:val="auto"/>
          <w:sz w:val="21"/>
          <w:szCs w:val="21"/>
          <w:highlight w:val="none"/>
          <w:lang w:val="en-US"/>
        </w:rPr>
        <w:t xml:space="preserve">  </w:t>
      </w:r>
    </w:p>
    <w:p w14:paraId="7096D374">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Style w:val="47"/>
          <w:rFonts w:hint="eastAsia"/>
          <w:color w:val="auto"/>
          <w:sz w:val="21"/>
          <w:szCs w:val="21"/>
          <w:highlight w:val="none"/>
          <w:lang w:val="en-US"/>
        </w:rPr>
      </w:pPr>
      <w:r>
        <w:rPr>
          <w:rStyle w:val="47"/>
          <w:rFonts w:hint="eastAsia"/>
          <w:color w:val="auto"/>
          <w:sz w:val="21"/>
          <w:szCs w:val="21"/>
          <w:highlight w:val="none"/>
          <w:lang w:val="en-US" w:eastAsia="zh-CN"/>
        </w:rPr>
        <w:t>地  址：</w:t>
      </w:r>
      <w:r>
        <w:rPr>
          <w:rStyle w:val="47"/>
          <w:rFonts w:hint="eastAsia"/>
          <w:color w:val="auto"/>
          <w:sz w:val="21"/>
          <w:szCs w:val="21"/>
          <w:highlight w:val="none"/>
          <w:lang w:val="en-US"/>
        </w:rPr>
        <w:t xml:space="preserve"> </w:t>
      </w:r>
      <w:r>
        <w:rPr>
          <w:rStyle w:val="47"/>
          <w:rFonts w:hint="eastAsia"/>
          <w:color w:val="auto"/>
          <w:sz w:val="21"/>
          <w:szCs w:val="21"/>
          <w:highlight w:val="none"/>
          <w:u w:val="single"/>
          <w:lang w:val="en-US" w:eastAsia="zh-CN"/>
        </w:rPr>
        <w:t>南宁市青秀区荔滨大道18号</w:t>
      </w:r>
      <w:r>
        <w:rPr>
          <w:rStyle w:val="47"/>
          <w:rFonts w:hint="eastAsia"/>
          <w:color w:val="auto"/>
          <w:sz w:val="21"/>
          <w:szCs w:val="21"/>
          <w:highlight w:val="none"/>
          <w:lang w:val="en-US"/>
        </w:rPr>
        <w:t xml:space="preserve">  </w:t>
      </w:r>
    </w:p>
    <w:p w14:paraId="57B97742">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法定代表人或委托代理人（签字）：</w:t>
      </w:r>
      <w:r>
        <w:rPr>
          <w:rStyle w:val="47"/>
          <w:rFonts w:hint="eastAsia"/>
          <w:color w:val="auto"/>
          <w:sz w:val="21"/>
          <w:szCs w:val="21"/>
          <w:highlight w:val="none"/>
          <w:u w:val="single"/>
          <w:lang w:val="en-US" w:eastAsia="zh-CN"/>
        </w:rPr>
        <w:t xml:space="preserve">                </w:t>
      </w:r>
      <w:r>
        <w:rPr>
          <w:rStyle w:val="47"/>
          <w:rFonts w:hint="eastAsia"/>
          <w:color w:val="auto"/>
          <w:sz w:val="21"/>
          <w:szCs w:val="21"/>
          <w:highlight w:val="none"/>
          <w:u w:val="single"/>
        </w:rPr>
        <w:t xml:space="preserve"> </w:t>
      </w:r>
      <w:r>
        <w:rPr>
          <w:rStyle w:val="47"/>
          <w:color w:val="auto"/>
          <w:sz w:val="21"/>
          <w:szCs w:val="21"/>
          <w:highlight w:val="none"/>
          <w:u w:val="single"/>
        </w:rPr>
        <w:t xml:space="preserve"> </w:t>
      </w:r>
    </w:p>
    <w:p w14:paraId="436267B1">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default" w:ascii="宋体" w:hAnsi="宋体" w:eastAsia="宋体"/>
          <w:color w:val="auto"/>
          <w:sz w:val="21"/>
          <w:szCs w:val="21"/>
          <w:highlight w:val="none"/>
          <w:u w:val="single"/>
          <w:lang w:val="en-US" w:eastAsia="zh-CN"/>
        </w:rPr>
      </w:pPr>
      <w:r>
        <w:rPr>
          <w:rFonts w:ascii="宋体" w:hAnsi="宋体" w:eastAsia="宋体"/>
          <w:color w:val="auto"/>
          <w:sz w:val="21"/>
          <w:szCs w:val="21"/>
          <w:highlight w:val="none"/>
        </w:rPr>
        <w:t>电  话：</w:t>
      </w:r>
      <w:r>
        <w:rPr>
          <w:rFonts w:hint="eastAsia" w:ascii="宋体" w:hAnsi="宋体" w:eastAsia="宋体"/>
          <w:color w:val="auto"/>
          <w:sz w:val="21"/>
          <w:szCs w:val="21"/>
          <w:highlight w:val="none"/>
          <w:u w:val="single"/>
          <w:lang w:eastAsia="zh-CN"/>
        </w:rPr>
        <w:t>0771-557</w:t>
      </w:r>
      <w:r>
        <w:rPr>
          <w:rFonts w:hint="eastAsia"/>
          <w:color w:val="auto"/>
          <w:sz w:val="21"/>
          <w:szCs w:val="21"/>
          <w:highlight w:val="none"/>
          <w:u w:val="single"/>
          <w:lang w:val="en-US" w:eastAsia="zh-CN"/>
        </w:rPr>
        <w:t xml:space="preserve">4379  </w:t>
      </w:r>
    </w:p>
    <w:p w14:paraId="6EF04391">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eastAsia"/>
          <w:color w:val="auto"/>
          <w:sz w:val="21"/>
          <w:szCs w:val="21"/>
          <w:highlight w:val="none"/>
          <w:u w:val="single"/>
          <w:lang w:val="en-US" w:eastAsia="zh-CN"/>
        </w:rPr>
      </w:pPr>
      <w:r>
        <w:rPr>
          <w:rFonts w:hint="eastAsia"/>
          <w:color w:val="auto"/>
          <w:sz w:val="21"/>
          <w:szCs w:val="21"/>
          <w:highlight w:val="none"/>
          <w:lang w:val="en-US" w:eastAsia="zh-CN"/>
        </w:rPr>
        <w:t>传  真：</w:t>
      </w:r>
      <w:r>
        <w:rPr>
          <w:rFonts w:hint="eastAsia"/>
          <w:color w:val="auto"/>
          <w:sz w:val="21"/>
          <w:szCs w:val="21"/>
          <w:highlight w:val="none"/>
          <w:u w:val="single"/>
          <w:lang w:val="en-US" w:eastAsia="zh-CN"/>
        </w:rPr>
        <w:t xml:space="preserve">                       </w:t>
      </w:r>
    </w:p>
    <w:p w14:paraId="16D2D0BF">
      <w:pPr>
        <w:keepNext w:val="0"/>
        <w:keepLines w:val="0"/>
        <w:pageBreakBefore w:val="0"/>
        <w:widowControl w:val="0"/>
        <w:kinsoku/>
        <w:wordWrap/>
        <w:overflowPunct/>
        <w:topLinePunct w:val="0"/>
        <w:autoSpaceDE/>
        <w:autoSpaceDN/>
        <w:bidi w:val="0"/>
        <w:adjustRightInd/>
        <w:snapToGrid/>
        <w:spacing w:line="360" w:lineRule="auto"/>
        <w:textAlignment w:val="auto"/>
        <w:rPr>
          <w:rStyle w:val="47"/>
          <w:rFonts w:hint="eastAsia" w:ascii="宋体" w:hAnsi="宋体" w:eastAsia="宋体" w:cs="宋体"/>
          <w:color w:val="auto"/>
          <w:kern w:val="2"/>
          <w:sz w:val="21"/>
          <w:szCs w:val="21"/>
          <w:highlight w:val="none"/>
          <w:lang w:val="en-US" w:eastAsia="zh-CN" w:bidi="zh-CN"/>
        </w:rPr>
      </w:pPr>
      <w:r>
        <w:rPr>
          <w:rStyle w:val="47"/>
          <w:rFonts w:hint="eastAsia" w:ascii="宋体" w:hAnsi="宋体" w:eastAsia="宋体" w:cs="宋体"/>
          <w:color w:val="auto"/>
          <w:kern w:val="2"/>
          <w:sz w:val="21"/>
          <w:szCs w:val="21"/>
          <w:highlight w:val="none"/>
          <w:lang w:val="en-US" w:eastAsia="zh-CN" w:bidi="zh-CN"/>
        </w:rPr>
        <w:t>开户银</w:t>
      </w:r>
      <w:r>
        <w:rPr>
          <w:rStyle w:val="47"/>
          <w:rFonts w:hint="eastAsia" w:ascii="宋体" w:hAnsi="宋体" w:eastAsia="宋体" w:cs="宋体"/>
          <w:color w:val="auto"/>
          <w:kern w:val="2"/>
          <w:sz w:val="21"/>
          <w:szCs w:val="21"/>
          <w:highlight w:val="none"/>
          <w:lang w:val="zh-CN" w:eastAsia="zh-CN" w:bidi="zh-CN"/>
        </w:rPr>
        <w:t>行：</w:t>
      </w:r>
      <w:r>
        <w:rPr>
          <w:rFonts w:hint="eastAsia"/>
          <w:color w:val="auto"/>
          <w:sz w:val="21"/>
          <w:szCs w:val="21"/>
          <w:highlight w:val="none"/>
          <w:u w:val="single"/>
          <w:lang w:val="en-US" w:eastAsia="zh-CN"/>
        </w:rPr>
        <w:t xml:space="preserve">                     </w:t>
      </w:r>
    </w:p>
    <w:p w14:paraId="1335E169">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eastAsia"/>
          <w:color w:val="auto"/>
          <w:sz w:val="21"/>
          <w:szCs w:val="21"/>
          <w:highlight w:val="none"/>
          <w:u w:val="single"/>
          <w:lang w:val="en-US" w:eastAsia="zh-CN"/>
        </w:rPr>
      </w:pPr>
      <w:r>
        <w:rPr>
          <w:rStyle w:val="47"/>
          <w:rFonts w:hint="eastAsia" w:ascii="宋体" w:hAnsi="宋体" w:eastAsia="宋体" w:cs="宋体"/>
          <w:color w:val="auto"/>
          <w:kern w:val="2"/>
          <w:sz w:val="21"/>
          <w:szCs w:val="21"/>
          <w:highlight w:val="none"/>
          <w:lang w:val="zh-CN" w:eastAsia="zh-CN" w:bidi="zh-CN"/>
        </w:rPr>
        <w:t>账</w:t>
      </w:r>
      <w:r>
        <w:rPr>
          <w:rStyle w:val="47"/>
          <w:rFonts w:hint="eastAsia" w:ascii="宋体" w:hAnsi="宋体" w:eastAsia="宋体" w:cs="宋体"/>
          <w:color w:val="auto"/>
          <w:kern w:val="2"/>
          <w:sz w:val="21"/>
          <w:szCs w:val="21"/>
          <w:highlight w:val="none"/>
          <w:lang w:val="en-US" w:eastAsia="zh-CN" w:bidi="zh-CN"/>
        </w:rPr>
        <w:t xml:space="preserve">    </w:t>
      </w:r>
      <w:r>
        <w:rPr>
          <w:rStyle w:val="47"/>
          <w:rFonts w:hint="eastAsia" w:ascii="宋体" w:hAnsi="宋体" w:eastAsia="宋体" w:cs="宋体"/>
          <w:color w:val="auto"/>
          <w:kern w:val="2"/>
          <w:sz w:val="21"/>
          <w:szCs w:val="21"/>
          <w:highlight w:val="none"/>
          <w:lang w:val="zh-CN" w:eastAsia="zh-CN" w:bidi="zh-CN"/>
        </w:rPr>
        <w:t>号：</w:t>
      </w:r>
      <w:r>
        <w:rPr>
          <w:rFonts w:hint="eastAsia"/>
          <w:color w:val="auto"/>
          <w:sz w:val="21"/>
          <w:szCs w:val="21"/>
          <w:highlight w:val="none"/>
          <w:u w:val="single"/>
          <w:lang w:val="en-US" w:eastAsia="zh-CN"/>
        </w:rPr>
        <w:t xml:space="preserve">                     </w:t>
      </w:r>
    </w:p>
    <w:p w14:paraId="38FBCE79">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default"/>
          <w:color w:val="auto"/>
          <w:sz w:val="21"/>
          <w:szCs w:val="21"/>
          <w:highlight w:val="none"/>
          <w:u w:val="single"/>
          <w:lang w:val="en-US" w:eastAsia="zh-CN"/>
        </w:rPr>
      </w:pPr>
      <w:r>
        <w:rPr>
          <w:rFonts w:hint="eastAsia"/>
          <w:color w:val="auto"/>
          <w:sz w:val="21"/>
          <w:szCs w:val="21"/>
          <w:highlight w:val="none"/>
          <w:u w:val="none"/>
          <w:lang w:val="en-US" w:eastAsia="zh-CN"/>
        </w:rPr>
        <w:t>邮政编码：</w:t>
      </w:r>
      <w:r>
        <w:rPr>
          <w:rFonts w:hint="eastAsia"/>
          <w:color w:val="auto"/>
          <w:sz w:val="21"/>
          <w:szCs w:val="21"/>
          <w:highlight w:val="none"/>
          <w:u w:val="single"/>
          <w:lang w:val="en-US" w:eastAsia="zh-CN"/>
        </w:rPr>
        <w:t xml:space="preserve">                     </w:t>
      </w:r>
    </w:p>
    <w:p w14:paraId="43B63ED2">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Style w:val="47"/>
          <w:rFonts w:hint="eastAsia"/>
          <w:color w:val="auto"/>
          <w:sz w:val="21"/>
          <w:szCs w:val="21"/>
          <w:highlight w:val="none"/>
          <w:lang w:val="en-US" w:eastAsia="zh-CN"/>
        </w:rPr>
      </w:pPr>
    </w:p>
    <w:p w14:paraId="723A391C">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Style w:val="47"/>
          <w:rFonts w:hint="eastAsia"/>
          <w:color w:val="auto"/>
          <w:sz w:val="21"/>
          <w:szCs w:val="21"/>
          <w:highlight w:val="none"/>
          <w:lang w:val="en-US"/>
        </w:rPr>
      </w:pPr>
      <w:r>
        <w:rPr>
          <w:rStyle w:val="47"/>
          <w:rFonts w:hint="eastAsia"/>
          <w:color w:val="auto"/>
          <w:sz w:val="21"/>
          <w:szCs w:val="21"/>
          <w:highlight w:val="none"/>
          <w:lang w:val="en-US" w:eastAsia="zh-CN"/>
        </w:rPr>
        <w:t>承</w:t>
      </w:r>
      <w:r>
        <w:rPr>
          <w:rStyle w:val="47"/>
          <w:color w:val="auto"/>
          <w:sz w:val="21"/>
          <w:szCs w:val="21"/>
          <w:highlight w:val="none"/>
        </w:rPr>
        <w:t>包人（公章）：</w:t>
      </w:r>
      <w:r>
        <w:rPr>
          <w:rStyle w:val="47"/>
          <w:rFonts w:hint="eastAsia"/>
          <w:color w:val="auto"/>
          <w:sz w:val="21"/>
          <w:szCs w:val="21"/>
          <w:highlight w:val="none"/>
          <w:u w:val="single"/>
          <w:lang w:val="en-US" w:eastAsia="zh-CN"/>
        </w:rPr>
        <w:t xml:space="preserve">                 </w:t>
      </w:r>
      <w:r>
        <w:rPr>
          <w:rStyle w:val="47"/>
          <w:rFonts w:hint="eastAsia"/>
          <w:color w:val="auto"/>
          <w:sz w:val="21"/>
          <w:szCs w:val="21"/>
          <w:highlight w:val="none"/>
          <w:u w:val="single"/>
          <w:lang w:val="en-US"/>
        </w:rPr>
        <w:t xml:space="preserve"> </w:t>
      </w:r>
      <w:r>
        <w:rPr>
          <w:rStyle w:val="47"/>
          <w:rFonts w:hint="eastAsia"/>
          <w:color w:val="auto"/>
          <w:sz w:val="21"/>
          <w:szCs w:val="21"/>
          <w:highlight w:val="none"/>
          <w:lang w:val="en-US"/>
        </w:rPr>
        <w:t xml:space="preserve">  </w:t>
      </w:r>
    </w:p>
    <w:p w14:paraId="377761E5">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Style w:val="47"/>
          <w:rFonts w:hint="eastAsia"/>
          <w:color w:val="auto"/>
          <w:sz w:val="21"/>
          <w:szCs w:val="21"/>
          <w:highlight w:val="none"/>
          <w:lang w:val="en-US"/>
        </w:rPr>
      </w:pPr>
      <w:r>
        <w:rPr>
          <w:rStyle w:val="47"/>
          <w:rFonts w:hint="eastAsia"/>
          <w:color w:val="auto"/>
          <w:sz w:val="21"/>
          <w:szCs w:val="21"/>
          <w:highlight w:val="none"/>
          <w:lang w:val="en-US" w:eastAsia="zh-CN"/>
        </w:rPr>
        <w:t>地  址：</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Style w:val="47"/>
          <w:rFonts w:hint="eastAsia"/>
          <w:color w:val="auto"/>
          <w:sz w:val="21"/>
          <w:szCs w:val="21"/>
          <w:highlight w:val="none"/>
          <w:lang w:val="en-US"/>
        </w:rPr>
        <w:t xml:space="preserve">   </w:t>
      </w:r>
    </w:p>
    <w:p w14:paraId="06C8B228">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法定代表人或委托代理人（签字）：</w:t>
      </w:r>
      <w:r>
        <w:rPr>
          <w:rStyle w:val="47"/>
          <w:color w:val="auto"/>
          <w:sz w:val="21"/>
          <w:szCs w:val="21"/>
          <w:highlight w:val="none"/>
          <w:u w:val="single"/>
        </w:rPr>
        <w:t xml:space="preserve"> </w:t>
      </w:r>
      <w:r>
        <w:rPr>
          <w:rStyle w:val="47"/>
          <w:rFonts w:hint="eastAsia"/>
          <w:color w:val="auto"/>
          <w:sz w:val="21"/>
          <w:szCs w:val="21"/>
          <w:highlight w:val="none"/>
          <w:u w:val="single"/>
          <w:lang w:val="en-US" w:eastAsia="zh-CN"/>
        </w:rPr>
        <w:t xml:space="preserve">                 </w:t>
      </w:r>
    </w:p>
    <w:p w14:paraId="5A65A241">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default" w:ascii="宋体" w:hAnsi="宋体" w:eastAsia="宋体"/>
          <w:color w:val="auto"/>
          <w:sz w:val="21"/>
          <w:szCs w:val="21"/>
          <w:highlight w:val="none"/>
          <w:u w:val="single"/>
          <w:lang w:val="en-US" w:eastAsia="zh-CN"/>
        </w:rPr>
      </w:pPr>
      <w:r>
        <w:rPr>
          <w:rFonts w:ascii="宋体" w:hAnsi="宋体" w:eastAsia="宋体"/>
          <w:color w:val="auto"/>
          <w:sz w:val="21"/>
          <w:szCs w:val="21"/>
          <w:highlight w:val="none"/>
        </w:rPr>
        <w:t>电  话：</w:t>
      </w:r>
      <w:r>
        <w:rPr>
          <w:rFonts w:hint="eastAsia" w:cs="宋体"/>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p>
    <w:p w14:paraId="32E53663">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eastAsia"/>
          <w:color w:val="auto"/>
          <w:sz w:val="21"/>
          <w:szCs w:val="21"/>
          <w:highlight w:val="none"/>
          <w:u w:val="single"/>
          <w:lang w:val="en-US" w:eastAsia="zh-CN"/>
        </w:rPr>
      </w:pPr>
      <w:r>
        <w:rPr>
          <w:rFonts w:hint="eastAsia"/>
          <w:color w:val="auto"/>
          <w:sz w:val="21"/>
          <w:szCs w:val="21"/>
          <w:highlight w:val="none"/>
          <w:lang w:val="en-US" w:eastAsia="zh-CN"/>
        </w:rPr>
        <w:t>传  真：</w:t>
      </w:r>
      <w:r>
        <w:rPr>
          <w:rFonts w:hint="eastAsia" w:cs="宋体"/>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p>
    <w:p w14:paraId="17BDDE0F">
      <w:pPr>
        <w:keepNext w:val="0"/>
        <w:keepLines w:val="0"/>
        <w:pageBreakBefore w:val="0"/>
        <w:widowControl w:val="0"/>
        <w:kinsoku/>
        <w:wordWrap/>
        <w:overflowPunct/>
        <w:topLinePunct w:val="0"/>
        <w:autoSpaceDE/>
        <w:autoSpaceDN/>
        <w:bidi w:val="0"/>
        <w:adjustRightInd/>
        <w:snapToGrid/>
        <w:spacing w:line="360" w:lineRule="auto"/>
        <w:textAlignment w:val="auto"/>
        <w:rPr>
          <w:rStyle w:val="47"/>
          <w:rFonts w:hint="eastAsia" w:ascii="宋体" w:hAnsi="宋体" w:eastAsia="宋体" w:cs="宋体"/>
          <w:color w:val="auto"/>
          <w:kern w:val="2"/>
          <w:sz w:val="21"/>
          <w:szCs w:val="21"/>
          <w:highlight w:val="none"/>
          <w:lang w:val="en-US" w:eastAsia="zh-CN" w:bidi="zh-CN"/>
        </w:rPr>
      </w:pPr>
      <w:r>
        <w:rPr>
          <w:rStyle w:val="47"/>
          <w:rFonts w:hint="eastAsia" w:ascii="宋体" w:hAnsi="宋体" w:eastAsia="宋体" w:cs="宋体"/>
          <w:color w:val="auto"/>
          <w:kern w:val="2"/>
          <w:sz w:val="21"/>
          <w:szCs w:val="21"/>
          <w:highlight w:val="none"/>
          <w:lang w:val="en-US" w:eastAsia="zh-CN" w:bidi="zh-CN"/>
        </w:rPr>
        <w:t>开户银</w:t>
      </w:r>
      <w:r>
        <w:rPr>
          <w:rStyle w:val="47"/>
          <w:rFonts w:hint="eastAsia" w:ascii="宋体" w:hAnsi="宋体" w:eastAsia="宋体" w:cs="宋体"/>
          <w:color w:val="auto"/>
          <w:kern w:val="2"/>
          <w:sz w:val="21"/>
          <w:szCs w:val="21"/>
          <w:highlight w:val="none"/>
          <w:lang w:val="zh-CN" w:eastAsia="zh-CN" w:bidi="zh-CN"/>
        </w:rPr>
        <w:t>行：</w:t>
      </w:r>
      <w:r>
        <w:rPr>
          <w:rFonts w:hint="eastAsia" w:cs="宋体"/>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p>
    <w:p w14:paraId="3DE2F330">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Style w:val="47"/>
          <w:rFonts w:hint="eastAsia" w:ascii="宋体" w:hAnsi="宋体" w:eastAsia="宋体" w:cs="宋体"/>
          <w:color w:val="auto"/>
          <w:kern w:val="2"/>
          <w:sz w:val="21"/>
          <w:szCs w:val="21"/>
          <w:highlight w:val="none"/>
          <w:u w:val="single"/>
          <w:lang w:val="zh-CN" w:eastAsia="zh-CN" w:bidi="zh-CN"/>
        </w:rPr>
      </w:pPr>
      <w:r>
        <w:rPr>
          <w:rStyle w:val="47"/>
          <w:rFonts w:hint="eastAsia" w:ascii="宋体" w:hAnsi="宋体" w:eastAsia="宋体" w:cs="宋体"/>
          <w:color w:val="auto"/>
          <w:kern w:val="2"/>
          <w:sz w:val="21"/>
          <w:szCs w:val="21"/>
          <w:highlight w:val="none"/>
          <w:lang w:val="zh-CN" w:eastAsia="zh-CN" w:bidi="zh-CN"/>
        </w:rPr>
        <w:t>账</w:t>
      </w:r>
      <w:r>
        <w:rPr>
          <w:rStyle w:val="47"/>
          <w:rFonts w:hint="eastAsia" w:ascii="宋体" w:hAnsi="宋体" w:eastAsia="宋体" w:cs="宋体"/>
          <w:color w:val="auto"/>
          <w:kern w:val="2"/>
          <w:sz w:val="21"/>
          <w:szCs w:val="21"/>
          <w:highlight w:val="none"/>
          <w:lang w:val="en-US" w:eastAsia="zh-CN" w:bidi="zh-CN"/>
        </w:rPr>
        <w:t xml:space="preserve">    </w:t>
      </w:r>
      <w:r>
        <w:rPr>
          <w:rStyle w:val="47"/>
          <w:rFonts w:hint="eastAsia" w:ascii="宋体" w:hAnsi="宋体" w:eastAsia="宋体" w:cs="宋体"/>
          <w:color w:val="auto"/>
          <w:kern w:val="2"/>
          <w:sz w:val="21"/>
          <w:szCs w:val="21"/>
          <w:highlight w:val="none"/>
          <w:lang w:val="zh-CN" w:eastAsia="zh-CN" w:bidi="zh-CN"/>
        </w:rPr>
        <w:t>号：</w:t>
      </w:r>
      <w:r>
        <w:rPr>
          <w:rFonts w:hint="eastAsia" w:cs="宋体"/>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p>
    <w:p w14:paraId="60010A5D">
      <w:pPr>
        <w:pStyle w:val="245"/>
        <w:keepNext w:val="0"/>
        <w:keepLines w:val="0"/>
        <w:pageBreakBefore w:val="0"/>
        <w:widowControl w:val="0"/>
        <w:tabs>
          <w:tab w:val="left" w:pos="2532"/>
          <w:tab w:val="left" w:pos="3132"/>
          <w:tab w:val="left" w:pos="6926"/>
        </w:tabs>
        <w:kinsoku/>
        <w:wordWrap/>
        <w:overflowPunct/>
        <w:topLinePunct w:val="0"/>
        <w:autoSpaceDE/>
        <w:autoSpaceDN/>
        <w:bidi w:val="0"/>
        <w:adjustRightInd/>
        <w:snapToGrid/>
        <w:spacing w:line="360" w:lineRule="auto"/>
        <w:ind w:firstLine="0"/>
        <w:jc w:val="both"/>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邮政编码：</w:t>
      </w:r>
      <w:r>
        <w:rPr>
          <w:rFonts w:hint="eastAsia" w:cs="宋体"/>
          <w:color w:val="auto"/>
          <w:sz w:val="21"/>
          <w:szCs w:val="21"/>
          <w:highlight w:val="none"/>
          <w:u w:val="single"/>
          <w:lang w:val="en-US" w:eastAsia="zh-CN"/>
        </w:rPr>
        <w:t xml:space="preserve">               </w:t>
      </w:r>
      <w:r>
        <w:rPr>
          <w:rFonts w:hint="eastAsia"/>
          <w:color w:val="auto"/>
          <w:sz w:val="21"/>
          <w:szCs w:val="21"/>
          <w:highlight w:val="none"/>
          <w:u w:val="single"/>
          <w:lang w:val="en-US" w:eastAsia="zh-CN"/>
        </w:rPr>
        <w:t xml:space="preserve"> </w:t>
      </w:r>
    </w:p>
    <w:p w14:paraId="1777C9A3">
      <w:pPr>
        <w:widowControl/>
        <w:jc w:val="left"/>
        <w:rPr>
          <w:rFonts w:hint="eastAsia" w:hAnsi="宋体" w:cs="宋体"/>
          <w:color w:val="auto"/>
          <w:sz w:val="30"/>
          <w:szCs w:val="30"/>
          <w:highlight w:val="none"/>
        </w:rPr>
      </w:pPr>
      <w:r>
        <w:rPr>
          <w:rFonts w:ascii="宋体" w:hAnsi="宋体" w:cs="宋体"/>
          <w:color w:val="auto"/>
          <w:sz w:val="24"/>
          <w:highlight w:val="none"/>
        </w:rPr>
        <w:br w:type="page"/>
      </w:r>
      <w:r>
        <w:rPr>
          <w:rFonts w:hint="eastAsia" w:hAnsi="宋体" w:cs="宋体"/>
          <w:color w:val="auto"/>
          <w:sz w:val="30"/>
          <w:szCs w:val="30"/>
          <w:highlight w:val="none"/>
        </w:rPr>
        <w:t>附件2：</w:t>
      </w:r>
    </w:p>
    <w:p w14:paraId="1630E26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52B4F21D">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（独立保函）</w:t>
      </w:r>
    </w:p>
    <w:p w14:paraId="2FCBC26E">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2F525A65">
      <w:pPr>
        <w:spacing w:line="360" w:lineRule="auto"/>
        <w:rPr>
          <w:rFonts w:hint="eastAsia" w:ascii="宋体" w:hAnsi="宋体"/>
          <w:color w:val="auto"/>
          <w:sz w:val="24"/>
          <w:highlight w:val="none"/>
        </w:rPr>
      </w:pPr>
      <w:r>
        <w:rPr>
          <w:rFonts w:hint="eastAsia" w:ascii="宋体" w:hAnsi="宋体"/>
          <w:color w:val="auto"/>
          <w:sz w:val="24"/>
          <w:highlight w:val="none"/>
        </w:rPr>
        <w:t>申请人：</w:t>
      </w:r>
    </w:p>
    <w:p w14:paraId="7AEE6A55">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63A27468">
      <w:pPr>
        <w:spacing w:line="360" w:lineRule="auto"/>
        <w:rPr>
          <w:rFonts w:hint="eastAsia" w:ascii="宋体" w:hAnsi="宋体"/>
          <w:color w:val="auto"/>
          <w:sz w:val="24"/>
          <w:highlight w:val="none"/>
        </w:rPr>
      </w:pPr>
      <w:r>
        <w:rPr>
          <w:rFonts w:hint="eastAsia" w:ascii="宋体" w:hAnsi="宋体"/>
          <w:color w:val="auto"/>
          <w:sz w:val="24"/>
          <w:highlight w:val="none"/>
        </w:rPr>
        <w:t>受益人：</w:t>
      </w:r>
    </w:p>
    <w:p w14:paraId="283A77B6">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5AE71EA8">
      <w:pPr>
        <w:spacing w:line="360" w:lineRule="auto"/>
        <w:rPr>
          <w:rFonts w:hint="eastAsia" w:ascii="宋体" w:hAnsi="宋体"/>
          <w:color w:val="auto"/>
          <w:sz w:val="24"/>
          <w:highlight w:val="none"/>
        </w:rPr>
      </w:pPr>
      <w:r>
        <w:rPr>
          <w:rFonts w:hint="eastAsia" w:ascii="宋体" w:hAnsi="宋体"/>
          <w:color w:val="auto"/>
          <w:sz w:val="24"/>
          <w:highlight w:val="none"/>
        </w:rPr>
        <w:t>开立人：</w:t>
      </w:r>
    </w:p>
    <w:p w14:paraId="6AD17666">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0DAA72E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70144B83">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（受益人名称）： </w:t>
      </w:r>
    </w:p>
    <w:p w14:paraId="6227D7E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（以下简称“受益人”）与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（以下简称“申请人”）于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4EC23C0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一、本保函担保范围：承包人未按照基础合同的约定履行义务，应当向贵方承担的违约责任和赔偿因此造成的损失、利息、律师费、诉讼费用等实现债权的费用。</w:t>
      </w:r>
    </w:p>
    <w:p w14:paraId="3D58588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二、本保函担保金额最高不超过人民币（大写）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BC64FD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三、本保函有效期自开立之日起至基础合同约定的缺陷责任期后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4E453B30">
      <w:pPr>
        <w:spacing w:line="360" w:lineRule="auto"/>
        <w:ind w:firstLine="480"/>
        <w:rPr>
          <w:rFonts w:hint="eastAsia" w:ascii="宋体" w:hAnsi="宋体"/>
          <w:color w:val="auto"/>
          <w:sz w:val="24"/>
          <w:highlight w:val="none"/>
        </w:rPr>
      </w:pPr>
      <w:r>
        <w:rPr>
          <w:rFonts w:hint="eastAsia" w:ascii="宋体" w:hAnsi="宋体"/>
          <w:color w:val="auto"/>
          <w:sz w:val="24"/>
          <w:highlight w:val="none"/>
        </w:rPr>
        <w:t>四、我方承诺，在收到受益人发来的书面付款通知后的</w:t>
      </w:r>
      <w:r>
        <w:rPr>
          <w:rFonts w:hint="eastAsia" w:ascii="宋体" w:hAnsi="宋体"/>
          <w:color w:val="auto"/>
          <w:sz w:val="24"/>
          <w:highlight w:val="none"/>
          <w:u w:val="single"/>
        </w:rPr>
        <w:t xml:space="preserve">    </w:t>
      </w:r>
      <w:r>
        <w:rPr>
          <w:rFonts w:hint="eastAsia" w:ascii="宋体" w:hAnsi="宋体"/>
          <w:color w:val="auto"/>
          <w:sz w:val="24"/>
          <w:highlight w:val="none"/>
        </w:rPr>
        <w:t>日内无条件支付，前述书面付款通知即为付款要求之单据，且应满足以下要求：</w:t>
      </w:r>
    </w:p>
    <w:p w14:paraId="121B429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（1）付款通知到达的日期在本保函的有效期内；</w:t>
      </w:r>
    </w:p>
    <w:p w14:paraId="1FABAB1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（2）载明要求支付的金额；</w:t>
      </w:r>
    </w:p>
    <w:p w14:paraId="2B7824E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（3）载明申请人违反合同义务的条款和内容；</w:t>
      </w:r>
    </w:p>
    <w:p w14:paraId="09F92EA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（4）声明不存在合同文件约定或我国法律规定免除申请人或开立人支付责任的情形；</w:t>
      </w:r>
    </w:p>
    <w:p w14:paraId="0CBC94B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（5）付款通知应在本保函有效期内到达的地址是：</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6E597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受益人发出的书面付款通知应由其为鉴明受益人法定代表人（负责人）或授权代理人签字并加盖公章。</w:t>
      </w:r>
    </w:p>
    <w:p w14:paraId="71050D1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五、本保函项下的权利不得转让，不得设定担保。贵方未经我方书面同意转 让本保函或其项下任何权利，对我方不发生法律效力。 </w:t>
      </w:r>
    </w:p>
    <w:p w14:paraId="50F7AAE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六、与本保函有关的基础合同不成立、不生效、无效、被撤销、被解除，不影响本保函的独立有效。 </w:t>
      </w:r>
    </w:p>
    <w:p w14:paraId="72DF0B7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193C766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八、本保函适用的法律为中华人民共和国法律，争议裁判管辖地为中华人民共和国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9C37C4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九、本保函自我方法定代表人或授权代表签字并加盖公章之日起生效。 </w:t>
      </w:r>
    </w:p>
    <w:p w14:paraId="088339F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开 立 人：                              （公章） </w:t>
      </w:r>
    </w:p>
    <w:p w14:paraId="5A45143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3CC32BA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58D875C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2E235B3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2683154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42FF528E">
      <w:pPr>
        <w:spacing w:line="360" w:lineRule="auto"/>
        <w:ind w:firstLine="480" w:firstLineChars="200"/>
        <w:rPr>
          <w:rFonts w:hint="eastAsia"/>
          <w:color w:val="auto"/>
          <w:szCs w:val="21"/>
          <w:highlight w:val="none"/>
        </w:rPr>
      </w:pPr>
      <w:r>
        <w:rPr>
          <w:rFonts w:hint="eastAsia" w:ascii="宋体" w:hAnsi="宋体"/>
          <w:color w:val="auto"/>
          <w:sz w:val="24"/>
          <w:highlight w:val="none"/>
        </w:rPr>
        <w:t xml:space="preserve">开立时间：      年      月    </w:t>
      </w:r>
    </w:p>
    <w:p w14:paraId="422A4E05">
      <w:pPr>
        <w:spacing w:line="360" w:lineRule="auto"/>
        <w:jc w:val="left"/>
        <w:rPr>
          <w:rFonts w:eastAsia="仿宋_GB2312"/>
          <w:color w:val="auto"/>
          <w:sz w:val="30"/>
          <w:szCs w:val="30"/>
          <w:highlight w:val="none"/>
        </w:rPr>
      </w:pPr>
    </w:p>
    <w:p w14:paraId="39BDB0B9">
      <w:pPr>
        <w:spacing w:line="360" w:lineRule="auto"/>
        <w:rPr>
          <w:rFonts w:hint="eastAsia" w:ascii="宋体" w:hAnsi="宋体"/>
          <w:b/>
          <w:bCs/>
          <w:color w:val="auto"/>
          <w:sz w:val="32"/>
          <w:szCs w:val="32"/>
          <w:highlight w:val="none"/>
        </w:rPr>
      </w:pPr>
    </w:p>
    <w:p w14:paraId="37418B1A">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履约保函示范文本</w:t>
      </w:r>
    </w:p>
    <w:p w14:paraId="585F7826">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（非独立保函）</w:t>
      </w:r>
    </w:p>
    <w:p w14:paraId="75CBA374">
      <w:pPr>
        <w:spacing w:line="360" w:lineRule="auto"/>
        <w:jc w:val="center"/>
        <w:rPr>
          <w:rFonts w:hint="eastAsia" w:ascii="宋体" w:hAnsi="宋体"/>
          <w:b/>
          <w:bCs/>
          <w:color w:val="auto"/>
          <w:sz w:val="32"/>
          <w:szCs w:val="32"/>
          <w:highlight w:val="none"/>
        </w:rPr>
      </w:pPr>
    </w:p>
    <w:p w14:paraId="607223A3">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148D981A">
      <w:pPr>
        <w:spacing w:line="360" w:lineRule="auto"/>
        <w:rPr>
          <w:rFonts w:hint="eastAsia" w:ascii="宋体" w:hAnsi="宋体"/>
          <w:color w:val="auto"/>
          <w:sz w:val="24"/>
          <w:highlight w:val="none"/>
        </w:rPr>
      </w:pPr>
      <w:r>
        <w:rPr>
          <w:rFonts w:hint="eastAsia" w:ascii="宋体" w:hAnsi="宋体"/>
          <w:color w:val="auto"/>
          <w:sz w:val="24"/>
          <w:highlight w:val="none"/>
        </w:rPr>
        <w:t>承包人：</w:t>
      </w:r>
    </w:p>
    <w:p w14:paraId="29E664FD">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4730E133">
      <w:pPr>
        <w:spacing w:line="360" w:lineRule="auto"/>
        <w:rPr>
          <w:rFonts w:hint="eastAsia" w:ascii="宋体" w:hAnsi="宋体"/>
          <w:color w:val="auto"/>
          <w:sz w:val="24"/>
          <w:highlight w:val="none"/>
        </w:rPr>
      </w:pPr>
      <w:r>
        <w:rPr>
          <w:rFonts w:hint="eastAsia" w:ascii="宋体" w:hAnsi="宋体"/>
          <w:color w:val="auto"/>
          <w:sz w:val="24"/>
          <w:highlight w:val="none"/>
        </w:rPr>
        <w:t xml:space="preserve">担保权人/发包人： </w:t>
      </w:r>
    </w:p>
    <w:p w14:paraId="753D2358">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45E0CC0F">
      <w:pPr>
        <w:spacing w:line="360" w:lineRule="auto"/>
        <w:rPr>
          <w:rFonts w:hint="eastAsia" w:ascii="宋体" w:hAnsi="宋体"/>
          <w:color w:val="auto"/>
          <w:sz w:val="24"/>
          <w:highlight w:val="none"/>
        </w:rPr>
      </w:pPr>
      <w:r>
        <w:rPr>
          <w:rFonts w:hint="eastAsia" w:ascii="宋体" w:hAnsi="宋体"/>
          <w:color w:val="auto"/>
          <w:sz w:val="24"/>
          <w:highlight w:val="none"/>
        </w:rPr>
        <w:t>保证人：</w:t>
      </w:r>
    </w:p>
    <w:p w14:paraId="1416DC3A">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00319233">
      <w:pPr>
        <w:spacing w:line="360" w:lineRule="auto"/>
        <w:rPr>
          <w:rFonts w:hint="eastAsia" w:ascii="宋体" w:hAnsi="宋体"/>
          <w:color w:val="auto"/>
          <w:sz w:val="24"/>
          <w:highlight w:val="none"/>
        </w:rPr>
      </w:pPr>
    </w:p>
    <w:p w14:paraId="41350C9F">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（发包人名称）： </w:t>
      </w:r>
    </w:p>
    <w:p w14:paraId="0B9D0C9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（以下简称“发包人”）与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（以下简称“主合同”），我方即保证人基于承包人的请求，同意就承包人履行与贵方签订的主合同项下的义务，向贵方提供如下保证担保（以下简称“本保证担保”）。 </w:t>
      </w:r>
    </w:p>
    <w:p w14:paraId="08111D9D">
      <w:pPr>
        <w:spacing w:line="360" w:lineRule="auto"/>
        <w:rPr>
          <w:rFonts w:hint="eastAsia" w:ascii="宋体" w:hAnsi="宋体"/>
          <w:b/>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 w:val="24"/>
          <w:highlight w:val="none"/>
        </w:rPr>
        <w:t>一、保证担保的范围及保证担保金额</w:t>
      </w:r>
    </w:p>
    <w:p w14:paraId="210CE99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1.保证担保范围：承包人未按照主合同的约定履行义务，应当向贵方承担的违约责任和赔偿因此造成的损失、利息、律师费、诉讼费用等实现债权的费用。</w:t>
      </w:r>
    </w:p>
    <w:p w14:paraId="0E37BE8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224B58DA">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二、保证担保的方式及保证期间 </w:t>
      </w:r>
    </w:p>
    <w:p w14:paraId="3B52A7C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1.保证担保方式：连带责任保证。</w:t>
      </w:r>
    </w:p>
    <w:p w14:paraId="2ED4F25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2.保证期间：自出具之日起至主合同约定的缺陷责任期后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293FC30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三、承担保证担保责任的形式</w:t>
      </w:r>
    </w:p>
    <w:p w14:paraId="183FCA5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我方按照贵方的要求以下列方式之一承担保证担保责任： </w:t>
      </w:r>
    </w:p>
    <w:p w14:paraId="1EBE838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1.向承包人资金、设备或者技术援助，使其能继续履行合同义务；</w:t>
      </w:r>
    </w:p>
    <w:p w14:paraId="7ACFC21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2.直接接管该项工程或者委托经贵方同意的其他承包商，继续履行合同义务；</w:t>
      </w:r>
    </w:p>
    <w:p w14:paraId="453F5B6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3.在保证担保金额最高限额内，按照合同约定，向贵方承担违约责任和赔偿因此造成的损失，以及利息和律师费、诉讼费用等实现债权的费用。</w:t>
      </w:r>
    </w:p>
    <w:p w14:paraId="6D0EBC6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四、代偿的安排 </w:t>
      </w:r>
    </w:p>
    <w:p w14:paraId="065FAD8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629D2BC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2.贵方以工程质量不符合主合同约定标准为由，向我方提出违约索赔的，还需同时提供符合相应条件要求的工程质量检测部门出具的质量说明材料。</w:t>
      </w:r>
    </w:p>
    <w:p w14:paraId="49F02BC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3.我方收到贵方的书面索赔通知及相应证明材料后，在</w:t>
      </w:r>
      <w:r>
        <w:rPr>
          <w:rFonts w:hint="eastAsia" w:ascii="宋体" w:hAnsi="宋体"/>
          <w:color w:val="auto"/>
          <w:sz w:val="24"/>
          <w:highlight w:val="none"/>
          <w:u w:val="single"/>
        </w:rPr>
        <w:t xml:space="preserve">   </w:t>
      </w:r>
      <w:r>
        <w:rPr>
          <w:rFonts w:hint="eastAsia" w:ascii="宋体" w:hAnsi="宋体"/>
          <w:color w:val="auto"/>
          <w:sz w:val="24"/>
          <w:highlight w:val="none"/>
        </w:rPr>
        <w:t>工作日内进行核定后按照本保函的承诺承担保证责任。</w:t>
      </w:r>
    </w:p>
    <w:p w14:paraId="54721128">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五、保证担保责任的解除 </w:t>
      </w:r>
    </w:p>
    <w:p w14:paraId="5A5AC95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1.保证期间届满贵方未向我方书面主张保证责任的，自保证期间届满次日起，我方解除保证责任。 </w:t>
      </w:r>
    </w:p>
    <w:p w14:paraId="689CAA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2.我方按照本保证担保向贵方履行了保证担保责任后，自我方向贵方支付的金额达到最高保证担保金额之日起，保证担保责任解除。 </w:t>
      </w:r>
    </w:p>
    <w:p w14:paraId="41E527E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3.按照法律法规的规定应解除我方保证担保责任的其它情形的，我方在本保证担保项下的保证担保责任亦解除。 </w:t>
      </w:r>
    </w:p>
    <w:p w14:paraId="484E1B6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580C6663">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 xml:space="preserve">六、免责条款 </w:t>
      </w:r>
    </w:p>
    <w:p w14:paraId="7C9FAFC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1.因贵方原因致使承包人未按照主合同约定履行义务的，我方不承担保证担保责任。 </w:t>
      </w:r>
    </w:p>
    <w:p w14:paraId="32E2BAC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2.依照法律规定或贵方与发包人的另行约定，免除承包人部分或全部义务的，我方亦免除其相应的保证担保责任。 </w:t>
      </w:r>
    </w:p>
    <w:p w14:paraId="708C226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3.因不可抗力造成承包人未按照主合同约定履行义务的，我方不承担保证担保责任。</w:t>
      </w:r>
    </w:p>
    <w:p w14:paraId="3DB28376">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七、其他</w:t>
      </w:r>
    </w:p>
    <w:p w14:paraId="36B664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1.本保证担保项下的权利不得转让，不得设定担保。贵方未经我方书面同意转让本保证担保或其项下任何权利，对我方不发生法律效力。 </w:t>
      </w:r>
    </w:p>
    <w:p w14:paraId="0F712CD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2.本保证担保适用的法律为中华人民共和国法律，争议裁判管辖地为中华人民共和国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506F533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3.本保证担保自我方法定代表人或授权代表签字并加盖公章之日起生效。 </w:t>
      </w:r>
    </w:p>
    <w:p w14:paraId="6F48E809">
      <w:pPr>
        <w:spacing w:line="360" w:lineRule="auto"/>
        <w:ind w:firstLine="480" w:firstLineChars="200"/>
        <w:rPr>
          <w:rFonts w:hint="eastAsia" w:ascii="宋体" w:hAnsi="宋体"/>
          <w:color w:val="auto"/>
          <w:sz w:val="24"/>
          <w:highlight w:val="none"/>
        </w:rPr>
      </w:pPr>
    </w:p>
    <w:p w14:paraId="2650F6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保 证 人：                              （公章） </w:t>
      </w:r>
    </w:p>
    <w:p w14:paraId="3F6E3C6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3778E77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749063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09BEA42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4EEC8B4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50CAD4DB">
      <w:pPr>
        <w:widowControl/>
        <w:spacing w:line="360" w:lineRule="auto"/>
        <w:ind w:firstLine="480" w:firstLineChars="200"/>
        <w:jc w:val="center"/>
        <w:rPr>
          <w:rFonts w:hint="eastAsia"/>
          <w:color w:val="auto"/>
          <w:highlight w:val="none"/>
        </w:rPr>
      </w:pPr>
      <w:r>
        <w:rPr>
          <w:rFonts w:hint="eastAsia" w:ascii="宋体" w:hAnsi="宋体"/>
          <w:color w:val="auto"/>
          <w:sz w:val="24"/>
          <w:highlight w:val="none"/>
        </w:rPr>
        <w:t>时    间：      年      月        日</w:t>
      </w:r>
    </w:p>
    <w:p w14:paraId="6CEB48B6">
      <w:pPr>
        <w:rPr>
          <w:rFonts w:hint="eastAsia" w:hAnsi="宋体" w:cs="宋体"/>
          <w:color w:val="auto"/>
          <w:sz w:val="30"/>
          <w:szCs w:val="30"/>
          <w:highlight w:val="none"/>
        </w:rPr>
      </w:pPr>
    </w:p>
    <w:p w14:paraId="503BC6AC">
      <w:pPr>
        <w:rPr>
          <w:rFonts w:hint="eastAsia" w:hAnsi="宋体" w:cs="宋体"/>
          <w:color w:val="auto"/>
          <w:sz w:val="30"/>
          <w:szCs w:val="30"/>
          <w:highlight w:val="none"/>
        </w:rPr>
      </w:pPr>
    </w:p>
    <w:p w14:paraId="1CEC39E7">
      <w:pPr>
        <w:rPr>
          <w:rFonts w:hint="eastAsia" w:hAnsi="宋体" w:cs="宋体"/>
          <w:color w:val="auto"/>
          <w:sz w:val="30"/>
          <w:szCs w:val="30"/>
          <w:highlight w:val="none"/>
        </w:rPr>
      </w:pPr>
    </w:p>
    <w:p w14:paraId="3038D1FA">
      <w:pPr>
        <w:rPr>
          <w:rFonts w:hint="eastAsia" w:hAnsi="宋体" w:cs="宋体"/>
          <w:color w:val="auto"/>
          <w:sz w:val="30"/>
          <w:szCs w:val="30"/>
          <w:highlight w:val="none"/>
        </w:rPr>
      </w:pPr>
    </w:p>
    <w:p w14:paraId="06B5202E">
      <w:pPr>
        <w:rPr>
          <w:rFonts w:hint="eastAsia" w:hAnsi="宋体" w:cs="宋体"/>
          <w:color w:val="auto"/>
          <w:sz w:val="30"/>
          <w:szCs w:val="30"/>
          <w:highlight w:val="none"/>
        </w:rPr>
      </w:pPr>
    </w:p>
    <w:p w14:paraId="7153F552">
      <w:pPr>
        <w:rPr>
          <w:rFonts w:hint="eastAsia" w:hAnsi="宋体" w:cs="宋体"/>
          <w:color w:val="auto"/>
          <w:sz w:val="30"/>
          <w:szCs w:val="30"/>
          <w:highlight w:val="none"/>
        </w:rPr>
      </w:pPr>
    </w:p>
    <w:p w14:paraId="423E907E">
      <w:pPr>
        <w:rPr>
          <w:rFonts w:hint="eastAsia" w:hAnsi="宋体" w:cs="宋体"/>
          <w:color w:val="auto"/>
          <w:sz w:val="30"/>
          <w:szCs w:val="30"/>
          <w:highlight w:val="none"/>
        </w:rPr>
      </w:pPr>
    </w:p>
    <w:p w14:paraId="5204B549">
      <w:pPr>
        <w:rPr>
          <w:rFonts w:hint="eastAsia" w:hAnsi="宋体" w:cs="宋体"/>
          <w:color w:val="auto"/>
          <w:sz w:val="30"/>
          <w:szCs w:val="30"/>
          <w:highlight w:val="none"/>
        </w:rPr>
      </w:pPr>
    </w:p>
    <w:p w14:paraId="4DB30CA2">
      <w:pPr>
        <w:rPr>
          <w:rFonts w:hint="eastAsia" w:hAnsi="宋体" w:cs="宋体"/>
          <w:color w:val="auto"/>
          <w:sz w:val="30"/>
          <w:szCs w:val="30"/>
          <w:highlight w:val="none"/>
        </w:rPr>
      </w:pPr>
    </w:p>
    <w:p w14:paraId="0F881C82">
      <w:pPr>
        <w:rPr>
          <w:rFonts w:hint="eastAsia" w:hAnsi="宋体" w:cs="宋体"/>
          <w:color w:val="auto"/>
          <w:sz w:val="30"/>
          <w:szCs w:val="30"/>
          <w:highlight w:val="none"/>
        </w:rPr>
      </w:pPr>
    </w:p>
    <w:p w14:paraId="442D808D">
      <w:pPr>
        <w:rPr>
          <w:rFonts w:hint="eastAsia" w:hAnsi="宋体" w:cs="宋体"/>
          <w:color w:val="auto"/>
          <w:sz w:val="30"/>
          <w:szCs w:val="30"/>
          <w:highlight w:val="none"/>
        </w:rPr>
      </w:pPr>
    </w:p>
    <w:p w14:paraId="31D4E329">
      <w:pPr>
        <w:rPr>
          <w:rFonts w:hint="eastAsia" w:hAnsi="宋体" w:cs="宋体"/>
          <w:color w:val="auto"/>
          <w:sz w:val="30"/>
          <w:szCs w:val="30"/>
          <w:highlight w:val="none"/>
        </w:rPr>
      </w:pPr>
    </w:p>
    <w:p w14:paraId="6475D209">
      <w:pPr>
        <w:numPr>
          <w:ilvl w:val="0"/>
          <w:numId w:val="5"/>
        </w:numPr>
        <w:spacing w:before="120" w:beforeLines="50"/>
        <w:rPr>
          <w:rFonts w:hint="eastAsia" w:ascii="宋体" w:hAnsi="宋体" w:cs="宋体"/>
          <w:color w:val="auto"/>
          <w:sz w:val="6"/>
          <w:szCs w:val="6"/>
          <w:highlight w:val="none"/>
        </w:rPr>
      </w:pPr>
    </w:p>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ˎ̥">
    <w:altName w:val="微软雅黑"/>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E754">
    <w:pPr>
      <w:pStyle w:val="31"/>
      <w:tabs>
        <w:tab w:val="center" w:pos="4439"/>
        <w:tab w:val="clear" w:pos="4153"/>
      </w:tabs>
      <w:jc w:val="both"/>
    </w:pPr>
  </w:p>
  <w:p w14:paraId="43A2ADC9">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921D">
    <w:pPr>
      <w:pStyle w:val="31"/>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4" name="Text Box 4100"/>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2509825"/>
                      </w:txbxContent>
                    </wps:txbx>
                    <wps:bodyPr rot="0" vert="horz" wrap="none" lIns="0" tIns="0" rIns="0" bIns="0" anchor="t" anchorCtr="0" upright="1">
                      <a:spAutoFit/>
                    </wps:bodyPr>
                  </wps:wsp>
                </a:graphicData>
              </a:graphic>
            </wp:anchor>
          </w:drawing>
        </mc:Choice>
        <mc:Fallback>
          <w:pict>
            <v:shape id="Text Box 4100" o:spid="_x0000_s1026" o:spt="202" type="#_x0000_t202"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kFT5rQAAAAAwEAAA8AAAAAAAAAAQAgAAAAIgAAAGRycy9kb3ducmV2LnhtbFBL&#10;AQIUABQAAAAIAIdO4kD0mXjz/gEAABIEAAAOAAAAAAAAAAEAIAAAAB8BAABkcnMvZTJvRG9jLnht&#10;bFBLBQYAAAAABgAGAFkBAACPBQAAAAA=&#10;">
              <v:fill on="f" focussize="0,0"/>
              <v:stroke on="f"/>
              <v:imagedata o:title=""/>
              <o:lock v:ext="edit" aspectratio="f"/>
              <v:textbox inset="0mm,0mm,0mm,0mm" style="mso-fit-shape-to-text:t;">
                <w:txbxContent>
                  <w:p w14:paraId="2250982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69641">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3DFAB">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03DFAB">
                    <w:pPr>
                      <w:pStyle w:val="31"/>
                    </w:pPr>
                    <w:r>
                      <w:fldChar w:fldCharType="begin"/>
                    </w:r>
                    <w:r>
                      <w:instrText xml:space="preserve"> PAGE  \* MERGEFORMAT </w:instrText>
                    </w:r>
                    <w:r>
                      <w:fldChar w:fldCharType="separate"/>
                    </w:r>
                    <w:r>
                      <w:t>0</w:t>
                    </w:r>
                    <w:r>
                      <w:fldChar w:fldCharType="end"/>
                    </w:r>
                  </w:p>
                </w:txbxContent>
              </v:textbox>
            </v:shape>
          </w:pict>
        </mc:Fallback>
      </mc:AlternateContent>
    </w:r>
  </w:p>
  <w:p w14:paraId="0B78D76A">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CBD9">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23EDF">
                          <w:pPr>
                            <w:pStyle w:val="3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B23EDF">
                    <w:pPr>
                      <w:pStyle w:val="3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9745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7D9C2">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D6AE1A"/>
    <w:multiLevelType w:val="singleLevel"/>
    <w:tmpl w:val="D3D6AE1A"/>
    <w:lvl w:ilvl="0" w:tentative="0">
      <w:start w:val="2"/>
      <w:numFmt w:val="decimal"/>
      <w:lvlText w:val="%1."/>
      <w:lvlJc w:val="left"/>
      <w:pPr>
        <w:tabs>
          <w:tab w:val="left" w:pos="312"/>
        </w:tabs>
        <w:ind w:left="720" w:firstLine="0"/>
      </w:pPr>
    </w:lvl>
  </w:abstractNum>
  <w:abstractNum w:abstractNumId="1">
    <w:nsid w:val="D5DC6957"/>
    <w:multiLevelType w:val="singleLevel"/>
    <w:tmpl w:val="D5DC6957"/>
    <w:lvl w:ilvl="0" w:tentative="0">
      <w:start w:val="2"/>
      <w:numFmt w:val="decimal"/>
      <w:lvlText w:val="%1."/>
      <w:lvlJc w:val="left"/>
      <w:pPr>
        <w:tabs>
          <w:tab w:val="left" w:pos="312"/>
        </w:tabs>
      </w:pPr>
    </w:lvl>
  </w:abstractNum>
  <w:abstractNum w:abstractNumId="2">
    <w:nsid w:val="324499CC"/>
    <w:multiLevelType w:val="singleLevel"/>
    <w:tmpl w:val="324499CC"/>
    <w:lvl w:ilvl="0" w:tentative="0">
      <w:start w:val="2"/>
      <w:numFmt w:val="decimal"/>
      <w:suff w:val="nothing"/>
      <w:lvlText w:val="（%1）"/>
      <w:lvlJc w:val="left"/>
    </w:lvl>
  </w:abstractNum>
  <w:abstractNum w:abstractNumId="3">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4">
    <w:nsid w:val="5498E193"/>
    <w:multiLevelType w:val="singleLevel"/>
    <w:tmpl w:val="5498E193"/>
    <w:lvl w:ilvl="0" w:tentative="0">
      <w:start w:val="11"/>
      <w:numFmt w:val="decimal"/>
      <w:suff w:val="space"/>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M2JhMjViNGU0NTcyZDJlM2Q3Y2E3ZWY1ZWUyNjAifQ=="/>
  </w:docVars>
  <w:rsids>
    <w:rsidRoot w:val="00F34B14"/>
    <w:rsid w:val="000002E0"/>
    <w:rsid w:val="00000672"/>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398"/>
    <w:rsid w:val="00020455"/>
    <w:rsid w:val="00020813"/>
    <w:rsid w:val="00020A9E"/>
    <w:rsid w:val="00020C36"/>
    <w:rsid w:val="000215D0"/>
    <w:rsid w:val="00021F52"/>
    <w:rsid w:val="00021FCF"/>
    <w:rsid w:val="000220B2"/>
    <w:rsid w:val="0002264C"/>
    <w:rsid w:val="00022731"/>
    <w:rsid w:val="00022792"/>
    <w:rsid w:val="00023287"/>
    <w:rsid w:val="00023A6D"/>
    <w:rsid w:val="00024292"/>
    <w:rsid w:val="00024463"/>
    <w:rsid w:val="00025461"/>
    <w:rsid w:val="00025636"/>
    <w:rsid w:val="00025E36"/>
    <w:rsid w:val="000260F7"/>
    <w:rsid w:val="000260FF"/>
    <w:rsid w:val="00026855"/>
    <w:rsid w:val="00026886"/>
    <w:rsid w:val="000273DE"/>
    <w:rsid w:val="0002754F"/>
    <w:rsid w:val="0002785D"/>
    <w:rsid w:val="00030544"/>
    <w:rsid w:val="000307BE"/>
    <w:rsid w:val="000317BF"/>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6B5E"/>
    <w:rsid w:val="000470CB"/>
    <w:rsid w:val="000479D5"/>
    <w:rsid w:val="000501AA"/>
    <w:rsid w:val="000504A6"/>
    <w:rsid w:val="000506DE"/>
    <w:rsid w:val="000509D9"/>
    <w:rsid w:val="00051006"/>
    <w:rsid w:val="00051165"/>
    <w:rsid w:val="000512AF"/>
    <w:rsid w:val="000516F3"/>
    <w:rsid w:val="00051ACB"/>
    <w:rsid w:val="00052E40"/>
    <w:rsid w:val="000531EC"/>
    <w:rsid w:val="000533E7"/>
    <w:rsid w:val="00053B29"/>
    <w:rsid w:val="00054B4B"/>
    <w:rsid w:val="000550E8"/>
    <w:rsid w:val="00055519"/>
    <w:rsid w:val="00055D41"/>
    <w:rsid w:val="000560DE"/>
    <w:rsid w:val="00056EF6"/>
    <w:rsid w:val="000575CF"/>
    <w:rsid w:val="00057CD6"/>
    <w:rsid w:val="00060D7F"/>
    <w:rsid w:val="00060DCE"/>
    <w:rsid w:val="000610E3"/>
    <w:rsid w:val="00061143"/>
    <w:rsid w:val="000614F3"/>
    <w:rsid w:val="00061A1B"/>
    <w:rsid w:val="00061EB4"/>
    <w:rsid w:val="000623B4"/>
    <w:rsid w:val="00062405"/>
    <w:rsid w:val="000627E5"/>
    <w:rsid w:val="000628B7"/>
    <w:rsid w:val="00062EC2"/>
    <w:rsid w:val="0006347E"/>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73C"/>
    <w:rsid w:val="00084E4F"/>
    <w:rsid w:val="00085193"/>
    <w:rsid w:val="0008520B"/>
    <w:rsid w:val="0008527B"/>
    <w:rsid w:val="000857DE"/>
    <w:rsid w:val="000860BD"/>
    <w:rsid w:val="000871B8"/>
    <w:rsid w:val="00087B0A"/>
    <w:rsid w:val="00090339"/>
    <w:rsid w:val="00091373"/>
    <w:rsid w:val="000916DA"/>
    <w:rsid w:val="00091AAB"/>
    <w:rsid w:val="00092442"/>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382"/>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367"/>
    <w:rsid w:val="000B544A"/>
    <w:rsid w:val="000B5CCB"/>
    <w:rsid w:val="000B5F6B"/>
    <w:rsid w:val="000B613A"/>
    <w:rsid w:val="000B6A6B"/>
    <w:rsid w:val="000B6C95"/>
    <w:rsid w:val="000B6F80"/>
    <w:rsid w:val="000B79FC"/>
    <w:rsid w:val="000B7E0A"/>
    <w:rsid w:val="000C0CF9"/>
    <w:rsid w:val="000C144E"/>
    <w:rsid w:val="000C1679"/>
    <w:rsid w:val="000C190E"/>
    <w:rsid w:val="000C1953"/>
    <w:rsid w:val="000C1BFE"/>
    <w:rsid w:val="000C1EE3"/>
    <w:rsid w:val="000C35D0"/>
    <w:rsid w:val="000C3AE5"/>
    <w:rsid w:val="000C3AE7"/>
    <w:rsid w:val="000C3CC9"/>
    <w:rsid w:val="000C3DBC"/>
    <w:rsid w:val="000C4D87"/>
    <w:rsid w:val="000C5823"/>
    <w:rsid w:val="000C59C6"/>
    <w:rsid w:val="000C67C7"/>
    <w:rsid w:val="000C6DE4"/>
    <w:rsid w:val="000C7202"/>
    <w:rsid w:val="000C7432"/>
    <w:rsid w:val="000C7926"/>
    <w:rsid w:val="000C7FC6"/>
    <w:rsid w:val="000D0A89"/>
    <w:rsid w:val="000D10F1"/>
    <w:rsid w:val="000D1389"/>
    <w:rsid w:val="000D1798"/>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C38"/>
    <w:rsid w:val="000E1C51"/>
    <w:rsid w:val="000E1D3E"/>
    <w:rsid w:val="000E230A"/>
    <w:rsid w:val="000E28AB"/>
    <w:rsid w:val="000E2E3E"/>
    <w:rsid w:val="000E3583"/>
    <w:rsid w:val="000E3AF0"/>
    <w:rsid w:val="000E43EC"/>
    <w:rsid w:val="000E450F"/>
    <w:rsid w:val="000E4DC7"/>
    <w:rsid w:val="000E4E04"/>
    <w:rsid w:val="000E592E"/>
    <w:rsid w:val="000E5AF5"/>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6EE0"/>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655"/>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1455"/>
    <w:rsid w:val="0014190C"/>
    <w:rsid w:val="00141C1B"/>
    <w:rsid w:val="00141C9C"/>
    <w:rsid w:val="0014277F"/>
    <w:rsid w:val="00142AD2"/>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1948"/>
    <w:rsid w:val="001525AA"/>
    <w:rsid w:val="00152A87"/>
    <w:rsid w:val="00152AC1"/>
    <w:rsid w:val="00153A84"/>
    <w:rsid w:val="00153BB5"/>
    <w:rsid w:val="00154518"/>
    <w:rsid w:val="0015567E"/>
    <w:rsid w:val="001556B8"/>
    <w:rsid w:val="00155944"/>
    <w:rsid w:val="00156320"/>
    <w:rsid w:val="00156359"/>
    <w:rsid w:val="00156DD6"/>
    <w:rsid w:val="00160238"/>
    <w:rsid w:val="0016086E"/>
    <w:rsid w:val="001609B9"/>
    <w:rsid w:val="00160D0C"/>
    <w:rsid w:val="00160DC9"/>
    <w:rsid w:val="00160DD1"/>
    <w:rsid w:val="00160E03"/>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67A"/>
    <w:rsid w:val="00172CA8"/>
    <w:rsid w:val="00173256"/>
    <w:rsid w:val="00173B0E"/>
    <w:rsid w:val="00173D86"/>
    <w:rsid w:val="00173E03"/>
    <w:rsid w:val="0017405A"/>
    <w:rsid w:val="001741C9"/>
    <w:rsid w:val="0017461E"/>
    <w:rsid w:val="00174704"/>
    <w:rsid w:val="0017512C"/>
    <w:rsid w:val="001756AF"/>
    <w:rsid w:val="0017576E"/>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F6A"/>
    <w:rsid w:val="00195117"/>
    <w:rsid w:val="00195424"/>
    <w:rsid w:val="001955FF"/>
    <w:rsid w:val="001972F8"/>
    <w:rsid w:val="00197EDD"/>
    <w:rsid w:val="001A02B3"/>
    <w:rsid w:val="001A04BB"/>
    <w:rsid w:val="001A06CC"/>
    <w:rsid w:val="001A0889"/>
    <w:rsid w:val="001A08D0"/>
    <w:rsid w:val="001A17B2"/>
    <w:rsid w:val="001A18EA"/>
    <w:rsid w:val="001A1B39"/>
    <w:rsid w:val="001A1D4A"/>
    <w:rsid w:val="001A2120"/>
    <w:rsid w:val="001A21DD"/>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99A"/>
    <w:rsid w:val="001E1B0E"/>
    <w:rsid w:val="001E2A86"/>
    <w:rsid w:val="001E308A"/>
    <w:rsid w:val="001E38EC"/>
    <w:rsid w:val="001E3B63"/>
    <w:rsid w:val="001E4996"/>
    <w:rsid w:val="001E57B2"/>
    <w:rsid w:val="001E5A94"/>
    <w:rsid w:val="001E5CBB"/>
    <w:rsid w:val="001E5CDC"/>
    <w:rsid w:val="001E6B4B"/>
    <w:rsid w:val="001E6CE9"/>
    <w:rsid w:val="001F0C0A"/>
    <w:rsid w:val="001F13FD"/>
    <w:rsid w:val="001F2A2E"/>
    <w:rsid w:val="001F3180"/>
    <w:rsid w:val="001F3356"/>
    <w:rsid w:val="001F3A99"/>
    <w:rsid w:val="001F3C63"/>
    <w:rsid w:val="001F3CBC"/>
    <w:rsid w:val="001F4141"/>
    <w:rsid w:val="001F4460"/>
    <w:rsid w:val="001F4724"/>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A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33CD"/>
    <w:rsid w:val="002535EA"/>
    <w:rsid w:val="00253A8A"/>
    <w:rsid w:val="00254EAB"/>
    <w:rsid w:val="00255794"/>
    <w:rsid w:val="002557AF"/>
    <w:rsid w:val="0025589C"/>
    <w:rsid w:val="00255B62"/>
    <w:rsid w:val="002566B1"/>
    <w:rsid w:val="002575E3"/>
    <w:rsid w:val="00257A74"/>
    <w:rsid w:val="00257C5D"/>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7B0"/>
    <w:rsid w:val="00281B9B"/>
    <w:rsid w:val="00282446"/>
    <w:rsid w:val="002826C2"/>
    <w:rsid w:val="0028282C"/>
    <w:rsid w:val="00282D56"/>
    <w:rsid w:val="00283374"/>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3B7"/>
    <w:rsid w:val="002A3950"/>
    <w:rsid w:val="002A3A57"/>
    <w:rsid w:val="002A4320"/>
    <w:rsid w:val="002A4B4F"/>
    <w:rsid w:val="002A57A8"/>
    <w:rsid w:val="002A5D75"/>
    <w:rsid w:val="002A6DEF"/>
    <w:rsid w:val="002A739E"/>
    <w:rsid w:val="002A770B"/>
    <w:rsid w:val="002A7893"/>
    <w:rsid w:val="002B013E"/>
    <w:rsid w:val="002B058D"/>
    <w:rsid w:val="002B0C16"/>
    <w:rsid w:val="002B1420"/>
    <w:rsid w:val="002B1E01"/>
    <w:rsid w:val="002B1F54"/>
    <w:rsid w:val="002B2080"/>
    <w:rsid w:val="002B21BF"/>
    <w:rsid w:val="002B2456"/>
    <w:rsid w:val="002B2AC5"/>
    <w:rsid w:val="002B3528"/>
    <w:rsid w:val="002B3539"/>
    <w:rsid w:val="002B3F95"/>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A7"/>
    <w:rsid w:val="002C1190"/>
    <w:rsid w:val="002C2CC9"/>
    <w:rsid w:val="002C34F1"/>
    <w:rsid w:val="002C41BF"/>
    <w:rsid w:val="002C4B7E"/>
    <w:rsid w:val="002C5023"/>
    <w:rsid w:val="002C5424"/>
    <w:rsid w:val="002C54C2"/>
    <w:rsid w:val="002C5D34"/>
    <w:rsid w:val="002C60BB"/>
    <w:rsid w:val="002C661A"/>
    <w:rsid w:val="002D06EE"/>
    <w:rsid w:val="002D073E"/>
    <w:rsid w:val="002D0A40"/>
    <w:rsid w:val="002D0D6F"/>
    <w:rsid w:val="002D1E81"/>
    <w:rsid w:val="002D253D"/>
    <w:rsid w:val="002D25FC"/>
    <w:rsid w:val="002D3E71"/>
    <w:rsid w:val="002D4AC6"/>
    <w:rsid w:val="002D5181"/>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407"/>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BA7"/>
    <w:rsid w:val="00317EB1"/>
    <w:rsid w:val="003204AE"/>
    <w:rsid w:val="00320BE2"/>
    <w:rsid w:val="00320CD0"/>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11D1"/>
    <w:rsid w:val="003416BA"/>
    <w:rsid w:val="00342148"/>
    <w:rsid w:val="00342658"/>
    <w:rsid w:val="003427BE"/>
    <w:rsid w:val="00342F99"/>
    <w:rsid w:val="00343016"/>
    <w:rsid w:val="003432EE"/>
    <w:rsid w:val="00343749"/>
    <w:rsid w:val="00343AEA"/>
    <w:rsid w:val="003444BF"/>
    <w:rsid w:val="00344D99"/>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57C97"/>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BB9"/>
    <w:rsid w:val="0038519A"/>
    <w:rsid w:val="003861F0"/>
    <w:rsid w:val="00386A27"/>
    <w:rsid w:val="00386EE5"/>
    <w:rsid w:val="00387051"/>
    <w:rsid w:val="003876F0"/>
    <w:rsid w:val="00387ECF"/>
    <w:rsid w:val="003901EA"/>
    <w:rsid w:val="0039021B"/>
    <w:rsid w:val="00390353"/>
    <w:rsid w:val="00390429"/>
    <w:rsid w:val="003906A0"/>
    <w:rsid w:val="00390D91"/>
    <w:rsid w:val="00390DBB"/>
    <w:rsid w:val="00391413"/>
    <w:rsid w:val="00391A48"/>
    <w:rsid w:val="0039207D"/>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F3"/>
    <w:rsid w:val="0039779B"/>
    <w:rsid w:val="003A0291"/>
    <w:rsid w:val="003A0A27"/>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A4E"/>
    <w:rsid w:val="003B0B6A"/>
    <w:rsid w:val="003B0C41"/>
    <w:rsid w:val="003B129D"/>
    <w:rsid w:val="003B22F7"/>
    <w:rsid w:val="003B2518"/>
    <w:rsid w:val="003B29CF"/>
    <w:rsid w:val="003B2A86"/>
    <w:rsid w:val="003B3A90"/>
    <w:rsid w:val="003B3D01"/>
    <w:rsid w:val="003B4003"/>
    <w:rsid w:val="003B4391"/>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3EFA"/>
    <w:rsid w:val="003C4580"/>
    <w:rsid w:val="003C51C0"/>
    <w:rsid w:val="003C553C"/>
    <w:rsid w:val="003C5C5E"/>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797"/>
    <w:rsid w:val="003E59BB"/>
    <w:rsid w:val="003E6225"/>
    <w:rsid w:val="003E65AC"/>
    <w:rsid w:val="003E66AE"/>
    <w:rsid w:val="003E6CFE"/>
    <w:rsid w:val="003E7160"/>
    <w:rsid w:val="003E72B9"/>
    <w:rsid w:val="003E7612"/>
    <w:rsid w:val="003E7ED4"/>
    <w:rsid w:val="003F0187"/>
    <w:rsid w:val="003F0CAA"/>
    <w:rsid w:val="003F0E52"/>
    <w:rsid w:val="003F0F6B"/>
    <w:rsid w:val="003F1DCD"/>
    <w:rsid w:val="003F1FC6"/>
    <w:rsid w:val="003F1FE3"/>
    <w:rsid w:val="003F2112"/>
    <w:rsid w:val="003F2359"/>
    <w:rsid w:val="003F2457"/>
    <w:rsid w:val="003F2D23"/>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6F8E"/>
    <w:rsid w:val="0041716A"/>
    <w:rsid w:val="0041745E"/>
    <w:rsid w:val="00417A18"/>
    <w:rsid w:val="00417AE0"/>
    <w:rsid w:val="00417BAA"/>
    <w:rsid w:val="00417E8E"/>
    <w:rsid w:val="0042042B"/>
    <w:rsid w:val="00420457"/>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C37"/>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5809"/>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6350"/>
    <w:rsid w:val="00496F9C"/>
    <w:rsid w:val="0049765E"/>
    <w:rsid w:val="00497843"/>
    <w:rsid w:val="0049797C"/>
    <w:rsid w:val="004A1405"/>
    <w:rsid w:val="004A15BD"/>
    <w:rsid w:val="004A1E28"/>
    <w:rsid w:val="004A1FC6"/>
    <w:rsid w:val="004A2E5F"/>
    <w:rsid w:val="004A345A"/>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A1"/>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55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065"/>
    <w:rsid w:val="004F36A3"/>
    <w:rsid w:val="004F3E0C"/>
    <w:rsid w:val="004F4036"/>
    <w:rsid w:val="004F4308"/>
    <w:rsid w:val="004F4892"/>
    <w:rsid w:val="004F4D2C"/>
    <w:rsid w:val="004F5C3B"/>
    <w:rsid w:val="004F5DA0"/>
    <w:rsid w:val="004F7160"/>
    <w:rsid w:val="004F7F77"/>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1F0"/>
    <w:rsid w:val="005313CA"/>
    <w:rsid w:val="00531761"/>
    <w:rsid w:val="0053248F"/>
    <w:rsid w:val="005327AB"/>
    <w:rsid w:val="00532F9C"/>
    <w:rsid w:val="00533055"/>
    <w:rsid w:val="0053332A"/>
    <w:rsid w:val="0053358A"/>
    <w:rsid w:val="00534465"/>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D81"/>
    <w:rsid w:val="00561730"/>
    <w:rsid w:val="00561913"/>
    <w:rsid w:val="00561B97"/>
    <w:rsid w:val="00562149"/>
    <w:rsid w:val="00562285"/>
    <w:rsid w:val="0056248C"/>
    <w:rsid w:val="005640EB"/>
    <w:rsid w:val="00565559"/>
    <w:rsid w:val="005666A4"/>
    <w:rsid w:val="00567B5D"/>
    <w:rsid w:val="00570593"/>
    <w:rsid w:val="00570757"/>
    <w:rsid w:val="00570921"/>
    <w:rsid w:val="0057257D"/>
    <w:rsid w:val="00572DBE"/>
    <w:rsid w:val="00573293"/>
    <w:rsid w:val="00573733"/>
    <w:rsid w:val="00573DBC"/>
    <w:rsid w:val="00573E08"/>
    <w:rsid w:val="00573F8B"/>
    <w:rsid w:val="005743E0"/>
    <w:rsid w:val="00574554"/>
    <w:rsid w:val="00574E06"/>
    <w:rsid w:val="005751BB"/>
    <w:rsid w:val="00575713"/>
    <w:rsid w:val="00576089"/>
    <w:rsid w:val="005764B1"/>
    <w:rsid w:val="00576852"/>
    <w:rsid w:val="00576D06"/>
    <w:rsid w:val="005779E4"/>
    <w:rsid w:val="00577E82"/>
    <w:rsid w:val="00580B89"/>
    <w:rsid w:val="00580EC7"/>
    <w:rsid w:val="005813FA"/>
    <w:rsid w:val="00581EA9"/>
    <w:rsid w:val="005826D2"/>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084"/>
    <w:rsid w:val="005C519C"/>
    <w:rsid w:val="005C51A5"/>
    <w:rsid w:val="005C557A"/>
    <w:rsid w:val="005C566F"/>
    <w:rsid w:val="005C5B5C"/>
    <w:rsid w:val="005C5BF5"/>
    <w:rsid w:val="005C5C47"/>
    <w:rsid w:val="005C5D2D"/>
    <w:rsid w:val="005C5EFA"/>
    <w:rsid w:val="005C61DD"/>
    <w:rsid w:val="005C6438"/>
    <w:rsid w:val="005C64D2"/>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6B59"/>
    <w:rsid w:val="005D71C3"/>
    <w:rsid w:val="005D74D2"/>
    <w:rsid w:val="005D784B"/>
    <w:rsid w:val="005D7B90"/>
    <w:rsid w:val="005D7DE0"/>
    <w:rsid w:val="005E00AF"/>
    <w:rsid w:val="005E03E4"/>
    <w:rsid w:val="005E0454"/>
    <w:rsid w:val="005E05F6"/>
    <w:rsid w:val="005E19CF"/>
    <w:rsid w:val="005E1B9D"/>
    <w:rsid w:val="005E1BD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648D"/>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6302"/>
    <w:rsid w:val="006076FD"/>
    <w:rsid w:val="0061036A"/>
    <w:rsid w:val="00610470"/>
    <w:rsid w:val="006107B1"/>
    <w:rsid w:val="00610811"/>
    <w:rsid w:val="0061143F"/>
    <w:rsid w:val="006114D8"/>
    <w:rsid w:val="00611800"/>
    <w:rsid w:val="00612685"/>
    <w:rsid w:val="00613553"/>
    <w:rsid w:val="00613601"/>
    <w:rsid w:val="00613791"/>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55C2"/>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1DC"/>
    <w:rsid w:val="006B224E"/>
    <w:rsid w:val="006B2349"/>
    <w:rsid w:val="006B25FA"/>
    <w:rsid w:val="006B2943"/>
    <w:rsid w:val="006B2C00"/>
    <w:rsid w:val="006B351F"/>
    <w:rsid w:val="006B376E"/>
    <w:rsid w:val="006B4128"/>
    <w:rsid w:val="006B4589"/>
    <w:rsid w:val="006B4CFA"/>
    <w:rsid w:val="006B5157"/>
    <w:rsid w:val="006B5E49"/>
    <w:rsid w:val="006B610E"/>
    <w:rsid w:val="006B6805"/>
    <w:rsid w:val="006B6C07"/>
    <w:rsid w:val="006B6DE0"/>
    <w:rsid w:val="006B723D"/>
    <w:rsid w:val="006B7DEE"/>
    <w:rsid w:val="006C1337"/>
    <w:rsid w:val="006C16C3"/>
    <w:rsid w:val="006C1FA6"/>
    <w:rsid w:val="006C2187"/>
    <w:rsid w:val="006C2588"/>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519"/>
    <w:rsid w:val="006D28F3"/>
    <w:rsid w:val="006D2E9D"/>
    <w:rsid w:val="006D31F0"/>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787"/>
    <w:rsid w:val="006F4B8F"/>
    <w:rsid w:val="006F57E6"/>
    <w:rsid w:val="006F5E2E"/>
    <w:rsid w:val="006F61D8"/>
    <w:rsid w:val="006F62B7"/>
    <w:rsid w:val="006F63E7"/>
    <w:rsid w:val="006F70BC"/>
    <w:rsid w:val="006F726C"/>
    <w:rsid w:val="006F7A22"/>
    <w:rsid w:val="006F7E7C"/>
    <w:rsid w:val="006F7FEA"/>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3E7"/>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10DA"/>
    <w:rsid w:val="007623FB"/>
    <w:rsid w:val="00762517"/>
    <w:rsid w:val="00763191"/>
    <w:rsid w:val="00763240"/>
    <w:rsid w:val="0076376A"/>
    <w:rsid w:val="0076413A"/>
    <w:rsid w:val="007643A1"/>
    <w:rsid w:val="007648AD"/>
    <w:rsid w:val="0076504E"/>
    <w:rsid w:val="00765E8F"/>
    <w:rsid w:val="007660C0"/>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7A0"/>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97813"/>
    <w:rsid w:val="007A11C2"/>
    <w:rsid w:val="007A1781"/>
    <w:rsid w:val="007A18BB"/>
    <w:rsid w:val="007A2489"/>
    <w:rsid w:val="007A27DD"/>
    <w:rsid w:val="007A2D2A"/>
    <w:rsid w:val="007A3C3F"/>
    <w:rsid w:val="007A41BF"/>
    <w:rsid w:val="007A490A"/>
    <w:rsid w:val="007A4F24"/>
    <w:rsid w:val="007A549E"/>
    <w:rsid w:val="007A54DC"/>
    <w:rsid w:val="007A5D50"/>
    <w:rsid w:val="007A6811"/>
    <w:rsid w:val="007A7289"/>
    <w:rsid w:val="007A7A78"/>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4DAF"/>
    <w:rsid w:val="007C58C1"/>
    <w:rsid w:val="007C5B39"/>
    <w:rsid w:val="007C6218"/>
    <w:rsid w:val="007C6484"/>
    <w:rsid w:val="007C67C6"/>
    <w:rsid w:val="007C7356"/>
    <w:rsid w:val="007C78BE"/>
    <w:rsid w:val="007C7A5D"/>
    <w:rsid w:val="007C7E59"/>
    <w:rsid w:val="007D0363"/>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A0D"/>
    <w:rsid w:val="007E03B4"/>
    <w:rsid w:val="007E066C"/>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148E"/>
    <w:rsid w:val="008015A1"/>
    <w:rsid w:val="008024CA"/>
    <w:rsid w:val="00802C0B"/>
    <w:rsid w:val="00802D83"/>
    <w:rsid w:val="0080319D"/>
    <w:rsid w:val="00803ADF"/>
    <w:rsid w:val="00803DF1"/>
    <w:rsid w:val="00804206"/>
    <w:rsid w:val="0080425E"/>
    <w:rsid w:val="00805040"/>
    <w:rsid w:val="008051FC"/>
    <w:rsid w:val="008055A9"/>
    <w:rsid w:val="008056C4"/>
    <w:rsid w:val="008057FD"/>
    <w:rsid w:val="00805D8B"/>
    <w:rsid w:val="00806C33"/>
    <w:rsid w:val="00806F21"/>
    <w:rsid w:val="00807BF7"/>
    <w:rsid w:val="0081010F"/>
    <w:rsid w:val="008109E0"/>
    <w:rsid w:val="00810BB6"/>
    <w:rsid w:val="00810E8E"/>
    <w:rsid w:val="00812C44"/>
    <w:rsid w:val="008135E1"/>
    <w:rsid w:val="00813779"/>
    <w:rsid w:val="00813792"/>
    <w:rsid w:val="00813AA2"/>
    <w:rsid w:val="00813E26"/>
    <w:rsid w:val="00813EAD"/>
    <w:rsid w:val="00814321"/>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5D3"/>
    <w:rsid w:val="008226F5"/>
    <w:rsid w:val="00823FAA"/>
    <w:rsid w:val="00823FC6"/>
    <w:rsid w:val="00824306"/>
    <w:rsid w:val="00824B1F"/>
    <w:rsid w:val="00825C74"/>
    <w:rsid w:val="00825CFA"/>
    <w:rsid w:val="00825F10"/>
    <w:rsid w:val="00826AB9"/>
    <w:rsid w:val="00826E0E"/>
    <w:rsid w:val="00826EB7"/>
    <w:rsid w:val="00827D11"/>
    <w:rsid w:val="00827E0F"/>
    <w:rsid w:val="00827F6E"/>
    <w:rsid w:val="0083077E"/>
    <w:rsid w:val="00830E66"/>
    <w:rsid w:val="00831758"/>
    <w:rsid w:val="008317D9"/>
    <w:rsid w:val="00831AEC"/>
    <w:rsid w:val="0083279F"/>
    <w:rsid w:val="00832CE9"/>
    <w:rsid w:val="008334DB"/>
    <w:rsid w:val="00833B7F"/>
    <w:rsid w:val="00833B82"/>
    <w:rsid w:val="00833D2C"/>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671"/>
    <w:rsid w:val="0089445B"/>
    <w:rsid w:val="008945B9"/>
    <w:rsid w:val="0089493F"/>
    <w:rsid w:val="00894979"/>
    <w:rsid w:val="00895838"/>
    <w:rsid w:val="00895A1E"/>
    <w:rsid w:val="00895A72"/>
    <w:rsid w:val="00895CDF"/>
    <w:rsid w:val="00895EE3"/>
    <w:rsid w:val="00896046"/>
    <w:rsid w:val="0089615A"/>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731F"/>
    <w:rsid w:val="008C74D9"/>
    <w:rsid w:val="008C7569"/>
    <w:rsid w:val="008C7726"/>
    <w:rsid w:val="008D06EC"/>
    <w:rsid w:val="008D2050"/>
    <w:rsid w:val="008D21DD"/>
    <w:rsid w:val="008D2D79"/>
    <w:rsid w:val="008D35CA"/>
    <w:rsid w:val="008D3B2D"/>
    <w:rsid w:val="008D5433"/>
    <w:rsid w:val="008D58D9"/>
    <w:rsid w:val="008D5AD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578"/>
    <w:rsid w:val="008F49D3"/>
    <w:rsid w:val="008F51D3"/>
    <w:rsid w:val="008F5B69"/>
    <w:rsid w:val="008F6519"/>
    <w:rsid w:val="008F68C5"/>
    <w:rsid w:val="008F694F"/>
    <w:rsid w:val="008F6AC1"/>
    <w:rsid w:val="008F6B67"/>
    <w:rsid w:val="008F6F4C"/>
    <w:rsid w:val="008F7012"/>
    <w:rsid w:val="008F7576"/>
    <w:rsid w:val="008F7ADA"/>
    <w:rsid w:val="008F7B17"/>
    <w:rsid w:val="00900042"/>
    <w:rsid w:val="0090034B"/>
    <w:rsid w:val="009005D7"/>
    <w:rsid w:val="0090087C"/>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3AF"/>
    <w:rsid w:val="009227BE"/>
    <w:rsid w:val="00922C83"/>
    <w:rsid w:val="009233CE"/>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4B1"/>
    <w:rsid w:val="009321B1"/>
    <w:rsid w:val="0093236E"/>
    <w:rsid w:val="009327F0"/>
    <w:rsid w:val="00932A42"/>
    <w:rsid w:val="00932ECE"/>
    <w:rsid w:val="00932ED7"/>
    <w:rsid w:val="00933278"/>
    <w:rsid w:val="00933E30"/>
    <w:rsid w:val="0093422D"/>
    <w:rsid w:val="0093483B"/>
    <w:rsid w:val="00934CF9"/>
    <w:rsid w:val="00934DD7"/>
    <w:rsid w:val="00934F9C"/>
    <w:rsid w:val="00934FEB"/>
    <w:rsid w:val="009357C9"/>
    <w:rsid w:val="00935CB2"/>
    <w:rsid w:val="00936898"/>
    <w:rsid w:val="009369A9"/>
    <w:rsid w:val="00936CF7"/>
    <w:rsid w:val="00937783"/>
    <w:rsid w:val="00937EAD"/>
    <w:rsid w:val="00937F28"/>
    <w:rsid w:val="009401F5"/>
    <w:rsid w:val="00940FE1"/>
    <w:rsid w:val="0094117A"/>
    <w:rsid w:val="00941474"/>
    <w:rsid w:val="00942306"/>
    <w:rsid w:val="009424B8"/>
    <w:rsid w:val="0094286B"/>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21D"/>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26"/>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1E9D"/>
    <w:rsid w:val="009C2913"/>
    <w:rsid w:val="009C2BD4"/>
    <w:rsid w:val="009C32F0"/>
    <w:rsid w:val="009C334C"/>
    <w:rsid w:val="009C3EED"/>
    <w:rsid w:val="009C4596"/>
    <w:rsid w:val="009C52FB"/>
    <w:rsid w:val="009C5314"/>
    <w:rsid w:val="009C5AFE"/>
    <w:rsid w:val="009C6606"/>
    <w:rsid w:val="009C6CE5"/>
    <w:rsid w:val="009C6D50"/>
    <w:rsid w:val="009C72B2"/>
    <w:rsid w:val="009C7547"/>
    <w:rsid w:val="009D05EC"/>
    <w:rsid w:val="009D18D4"/>
    <w:rsid w:val="009D1E82"/>
    <w:rsid w:val="009D1FCF"/>
    <w:rsid w:val="009D209F"/>
    <w:rsid w:val="009D2F60"/>
    <w:rsid w:val="009D3862"/>
    <w:rsid w:val="009D3A2E"/>
    <w:rsid w:val="009D3E61"/>
    <w:rsid w:val="009D4C2E"/>
    <w:rsid w:val="009D53C0"/>
    <w:rsid w:val="009D5912"/>
    <w:rsid w:val="009D5ADE"/>
    <w:rsid w:val="009D5BAC"/>
    <w:rsid w:val="009D5C56"/>
    <w:rsid w:val="009D5EBC"/>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676"/>
    <w:rsid w:val="009E663C"/>
    <w:rsid w:val="009E684A"/>
    <w:rsid w:val="009E6BB1"/>
    <w:rsid w:val="009E6E14"/>
    <w:rsid w:val="009E794A"/>
    <w:rsid w:val="009E7B26"/>
    <w:rsid w:val="009E7C14"/>
    <w:rsid w:val="009F0494"/>
    <w:rsid w:val="009F0CD9"/>
    <w:rsid w:val="009F1A79"/>
    <w:rsid w:val="009F1F57"/>
    <w:rsid w:val="009F246E"/>
    <w:rsid w:val="009F249F"/>
    <w:rsid w:val="009F2DDD"/>
    <w:rsid w:val="009F32B4"/>
    <w:rsid w:val="009F3447"/>
    <w:rsid w:val="009F58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4D1"/>
    <w:rsid w:val="00A25B8B"/>
    <w:rsid w:val="00A2689F"/>
    <w:rsid w:val="00A26D30"/>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29C"/>
    <w:rsid w:val="00A54572"/>
    <w:rsid w:val="00A559D8"/>
    <w:rsid w:val="00A570F2"/>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BA0"/>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456"/>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931"/>
    <w:rsid w:val="00AA7BE1"/>
    <w:rsid w:val="00AB03FD"/>
    <w:rsid w:val="00AB09B8"/>
    <w:rsid w:val="00AB1678"/>
    <w:rsid w:val="00AB199F"/>
    <w:rsid w:val="00AB1C40"/>
    <w:rsid w:val="00AB2000"/>
    <w:rsid w:val="00AB21CC"/>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3DA"/>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21D4"/>
    <w:rsid w:val="00AD23EF"/>
    <w:rsid w:val="00AD2662"/>
    <w:rsid w:val="00AD307B"/>
    <w:rsid w:val="00AD34C4"/>
    <w:rsid w:val="00AD355F"/>
    <w:rsid w:val="00AD36D2"/>
    <w:rsid w:val="00AD3992"/>
    <w:rsid w:val="00AD4014"/>
    <w:rsid w:val="00AD41B3"/>
    <w:rsid w:val="00AD452D"/>
    <w:rsid w:val="00AD5721"/>
    <w:rsid w:val="00AD69F0"/>
    <w:rsid w:val="00AD7127"/>
    <w:rsid w:val="00AD730C"/>
    <w:rsid w:val="00AE04FD"/>
    <w:rsid w:val="00AE0F90"/>
    <w:rsid w:val="00AE123A"/>
    <w:rsid w:val="00AE1539"/>
    <w:rsid w:val="00AE1FB8"/>
    <w:rsid w:val="00AE28A7"/>
    <w:rsid w:val="00AE2A98"/>
    <w:rsid w:val="00AE2CA0"/>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37E"/>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D7C"/>
    <w:rsid w:val="00B20F18"/>
    <w:rsid w:val="00B20FB7"/>
    <w:rsid w:val="00B21516"/>
    <w:rsid w:val="00B21723"/>
    <w:rsid w:val="00B219D9"/>
    <w:rsid w:val="00B21A37"/>
    <w:rsid w:val="00B21D23"/>
    <w:rsid w:val="00B21F62"/>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B45"/>
    <w:rsid w:val="00B36165"/>
    <w:rsid w:val="00B36A99"/>
    <w:rsid w:val="00B37395"/>
    <w:rsid w:val="00B40385"/>
    <w:rsid w:val="00B40C29"/>
    <w:rsid w:val="00B419BB"/>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1F"/>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258"/>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7A7"/>
    <w:rsid w:val="00BF01C5"/>
    <w:rsid w:val="00BF061A"/>
    <w:rsid w:val="00BF066A"/>
    <w:rsid w:val="00BF0771"/>
    <w:rsid w:val="00BF0EDE"/>
    <w:rsid w:val="00BF14CC"/>
    <w:rsid w:val="00BF1821"/>
    <w:rsid w:val="00BF214F"/>
    <w:rsid w:val="00BF22E9"/>
    <w:rsid w:val="00BF3FE4"/>
    <w:rsid w:val="00BF4342"/>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1E7"/>
    <w:rsid w:val="00C31492"/>
    <w:rsid w:val="00C31B7E"/>
    <w:rsid w:val="00C31CFD"/>
    <w:rsid w:val="00C320D1"/>
    <w:rsid w:val="00C320E8"/>
    <w:rsid w:val="00C322D1"/>
    <w:rsid w:val="00C323E6"/>
    <w:rsid w:val="00C3242A"/>
    <w:rsid w:val="00C33201"/>
    <w:rsid w:val="00C3328B"/>
    <w:rsid w:val="00C33A39"/>
    <w:rsid w:val="00C33F55"/>
    <w:rsid w:val="00C343FF"/>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745"/>
    <w:rsid w:val="00C95813"/>
    <w:rsid w:val="00C95902"/>
    <w:rsid w:val="00C95999"/>
    <w:rsid w:val="00C95CCD"/>
    <w:rsid w:val="00C962E3"/>
    <w:rsid w:val="00C968C9"/>
    <w:rsid w:val="00C978E2"/>
    <w:rsid w:val="00C97997"/>
    <w:rsid w:val="00CA10A2"/>
    <w:rsid w:val="00CA1D83"/>
    <w:rsid w:val="00CA1FEB"/>
    <w:rsid w:val="00CA25C0"/>
    <w:rsid w:val="00CA2BFB"/>
    <w:rsid w:val="00CA3451"/>
    <w:rsid w:val="00CA35C6"/>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2748"/>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D74"/>
    <w:rsid w:val="00CF1F8D"/>
    <w:rsid w:val="00CF2BE2"/>
    <w:rsid w:val="00CF371A"/>
    <w:rsid w:val="00CF37C2"/>
    <w:rsid w:val="00CF3DE4"/>
    <w:rsid w:val="00CF3DEB"/>
    <w:rsid w:val="00CF42C9"/>
    <w:rsid w:val="00CF4363"/>
    <w:rsid w:val="00CF4626"/>
    <w:rsid w:val="00CF55F9"/>
    <w:rsid w:val="00CF578D"/>
    <w:rsid w:val="00CF63B2"/>
    <w:rsid w:val="00CF7074"/>
    <w:rsid w:val="00CF7495"/>
    <w:rsid w:val="00CF76D6"/>
    <w:rsid w:val="00D00314"/>
    <w:rsid w:val="00D01CF9"/>
    <w:rsid w:val="00D01F93"/>
    <w:rsid w:val="00D021E8"/>
    <w:rsid w:val="00D02AA3"/>
    <w:rsid w:val="00D0334D"/>
    <w:rsid w:val="00D0374D"/>
    <w:rsid w:val="00D0411B"/>
    <w:rsid w:val="00D05614"/>
    <w:rsid w:val="00D05D5C"/>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47BE"/>
    <w:rsid w:val="00D148A0"/>
    <w:rsid w:val="00D158D5"/>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0BF"/>
    <w:rsid w:val="00D2385D"/>
    <w:rsid w:val="00D23AAD"/>
    <w:rsid w:val="00D23FB9"/>
    <w:rsid w:val="00D23FF4"/>
    <w:rsid w:val="00D2438C"/>
    <w:rsid w:val="00D247E0"/>
    <w:rsid w:val="00D2585A"/>
    <w:rsid w:val="00D25920"/>
    <w:rsid w:val="00D259B0"/>
    <w:rsid w:val="00D259C2"/>
    <w:rsid w:val="00D26586"/>
    <w:rsid w:val="00D26C3F"/>
    <w:rsid w:val="00D27185"/>
    <w:rsid w:val="00D27338"/>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3B22"/>
    <w:rsid w:val="00D63DF9"/>
    <w:rsid w:val="00D65E01"/>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AC2"/>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82"/>
    <w:rsid w:val="00DE5EC5"/>
    <w:rsid w:val="00DE5F7F"/>
    <w:rsid w:val="00DE5FA6"/>
    <w:rsid w:val="00DE5FC9"/>
    <w:rsid w:val="00DE6792"/>
    <w:rsid w:val="00DE6AA1"/>
    <w:rsid w:val="00DE77A3"/>
    <w:rsid w:val="00DE7EF7"/>
    <w:rsid w:val="00DF015B"/>
    <w:rsid w:val="00DF02EC"/>
    <w:rsid w:val="00DF0404"/>
    <w:rsid w:val="00DF10FC"/>
    <w:rsid w:val="00DF1185"/>
    <w:rsid w:val="00DF1299"/>
    <w:rsid w:val="00DF132C"/>
    <w:rsid w:val="00DF155A"/>
    <w:rsid w:val="00DF1620"/>
    <w:rsid w:val="00DF1A70"/>
    <w:rsid w:val="00DF1E5F"/>
    <w:rsid w:val="00DF224B"/>
    <w:rsid w:val="00DF23A8"/>
    <w:rsid w:val="00DF2EE1"/>
    <w:rsid w:val="00DF2F27"/>
    <w:rsid w:val="00DF36B6"/>
    <w:rsid w:val="00DF4296"/>
    <w:rsid w:val="00DF4E8F"/>
    <w:rsid w:val="00DF5267"/>
    <w:rsid w:val="00DF53F0"/>
    <w:rsid w:val="00DF5700"/>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656E"/>
    <w:rsid w:val="00E26759"/>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F1"/>
    <w:rsid w:val="00E4076D"/>
    <w:rsid w:val="00E40913"/>
    <w:rsid w:val="00E417DB"/>
    <w:rsid w:val="00E41998"/>
    <w:rsid w:val="00E41BB1"/>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5AE0"/>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5383"/>
    <w:rsid w:val="00E75A36"/>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753"/>
    <w:rsid w:val="00EC3FB6"/>
    <w:rsid w:val="00EC471E"/>
    <w:rsid w:val="00EC4E71"/>
    <w:rsid w:val="00EC5409"/>
    <w:rsid w:val="00EC5B29"/>
    <w:rsid w:val="00EC5BC4"/>
    <w:rsid w:val="00EC5F1C"/>
    <w:rsid w:val="00EC7AEB"/>
    <w:rsid w:val="00ED0365"/>
    <w:rsid w:val="00ED0512"/>
    <w:rsid w:val="00ED0865"/>
    <w:rsid w:val="00ED0C1C"/>
    <w:rsid w:val="00ED1353"/>
    <w:rsid w:val="00ED1C60"/>
    <w:rsid w:val="00ED2EB9"/>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97F"/>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06B"/>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6DD7"/>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3CD8"/>
    <w:rsid w:val="00F249A1"/>
    <w:rsid w:val="00F24FBA"/>
    <w:rsid w:val="00F2504D"/>
    <w:rsid w:val="00F2595D"/>
    <w:rsid w:val="00F25B26"/>
    <w:rsid w:val="00F2637F"/>
    <w:rsid w:val="00F268F7"/>
    <w:rsid w:val="00F30B83"/>
    <w:rsid w:val="00F30BDB"/>
    <w:rsid w:val="00F30CF8"/>
    <w:rsid w:val="00F31402"/>
    <w:rsid w:val="00F31EDF"/>
    <w:rsid w:val="00F32507"/>
    <w:rsid w:val="00F327D9"/>
    <w:rsid w:val="00F32CDE"/>
    <w:rsid w:val="00F32D4C"/>
    <w:rsid w:val="00F3327E"/>
    <w:rsid w:val="00F33746"/>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783"/>
    <w:rsid w:val="00F55D12"/>
    <w:rsid w:val="00F56836"/>
    <w:rsid w:val="00F5687F"/>
    <w:rsid w:val="00F56A02"/>
    <w:rsid w:val="00F56B58"/>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76A"/>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948"/>
    <w:rsid w:val="00F84B25"/>
    <w:rsid w:val="00F85B72"/>
    <w:rsid w:val="00F8652A"/>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A"/>
    <w:rsid w:val="00F93ABB"/>
    <w:rsid w:val="00F94D79"/>
    <w:rsid w:val="00F95AEF"/>
    <w:rsid w:val="00F9658C"/>
    <w:rsid w:val="00F96EEB"/>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2C5"/>
    <w:rsid w:val="00FE0794"/>
    <w:rsid w:val="00FE1041"/>
    <w:rsid w:val="00FE1614"/>
    <w:rsid w:val="00FE1D32"/>
    <w:rsid w:val="00FE24CB"/>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9D5"/>
    <w:rsid w:val="00FF1C9B"/>
    <w:rsid w:val="00FF1D49"/>
    <w:rsid w:val="00FF203B"/>
    <w:rsid w:val="00FF2562"/>
    <w:rsid w:val="00FF3A41"/>
    <w:rsid w:val="00FF3E5B"/>
    <w:rsid w:val="00FF5183"/>
    <w:rsid w:val="00FF57E4"/>
    <w:rsid w:val="00FF5E26"/>
    <w:rsid w:val="00FF5ECD"/>
    <w:rsid w:val="00FF6D57"/>
    <w:rsid w:val="00FF78E5"/>
    <w:rsid w:val="011E3D92"/>
    <w:rsid w:val="012C5FAF"/>
    <w:rsid w:val="0194674A"/>
    <w:rsid w:val="01AF3D99"/>
    <w:rsid w:val="02493090"/>
    <w:rsid w:val="02511F9D"/>
    <w:rsid w:val="037F7D18"/>
    <w:rsid w:val="03800D34"/>
    <w:rsid w:val="03A314B8"/>
    <w:rsid w:val="03D42E2E"/>
    <w:rsid w:val="03D8291E"/>
    <w:rsid w:val="03D82B98"/>
    <w:rsid w:val="03F83E8B"/>
    <w:rsid w:val="0422003D"/>
    <w:rsid w:val="048A2B2E"/>
    <w:rsid w:val="051E5F2B"/>
    <w:rsid w:val="054D7BBF"/>
    <w:rsid w:val="05C56868"/>
    <w:rsid w:val="0620235A"/>
    <w:rsid w:val="07A539BD"/>
    <w:rsid w:val="07B72767"/>
    <w:rsid w:val="08077E72"/>
    <w:rsid w:val="08882DD0"/>
    <w:rsid w:val="09063A89"/>
    <w:rsid w:val="093700E7"/>
    <w:rsid w:val="09816C5A"/>
    <w:rsid w:val="09CC2AAC"/>
    <w:rsid w:val="0A652D3E"/>
    <w:rsid w:val="0AF03373"/>
    <w:rsid w:val="0B326F2A"/>
    <w:rsid w:val="0C1E2888"/>
    <w:rsid w:val="0C3B6140"/>
    <w:rsid w:val="0C6E110E"/>
    <w:rsid w:val="0C92213C"/>
    <w:rsid w:val="0CC2027E"/>
    <w:rsid w:val="0CD36378"/>
    <w:rsid w:val="0D84032B"/>
    <w:rsid w:val="0ECD6DF7"/>
    <w:rsid w:val="0F1F58A5"/>
    <w:rsid w:val="0F221070"/>
    <w:rsid w:val="0F2A74C4"/>
    <w:rsid w:val="0FEBB0A6"/>
    <w:rsid w:val="10466E61"/>
    <w:rsid w:val="107C13BF"/>
    <w:rsid w:val="10A27F31"/>
    <w:rsid w:val="10AB31FB"/>
    <w:rsid w:val="10BB15FD"/>
    <w:rsid w:val="11927058"/>
    <w:rsid w:val="120E171E"/>
    <w:rsid w:val="12977E48"/>
    <w:rsid w:val="131A4664"/>
    <w:rsid w:val="131E40C5"/>
    <w:rsid w:val="138A175B"/>
    <w:rsid w:val="13AF4F03"/>
    <w:rsid w:val="13EF5C40"/>
    <w:rsid w:val="1467584C"/>
    <w:rsid w:val="14736E66"/>
    <w:rsid w:val="147F458F"/>
    <w:rsid w:val="1534169A"/>
    <w:rsid w:val="159A06F0"/>
    <w:rsid w:val="15C03E03"/>
    <w:rsid w:val="162A25EB"/>
    <w:rsid w:val="16353C00"/>
    <w:rsid w:val="16735895"/>
    <w:rsid w:val="16FD2A55"/>
    <w:rsid w:val="17067C1A"/>
    <w:rsid w:val="17366761"/>
    <w:rsid w:val="177C01F0"/>
    <w:rsid w:val="179E3EFA"/>
    <w:rsid w:val="17CE6630"/>
    <w:rsid w:val="18B04FBB"/>
    <w:rsid w:val="18F27B86"/>
    <w:rsid w:val="194A1770"/>
    <w:rsid w:val="1A7A6085"/>
    <w:rsid w:val="1AFF0AFE"/>
    <w:rsid w:val="1B4A1EFB"/>
    <w:rsid w:val="1B4F19F8"/>
    <w:rsid w:val="1BAF6501"/>
    <w:rsid w:val="1C014A65"/>
    <w:rsid w:val="1CAB69CA"/>
    <w:rsid w:val="1CBD4448"/>
    <w:rsid w:val="1D4129D2"/>
    <w:rsid w:val="1D521F2E"/>
    <w:rsid w:val="1DCB4E4A"/>
    <w:rsid w:val="1E94348E"/>
    <w:rsid w:val="1ECC44FA"/>
    <w:rsid w:val="1F063325"/>
    <w:rsid w:val="1F86727A"/>
    <w:rsid w:val="1FBC5DF5"/>
    <w:rsid w:val="1FEB4A86"/>
    <w:rsid w:val="1FF90588"/>
    <w:rsid w:val="20AE6A88"/>
    <w:rsid w:val="20C3623F"/>
    <w:rsid w:val="212C0DD2"/>
    <w:rsid w:val="21781212"/>
    <w:rsid w:val="21AB746C"/>
    <w:rsid w:val="21B83F86"/>
    <w:rsid w:val="21BE719F"/>
    <w:rsid w:val="221178A8"/>
    <w:rsid w:val="221213CF"/>
    <w:rsid w:val="22191650"/>
    <w:rsid w:val="22327A92"/>
    <w:rsid w:val="22D24DE0"/>
    <w:rsid w:val="231D53A2"/>
    <w:rsid w:val="23244DE0"/>
    <w:rsid w:val="236D5383"/>
    <w:rsid w:val="23B7504C"/>
    <w:rsid w:val="24571307"/>
    <w:rsid w:val="25110A2A"/>
    <w:rsid w:val="256C0944"/>
    <w:rsid w:val="26446DE3"/>
    <w:rsid w:val="26877DFE"/>
    <w:rsid w:val="269669E7"/>
    <w:rsid w:val="26995AE5"/>
    <w:rsid w:val="26A270C1"/>
    <w:rsid w:val="26D7699F"/>
    <w:rsid w:val="27C600FF"/>
    <w:rsid w:val="27EF995E"/>
    <w:rsid w:val="280FE034"/>
    <w:rsid w:val="28B46C06"/>
    <w:rsid w:val="28CE4151"/>
    <w:rsid w:val="28DC43AF"/>
    <w:rsid w:val="28E13773"/>
    <w:rsid w:val="28F74D45"/>
    <w:rsid w:val="29200448"/>
    <w:rsid w:val="293722C0"/>
    <w:rsid w:val="295F273D"/>
    <w:rsid w:val="29A273A6"/>
    <w:rsid w:val="29D75F7F"/>
    <w:rsid w:val="29F11F0D"/>
    <w:rsid w:val="2B774624"/>
    <w:rsid w:val="2C7A72BE"/>
    <w:rsid w:val="2C9A7D75"/>
    <w:rsid w:val="2CC17412"/>
    <w:rsid w:val="2D7C1E99"/>
    <w:rsid w:val="2DB640F0"/>
    <w:rsid w:val="2E0917A2"/>
    <w:rsid w:val="2E2B796A"/>
    <w:rsid w:val="2E690B0F"/>
    <w:rsid w:val="2E9976CE"/>
    <w:rsid w:val="2EF01DEE"/>
    <w:rsid w:val="2F0623C1"/>
    <w:rsid w:val="2F401D3C"/>
    <w:rsid w:val="2F5B24E1"/>
    <w:rsid w:val="2F860BD0"/>
    <w:rsid w:val="2FA95C88"/>
    <w:rsid w:val="2FFF1077"/>
    <w:rsid w:val="3041370F"/>
    <w:rsid w:val="30B87FED"/>
    <w:rsid w:val="312B50A3"/>
    <w:rsid w:val="31894FD2"/>
    <w:rsid w:val="32453A27"/>
    <w:rsid w:val="3263064A"/>
    <w:rsid w:val="32A43132"/>
    <w:rsid w:val="32AC0C06"/>
    <w:rsid w:val="331A1D5C"/>
    <w:rsid w:val="3327AD6F"/>
    <w:rsid w:val="33344EF5"/>
    <w:rsid w:val="34CA77B1"/>
    <w:rsid w:val="35020CF9"/>
    <w:rsid w:val="3537750C"/>
    <w:rsid w:val="3537798C"/>
    <w:rsid w:val="35C13FC9"/>
    <w:rsid w:val="35FF41CE"/>
    <w:rsid w:val="36372B05"/>
    <w:rsid w:val="364257B6"/>
    <w:rsid w:val="36DF4D4F"/>
    <w:rsid w:val="37773FA5"/>
    <w:rsid w:val="37EA5922"/>
    <w:rsid w:val="37FFAB31"/>
    <w:rsid w:val="38276B93"/>
    <w:rsid w:val="382E58B8"/>
    <w:rsid w:val="38A65A19"/>
    <w:rsid w:val="38AC3431"/>
    <w:rsid w:val="392F2E16"/>
    <w:rsid w:val="39D60FA5"/>
    <w:rsid w:val="39E00529"/>
    <w:rsid w:val="3A0B64A7"/>
    <w:rsid w:val="3A574DDA"/>
    <w:rsid w:val="3ACD1DA9"/>
    <w:rsid w:val="3AD3075A"/>
    <w:rsid w:val="3AEA64B7"/>
    <w:rsid w:val="3AF74C02"/>
    <w:rsid w:val="3B146A06"/>
    <w:rsid w:val="3B6E25D3"/>
    <w:rsid w:val="3C0059A5"/>
    <w:rsid w:val="3C134E78"/>
    <w:rsid w:val="3CB638C1"/>
    <w:rsid w:val="3CC81BC6"/>
    <w:rsid w:val="3D0A1651"/>
    <w:rsid w:val="3D583BAC"/>
    <w:rsid w:val="3DA0781E"/>
    <w:rsid w:val="3DDFBB12"/>
    <w:rsid w:val="3DE7BA5F"/>
    <w:rsid w:val="3DF6345D"/>
    <w:rsid w:val="3E2B5515"/>
    <w:rsid w:val="3E4D4F28"/>
    <w:rsid w:val="3EA11583"/>
    <w:rsid w:val="3EC72E69"/>
    <w:rsid w:val="3ED92EC4"/>
    <w:rsid w:val="3EE13701"/>
    <w:rsid w:val="3F1A4BB3"/>
    <w:rsid w:val="3F3648F8"/>
    <w:rsid w:val="3F75631A"/>
    <w:rsid w:val="3FDE19E5"/>
    <w:rsid w:val="40017748"/>
    <w:rsid w:val="40192BA6"/>
    <w:rsid w:val="40FD0A7D"/>
    <w:rsid w:val="41766EA9"/>
    <w:rsid w:val="41870F04"/>
    <w:rsid w:val="41B92AA8"/>
    <w:rsid w:val="422229DB"/>
    <w:rsid w:val="42550A18"/>
    <w:rsid w:val="427165D8"/>
    <w:rsid w:val="429D496A"/>
    <w:rsid w:val="42BF46CD"/>
    <w:rsid w:val="42F473A1"/>
    <w:rsid w:val="431A683E"/>
    <w:rsid w:val="437217EA"/>
    <w:rsid w:val="43AB7156"/>
    <w:rsid w:val="43FF60DE"/>
    <w:rsid w:val="441E62C0"/>
    <w:rsid w:val="45325D14"/>
    <w:rsid w:val="45575091"/>
    <w:rsid w:val="45811C7C"/>
    <w:rsid w:val="45906116"/>
    <w:rsid w:val="45931B8C"/>
    <w:rsid w:val="45DB42AF"/>
    <w:rsid w:val="45EF2552"/>
    <w:rsid w:val="46510CCF"/>
    <w:rsid w:val="468B3EFB"/>
    <w:rsid w:val="46B8233A"/>
    <w:rsid w:val="470A6193"/>
    <w:rsid w:val="47385210"/>
    <w:rsid w:val="475510F8"/>
    <w:rsid w:val="47BE9CBC"/>
    <w:rsid w:val="47DC4F5C"/>
    <w:rsid w:val="47E30E5E"/>
    <w:rsid w:val="47FE14C2"/>
    <w:rsid w:val="48B40671"/>
    <w:rsid w:val="48CF15AC"/>
    <w:rsid w:val="48EC789E"/>
    <w:rsid w:val="499B5738"/>
    <w:rsid w:val="499F244D"/>
    <w:rsid w:val="4A973F3F"/>
    <w:rsid w:val="4AAE7507"/>
    <w:rsid w:val="4AED3C0C"/>
    <w:rsid w:val="4AF96BC7"/>
    <w:rsid w:val="4B315A3D"/>
    <w:rsid w:val="4B62209A"/>
    <w:rsid w:val="4B862A85"/>
    <w:rsid w:val="4B8D35BB"/>
    <w:rsid w:val="4C45516E"/>
    <w:rsid w:val="4CEF36E2"/>
    <w:rsid w:val="4CEF4DC5"/>
    <w:rsid w:val="4D6FE0C4"/>
    <w:rsid w:val="4E257655"/>
    <w:rsid w:val="4EDE25D7"/>
    <w:rsid w:val="4F076127"/>
    <w:rsid w:val="4F0C5D1C"/>
    <w:rsid w:val="4F372380"/>
    <w:rsid w:val="4F372FFB"/>
    <w:rsid w:val="4FB1539E"/>
    <w:rsid w:val="4FDA66A3"/>
    <w:rsid w:val="5025116D"/>
    <w:rsid w:val="50F47C38"/>
    <w:rsid w:val="51C864C0"/>
    <w:rsid w:val="52395ECD"/>
    <w:rsid w:val="52A31394"/>
    <w:rsid w:val="52C10D75"/>
    <w:rsid w:val="53C27FF8"/>
    <w:rsid w:val="54671603"/>
    <w:rsid w:val="54806794"/>
    <w:rsid w:val="5492579E"/>
    <w:rsid w:val="549E1A80"/>
    <w:rsid w:val="54C658F4"/>
    <w:rsid w:val="550C4BD7"/>
    <w:rsid w:val="550D3265"/>
    <w:rsid w:val="554C1D56"/>
    <w:rsid w:val="55572986"/>
    <w:rsid w:val="562C577E"/>
    <w:rsid w:val="565340FA"/>
    <w:rsid w:val="56683793"/>
    <w:rsid w:val="569C6DA8"/>
    <w:rsid w:val="56AD5F59"/>
    <w:rsid w:val="56C60774"/>
    <w:rsid w:val="56E542AB"/>
    <w:rsid w:val="571B35A3"/>
    <w:rsid w:val="57B12A52"/>
    <w:rsid w:val="57DD1FD4"/>
    <w:rsid w:val="57E9B960"/>
    <w:rsid w:val="580544D9"/>
    <w:rsid w:val="58931AE5"/>
    <w:rsid w:val="58E172F2"/>
    <w:rsid w:val="58FF0F3B"/>
    <w:rsid w:val="59EBBD6C"/>
    <w:rsid w:val="5A2F2CC8"/>
    <w:rsid w:val="5B887FAA"/>
    <w:rsid w:val="5BFC49BB"/>
    <w:rsid w:val="5C10702D"/>
    <w:rsid w:val="5C152601"/>
    <w:rsid w:val="5C591F03"/>
    <w:rsid w:val="5C8A1B2F"/>
    <w:rsid w:val="5CEE1AA9"/>
    <w:rsid w:val="5D2430B6"/>
    <w:rsid w:val="5D399460"/>
    <w:rsid w:val="5E341674"/>
    <w:rsid w:val="5EFE30D7"/>
    <w:rsid w:val="5F561B72"/>
    <w:rsid w:val="5FD923A1"/>
    <w:rsid w:val="606007BB"/>
    <w:rsid w:val="609B08BF"/>
    <w:rsid w:val="60AC7F66"/>
    <w:rsid w:val="60B975FB"/>
    <w:rsid w:val="61BF10D9"/>
    <w:rsid w:val="62110684"/>
    <w:rsid w:val="62261C1B"/>
    <w:rsid w:val="625F5101"/>
    <w:rsid w:val="626C1660"/>
    <w:rsid w:val="62774225"/>
    <w:rsid w:val="628726BA"/>
    <w:rsid w:val="62AC22DC"/>
    <w:rsid w:val="62BF00A6"/>
    <w:rsid w:val="63464323"/>
    <w:rsid w:val="63A22BFD"/>
    <w:rsid w:val="64506DD3"/>
    <w:rsid w:val="64DD1E43"/>
    <w:rsid w:val="64E45EF7"/>
    <w:rsid w:val="65F0098C"/>
    <w:rsid w:val="66613C8A"/>
    <w:rsid w:val="667F3EFA"/>
    <w:rsid w:val="66803B32"/>
    <w:rsid w:val="6691014E"/>
    <w:rsid w:val="66C87CCE"/>
    <w:rsid w:val="6734055C"/>
    <w:rsid w:val="677435B2"/>
    <w:rsid w:val="677F6056"/>
    <w:rsid w:val="67807912"/>
    <w:rsid w:val="67C223E6"/>
    <w:rsid w:val="67EF75F1"/>
    <w:rsid w:val="683E7CBF"/>
    <w:rsid w:val="684F4F11"/>
    <w:rsid w:val="69124F16"/>
    <w:rsid w:val="697F2E4F"/>
    <w:rsid w:val="69CD5C14"/>
    <w:rsid w:val="69CF0D33"/>
    <w:rsid w:val="6AE05706"/>
    <w:rsid w:val="6B9946B3"/>
    <w:rsid w:val="6BB42357"/>
    <w:rsid w:val="6BE518DA"/>
    <w:rsid w:val="6C276F3A"/>
    <w:rsid w:val="6C6B4DFB"/>
    <w:rsid w:val="6C7007C7"/>
    <w:rsid w:val="6D723F67"/>
    <w:rsid w:val="6DE76850"/>
    <w:rsid w:val="6EF52990"/>
    <w:rsid w:val="6F7A2A44"/>
    <w:rsid w:val="6FA17290"/>
    <w:rsid w:val="6FA85E80"/>
    <w:rsid w:val="6FB20BD4"/>
    <w:rsid w:val="6FBA59BE"/>
    <w:rsid w:val="6FEF699F"/>
    <w:rsid w:val="70296B3E"/>
    <w:rsid w:val="7047792D"/>
    <w:rsid w:val="70611204"/>
    <w:rsid w:val="7165620F"/>
    <w:rsid w:val="717039F8"/>
    <w:rsid w:val="739534EB"/>
    <w:rsid w:val="739F35DC"/>
    <w:rsid w:val="745F3497"/>
    <w:rsid w:val="74D13AD5"/>
    <w:rsid w:val="74FA2C30"/>
    <w:rsid w:val="754D5C4B"/>
    <w:rsid w:val="758331B5"/>
    <w:rsid w:val="75CB690A"/>
    <w:rsid w:val="767F4934"/>
    <w:rsid w:val="76C240A7"/>
    <w:rsid w:val="76DA416A"/>
    <w:rsid w:val="7725204A"/>
    <w:rsid w:val="775246B7"/>
    <w:rsid w:val="779C67B0"/>
    <w:rsid w:val="77BCA0DB"/>
    <w:rsid w:val="77EEC293"/>
    <w:rsid w:val="781E69D1"/>
    <w:rsid w:val="78AA4484"/>
    <w:rsid w:val="78EA354B"/>
    <w:rsid w:val="7901747F"/>
    <w:rsid w:val="791B4953"/>
    <w:rsid w:val="79C30024"/>
    <w:rsid w:val="79D44735"/>
    <w:rsid w:val="79F522D1"/>
    <w:rsid w:val="79F83FA0"/>
    <w:rsid w:val="7A263B6B"/>
    <w:rsid w:val="7A2A00A3"/>
    <w:rsid w:val="7AF46346"/>
    <w:rsid w:val="7B0F5EBF"/>
    <w:rsid w:val="7B130FB9"/>
    <w:rsid w:val="7B220678"/>
    <w:rsid w:val="7BD71E38"/>
    <w:rsid w:val="7BDE0624"/>
    <w:rsid w:val="7BF64EDE"/>
    <w:rsid w:val="7C400C1E"/>
    <w:rsid w:val="7DD11708"/>
    <w:rsid w:val="7DDD89C6"/>
    <w:rsid w:val="7DEE4A4F"/>
    <w:rsid w:val="7DFFE851"/>
    <w:rsid w:val="7E1D4C4C"/>
    <w:rsid w:val="7E521976"/>
    <w:rsid w:val="7EAE6230"/>
    <w:rsid w:val="7EBD579E"/>
    <w:rsid w:val="7EC167BD"/>
    <w:rsid w:val="7EFD6BE0"/>
    <w:rsid w:val="7F272D9E"/>
    <w:rsid w:val="7F35DAEB"/>
    <w:rsid w:val="7F477001"/>
    <w:rsid w:val="7FD9B7E0"/>
    <w:rsid w:val="7FEAEAC6"/>
    <w:rsid w:val="7FF3110A"/>
    <w:rsid w:val="7FFF7D9D"/>
    <w:rsid w:val="979F7D24"/>
    <w:rsid w:val="9BFF40FC"/>
    <w:rsid w:val="9FECD8CF"/>
    <w:rsid w:val="A58F307C"/>
    <w:rsid w:val="ADEF2B5B"/>
    <w:rsid w:val="AF7B9521"/>
    <w:rsid w:val="B5EB11CA"/>
    <w:rsid w:val="B87D6478"/>
    <w:rsid w:val="BDD6A305"/>
    <w:rsid w:val="BEFF02C4"/>
    <w:rsid w:val="CD3BC483"/>
    <w:rsid w:val="CFFCAA25"/>
    <w:rsid w:val="DFE312D5"/>
    <w:rsid w:val="DFEF9E07"/>
    <w:rsid w:val="ED6927E6"/>
    <w:rsid w:val="EDFBDD99"/>
    <w:rsid w:val="EF49DB32"/>
    <w:rsid w:val="EFCFDC32"/>
    <w:rsid w:val="EFDA6B4A"/>
    <w:rsid w:val="EFF78D0A"/>
    <w:rsid w:val="F7FA3049"/>
    <w:rsid w:val="F93FC865"/>
    <w:rsid w:val="F97F5409"/>
    <w:rsid w:val="FB7DED36"/>
    <w:rsid w:val="FB9B2272"/>
    <w:rsid w:val="FBD74358"/>
    <w:rsid w:val="FBFF9932"/>
    <w:rsid w:val="FCDD880F"/>
    <w:rsid w:val="FDDF67DF"/>
    <w:rsid w:val="FE9D3FBF"/>
    <w:rsid w:val="FEBF8138"/>
    <w:rsid w:val="FEE782F3"/>
    <w:rsid w:val="FFFAB3EE"/>
    <w:rsid w:val="FFFD2ED1"/>
    <w:rsid w:val="FFFF30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5"/>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66"/>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67"/>
    <w:qFormat/>
    <w:uiPriority w:val="99"/>
    <w:pPr>
      <w:keepNext/>
      <w:keepLines/>
      <w:spacing w:before="260" w:after="260" w:line="416" w:lineRule="auto"/>
      <w:outlineLvl w:val="2"/>
    </w:pPr>
    <w:rPr>
      <w:b/>
      <w:bCs/>
      <w:sz w:val="32"/>
      <w:szCs w:val="32"/>
    </w:rPr>
  </w:style>
  <w:style w:type="paragraph" w:styleId="8">
    <w:name w:val="heading 4"/>
    <w:basedOn w:val="1"/>
    <w:next w:val="1"/>
    <w:link w:val="68"/>
    <w:qFormat/>
    <w:uiPriority w:val="99"/>
    <w:pPr>
      <w:keepNext/>
      <w:keepLines/>
      <w:spacing w:line="360" w:lineRule="auto"/>
      <w:outlineLvl w:val="3"/>
    </w:pPr>
    <w:rPr>
      <w:rFonts w:ascii="Arial" w:hAnsi="Arial"/>
      <w:b/>
      <w:bCs/>
      <w:sz w:val="28"/>
      <w:szCs w:val="28"/>
    </w:rPr>
  </w:style>
  <w:style w:type="paragraph" w:styleId="9">
    <w:name w:val="heading 5"/>
    <w:basedOn w:val="1"/>
    <w:next w:val="10"/>
    <w:link w:val="69"/>
    <w:qFormat/>
    <w:uiPriority w:val="99"/>
    <w:pPr>
      <w:keepNext/>
      <w:keepLines/>
      <w:spacing w:before="280" w:after="290" w:line="376" w:lineRule="auto"/>
      <w:outlineLvl w:val="4"/>
    </w:pPr>
    <w:rPr>
      <w:b/>
      <w:bCs/>
      <w:sz w:val="28"/>
      <w:szCs w:val="28"/>
    </w:rPr>
  </w:style>
  <w:style w:type="paragraph" w:styleId="11">
    <w:name w:val="heading 6"/>
    <w:basedOn w:val="1"/>
    <w:next w:val="1"/>
    <w:link w:val="71"/>
    <w:qFormat/>
    <w:uiPriority w:val="9"/>
    <w:pPr>
      <w:keepNext/>
      <w:keepLines/>
      <w:spacing w:before="240" w:after="64" w:line="317" w:lineRule="auto"/>
      <w:outlineLvl w:val="5"/>
    </w:pPr>
    <w:rPr>
      <w:rFonts w:ascii="Cambria" w:hAnsi="Cambria"/>
      <w:b/>
      <w:bCs/>
      <w:kern w:val="0"/>
      <w:sz w:val="24"/>
    </w:rPr>
  </w:style>
  <w:style w:type="paragraph" w:styleId="12">
    <w:name w:val="heading 7"/>
    <w:basedOn w:val="1"/>
    <w:next w:val="1"/>
    <w:link w:val="72"/>
    <w:qFormat/>
    <w:uiPriority w:val="9"/>
    <w:pPr>
      <w:keepNext/>
      <w:keepLines/>
      <w:spacing w:before="240" w:after="64" w:line="317" w:lineRule="auto"/>
      <w:outlineLvl w:val="6"/>
    </w:pPr>
    <w:rPr>
      <w:b/>
      <w:bCs/>
      <w:kern w:val="0"/>
      <w:sz w:val="24"/>
    </w:rPr>
  </w:style>
  <w:style w:type="paragraph" w:styleId="13">
    <w:name w:val="heading 8"/>
    <w:basedOn w:val="1"/>
    <w:next w:val="1"/>
    <w:link w:val="73"/>
    <w:qFormat/>
    <w:uiPriority w:val="9"/>
    <w:pPr>
      <w:keepNext/>
      <w:keepLines/>
      <w:spacing w:before="240" w:after="64" w:line="320" w:lineRule="auto"/>
      <w:outlineLvl w:val="7"/>
    </w:pPr>
    <w:rPr>
      <w:rFonts w:ascii="等线 Light" w:hAnsi="等线 Light" w:eastAsia="等线 Light"/>
      <w:sz w:val="24"/>
    </w:rPr>
  </w:style>
  <w:style w:type="paragraph" w:styleId="14">
    <w:name w:val="heading 9"/>
    <w:basedOn w:val="1"/>
    <w:next w:val="1"/>
    <w:link w:val="74"/>
    <w:qFormat/>
    <w:uiPriority w:val="9"/>
    <w:pPr>
      <w:keepNext/>
      <w:keepLines/>
      <w:spacing w:before="240" w:after="64" w:line="317" w:lineRule="auto"/>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spacing w:after="120"/>
      <w:ind w:left="420" w:leftChars="200" w:firstLine="420" w:firstLineChars="200"/>
    </w:pPr>
    <w:rPr>
      <w:rFonts w:ascii="Times New Roman" w:eastAsia="宋体"/>
      <w:kern w:val="2"/>
      <w:sz w:val="21"/>
      <w:szCs w:val="24"/>
    </w:rPr>
  </w:style>
  <w:style w:type="paragraph" w:styleId="3">
    <w:name w:val="Body Text Indent"/>
    <w:basedOn w:val="1"/>
    <w:next w:val="1"/>
    <w:link w:val="79"/>
    <w:qFormat/>
    <w:uiPriority w:val="0"/>
    <w:pPr>
      <w:ind w:firstLine="830" w:firstLineChars="352"/>
    </w:pPr>
    <w:rPr>
      <w:rFonts w:ascii="仿宋_GB2312" w:eastAsia="仿宋_GB2312"/>
      <w:kern w:val="0"/>
      <w:sz w:val="32"/>
      <w:szCs w:val="20"/>
    </w:rPr>
  </w:style>
  <w:style w:type="paragraph" w:styleId="4">
    <w:name w:val="Intense Quote"/>
    <w:basedOn w:val="1"/>
    <w:next w:val="1"/>
    <w:qFormat/>
    <w:uiPriority w:val="30"/>
    <w:pPr>
      <w:pBdr>
        <w:bottom w:val="single" w:color="4F81BD" w:sz="4" w:space="4"/>
      </w:pBdr>
      <w:spacing w:before="200" w:after="280"/>
      <w:ind w:left="936" w:right="936"/>
    </w:pPr>
    <w:rPr>
      <w:rFonts w:ascii="Calibri" w:hAnsi="Calibri"/>
      <w:b/>
      <w:i/>
      <w:color w:val="4F81BD"/>
    </w:rPr>
  </w:style>
  <w:style w:type="paragraph" w:styleId="10">
    <w:name w:val="Normal Indent"/>
    <w:basedOn w:val="1"/>
    <w:link w:val="70"/>
    <w:qFormat/>
    <w:uiPriority w:val="99"/>
    <w:pPr>
      <w:ind w:firstLine="420"/>
    </w:pPr>
    <w:rPr>
      <w:szCs w:val="20"/>
    </w:rPr>
  </w:style>
  <w:style w:type="paragraph" w:styleId="15">
    <w:name w:val="toc 7"/>
    <w:basedOn w:val="1"/>
    <w:next w:val="1"/>
    <w:qFormat/>
    <w:uiPriority w:val="39"/>
    <w:pPr>
      <w:ind w:left="2520" w:leftChars="1200"/>
    </w:pPr>
    <w:rPr>
      <w:rFonts w:ascii="Calibri" w:hAnsi="Calibri" w:cs="Calibri"/>
      <w:szCs w:val="21"/>
    </w:rPr>
  </w:style>
  <w:style w:type="paragraph" w:styleId="16">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7">
    <w:name w:val="caption"/>
    <w:basedOn w:val="1"/>
    <w:next w:val="1"/>
    <w:qFormat/>
    <w:uiPriority w:val="99"/>
    <w:rPr>
      <w:rFonts w:ascii="Cambria" w:hAnsi="Cambria" w:eastAsia="黑体" w:cs="Cambria"/>
      <w:sz w:val="20"/>
      <w:szCs w:val="20"/>
    </w:rPr>
  </w:style>
  <w:style w:type="paragraph" w:styleId="18">
    <w:name w:val="Document Map"/>
    <w:basedOn w:val="1"/>
    <w:link w:val="75"/>
    <w:qFormat/>
    <w:uiPriority w:val="99"/>
    <w:pPr>
      <w:shd w:val="clear" w:color="auto" w:fill="000080"/>
    </w:pPr>
    <w:rPr>
      <w:sz w:val="24"/>
      <w:shd w:val="clear" w:color="auto" w:fill="000080"/>
    </w:rPr>
  </w:style>
  <w:style w:type="paragraph" w:styleId="19">
    <w:name w:val="annotation text"/>
    <w:basedOn w:val="1"/>
    <w:link w:val="76"/>
    <w:qFormat/>
    <w:uiPriority w:val="99"/>
    <w:pPr>
      <w:jc w:val="left"/>
    </w:pPr>
  </w:style>
  <w:style w:type="paragraph" w:styleId="20">
    <w:name w:val="Body Text 3"/>
    <w:basedOn w:val="1"/>
    <w:link w:val="77"/>
    <w:unhideWhenUsed/>
    <w:qFormat/>
    <w:uiPriority w:val="99"/>
    <w:pPr>
      <w:spacing w:after="120"/>
    </w:pPr>
    <w:rPr>
      <w:sz w:val="16"/>
      <w:szCs w:val="16"/>
    </w:rPr>
  </w:style>
  <w:style w:type="paragraph" w:styleId="21">
    <w:name w:val="Body Text"/>
    <w:basedOn w:val="1"/>
    <w:link w:val="78"/>
    <w:unhideWhenUsed/>
    <w:qFormat/>
    <w:uiPriority w:val="99"/>
    <w:pPr>
      <w:spacing w:after="120"/>
    </w:pPr>
  </w:style>
  <w:style w:type="paragraph" w:styleId="22">
    <w:name w:val="List 2"/>
    <w:basedOn w:val="1"/>
    <w:unhideWhenUsed/>
    <w:qFormat/>
    <w:uiPriority w:val="99"/>
    <w:pPr>
      <w:ind w:left="100" w:leftChars="200" w:hanging="200" w:hangingChars="200"/>
      <w:contextualSpacing/>
    </w:pPr>
  </w:style>
  <w:style w:type="paragraph" w:styleId="23">
    <w:name w:val="index 4"/>
    <w:basedOn w:val="1"/>
    <w:next w:val="1"/>
    <w:semiHidden/>
    <w:qFormat/>
    <w:uiPriority w:val="99"/>
    <w:pPr>
      <w:ind w:left="600" w:leftChars="600"/>
    </w:pPr>
    <w:rPr>
      <w:szCs w:val="21"/>
    </w:rPr>
  </w:style>
  <w:style w:type="paragraph" w:styleId="24">
    <w:name w:val="toc 5"/>
    <w:basedOn w:val="1"/>
    <w:next w:val="1"/>
    <w:qFormat/>
    <w:uiPriority w:val="39"/>
    <w:pPr>
      <w:ind w:left="1680" w:leftChars="800"/>
    </w:pPr>
    <w:rPr>
      <w:rFonts w:ascii="Calibri" w:hAnsi="Calibri" w:cs="Calibri"/>
      <w:szCs w:val="21"/>
    </w:rPr>
  </w:style>
  <w:style w:type="paragraph" w:styleId="25">
    <w:name w:val="toc 3"/>
    <w:basedOn w:val="1"/>
    <w:next w:val="1"/>
    <w:qFormat/>
    <w:uiPriority w:val="39"/>
    <w:pPr>
      <w:ind w:left="840" w:leftChars="400"/>
    </w:pPr>
    <w:rPr>
      <w:szCs w:val="21"/>
    </w:rPr>
  </w:style>
  <w:style w:type="paragraph" w:styleId="26">
    <w:name w:val="Plain Text"/>
    <w:basedOn w:val="1"/>
    <w:link w:val="80"/>
    <w:qFormat/>
    <w:uiPriority w:val="99"/>
    <w:rPr>
      <w:rFonts w:ascii="宋体" w:hAnsi="Courier New"/>
      <w:kern w:val="0"/>
      <w:sz w:val="20"/>
      <w:szCs w:val="21"/>
    </w:rPr>
  </w:style>
  <w:style w:type="paragraph" w:styleId="27">
    <w:name w:val="toc 8"/>
    <w:basedOn w:val="1"/>
    <w:next w:val="1"/>
    <w:qFormat/>
    <w:uiPriority w:val="39"/>
    <w:pPr>
      <w:ind w:left="2940" w:leftChars="1400"/>
    </w:pPr>
    <w:rPr>
      <w:rFonts w:ascii="Calibri" w:hAnsi="Calibri" w:cs="Calibri"/>
      <w:szCs w:val="21"/>
    </w:rPr>
  </w:style>
  <w:style w:type="paragraph" w:styleId="28">
    <w:name w:val="Date"/>
    <w:basedOn w:val="1"/>
    <w:next w:val="1"/>
    <w:link w:val="81"/>
    <w:unhideWhenUsed/>
    <w:qFormat/>
    <w:uiPriority w:val="99"/>
    <w:pPr>
      <w:ind w:left="100" w:leftChars="2500"/>
    </w:pPr>
  </w:style>
  <w:style w:type="paragraph" w:styleId="29">
    <w:name w:val="Body Text Indent 2"/>
    <w:basedOn w:val="1"/>
    <w:link w:val="82"/>
    <w:qFormat/>
    <w:uiPriority w:val="99"/>
    <w:pPr>
      <w:spacing w:after="120" w:line="480" w:lineRule="auto"/>
      <w:ind w:left="420" w:leftChars="200"/>
    </w:pPr>
    <w:rPr>
      <w:sz w:val="24"/>
    </w:rPr>
  </w:style>
  <w:style w:type="paragraph" w:styleId="30">
    <w:name w:val="Balloon Text"/>
    <w:basedOn w:val="1"/>
    <w:link w:val="83"/>
    <w:qFormat/>
    <w:uiPriority w:val="99"/>
    <w:rPr>
      <w:sz w:val="18"/>
      <w:szCs w:val="18"/>
    </w:rPr>
  </w:style>
  <w:style w:type="paragraph" w:styleId="31">
    <w:name w:val="footer"/>
    <w:basedOn w:val="1"/>
    <w:link w:val="84"/>
    <w:unhideWhenUsed/>
    <w:qFormat/>
    <w:uiPriority w:val="99"/>
    <w:pPr>
      <w:tabs>
        <w:tab w:val="center" w:pos="4153"/>
        <w:tab w:val="right" w:pos="8306"/>
      </w:tabs>
      <w:snapToGrid w:val="0"/>
      <w:jc w:val="left"/>
    </w:pPr>
    <w:rPr>
      <w:kern w:val="0"/>
      <w:sz w:val="18"/>
      <w:szCs w:val="18"/>
    </w:rPr>
  </w:style>
  <w:style w:type="paragraph" w:styleId="32">
    <w:name w:val="header"/>
    <w:basedOn w:val="1"/>
    <w:link w:val="8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unhideWhenUsed/>
    <w:qFormat/>
    <w:uiPriority w:val="39"/>
  </w:style>
  <w:style w:type="paragraph" w:styleId="34">
    <w:name w:val="toc 4"/>
    <w:basedOn w:val="1"/>
    <w:next w:val="1"/>
    <w:qFormat/>
    <w:uiPriority w:val="39"/>
    <w:pPr>
      <w:ind w:left="1260" w:leftChars="600"/>
    </w:pPr>
    <w:rPr>
      <w:rFonts w:ascii="Calibri" w:hAnsi="Calibri" w:cs="Calibri"/>
      <w:szCs w:val="21"/>
    </w:rPr>
  </w:style>
  <w:style w:type="paragraph" w:styleId="35">
    <w:name w:val="Subtitle"/>
    <w:basedOn w:val="1"/>
    <w:next w:val="1"/>
    <w:link w:val="86"/>
    <w:qFormat/>
    <w:uiPriority w:val="11"/>
    <w:pPr>
      <w:spacing w:before="240" w:after="60" w:line="312" w:lineRule="auto"/>
      <w:jc w:val="center"/>
      <w:outlineLvl w:val="1"/>
    </w:pPr>
    <w:rPr>
      <w:rFonts w:ascii="Cambria" w:hAnsi="Cambria"/>
      <w:b/>
      <w:bCs/>
      <w:kern w:val="28"/>
      <w:sz w:val="32"/>
      <w:szCs w:val="32"/>
    </w:rPr>
  </w:style>
  <w:style w:type="paragraph" w:styleId="36">
    <w:name w:val="List"/>
    <w:basedOn w:val="1"/>
    <w:qFormat/>
    <w:uiPriority w:val="0"/>
    <w:pPr>
      <w:ind w:left="200" w:hanging="200" w:hangingChars="200"/>
    </w:pPr>
    <w:rPr>
      <w:sz w:val="28"/>
    </w:rPr>
  </w:style>
  <w:style w:type="paragraph" w:styleId="37">
    <w:name w:val="footnote text"/>
    <w:basedOn w:val="1"/>
    <w:link w:val="87"/>
    <w:qFormat/>
    <w:uiPriority w:val="99"/>
    <w:pPr>
      <w:adjustRightInd w:val="0"/>
      <w:spacing w:line="312" w:lineRule="atLeast"/>
      <w:jc w:val="left"/>
      <w:textAlignment w:val="baseline"/>
    </w:pPr>
    <w:rPr>
      <w:kern w:val="0"/>
      <w:sz w:val="18"/>
      <w:szCs w:val="18"/>
    </w:rPr>
  </w:style>
  <w:style w:type="paragraph" w:styleId="38">
    <w:name w:val="toc 6"/>
    <w:basedOn w:val="1"/>
    <w:next w:val="1"/>
    <w:qFormat/>
    <w:uiPriority w:val="39"/>
    <w:pPr>
      <w:ind w:left="2100" w:leftChars="1000"/>
    </w:pPr>
    <w:rPr>
      <w:rFonts w:ascii="Calibri" w:hAnsi="Calibri" w:cs="Calibri"/>
      <w:szCs w:val="21"/>
    </w:rPr>
  </w:style>
  <w:style w:type="paragraph" w:styleId="39">
    <w:name w:val="toc 2"/>
    <w:basedOn w:val="1"/>
    <w:next w:val="1"/>
    <w:unhideWhenUsed/>
    <w:qFormat/>
    <w:uiPriority w:val="39"/>
    <w:pPr>
      <w:tabs>
        <w:tab w:val="right" w:leader="dot" w:pos="8296"/>
      </w:tabs>
      <w:ind w:left="420" w:leftChars="200"/>
    </w:pPr>
  </w:style>
  <w:style w:type="paragraph" w:styleId="40">
    <w:name w:val="toc 9"/>
    <w:basedOn w:val="1"/>
    <w:next w:val="1"/>
    <w:qFormat/>
    <w:uiPriority w:val="39"/>
    <w:pPr>
      <w:ind w:left="3360" w:leftChars="1600"/>
    </w:pPr>
    <w:rPr>
      <w:rFonts w:ascii="Calibri" w:hAnsi="Calibri" w:cs="Calibri"/>
      <w:szCs w:val="21"/>
    </w:rPr>
  </w:style>
  <w:style w:type="paragraph" w:styleId="41">
    <w:name w:val="HTML Preformatted"/>
    <w:basedOn w:val="1"/>
    <w:link w:val="8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unhideWhenUsed/>
    <w:qFormat/>
    <w:uiPriority w:val="0"/>
    <w:rPr>
      <w:rFonts w:ascii="Calibri" w:hAnsi="Calibri"/>
      <w:kern w:val="0"/>
      <w:sz w:val="24"/>
    </w:rPr>
  </w:style>
  <w:style w:type="paragraph" w:styleId="43">
    <w:name w:val="Title"/>
    <w:basedOn w:val="1"/>
    <w:next w:val="1"/>
    <w:link w:val="89"/>
    <w:qFormat/>
    <w:uiPriority w:val="99"/>
    <w:pPr>
      <w:spacing w:before="240" w:after="60"/>
      <w:jc w:val="center"/>
      <w:outlineLvl w:val="0"/>
    </w:pPr>
    <w:rPr>
      <w:rFonts w:ascii="Cambria" w:hAnsi="Cambria"/>
      <w:b/>
      <w:bCs/>
      <w:sz w:val="32"/>
      <w:szCs w:val="32"/>
    </w:rPr>
  </w:style>
  <w:style w:type="paragraph" w:styleId="44">
    <w:name w:val="annotation subject"/>
    <w:basedOn w:val="19"/>
    <w:next w:val="19"/>
    <w:link w:val="90"/>
    <w:qFormat/>
    <w:uiPriority w:val="99"/>
    <w:rPr>
      <w:b/>
      <w:bCs/>
    </w:rPr>
  </w:style>
  <w:style w:type="table" w:styleId="46">
    <w:name w:val="Table Grid"/>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endnote reference"/>
    <w:unhideWhenUsed/>
    <w:qFormat/>
    <w:uiPriority w:val="99"/>
    <w:rPr>
      <w:vertAlign w:val="superscript"/>
    </w:rPr>
  </w:style>
  <w:style w:type="character" w:styleId="50">
    <w:name w:val="page number"/>
    <w:qFormat/>
    <w:uiPriority w:val="99"/>
  </w:style>
  <w:style w:type="character" w:styleId="51">
    <w:name w:val="Emphasis"/>
    <w:qFormat/>
    <w:uiPriority w:val="99"/>
    <w:rPr>
      <w:i/>
      <w:iCs/>
    </w:rPr>
  </w:style>
  <w:style w:type="character" w:styleId="52">
    <w:name w:val="HTML Definition"/>
    <w:basedOn w:val="47"/>
    <w:unhideWhenUsed/>
    <w:qFormat/>
    <w:uiPriority w:val="99"/>
  </w:style>
  <w:style w:type="character" w:styleId="53">
    <w:name w:val="HTML Typewriter"/>
    <w:basedOn w:val="47"/>
    <w:unhideWhenUsed/>
    <w:qFormat/>
    <w:uiPriority w:val="99"/>
    <w:rPr>
      <w:rFonts w:hint="default" w:ascii="monospace" w:hAnsi="monospace" w:eastAsia="monospace" w:cs="monospace"/>
      <w:sz w:val="20"/>
    </w:rPr>
  </w:style>
  <w:style w:type="character" w:styleId="54">
    <w:name w:val="HTML Acronym"/>
    <w:basedOn w:val="47"/>
    <w:unhideWhenUsed/>
    <w:qFormat/>
    <w:uiPriority w:val="99"/>
  </w:style>
  <w:style w:type="character" w:styleId="55">
    <w:name w:val="HTML Variable"/>
    <w:basedOn w:val="47"/>
    <w:unhideWhenUsed/>
    <w:qFormat/>
    <w:uiPriority w:val="99"/>
  </w:style>
  <w:style w:type="character" w:styleId="56">
    <w:name w:val="Hyperlink"/>
    <w:unhideWhenUsed/>
    <w:qFormat/>
    <w:uiPriority w:val="99"/>
    <w:rPr>
      <w:color w:val="0000FF"/>
      <w:u w:val="single"/>
    </w:rPr>
  </w:style>
  <w:style w:type="character" w:styleId="57">
    <w:name w:val="HTML Code"/>
    <w:basedOn w:val="47"/>
    <w:unhideWhenUsed/>
    <w:qFormat/>
    <w:uiPriority w:val="99"/>
    <w:rPr>
      <w:rFonts w:hint="default" w:ascii="monospace" w:hAnsi="monospace" w:eastAsia="monospace" w:cs="monospace"/>
      <w:sz w:val="20"/>
    </w:rPr>
  </w:style>
  <w:style w:type="character" w:styleId="58">
    <w:name w:val="annotation reference"/>
    <w:qFormat/>
    <w:uiPriority w:val="0"/>
    <w:rPr>
      <w:sz w:val="21"/>
      <w:szCs w:val="21"/>
    </w:rPr>
  </w:style>
  <w:style w:type="character" w:styleId="59">
    <w:name w:val="HTML Cite"/>
    <w:basedOn w:val="47"/>
    <w:unhideWhenUsed/>
    <w:qFormat/>
    <w:uiPriority w:val="99"/>
  </w:style>
  <w:style w:type="character" w:styleId="60">
    <w:name w:val="footnote reference"/>
    <w:unhideWhenUsed/>
    <w:qFormat/>
    <w:uiPriority w:val="0"/>
    <w:rPr>
      <w:vertAlign w:val="superscript"/>
    </w:rPr>
  </w:style>
  <w:style w:type="character" w:styleId="61">
    <w:name w:val="HTML Keyboard"/>
    <w:basedOn w:val="47"/>
    <w:unhideWhenUsed/>
    <w:qFormat/>
    <w:uiPriority w:val="99"/>
    <w:rPr>
      <w:rFonts w:hint="default" w:ascii="monospace" w:hAnsi="monospace" w:eastAsia="monospace" w:cs="monospace"/>
      <w:sz w:val="20"/>
    </w:rPr>
  </w:style>
  <w:style w:type="character" w:styleId="62">
    <w:name w:val="HTML Sample"/>
    <w:basedOn w:val="47"/>
    <w:unhideWhenUsed/>
    <w:qFormat/>
    <w:uiPriority w:val="99"/>
    <w:rPr>
      <w:rFonts w:ascii="monospace" w:hAnsi="monospace" w:eastAsia="monospace" w:cs="monospace"/>
    </w:rPr>
  </w:style>
  <w:style w:type="paragraph" w:customStyle="1" w:styleId="63">
    <w:name w:val="Default"/>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4">
    <w:name w:val="正文1"/>
    <w:basedOn w:val="1"/>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65">
    <w:name w:val="标题 1 Char"/>
    <w:link w:val="5"/>
    <w:qFormat/>
    <w:uiPriority w:val="99"/>
    <w:rPr>
      <w:b/>
      <w:bCs/>
      <w:kern w:val="44"/>
      <w:sz w:val="44"/>
      <w:szCs w:val="44"/>
    </w:rPr>
  </w:style>
  <w:style w:type="character" w:customStyle="1" w:styleId="66">
    <w:name w:val="标题 2 Char1"/>
    <w:link w:val="6"/>
    <w:qFormat/>
    <w:uiPriority w:val="9"/>
    <w:rPr>
      <w:rFonts w:ascii="Cambria" w:hAnsi="Cambria" w:eastAsia="宋体" w:cs="Times New Roman"/>
      <w:b/>
      <w:bCs/>
      <w:kern w:val="2"/>
      <w:sz w:val="32"/>
      <w:szCs w:val="32"/>
    </w:rPr>
  </w:style>
  <w:style w:type="character" w:customStyle="1" w:styleId="67">
    <w:name w:val="标题 3 Char"/>
    <w:link w:val="7"/>
    <w:qFormat/>
    <w:uiPriority w:val="99"/>
    <w:rPr>
      <w:b/>
      <w:bCs/>
      <w:kern w:val="2"/>
      <w:sz w:val="32"/>
      <w:szCs w:val="32"/>
    </w:rPr>
  </w:style>
  <w:style w:type="character" w:customStyle="1" w:styleId="68">
    <w:name w:val="标题 4 Char"/>
    <w:link w:val="8"/>
    <w:qFormat/>
    <w:uiPriority w:val="99"/>
    <w:rPr>
      <w:rFonts w:ascii="Arial" w:hAnsi="Arial"/>
      <w:b/>
      <w:bCs/>
      <w:kern w:val="2"/>
      <w:sz w:val="28"/>
      <w:szCs w:val="28"/>
    </w:rPr>
  </w:style>
  <w:style w:type="character" w:customStyle="1" w:styleId="69">
    <w:name w:val="标题 5 Char"/>
    <w:link w:val="9"/>
    <w:qFormat/>
    <w:uiPriority w:val="99"/>
    <w:rPr>
      <w:rFonts w:ascii="Times New Roman" w:hAnsi="Times New Roman"/>
      <w:b/>
      <w:bCs/>
      <w:kern w:val="2"/>
      <w:sz w:val="28"/>
      <w:szCs w:val="28"/>
    </w:rPr>
  </w:style>
  <w:style w:type="character" w:customStyle="1" w:styleId="70">
    <w:name w:val="正文缩进 Char"/>
    <w:link w:val="10"/>
    <w:qFormat/>
    <w:uiPriority w:val="99"/>
    <w:rPr>
      <w:kern w:val="2"/>
      <w:sz w:val="21"/>
    </w:rPr>
  </w:style>
  <w:style w:type="character" w:customStyle="1" w:styleId="71">
    <w:name w:val="标题 6 Char"/>
    <w:link w:val="11"/>
    <w:qFormat/>
    <w:uiPriority w:val="9"/>
    <w:rPr>
      <w:rFonts w:ascii="Cambria" w:hAnsi="Cambria"/>
      <w:b/>
      <w:bCs/>
      <w:sz w:val="24"/>
      <w:szCs w:val="24"/>
    </w:rPr>
  </w:style>
  <w:style w:type="character" w:customStyle="1" w:styleId="72">
    <w:name w:val="标题 7 Char"/>
    <w:link w:val="12"/>
    <w:qFormat/>
    <w:uiPriority w:val="9"/>
    <w:rPr>
      <w:b/>
      <w:bCs/>
      <w:sz w:val="24"/>
      <w:szCs w:val="24"/>
    </w:rPr>
  </w:style>
  <w:style w:type="character" w:customStyle="1" w:styleId="73">
    <w:name w:val="标题 8 Char1"/>
    <w:link w:val="13"/>
    <w:semiHidden/>
    <w:qFormat/>
    <w:uiPriority w:val="9"/>
    <w:rPr>
      <w:rFonts w:ascii="等线 Light" w:hAnsi="等线 Light" w:eastAsia="等线 Light" w:cs="Times New Roman"/>
      <w:kern w:val="2"/>
      <w:sz w:val="24"/>
      <w:szCs w:val="24"/>
    </w:rPr>
  </w:style>
  <w:style w:type="character" w:customStyle="1" w:styleId="74">
    <w:name w:val="标题 9 Char"/>
    <w:link w:val="14"/>
    <w:qFormat/>
    <w:uiPriority w:val="9"/>
    <w:rPr>
      <w:rFonts w:ascii="Cambria" w:hAnsi="Cambria"/>
      <w:szCs w:val="21"/>
    </w:rPr>
  </w:style>
  <w:style w:type="character" w:customStyle="1" w:styleId="75">
    <w:name w:val="文档结构图 Char"/>
    <w:link w:val="18"/>
    <w:qFormat/>
    <w:uiPriority w:val="99"/>
    <w:rPr>
      <w:kern w:val="2"/>
      <w:sz w:val="24"/>
      <w:szCs w:val="24"/>
      <w:shd w:val="clear" w:color="auto" w:fill="000080"/>
    </w:rPr>
  </w:style>
  <w:style w:type="character" w:customStyle="1" w:styleId="76">
    <w:name w:val="批注文字 Char3"/>
    <w:link w:val="19"/>
    <w:qFormat/>
    <w:uiPriority w:val="99"/>
    <w:rPr>
      <w:rFonts w:ascii="Times New Roman" w:hAnsi="Times New Roman"/>
      <w:kern w:val="2"/>
      <w:sz w:val="21"/>
      <w:szCs w:val="24"/>
    </w:rPr>
  </w:style>
  <w:style w:type="character" w:customStyle="1" w:styleId="77">
    <w:name w:val="正文文本 3 Char"/>
    <w:link w:val="20"/>
    <w:semiHidden/>
    <w:qFormat/>
    <w:uiPriority w:val="99"/>
    <w:rPr>
      <w:kern w:val="2"/>
      <w:sz w:val="16"/>
      <w:szCs w:val="16"/>
    </w:rPr>
  </w:style>
  <w:style w:type="character" w:customStyle="1" w:styleId="78">
    <w:name w:val="正文文本 Char1"/>
    <w:link w:val="21"/>
    <w:qFormat/>
    <w:uiPriority w:val="99"/>
    <w:rPr>
      <w:rFonts w:ascii="Times New Roman" w:hAnsi="Times New Roman"/>
      <w:kern w:val="2"/>
      <w:sz w:val="21"/>
      <w:szCs w:val="24"/>
    </w:rPr>
  </w:style>
  <w:style w:type="character" w:customStyle="1" w:styleId="79">
    <w:name w:val="正文文本缩进 Char"/>
    <w:link w:val="3"/>
    <w:qFormat/>
    <w:uiPriority w:val="0"/>
    <w:rPr>
      <w:rFonts w:ascii="仿宋_GB2312" w:hAnsi="Times New Roman" w:eastAsia="仿宋_GB2312" w:cs="Times New Roman"/>
      <w:sz w:val="32"/>
      <w:szCs w:val="20"/>
    </w:rPr>
  </w:style>
  <w:style w:type="character" w:customStyle="1" w:styleId="80">
    <w:name w:val="纯文本 Char3"/>
    <w:link w:val="26"/>
    <w:qFormat/>
    <w:uiPriority w:val="99"/>
    <w:rPr>
      <w:rFonts w:ascii="宋体" w:hAnsi="Courier New" w:eastAsia="宋体" w:cs="Courier New"/>
      <w:szCs w:val="21"/>
    </w:rPr>
  </w:style>
  <w:style w:type="character" w:customStyle="1" w:styleId="81">
    <w:name w:val="日期 Char"/>
    <w:link w:val="28"/>
    <w:qFormat/>
    <w:uiPriority w:val="99"/>
    <w:rPr>
      <w:rFonts w:ascii="Times New Roman" w:hAnsi="Times New Roman"/>
      <w:kern w:val="2"/>
      <w:sz w:val="21"/>
      <w:szCs w:val="24"/>
    </w:rPr>
  </w:style>
  <w:style w:type="character" w:customStyle="1" w:styleId="82">
    <w:name w:val="正文文本缩进 2 Char"/>
    <w:link w:val="29"/>
    <w:qFormat/>
    <w:uiPriority w:val="99"/>
    <w:rPr>
      <w:kern w:val="2"/>
      <w:sz w:val="24"/>
      <w:szCs w:val="24"/>
    </w:rPr>
  </w:style>
  <w:style w:type="character" w:customStyle="1" w:styleId="83">
    <w:name w:val="批注框文本 Char"/>
    <w:link w:val="30"/>
    <w:qFormat/>
    <w:locked/>
    <w:uiPriority w:val="99"/>
    <w:rPr>
      <w:kern w:val="2"/>
      <w:sz w:val="18"/>
      <w:szCs w:val="18"/>
    </w:rPr>
  </w:style>
  <w:style w:type="character" w:customStyle="1" w:styleId="84">
    <w:name w:val="页脚 Char"/>
    <w:link w:val="31"/>
    <w:qFormat/>
    <w:uiPriority w:val="99"/>
    <w:rPr>
      <w:sz w:val="18"/>
      <w:szCs w:val="18"/>
    </w:rPr>
  </w:style>
  <w:style w:type="character" w:customStyle="1" w:styleId="85">
    <w:name w:val="页眉 Char"/>
    <w:link w:val="32"/>
    <w:qFormat/>
    <w:uiPriority w:val="99"/>
    <w:rPr>
      <w:sz w:val="18"/>
      <w:szCs w:val="18"/>
    </w:rPr>
  </w:style>
  <w:style w:type="character" w:customStyle="1" w:styleId="86">
    <w:name w:val="副标题 Char"/>
    <w:link w:val="35"/>
    <w:qFormat/>
    <w:uiPriority w:val="11"/>
    <w:rPr>
      <w:rFonts w:ascii="Cambria" w:hAnsi="Cambria"/>
      <w:b/>
      <w:bCs/>
      <w:kern w:val="28"/>
      <w:sz w:val="32"/>
      <w:szCs w:val="32"/>
    </w:rPr>
  </w:style>
  <w:style w:type="character" w:customStyle="1" w:styleId="87">
    <w:name w:val="脚注文本 Char"/>
    <w:link w:val="37"/>
    <w:qFormat/>
    <w:uiPriority w:val="99"/>
    <w:rPr>
      <w:sz w:val="18"/>
      <w:szCs w:val="18"/>
    </w:rPr>
  </w:style>
  <w:style w:type="character" w:customStyle="1" w:styleId="88">
    <w:name w:val="HTML 预设格式 Char"/>
    <w:link w:val="41"/>
    <w:qFormat/>
    <w:uiPriority w:val="99"/>
    <w:rPr>
      <w:rFonts w:ascii="宋体" w:hAnsi="宋体"/>
      <w:sz w:val="24"/>
      <w:szCs w:val="24"/>
    </w:rPr>
  </w:style>
  <w:style w:type="character" w:customStyle="1" w:styleId="89">
    <w:name w:val="标题 Char"/>
    <w:link w:val="43"/>
    <w:qFormat/>
    <w:uiPriority w:val="99"/>
    <w:rPr>
      <w:rFonts w:ascii="Cambria" w:hAnsi="Cambria"/>
      <w:b/>
      <w:bCs/>
      <w:kern w:val="2"/>
      <w:sz w:val="32"/>
      <w:szCs w:val="32"/>
    </w:rPr>
  </w:style>
  <w:style w:type="character" w:customStyle="1" w:styleId="90">
    <w:name w:val="批注主题 Char"/>
    <w:link w:val="44"/>
    <w:qFormat/>
    <w:uiPriority w:val="99"/>
    <w:rPr>
      <w:rFonts w:ascii="Times New Roman" w:hAnsi="Times New Roman"/>
      <w:b/>
      <w:bCs/>
      <w:kern w:val="2"/>
      <w:sz w:val="21"/>
      <w:szCs w:val="24"/>
    </w:rPr>
  </w:style>
  <w:style w:type="character" w:customStyle="1" w:styleId="91">
    <w:name w:val="访问过的超链接1"/>
    <w:qFormat/>
    <w:uiPriority w:val="99"/>
    <w:rPr>
      <w:color w:val="800080"/>
      <w:u w:val="single"/>
    </w:rPr>
  </w:style>
  <w:style w:type="character" w:customStyle="1" w:styleId="92">
    <w:name w:val="书籍标题1"/>
    <w:qFormat/>
    <w:uiPriority w:val="99"/>
    <w:rPr>
      <w:b/>
      <w:bCs/>
      <w:smallCaps/>
      <w:spacing w:val="5"/>
    </w:rPr>
  </w:style>
  <w:style w:type="character" w:customStyle="1" w:styleId="93">
    <w:name w:val="Body text|5_"/>
    <w:link w:val="94"/>
    <w:qFormat/>
    <w:uiPriority w:val="0"/>
    <w:rPr>
      <w:rFonts w:ascii="宋体" w:hAnsi="宋体" w:cs="宋体"/>
      <w:sz w:val="52"/>
      <w:szCs w:val="52"/>
      <w:lang w:val="zh-CN" w:bidi="zh-CN"/>
    </w:rPr>
  </w:style>
  <w:style w:type="paragraph" w:customStyle="1" w:styleId="94">
    <w:name w:val="Body text|5"/>
    <w:basedOn w:val="1"/>
    <w:link w:val="93"/>
    <w:qFormat/>
    <w:uiPriority w:val="0"/>
    <w:pPr>
      <w:jc w:val="center"/>
    </w:pPr>
    <w:rPr>
      <w:rFonts w:ascii="宋体" w:hAnsi="宋体" w:cs="宋体"/>
      <w:kern w:val="0"/>
      <w:sz w:val="52"/>
      <w:szCs w:val="52"/>
      <w:lang w:val="zh-CN" w:bidi="zh-CN"/>
    </w:rPr>
  </w:style>
  <w:style w:type="character" w:customStyle="1" w:styleId="95">
    <w:name w:val="Body text|1_"/>
    <w:link w:val="96"/>
    <w:qFormat/>
    <w:uiPriority w:val="0"/>
    <w:rPr>
      <w:rFonts w:ascii="宋体" w:hAnsi="宋体" w:cs="宋体"/>
      <w:kern w:val="2"/>
      <w:sz w:val="21"/>
      <w:lang w:val="zh-CN" w:bidi="zh-CN"/>
    </w:rPr>
  </w:style>
  <w:style w:type="paragraph" w:customStyle="1" w:styleId="96">
    <w:name w:val="Body text|1"/>
    <w:basedOn w:val="1"/>
    <w:link w:val="95"/>
    <w:qFormat/>
    <w:uiPriority w:val="0"/>
    <w:pPr>
      <w:spacing w:line="360" w:lineRule="auto"/>
      <w:ind w:firstLine="400"/>
    </w:pPr>
    <w:rPr>
      <w:rFonts w:ascii="宋体" w:hAnsi="宋体" w:cs="宋体"/>
      <w:szCs w:val="20"/>
      <w:lang w:val="zh-CN" w:bidi="zh-CN"/>
    </w:rPr>
  </w:style>
  <w:style w:type="character" w:customStyle="1" w:styleId="97">
    <w:name w:val="Table caption|1_"/>
    <w:link w:val="98"/>
    <w:qFormat/>
    <w:uiPriority w:val="0"/>
    <w:rPr>
      <w:rFonts w:ascii="宋体" w:hAnsi="宋体" w:cs="宋体"/>
      <w:lang w:val="zh-CN" w:bidi="zh-CN"/>
    </w:rPr>
  </w:style>
  <w:style w:type="paragraph" w:customStyle="1" w:styleId="98">
    <w:name w:val="Table caption|1"/>
    <w:basedOn w:val="1"/>
    <w:link w:val="97"/>
    <w:qFormat/>
    <w:uiPriority w:val="0"/>
    <w:pPr>
      <w:jc w:val="left"/>
    </w:pPr>
    <w:rPr>
      <w:rFonts w:ascii="宋体" w:hAnsi="宋体" w:cs="宋体"/>
      <w:kern w:val="0"/>
      <w:sz w:val="20"/>
      <w:szCs w:val="20"/>
      <w:lang w:val="zh-CN" w:bidi="zh-CN"/>
    </w:rPr>
  </w:style>
  <w:style w:type="character" w:customStyle="1" w:styleId="99">
    <w:name w:val="Heading #4|1_"/>
    <w:link w:val="100"/>
    <w:qFormat/>
    <w:uiPriority w:val="0"/>
    <w:rPr>
      <w:rFonts w:ascii="宋体" w:hAnsi="宋体" w:cs="宋体"/>
      <w:lang w:val="zh-CN" w:bidi="zh-CN"/>
    </w:rPr>
  </w:style>
  <w:style w:type="paragraph" w:customStyle="1" w:styleId="100">
    <w:name w:val="Heading #4|1"/>
    <w:basedOn w:val="1"/>
    <w:link w:val="99"/>
    <w:qFormat/>
    <w:uiPriority w:val="0"/>
    <w:pPr>
      <w:spacing w:after="120"/>
      <w:jc w:val="left"/>
      <w:outlineLvl w:val="3"/>
    </w:pPr>
    <w:rPr>
      <w:rFonts w:ascii="宋体" w:hAnsi="宋体" w:cs="宋体"/>
      <w:kern w:val="0"/>
      <w:sz w:val="20"/>
      <w:szCs w:val="20"/>
      <w:lang w:val="zh-CN" w:bidi="zh-CN"/>
    </w:rPr>
  </w:style>
  <w:style w:type="character" w:customStyle="1" w:styleId="101">
    <w:name w:val="Body text|2_"/>
    <w:link w:val="102"/>
    <w:qFormat/>
    <w:uiPriority w:val="0"/>
    <w:rPr>
      <w:sz w:val="21"/>
    </w:rPr>
  </w:style>
  <w:style w:type="paragraph" w:customStyle="1" w:styleId="102">
    <w:name w:val="Body text|2"/>
    <w:basedOn w:val="1"/>
    <w:link w:val="101"/>
    <w:qFormat/>
    <w:uiPriority w:val="0"/>
    <w:pPr>
      <w:spacing w:after="30"/>
      <w:ind w:firstLine="420"/>
      <w:jc w:val="left"/>
    </w:pPr>
    <w:rPr>
      <w:kern w:val="0"/>
      <w:szCs w:val="20"/>
    </w:rPr>
  </w:style>
  <w:style w:type="character" w:customStyle="1" w:styleId="103">
    <w:name w:val="Heading #1|1_"/>
    <w:link w:val="104"/>
    <w:qFormat/>
    <w:uiPriority w:val="0"/>
    <w:rPr>
      <w:rFonts w:ascii="宋体" w:hAnsi="宋体" w:cs="宋体"/>
      <w:sz w:val="38"/>
      <w:szCs w:val="38"/>
      <w:lang w:val="zh-CN" w:bidi="zh-CN"/>
    </w:rPr>
  </w:style>
  <w:style w:type="paragraph" w:customStyle="1" w:styleId="104">
    <w:name w:val="Heading #1|1"/>
    <w:basedOn w:val="1"/>
    <w:link w:val="103"/>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5">
    <w:name w:val="Header or footer|2_"/>
    <w:link w:val="106"/>
    <w:qFormat/>
    <w:uiPriority w:val="0"/>
    <w:rPr>
      <w:lang w:val="zh-CN" w:bidi="zh-CN"/>
    </w:rPr>
  </w:style>
  <w:style w:type="paragraph" w:customStyle="1" w:styleId="106">
    <w:name w:val="Header or footer|2"/>
    <w:basedOn w:val="1"/>
    <w:link w:val="105"/>
    <w:qFormat/>
    <w:uiPriority w:val="0"/>
    <w:pPr>
      <w:jc w:val="left"/>
    </w:pPr>
    <w:rPr>
      <w:kern w:val="0"/>
      <w:sz w:val="20"/>
      <w:szCs w:val="20"/>
      <w:lang w:val="zh-CN" w:bidi="zh-CN"/>
    </w:rPr>
  </w:style>
  <w:style w:type="character" w:customStyle="1" w:styleId="107">
    <w:name w:val="Title Char"/>
    <w:qFormat/>
    <w:uiPriority w:val="99"/>
    <w:rPr>
      <w:rFonts w:ascii="Cambria" w:hAnsi="Cambria" w:cs="Cambria"/>
      <w:b/>
      <w:bCs/>
      <w:sz w:val="32"/>
      <w:szCs w:val="32"/>
    </w:rPr>
  </w:style>
  <w:style w:type="character" w:customStyle="1" w:styleId="108">
    <w:name w:val="Body text|3_"/>
    <w:link w:val="109"/>
    <w:qFormat/>
    <w:uiPriority w:val="0"/>
    <w:rPr>
      <w:rFonts w:ascii="宋体" w:hAnsi="宋体" w:cs="宋体"/>
      <w:lang w:val="zh-CN" w:bidi="zh-CN"/>
    </w:rPr>
  </w:style>
  <w:style w:type="paragraph" w:customStyle="1" w:styleId="109">
    <w:name w:val="Body text|3"/>
    <w:basedOn w:val="1"/>
    <w:link w:val="108"/>
    <w:qFormat/>
    <w:uiPriority w:val="0"/>
    <w:pPr>
      <w:spacing w:after="340"/>
      <w:jc w:val="left"/>
    </w:pPr>
    <w:rPr>
      <w:rFonts w:ascii="宋体" w:hAnsi="宋体" w:cs="宋体"/>
      <w:kern w:val="0"/>
      <w:sz w:val="20"/>
      <w:szCs w:val="20"/>
      <w:lang w:val="zh-CN" w:bidi="zh-CN"/>
    </w:rPr>
  </w:style>
  <w:style w:type="character" w:customStyle="1" w:styleId="110">
    <w:name w:val="Table of contents|1_"/>
    <w:link w:val="111"/>
    <w:qFormat/>
    <w:uiPriority w:val="0"/>
    <w:rPr>
      <w:rFonts w:ascii="宋体" w:hAnsi="宋体" w:cs="宋体"/>
      <w:lang w:val="zh-CN" w:bidi="zh-CN"/>
    </w:rPr>
  </w:style>
  <w:style w:type="paragraph" w:customStyle="1" w:styleId="111">
    <w:name w:val="Table of contents|1"/>
    <w:basedOn w:val="1"/>
    <w:link w:val="110"/>
    <w:qFormat/>
    <w:uiPriority w:val="0"/>
    <w:pPr>
      <w:spacing w:after="100"/>
      <w:ind w:firstLine="600"/>
      <w:jc w:val="left"/>
    </w:pPr>
    <w:rPr>
      <w:rFonts w:ascii="宋体" w:hAnsi="宋体" w:cs="宋体"/>
      <w:kern w:val="0"/>
      <w:sz w:val="20"/>
      <w:szCs w:val="20"/>
      <w:lang w:val="zh-CN" w:bidi="zh-CN"/>
    </w:rPr>
  </w:style>
  <w:style w:type="character" w:customStyle="1" w:styleId="112">
    <w:name w:val="Date Char"/>
    <w:qFormat/>
    <w:uiPriority w:val="99"/>
    <w:rPr>
      <w:rFonts w:eastAsia="宋体"/>
      <w:kern w:val="2"/>
      <w:sz w:val="24"/>
      <w:szCs w:val="24"/>
      <w:lang w:val="en-US" w:eastAsia="zh-CN"/>
    </w:rPr>
  </w:style>
  <w:style w:type="character" w:customStyle="1" w:styleId="113">
    <w:name w:val="Char Char9"/>
    <w:qFormat/>
    <w:uiPriority w:val="99"/>
    <w:rPr>
      <w:rFonts w:eastAsia="宋体"/>
      <w:b/>
      <w:bCs/>
      <w:kern w:val="44"/>
      <w:sz w:val="44"/>
      <w:szCs w:val="44"/>
      <w:lang w:val="en-US" w:eastAsia="zh-CN"/>
    </w:rPr>
  </w:style>
  <w:style w:type="character" w:customStyle="1" w:styleId="114">
    <w:name w:val="Document Map Char"/>
    <w:qFormat/>
    <w:uiPriority w:val="99"/>
    <w:rPr>
      <w:rFonts w:eastAsia="宋体"/>
      <w:kern w:val="2"/>
      <w:sz w:val="24"/>
      <w:szCs w:val="24"/>
      <w:lang w:val="en-US" w:eastAsia="zh-CN"/>
    </w:rPr>
  </w:style>
  <w:style w:type="character" w:customStyle="1" w:styleId="115">
    <w:name w:val="Header Char"/>
    <w:qFormat/>
    <w:uiPriority w:val="99"/>
    <w:rPr>
      <w:rFonts w:eastAsia="宋体"/>
      <w:kern w:val="2"/>
      <w:sz w:val="18"/>
      <w:szCs w:val="18"/>
      <w:lang w:val="en-US" w:eastAsia="zh-CN"/>
    </w:rPr>
  </w:style>
  <w:style w:type="character" w:customStyle="1" w:styleId="116">
    <w:name w:val="明显参考1"/>
    <w:qFormat/>
    <w:uiPriority w:val="99"/>
    <w:rPr>
      <w:b/>
      <w:bCs/>
      <w:smallCaps/>
      <w:color w:val="auto"/>
      <w:spacing w:val="5"/>
      <w:u w:val="single"/>
    </w:rPr>
  </w:style>
  <w:style w:type="character" w:customStyle="1" w:styleId="117">
    <w:name w:val="Heading 1 Char"/>
    <w:qFormat/>
    <w:uiPriority w:val="99"/>
    <w:rPr>
      <w:rFonts w:eastAsia="宋体"/>
      <w:b/>
      <w:bCs/>
      <w:kern w:val="44"/>
      <w:sz w:val="44"/>
      <w:szCs w:val="44"/>
      <w:lang w:val="en-US" w:eastAsia="zh-CN"/>
    </w:rPr>
  </w:style>
  <w:style w:type="character" w:customStyle="1" w:styleId="118">
    <w:name w:val="Comment Text Char"/>
    <w:qFormat/>
    <w:uiPriority w:val="99"/>
    <w:rPr>
      <w:sz w:val="24"/>
      <w:szCs w:val="24"/>
    </w:rPr>
  </w:style>
  <w:style w:type="character" w:customStyle="1" w:styleId="119">
    <w:name w:val="Char Char23"/>
    <w:qFormat/>
    <w:uiPriority w:val="99"/>
    <w:rPr>
      <w:rFonts w:eastAsia="宋体"/>
      <w:b/>
      <w:bCs/>
      <w:kern w:val="44"/>
      <w:sz w:val="44"/>
      <w:szCs w:val="44"/>
      <w:lang w:val="en-US" w:eastAsia="zh-CN"/>
    </w:rPr>
  </w:style>
  <w:style w:type="character" w:customStyle="1" w:styleId="120">
    <w:name w:val="Char Char181"/>
    <w:qFormat/>
    <w:uiPriority w:val="99"/>
    <w:rPr>
      <w:b/>
      <w:bCs/>
      <w:kern w:val="44"/>
      <w:sz w:val="44"/>
      <w:szCs w:val="44"/>
    </w:rPr>
  </w:style>
  <w:style w:type="character" w:customStyle="1" w:styleId="121">
    <w:name w:val="Char Char22"/>
    <w:qFormat/>
    <w:uiPriority w:val="99"/>
    <w:rPr>
      <w:rFonts w:ascii="Times New Roman" w:hAnsi="Times New Roman" w:eastAsia="宋体" w:cs="Times New Roman"/>
      <w:b/>
      <w:bCs/>
      <w:kern w:val="44"/>
      <w:sz w:val="44"/>
      <w:szCs w:val="44"/>
    </w:rPr>
  </w:style>
  <w:style w:type="character" w:customStyle="1" w:styleId="122">
    <w:name w:val="引用 Char1"/>
    <w:qFormat/>
    <w:uiPriority w:val="99"/>
    <w:rPr>
      <w:rFonts w:ascii="Times New Roman" w:hAnsi="Times New Roman" w:eastAsia="宋体" w:cs="Times New Roman"/>
      <w:i/>
      <w:iCs/>
      <w:color w:val="000000"/>
      <w:sz w:val="24"/>
      <w:szCs w:val="24"/>
    </w:rPr>
  </w:style>
  <w:style w:type="character" w:customStyle="1" w:styleId="123">
    <w:name w:val="Heading 3 Char1"/>
    <w:qFormat/>
    <w:uiPriority w:val="99"/>
    <w:rPr>
      <w:rFonts w:eastAsia="宋体"/>
      <w:b/>
      <w:bCs/>
      <w:kern w:val="2"/>
      <w:sz w:val="32"/>
      <w:szCs w:val="32"/>
      <w:lang w:val="en-US" w:eastAsia="zh-CN"/>
    </w:rPr>
  </w:style>
  <w:style w:type="character" w:customStyle="1" w:styleId="124">
    <w:name w:val="明显强调1"/>
    <w:qFormat/>
    <w:uiPriority w:val="99"/>
    <w:rPr>
      <w:b/>
      <w:bCs/>
      <w:i/>
      <w:iCs/>
      <w:color w:val="4F81BD"/>
    </w:rPr>
  </w:style>
  <w:style w:type="character" w:customStyle="1" w:styleId="125">
    <w:name w:val="明显引用 Char1"/>
    <w:qFormat/>
    <w:uiPriority w:val="99"/>
    <w:rPr>
      <w:rFonts w:ascii="Times New Roman" w:hAnsi="Times New Roman" w:eastAsia="宋体" w:cs="Times New Roman"/>
      <w:b/>
      <w:bCs/>
      <w:i/>
      <w:iCs/>
      <w:color w:val="4F81BD"/>
      <w:sz w:val="24"/>
      <w:szCs w:val="24"/>
    </w:rPr>
  </w:style>
  <w:style w:type="character" w:customStyle="1" w:styleId="126">
    <w:name w:val="标题 Char2"/>
    <w:qFormat/>
    <w:uiPriority w:val="99"/>
    <w:rPr>
      <w:rFonts w:ascii="Cambria" w:hAnsi="Cambria" w:eastAsia="宋体" w:cs="Cambria"/>
      <w:b/>
      <w:bCs/>
      <w:sz w:val="32"/>
      <w:szCs w:val="32"/>
    </w:rPr>
  </w:style>
  <w:style w:type="character" w:customStyle="1" w:styleId="127">
    <w:name w:val="标题 Char1"/>
    <w:qFormat/>
    <w:uiPriority w:val="99"/>
    <w:rPr>
      <w:rFonts w:ascii="Cambria" w:hAnsi="Cambria" w:eastAsia="宋体" w:cs="Cambria"/>
      <w:b/>
      <w:bCs/>
      <w:sz w:val="32"/>
      <w:szCs w:val="32"/>
    </w:rPr>
  </w:style>
  <w:style w:type="character" w:customStyle="1" w:styleId="128">
    <w:name w:val="Heading 5 Char"/>
    <w:qFormat/>
    <w:uiPriority w:val="99"/>
    <w:rPr>
      <w:rFonts w:eastAsia="宋体"/>
      <w:b/>
      <w:bCs/>
      <w:kern w:val="2"/>
      <w:sz w:val="28"/>
      <w:szCs w:val="28"/>
      <w:lang w:val="en-US" w:eastAsia="zh-CN"/>
    </w:rPr>
  </w:style>
  <w:style w:type="character" w:customStyle="1" w:styleId="129">
    <w:name w:val="标题 1 字符1"/>
    <w:qFormat/>
    <w:uiPriority w:val="0"/>
    <w:rPr>
      <w:b/>
      <w:bCs/>
      <w:kern w:val="44"/>
      <w:sz w:val="44"/>
      <w:szCs w:val="44"/>
    </w:rPr>
  </w:style>
  <w:style w:type="character" w:customStyle="1" w:styleId="130">
    <w:name w:val="明显引用 Char"/>
    <w:link w:val="131"/>
    <w:qFormat/>
    <w:locked/>
    <w:uiPriority w:val="99"/>
    <w:rPr>
      <w:b/>
      <w:bCs/>
      <w:i/>
      <w:iCs/>
      <w:color w:val="4F81BD"/>
    </w:rPr>
  </w:style>
  <w:style w:type="paragraph" w:customStyle="1" w:styleId="131">
    <w:name w:val="明显引用1"/>
    <w:basedOn w:val="1"/>
    <w:next w:val="1"/>
    <w:link w:val="130"/>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2">
    <w:name w:val="textcontents"/>
    <w:qFormat/>
    <w:uiPriority w:val="99"/>
  </w:style>
  <w:style w:type="character" w:customStyle="1" w:styleId="133">
    <w:name w:val="Char Char19"/>
    <w:qFormat/>
    <w:uiPriority w:val="99"/>
    <w:rPr>
      <w:rFonts w:ascii="Arial" w:hAnsi="Arial" w:eastAsia="宋体" w:cs="Arial"/>
      <w:b/>
      <w:bCs/>
      <w:sz w:val="28"/>
      <w:szCs w:val="28"/>
    </w:rPr>
  </w:style>
  <w:style w:type="character" w:customStyle="1" w:styleId="134">
    <w:name w:val="批注文字 Char"/>
    <w:qFormat/>
    <w:uiPriority w:val="99"/>
    <w:rPr>
      <w:rFonts w:ascii="Times New Roman" w:hAnsi="Times New Roman"/>
      <w:kern w:val="2"/>
      <w:sz w:val="21"/>
      <w:szCs w:val="24"/>
    </w:rPr>
  </w:style>
  <w:style w:type="character" w:customStyle="1" w:styleId="135">
    <w:name w:val="标题5 Char Char"/>
    <w:link w:val="136"/>
    <w:qFormat/>
    <w:locked/>
    <w:uiPriority w:val="99"/>
    <w:rPr>
      <w:rFonts w:ascii="Arial" w:hAnsi="Arial" w:cs="Arial"/>
      <w:b/>
      <w:bCs/>
      <w:sz w:val="32"/>
      <w:szCs w:val="32"/>
    </w:rPr>
  </w:style>
  <w:style w:type="paragraph" w:customStyle="1" w:styleId="136">
    <w:name w:val="标题5"/>
    <w:basedOn w:val="7"/>
    <w:link w:val="135"/>
    <w:qFormat/>
    <w:uiPriority w:val="99"/>
    <w:pPr>
      <w:spacing w:line="413" w:lineRule="auto"/>
    </w:pPr>
    <w:rPr>
      <w:rFonts w:ascii="Arial" w:hAnsi="Arial"/>
      <w:kern w:val="0"/>
    </w:rPr>
  </w:style>
  <w:style w:type="character" w:customStyle="1" w:styleId="137">
    <w:name w:val="纯文本 字符"/>
    <w:qFormat/>
    <w:uiPriority w:val="0"/>
    <w:rPr>
      <w:rFonts w:ascii="宋体" w:hAnsi="Courier New" w:eastAsia="宋体" w:cs="Courier New"/>
      <w:szCs w:val="21"/>
    </w:rPr>
  </w:style>
  <w:style w:type="character" w:customStyle="1" w:styleId="138">
    <w:name w:val="引用 Char"/>
    <w:link w:val="139"/>
    <w:qFormat/>
    <w:locked/>
    <w:uiPriority w:val="99"/>
    <w:rPr>
      <w:i/>
      <w:iCs/>
      <w:color w:val="000000"/>
    </w:rPr>
  </w:style>
  <w:style w:type="paragraph" w:customStyle="1" w:styleId="139">
    <w:name w:val="引用1"/>
    <w:basedOn w:val="1"/>
    <w:next w:val="1"/>
    <w:link w:val="138"/>
    <w:qFormat/>
    <w:uiPriority w:val="99"/>
    <w:rPr>
      <w:i/>
      <w:iCs/>
      <w:color w:val="000000"/>
      <w:kern w:val="0"/>
      <w:sz w:val="20"/>
      <w:szCs w:val="20"/>
    </w:rPr>
  </w:style>
  <w:style w:type="character" w:customStyle="1" w:styleId="140">
    <w:name w:val="纯文本 Char"/>
    <w:qFormat/>
    <w:uiPriority w:val="0"/>
    <w:rPr>
      <w:rFonts w:ascii="宋体" w:hAnsi="Courier New" w:eastAsia="宋体" w:cs="Courier New"/>
      <w:szCs w:val="21"/>
    </w:rPr>
  </w:style>
  <w:style w:type="character" w:customStyle="1" w:styleId="141">
    <w:name w:val="日期 Char1"/>
    <w:qFormat/>
    <w:uiPriority w:val="99"/>
    <w:rPr>
      <w:rFonts w:ascii="Times New Roman" w:hAnsi="Times New Roman" w:eastAsia="宋体" w:cs="Times New Roman"/>
      <w:sz w:val="24"/>
      <w:szCs w:val="24"/>
    </w:rPr>
  </w:style>
  <w:style w:type="character" w:customStyle="1" w:styleId="142">
    <w:name w:val="纯文本 字符2"/>
    <w:qFormat/>
    <w:uiPriority w:val="0"/>
    <w:rPr>
      <w:rFonts w:ascii="宋体" w:hAnsi="Courier New" w:eastAsia="宋体" w:cs="Courier New"/>
      <w:szCs w:val="21"/>
    </w:rPr>
  </w:style>
  <w:style w:type="character" w:customStyle="1" w:styleId="143">
    <w:name w:val="Char Char91"/>
    <w:qFormat/>
    <w:uiPriority w:val="99"/>
    <w:rPr>
      <w:rFonts w:eastAsia="宋体"/>
      <w:b/>
      <w:bCs/>
      <w:kern w:val="44"/>
      <w:sz w:val="44"/>
      <w:szCs w:val="44"/>
      <w:lang w:val="en-US" w:eastAsia="zh-CN"/>
    </w:rPr>
  </w:style>
  <w:style w:type="character" w:customStyle="1" w:styleId="144">
    <w:name w:val="批注文字 字符1"/>
    <w:qFormat/>
    <w:uiPriority w:val="0"/>
    <w:rPr>
      <w:rFonts w:ascii="Times New Roman" w:hAnsi="Times New Roman"/>
      <w:kern w:val="2"/>
      <w:sz w:val="21"/>
      <w:szCs w:val="24"/>
    </w:rPr>
  </w:style>
  <w:style w:type="character" w:customStyle="1" w:styleId="145">
    <w:name w:val="Char Char6"/>
    <w:qFormat/>
    <w:uiPriority w:val="99"/>
    <w:rPr>
      <w:rFonts w:eastAsia="宋体"/>
      <w:b/>
      <w:bCs/>
      <w:kern w:val="44"/>
      <w:sz w:val="44"/>
      <w:szCs w:val="44"/>
      <w:lang w:val="en-US" w:eastAsia="zh-CN"/>
    </w:rPr>
  </w:style>
  <w:style w:type="character" w:customStyle="1" w:styleId="14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7">
    <w:name w:val="Comment Text Char1"/>
    <w:qFormat/>
    <w:uiPriority w:val="99"/>
    <w:rPr>
      <w:sz w:val="24"/>
      <w:szCs w:val="24"/>
    </w:rPr>
  </w:style>
  <w:style w:type="character" w:customStyle="1" w:styleId="148">
    <w:name w:val="纯文本 字符1"/>
    <w:qFormat/>
    <w:uiPriority w:val="0"/>
    <w:rPr>
      <w:rFonts w:ascii="宋体" w:hAnsi="Courier New"/>
    </w:rPr>
  </w:style>
  <w:style w:type="character" w:customStyle="1" w:styleId="149">
    <w:name w:val="Footer Char"/>
    <w:qFormat/>
    <w:uiPriority w:val="99"/>
    <w:rPr>
      <w:rFonts w:eastAsia="宋体"/>
      <w:kern w:val="2"/>
      <w:sz w:val="18"/>
      <w:szCs w:val="18"/>
      <w:lang w:val="en-US" w:eastAsia="zh-CN"/>
    </w:rPr>
  </w:style>
  <w:style w:type="character" w:customStyle="1" w:styleId="150">
    <w:name w:val="正文文本 Char"/>
    <w:qFormat/>
    <w:uiPriority w:val="99"/>
    <w:rPr>
      <w:rFonts w:ascii="Times New Roman" w:hAnsi="Times New Roman"/>
      <w:kern w:val="2"/>
      <w:sz w:val="21"/>
      <w:szCs w:val="24"/>
    </w:rPr>
  </w:style>
  <w:style w:type="character" w:customStyle="1" w:styleId="151">
    <w:name w:val="Body Text Indent 2 Char"/>
    <w:qFormat/>
    <w:uiPriority w:val="99"/>
    <w:rPr>
      <w:rFonts w:eastAsia="宋体"/>
      <w:kern w:val="2"/>
      <w:sz w:val="24"/>
      <w:szCs w:val="24"/>
      <w:lang w:val="en-US" w:eastAsia="zh-CN"/>
    </w:rPr>
  </w:style>
  <w:style w:type="character" w:customStyle="1" w:styleId="152">
    <w:name w:val="批注文字 字符"/>
    <w:qFormat/>
    <w:uiPriority w:val="0"/>
    <w:rPr>
      <w:rFonts w:ascii="Times New Roman" w:hAnsi="Times New Roman"/>
      <w:kern w:val="2"/>
      <w:sz w:val="21"/>
      <w:szCs w:val="24"/>
    </w:rPr>
  </w:style>
  <w:style w:type="character" w:customStyle="1" w:styleId="153">
    <w:name w:val="标题 2 Char"/>
    <w:qFormat/>
    <w:uiPriority w:val="99"/>
    <w:rPr>
      <w:rFonts w:ascii="Cambria" w:hAnsi="Cambria" w:eastAsia="宋体" w:cs="Times New Roman"/>
      <w:b/>
      <w:bCs/>
      <w:kern w:val="2"/>
      <w:sz w:val="32"/>
      <w:szCs w:val="32"/>
    </w:rPr>
  </w:style>
  <w:style w:type="character" w:customStyle="1" w:styleId="154">
    <w:name w:val="标题 8 Char"/>
    <w:qFormat/>
    <w:uiPriority w:val="9"/>
    <w:rPr>
      <w:rFonts w:ascii="Arial" w:hAnsi="Arial" w:eastAsia="黑体"/>
      <w:kern w:val="2"/>
      <w:sz w:val="24"/>
      <w:szCs w:val="24"/>
    </w:rPr>
  </w:style>
  <w:style w:type="character" w:customStyle="1" w:styleId="155">
    <w:name w:val="apple-style-span"/>
    <w:qFormat/>
    <w:uiPriority w:val="0"/>
  </w:style>
  <w:style w:type="character" w:customStyle="1" w:styleId="156">
    <w:name w:val="正文文本 字符"/>
    <w:qFormat/>
    <w:uiPriority w:val="0"/>
    <w:rPr>
      <w:rFonts w:ascii="Times New Roman" w:hAnsi="Times New Roman"/>
      <w:kern w:val="2"/>
      <w:sz w:val="21"/>
      <w:szCs w:val="24"/>
    </w:rPr>
  </w:style>
  <w:style w:type="character" w:customStyle="1" w:styleId="157">
    <w:name w:val="批注文字 Char2"/>
    <w:qFormat/>
    <w:uiPriority w:val="0"/>
    <w:rPr>
      <w:rFonts w:ascii="Times New Roman" w:hAnsi="Times New Roman"/>
      <w:kern w:val="2"/>
      <w:sz w:val="21"/>
      <w:szCs w:val="24"/>
    </w:rPr>
  </w:style>
  <w:style w:type="character" w:customStyle="1" w:styleId="158">
    <w:name w:val="正文2 Char Char"/>
    <w:link w:val="159"/>
    <w:qFormat/>
    <w:uiPriority w:val="0"/>
    <w:rPr>
      <w:kern w:val="2"/>
      <w:sz w:val="24"/>
    </w:rPr>
  </w:style>
  <w:style w:type="paragraph" w:customStyle="1" w:styleId="159">
    <w:name w:val="正文2"/>
    <w:basedOn w:val="1"/>
    <w:link w:val="158"/>
    <w:qFormat/>
    <w:uiPriority w:val="0"/>
    <w:pPr>
      <w:adjustRightInd w:val="0"/>
      <w:spacing w:before="156" w:line="360" w:lineRule="auto"/>
      <w:ind w:firstLine="510" w:firstLineChars="200"/>
    </w:pPr>
    <w:rPr>
      <w:sz w:val="24"/>
      <w:szCs w:val="20"/>
    </w:rPr>
  </w:style>
  <w:style w:type="character" w:customStyle="1" w:styleId="160">
    <w:name w:val="不明显强调1"/>
    <w:qFormat/>
    <w:uiPriority w:val="99"/>
    <w:rPr>
      <w:i/>
      <w:iCs/>
      <w:color w:val="808080"/>
    </w:rPr>
  </w:style>
  <w:style w:type="character" w:customStyle="1" w:styleId="161">
    <w:name w:val="Body text|6_"/>
    <w:link w:val="162"/>
    <w:qFormat/>
    <w:uiPriority w:val="0"/>
    <w:rPr>
      <w:rFonts w:ascii="Arial" w:hAnsi="Arial" w:eastAsia="Arial" w:cs="Arial"/>
      <w:lang w:val="zh-CN"/>
    </w:rPr>
  </w:style>
  <w:style w:type="paragraph" w:customStyle="1" w:styleId="162">
    <w:name w:val="Body text|6"/>
    <w:basedOn w:val="1"/>
    <w:link w:val="161"/>
    <w:qFormat/>
    <w:uiPriority w:val="0"/>
    <w:pPr>
      <w:ind w:hanging="2220"/>
      <w:jc w:val="left"/>
    </w:pPr>
    <w:rPr>
      <w:rFonts w:ascii="Arial" w:hAnsi="Arial" w:eastAsia="Arial"/>
      <w:kern w:val="0"/>
      <w:sz w:val="20"/>
      <w:szCs w:val="20"/>
      <w:lang w:val="zh-CN"/>
    </w:rPr>
  </w:style>
  <w:style w:type="character" w:customStyle="1" w:styleId="163">
    <w:name w:val="批注文字 Char Char"/>
    <w:qFormat/>
    <w:uiPriority w:val="99"/>
    <w:rPr>
      <w:rFonts w:ascii="宋体" w:hAnsi="Times New Roman" w:eastAsia="宋体" w:cs="宋体"/>
      <w:sz w:val="20"/>
      <w:szCs w:val="20"/>
    </w:rPr>
  </w:style>
  <w:style w:type="character" w:customStyle="1" w:styleId="164">
    <w:name w:val="Heading 3 Char"/>
    <w:qFormat/>
    <w:uiPriority w:val="99"/>
    <w:rPr>
      <w:b/>
      <w:bCs/>
      <w:kern w:val="2"/>
      <w:sz w:val="32"/>
      <w:szCs w:val="32"/>
    </w:rPr>
  </w:style>
  <w:style w:type="character" w:customStyle="1" w:styleId="165">
    <w:name w:val="Heading 2 Char"/>
    <w:qFormat/>
    <w:uiPriority w:val="99"/>
    <w:rPr>
      <w:rFonts w:ascii="Arial" w:hAnsi="Arial" w:eastAsia="黑体" w:cs="Arial"/>
      <w:b/>
      <w:bCs/>
      <w:kern w:val="2"/>
      <w:sz w:val="32"/>
      <w:szCs w:val="32"/>
      <w:lang w:val="en-US" w:eastAsia="zh-CN"/>
    </w:rPr>
  </w:style>
  <w:style w:type="character" w:customStyle="1" w:styleId="166">
    <w:name w:val="Balloon Text Char"/>
    <w:qFormat/>
    <w:uiPriority w:val="99"/>
    <w:rPr>
      <w:sz w:val="18"/>
      <w:szCs w:val="18"/>
    </w:rPr>
  </w:style>
  <w:style w:type="character" w:customStyle="1" w:styleId="167">
    <w:name w:val="文档结构图 Char1"/>
    <w:qFormat/>
    <w:uiPriority w:val="99"/>
    <w:rPr>
      <w:rFonts w:ascii="宋体" w:hAnsi="Times New Roman" w:eastAsia="宋体" w:cs="宋体"/>
      <w:sz w:val="18"/>
      <w:szCs w:val="18"/>
    </w:rPr>
  </w:style>
  <w:style w:type="character" w:customStyle="1" w:styleId="168">
    <w:name w:val="Footnote Text Char"/>
    <w:qFormat/>
    <w:uiPriority w:val="99"/>
    <w:rPr>
      <w:rFonts w:eastAsia="宋体"/>
      <w:sz w:val="18"/>
      <w:szCs w:val="18"/>
      <w:lang w:val="en-US" w:eastAsia="zh-CN"/>
    </w:rPr>
  </w:style>
  <w:style w:type="character" w:customStyle="1" w:styleId="169">
    <w:name w:val="Char Char21"/>
    <w:qFormat/>
    <w:uiPriority w:val="99"/>
    <w:rPr>
      <w:rFonts w:ascii="Arial" w:hAnsi="Arial" w:eastAsia="黑体" w:cs="Arial"/>
      <w:b/>
      <w:bCs/>
      <w:sz w:val="32"/>
      <w:szCs w:val="32"/>
    </w:rPr>
  </w:style>
  <w:style w:type="character" w:customStyle="1" w:styleId="170">
    <w:name w:val="Other|1_"/>
    <w:link w:val="171"/>
    <w:qFormat/>
    <w:uiPriority w:val="0"/>
    <w:rPr>
      <w:rFonts w:ascii="宋体" w:hAnsi="宋体" w:cs="宋体"/>
      <w:lang w:val="zh-CN" w:bidi="zh-CN"/>
    </w:rPr>
  </w:style>
  <w:style w:type="paragraph" w:customStyle="1" w:styleId="171">
    <w:name w:val="Other|1"/>
    <w:basedOn w:val="1"/>
    <w:link w:val="170"/>
    <w:qFormat/>
    <w:uiPriority w:val="0"/>
    <w:pPr>
      <w:spacing w:line="360" w:lineRule="auto"/>
      <w:ind w:firstLine="400"/>
      <w:jc w:val="left"/>
    </w:pPr>
    <w:rPr>
      <w:rFonts w:ascii="宋体" w:hAnsi="宋体" w:cs="宋体"/>
      <w:kern w:val="0"/>
      <w:sz w:val="20"/>
      <w:szCs w:val="20"/>
      <w:lang w:val="zh-CN" w:bidi="zh-CN"/>
    </w:rPr>
  </w:style>
  <w:style w:type="character" w:customStyle="1" w:styleId="172">
    <w:name w:val="Body Text Indent Char"/>
    <w:qFormat/>
    <w:uiPriority w:val="99"/>
    <w:rPr>
      <w:rFonts w:ascii="宋体" w:hAnsi="宋体" w:eastAsia="宋体" w:cs="宋体"/>
      <w:kern w:val="2"/>
      <w:sz w:val="21"/>
      <w:szCs w:val="21"/>
      <w:lang w:val="en-US" w:eastAsia="zh-CN"/>
    </w:rPr>
  </w:style>
  <w:style w:type="character" w:customStyle="1" w:styleId="173">
    <w:name w:val="不明显参考1"/>
    <w:qFormat/>
    <w:uiPriority w:val="99"/>
    <w:rPr>
      <w:smallCaps/>
      <w:color w:val="auto"/>
      <w:u w:val="single"/>
    </w:rPr>
  </w:style>
  <w:style w:type="character" w:customStyle="1" w:styleId="174">
    <w:name w:val="Heading 4 Char"/>
    <w:qFormat/>
    <w:uiPriority w:val="99"/>
    <w:rPr>
      <w:rFonts w:ascii="Arial" w:hAnsi="Arial" w:eastAsia="宋体" w:cs="Arial"/>
      <w:b/>
      <w:bCs/>
      <w:kern w:val="2"/>
      <w:sz w:val="28"/>
      <w:szCs w:val="28"/>
      <w:lang w:val="en-US" w:eastAsia="zh-CN"/>
    </w:rPr>
  </w:style>
  <w:style w:type="character" w:customStyle="1" w:styleId="175">
    <w:name w:val="Body text|7_"/>
    <w:link w:val="176"/>
    <w:qFormat/>
    <w:uiPriority w:val="0"/>
    <w:rPr>
      <w:rFonts w:ascii="Courier New" w:hAnsi="Courier New" w:eastAsia="Courier New" w:cs="Courier New"/>
      <w:b/>
      <w:bCs/>
      <w:sz w:val="8"/>
      <w:szCs w:val="8"/>
      <w:lang w:val="zh-CN"/>
    </w:rPr>
  </w:style>
  <w:style w:type="paragraph" w:customStyle="1" w:styleId="176">
    <w:name w:val="Body text|7"/>
    <w:basedOn w:val="1"/>
    <w:link w:val="175"/>
    <w:qFormat/>
    <w:uiPriority w:val="0"/>
    <w:pPr>
      <w:ind w:hanging="1760"/>
      <w:jc w:val="left"/>
    </w:pPr>
    <w:rPr>
      <w:rFonts w:ascii="Courier New" w:hAnsi="Courier New" w:eastAsia="Courier New"/>
      <w:b/>
      <w:bCs/>
      <w:kern w:val="0"/>
      <w:sz w:val="8"/>
      <w:szCs w:val="8"/>
      <w:lang w:val="zh-CN"/>
    </w:rPr>
  </w:style>
  <w:style w:type="character" w:customStyle="1" w:styleId="177">
    <w:name w:val="Char Char20"/>
    <w:qFormat/>
    <w:uiPriority w:val="99"/>
    <w:rPr>
      <w:rFonts w:ascii="Times New Roman" w:hAnsi="Times New Roman" w:eastAsia="宋体" w:cs="Times New Roman"/>
      <w:b/>
      <w:bCs/>
      <w:sz w:val="32"/>
      <w:szCs w:val="32"/>
    </w:rPr>
  </w:style>
  <w:style w:type="character" w:customStyle="1" w:styleId="178">
    <w:name w:val="Body text|4_"/>
    <w:link w:val="179"/>
    <w:qFormat/>
    <w:uiPriority w:val="0"/>
    <w:rPr>
      <w:rFonts w:ascii="宋体" w:hAnsi="宋体" w:cs="宋体"/>
      <w:b/>
      <w:bCs/>
      <w:sz w:val="17"/>
      <w:szCs w:val="17"/>
      <w:lang w:val="zh-CN" w:bidi="zh-CN"/>
    </w:rPr>
  </w:style>
  <w:style w:type="paragraph" w:customStyle="1" w:styleId="179">
    <w:name w:val="Body text|4"/>
    <w:basedOn w:val="1"/>
    <w:link w:val="178"/>
    <w:qFormat/>
    <w:uiPriority w:val="0"/>
    <w:pPr>
      <w:spacing w:line="281" w:lineRule="exact"/>
      <w:jc w:val="center"/>
    </w:pPr>
    <w:rPr>
      <w:rFonts w:ascii="宋体" w:hAnsi="宋体" w:cs="宋体"/>
      <w:b/>
      <w:bCs/>
      <w:kern w:val="0"/>
      <w:sz w:val="17"/>
      <w:szCs w:val="17"/>
      <w:lang w:val="zh-CN" w:bidi="zh-CN"/>
    </w:rPr>
  </w:style>
  <w:style w:type="character" w:customStyle="1" w:styleId="180">
    <w:name w:val="Comment Subject Char"/>
    <w:qFormat/>
    <w:uiPriority w:val="99"/>
    <w:rPr>
      <w:b/>
      <w:bCs/>
      <w:sz w:val="24"/>
      <w:szCs w:val="24"/>
    </w:rPr>
  </w:style>
  <w:style w:type="character" w:customStyle="1" w:styleId="181">
    <w:name w:val="Heading #2|1_"/>
    <w:link w:val="182"/>
    <w:qFormat/>
    <w:uiPriority w:val="0"/>
    <w:rPr>
      <w:rFonts w:ascii="宋体" w:hAnsi="宋体" w:cs="宋体"/>
      <w:sz w:val="34"/>
      <w:szCs w:val="34"/>
      <w:lang w:val="zh-CN" w:bidi="zh-CN"/>
    </w:rPr>
  </w:style>
  <w:style w:type="paragraph" w:customStyle="1" w:styleId="182">
    <w:name w:val="Heading #2|1"/>
    <w:basedOn w:val="1"/>
    <w:link w:val="181"/>
    <w:qFormat/>
    <w:uiPriority w:val="0"/>
    <w:pPr>
      <w:spacing w:after="900"/>
      <w:jc w:val="center"/>
      <w:outlineLvl w:val="1"/>
    </w:pPr>
    <w:rPr>
      <w:rFonts w:ascii="宋体" w:hAnsi="宋体" w:cs="宋体"/>
      <w:kern w:val="0"/>
      <w:sz w:val="34"/>
      <w:szCs w:val="34"/>
      <w:lang w:val="zh-CN" w:bidi="zh-CN"/>
    </w:rPr>
  </w:style>
  <w:style w:type="character" w:customStyle="1" w:styleId="183">
    <w:name w:val="批注框文本 Char1"/>
    <w:qFormat/>
    <w:uiPriority w:val="99"/>
    <w:rPr>
      <w:rFonts w:ascii="Times New Roman" w:hAnsi="Times New Roman" w:eastAsia="宋体" w:cs="Times New Roman"/>
      <w:sz w:val="18"/>
      <w:szCs w:val="18"/>
    </w:rPr>
  </w:style>
  <w:style w:type="character" w:customStyle="1" w:styleId="184">
    <w:name w:val="Char Char18"/>
    <w:qFormat/>
    <w:uiPriority w:val="99"/>
    <w:rPr>
      <w:rFonts w:ascii="Times New Roman" w:hAnsi="Times New Roman" w:eastAsia="宋体" w:cs="Times New Roman"/>
      <w:b/>
      <w:bCs/>
      <w:sz w:val="28"/>
      <w:szCs w:val="28"/>
    </w:rPr>
  </w:style>
  <w:style w:type="character" w:customStyle="1" w:styleId="185">
    <w:name w:val="批注主题 Char1"/>
    <w:qFormat/>
    <w:uiPriority w:val="99"/>
    <w:rPr>
      <w:rFonts w:ascii="Times New Roman" w:hAnsi="Times New Roman" w:eastAsia="宋体" w:cs="Times New Roman"/>
      <w:b/>
      <w:bCs/>
      <w:sz w:val="24"/>
      <w:szCs w:val="24"/>
    </w:rPr>
  </w:style>
  <w:style w:type="character" w:customStyle="1" w:styleId="186">
    <w:name w:val="Char Char24"/>
    <w:qFormat/>
    <w:uiPriority w:val="99"/>
    <w:rPr>
      <w:rFonts w:eastAsia="宋体"/>
      <w:b/>
      <w:bCs/>
      <w:kern w:val="44"/>
      <w:sz w:val="44"/>
      <w:szCs w:val="44"/>
      <w:lang w:val="en-US" w:eastAsia="zh-CN"/>
    </w:rPr>
  </w:style>
  <w:style w:type="character" w:customStyle="1" w:styleId="187">
    <w:name w:val="标题4 Char Char"/>
    <w:link w:val="188"/>
    <w:qFormat/>
    <w:locked/>
    <w:uiPriority w:val="99"/>
    <w:rPr>
      <w:rFonts w:ascii="Arial" w:hAnsi="Arial" w:cs="Arial"/>
      <w:b/>
      <w:bCs/>
      <w:sz w:val="32"/>
      <w:szCs w:val="32"/>
    </w:rPr>
  </w:style>
  <w:style w:type="paragraph" w:customStyle="1" w:styleId="188">
    <w:name w:val="标题4"/>
    <w:basedOn w:val="6"/>
    <w:next w:val="23"/>
    <w:link w:val="187"/>
    <w:qFormat/>
    <w:uiPriority w:val="99"/>
    <w:pPr>
      <w:spacing w:before="60" w:after="60" w:line="413" w:lineRule="auto"/>
    </w:pPr>
    <w:rPr>
      <w:rFonts w:ascii="Arial" w:hAnsi="Arial"/>
      <w:kern w:val="0"/>
    </w:rPr>
  </w:style>
  <w:style w:type="character" w:customStyle="1" w:styleId="189">
    <w:name w:val="Plain Text Char"/>
    <w:qFormat/>
    <w:uiPriority w:val="99"/>
    <w:rPr>
      <w:rFonts w:ascii="宋体" w:hAnsi="Courier New" w:eastAsia="宋体" w:cs="宋体"/>
      <w:sz w:val="24"/>
      <w:szCs w:val="24"/>
    </w:rPr>
  </w:style>
  <w:style w:type="character" w:customStyle="1" w:styleId="190">
    <w:name w:val="Header or footer|1_"/>
    <w:link w:val="191"/>
    <w:qFormat/>
    <w:uiPriority w:val="0"/>
    <w:rPr>
      <w:sz w:val="17"/>
      <w:szCs w:val="17"/>
      <w:lang w:val="zh-CN" w:bidi="zh-CN"/>
    </w:rPr>
  </w:style>
  <w:style w:type="paragraph" w:customStyle="1" w:styleId="191">
    <w:name w:val="Header or footer|1"/>
    <w:basedOn w:val="1"/>
    <w:link w:val="190"/>
    <w:qFormat/>
    <w:uiPriority w:val="0"/>
    <w:pPr>
      <w:jc w:val="center"/>
    </w:pPr>
    <w:rPr>
      <w:kern w:val="0"/>
      <w:sz w:val="17"/>
      <w:szCs w:val="17"/>
      <w:lang w:val="zh-CN" w:bidi="zh-CN"/>
    </w:rPr>
  </w:style>
  <w:style w:type="character" w:customStyle="1" w:styleId="192">
    <w:name w:val="Heading #3|1_"/>
    <w:link w:val="193"/>
    <w:qFormat/>
    <w:uiPriority w:val="0"/>
    <w:rPr>
      <w:rFonts w:ascii="宋体" w:hAnsi="宋体" w:cs="宋体"/>
      <w:sz w:val="28"/>
      <w:szCs w:val="28"/>
      <w:lang w:val="zh-CN" w:bidi="zh-CN"/>
    </w:rPr>
  </w:style>
  <w:style w:type="paragraph" w:customStyle="1" w:styleId="193">
    <w:name w:val="Heading #3|1"/>
    <w:basedOn w:val="1"/>
    <w:link w:val="192"/>
    <w:qFormat/>
    <w:uiPriority w:val="0"/>
    <w:pPr>
      <w:spacing w:after="570"/>
      <w:jc w:val="center"/>
      <w:outlineLvl w:val="2"/>
    </w:pPr>
    <w:rPr>
      <w:rFonts w:ascii="宋体" w:hAnsi="宋体" w:cs="宋体"/>
      <w:kern w:val="0"/>
      <w:sz w:val="28"/>
      <w:szCs w:val="28"/>
      <w:lang w:val="zh-CN" w:bidi="zh-CN"/>
    </w:rPr>
  </w:style>
  <w:style w:type="character" w:styleId="194">
    <w:name w:val="Placeholder Text"/>
    <w:unhideWhenUsed/>
    <w:qFormat/>
    <w:uiPriority w:val="99"/>
    <w:rPr>
      <w:color w:val="808080"/>
    </w:rPr>
  </w:style>
  <w:style w:type="paragraph" w:customStyle="1" w:styleId="195">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6">
    <w:name w:val="List Paragraph"/>
    <w:basedOn w:val="1"/>
    <w:qFormat/>
    <w:uiPriority w:val="34"/>
    <w:pPr>
      <w:ind w:firstLine="420" w:firstLineChars="200"/>
    </w:pPr>
  </w:style>
  <w:style w:type="paragraph" w:customStyle="1" w:styleId="197">
    <w:name w:val="样式 标题 2 + Times New Roman 四号 非加粗 段前: 5 磅 段后: 0 磅 行距: 固定值 20..."/>
    <w:basedOn w:val="6"/>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9">
    <w:name w:val="Char Char Char Char Char Char Char"/>
    <w:basedOn w:val="1"/>
    <w:qFormat/>
    <w:uiPriority w:val="99"/>
    <w:pPr>
      <w:widowControl/>
      <w:spacing w:after="160" w:line="240" w:lineRule="exact"/>
      <w:jc w:val="left"/>
    </w:pPr>
    <w:rPr>
      <w:szCs w:val="21"/>
    </w:rPr>
  </w:style>
  <w:style w:type="paragraph" w:customStyle="1" w:styleId="200">
    <w:name w:val="Char"/>
    <w:basedOn w:val="1"/>
    <w:qFormat/>
    <w:uiPriority w:val="99"/>
    <w:pPr>
      <w:widowControl/>
      <w:spacing w:after="160" w:line="240" w:lineRule="exact"/>
      <w:jc w:val="left"/>
    </w:pPr>
    <w:rPr>
      <w:szCs w:val="21"/>
    </w:rPr>
  </w:style>
  <w:style w:type="paragraph" w:customStyle="1" w:styleId="201">
    <w:name w:val="默认段落字体 Para Char Char Char Char Char Char Char Char Char1 Char Char Char Char"/>
    <w:basedOn w:val="1"/>
    <w:qFormat/>
    <w:uiPriority w:val="0"/>
    <w:rPr>
      <w:rFonts w:ascii="Tahoma" w:hAnsi="Tahoma"/>
      <w:sz w:val="24"/>
      <w:szCs w:val="20"/>
    </w:rPr>
  </w:style>
  <w:style w:type="paragraph" w:customStyle="1" w:styleId="202">
    <w:name w:val="Table Paragraph"/>
    <w:basedOn w:val="1"/>
    <w:qFormat/>
    <w:uiPriority w:val="1"/>
    <w:pPr>
      <w:jc w:val="left"/>
    </w:pPr>
    <w:rPr>
      <w:rFonts w:ascii="Calibri" w:hAnsi="Calibri"/>
      <w:kern w:val="0"/>
      <w:sz w:val="22"/>
      <w:szCs w:val="22"/>
      <w:lang w:eastAsia="en-US"/>
    </w:rPr>
  </w:style>
  <w:style w:type="paragraph" w:customStyle="1" w:styleId="20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4">
    <w:name w:val="样式1"/>
    <w:basedOn w:val="1"/>
    <w:next w:val="8"/>
    <w:qFormat/>
    <w:uiPriority w:val="99"/>
    <w:pPr>
      <w:spacing w:line="360" w:lineRule="auto"/>
      <w:ind w:firstLine="420" w:firstLineChars="200"/>
    </w:pPr>
    <w:rPr>
      <w:rFonts w:ascii="宋体" w:hAnsi="宋体" w:cs="宋体"/>
      <w:szCs w:val="21"/>
    </w:rPr>
  </w:style>
  <w:style w:type="paragraph" w:customStyle="1" w:styleId="205">
    <w:name w:val="列出段落1"/>
    <w:basedOn w:val="1"/>
    <w:qFormat/>
    <w:uiPriority w:val="99"/>
    <w:pPr>
      <w:ind w:firstLine="420" w:firstLineChars="200"/>
    </w:pPr>
    <w:rPr>
      <w:rFonts w:ascii="Calibri" w:hAnsi="Calibri" w:cs="Calibri"/>
      <w:szCs w:val="21"/>
    </w:rPr>
  </w:style>
  <w:style w:type="paragraph" w:customStyle="1" w:styleId="206">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7">
    <w:name w:val="TOC 标题1"/>
    <w:basedOn w:val="5"/>
    <w:next w:val="1"/>
    <w:qFormat/>
    <w:uiPriority w:val="99"/>
    <w:pPr>
      <w:spacing w:line="576" w:lineRule="auto"/>
      <w:outlineLvl w:val="9"/>
    </w:pPr>
    <w:rPr>
      <w:rFonts w:ascii="Calibri" w:hAnsi="Calibri" w:eastAsia="黑体" w:cs="Calibri"/>
      <w:lang w:val="zh-CN"/>
    </w:rPr>
  </w:style>
  <w:style w:type="paragraph" w:customStyle="1" w:styleId="208">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209">
    <w:name w:val="p0"/>
    <w:basedOn w:val="1"/>
    <w:qFormat/>
    <w:uiPriority w:val="99"/>
    <w:pPr>
      <w:widowControl/>
    </w:pPr>
    <w:rPr>
      <w:rFonts w:ascii="Calibri" w:hAnsi="Calibri" w:cs="Calibri"/>
      <w:kern w:val="0"/>
      <w:szCs w:val="21"/>
    </w:rPr>
  </w:style>
  <w:style w:type="paragraph" w:customStyle="1" w:styleId="210">
    <w:name w:val="1"/>
    <w:basedOn w:val="1"/>
    <w:next w:val="1"/>
    <w:qFormat/>
    <w:uiPriority w:val="99"/>
    <w:rPr>
      <w:szCs w:val="21"/>
    </w:rPr>
  </w:style>
  <w:style w:type="paragraph" w:customStyle="1" w:styleId="211">
    <w:name w:val="列出段落2"/>
    <w:basedOn w:val="1"/>
    <w:qFormat/>
    <w:uiPriority w:val="99"/>
    <w:pPr>
      <w:ind w:firstLine="420" w:firstLineChars="200"/>
    </w:pPr>
    <w:rPr>
      <w:rFonts w:ascii="Calibri" w:hAnsi="Calibri" w:cs="Calibri"/>
      <w:szCs w:val="21"/>
    </w:rPr>
  </w:style>
  <w:style w:type="paragraph" w:customStyle="1" w:styleId="212">
    <w:name w:val="修订1"/>
    <w:qFormat/>
    <w:uiPriority w:val="99"/>
    <w:rPr>
      <w:rFonts w:ascii="Times New Roman" w:hAnsi="Times New Roman" w:eastAsia="宋体" w:cs="Times New Roman"/>
      <w:kern w:val="2"/>
      <w:sz w:val="21"/>
      <w:szCs w:val="21"/>
      <w:lang w:val="en-US" w:eastAsia="zh-CN" w:bidi="ar-SA"/>
    </w:rPr>
  </w:style>
  <w:style w:type="paragraph" w:customStyle="1" w:styleId="21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4">
    <w:name w:val="修订11"/>
    <w:qFormat/>
    <w:uiPriority w:val="99"/>
    <w:rPr>
      <w:rFonts w:ascii="Times New Roman" w:hAnsi="Times New Roman" w:eastAsia="宋体" w:cs="Times New Roman"/>
      <w:kern w:val="2"/>
      <w:sz w:val="21"/>
      <w:szCs w:val="21"/>
      <w:lang w:val="en-US" w:eastAsia="zh-CN" w:bidi="ar-SA"/>
    </w:rPr>
  </w:style>
  <w:style w:type="paragraph" w:customStyle="1" w:styleId="215">
    <w:name w:val="2-2ji"/>
    <w:basedOn w:val="6"/>
    <w:qFormat/>
    <w:uiPriority w:val="99"/>
    <w:pPr>
      <w:spacing w:before="0" w:after="0" w:line="360" w:lineRule="auto"/>
      <w:jc w:val="center"/>
    </w:pPr>
    <w:rPr>
      <w:rFonts w:ascii="宋体" w:hAnsi="宋体" w:cs="宋体"/>
      <w:sz w:val="36"/>
      <w:szCs w:val="36"/>
      <w:lang w:val="zh-CN"/>
    </w:rPr>
  </w:style>
  <w:style w:type="paragraph" w:customStyle="1" w:styleId="216">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17">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8">
    <w:name w:val="Char1"/>
    <w:basedOn w:val="1"/>
    <w:qFormat/>
    <w:uiPriority w:val="99"/>
    <w:pPr>
      <w:widowControl/>
      <w:spacing w:after="160" w:line="240" w:lineRule="exact"/>
      <w:jc w:val="left"/>
    </w:pPr>
    <w:rPr>
      <w:szCs w:val="21"/>
    </w:rPr>
  </w:style>
  <w:style w:type="paragraph" w:customStyle="1" w:styleId="219">
    <w:name w:val="_Style 37"/>
    <w:basedOn w:val="1"/>
    <w:next w:val="1"/>
    <w:qFormat/>
    <w:uiPriority w:val="99"/>
    <w:rPr>
      <w:szCs w:val="21"/>
    </w:rPr>
  </w:style>
  <w:style w:type="paragraph" w:customStyle="1" w:styleId="220">
    <w:name w:val="样式 标题 3 + (中文) 黑体 小四 非加粗 段前: 7.8 磅 段后: 0 磅 行距: 固定值 20 磅"/>
    <w:basedOn w:val="7"/>
    <w:qFormat/>
    <w:uiPriority w:val="99"/>
    <w:pPr>
      <w:spacing w:before="0" w:after="0" w:line="400" w:lineRule="exact"/>
    </w:pPr>
    <w:rPr>
      <w:rFonts w:eastAsia="黑体"/>
      <w:b w:val="0"/>
      <w:bCs w:val="0"/>
      <w:lang w:val="zh-CN"/>
    </w:rPr>
  </w:style>
  <w:style w:type="paragraph" w:styleId="22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正正正"/>
    <w:basedOn w:val="21"/>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3">
    <w:name w:val="_Style 1"/>
    <w:basedOn w:val="1"/>
    <w:qFormat/>
    <w:uiPriority w:val="99"/>
    <w:pPr>
      <w:ind w:firstLine="420" w:firstLineChars="200"/>
      <w:jc w:val="left"/>
    </w:pPr>
    <w:rPr>
      <w:rFonts w:ascii="Times New Roman)" w:hAnsi="Times New Roman)" w:eastAsia="宋体正文"/>
      <w:color w:val="000000"/>
      <w:kern w:val="0"/>
      <w:lang w:eastAsia="en-US" w:bidi="en-US"/>
    </w:rPr>
  </w:style>
  <w:style w:type="character" w:customStyle="1" w:styleId="224">
    <w:name w:val="bookmark-item"/>
    <w:qFormat/>
    <w:uiPriority w:val="0"/>
  </w:style>
  <w:style w:type="character" w:customStyle="1" w:styleId="225">
    <w:name w:val="纯文本 Char2"/>
    <w:qFormat/>
    <w:uiPriority w:val="0"/>
    <w:rPr>
      <w:rFonts w:ascii="宋体" w:hAnsi="Courier New" w:eastAsia="宋体" w:cs="Courier New"/>
      <w:szCs w:val="21"/>
    </w:rPr>
  </w:style>
  <w:style w:type="character" w:customStyle="1" w:styleId="226">
    <w:name w:val="页脚 Char1"/>
    <w:qFormat/>
    <w:uiPriority w:val="99"/>
    <w:rPr>
      <w:rFonts w:ascii="Times New Roman" w:hAnsi="Times New Roman" w:eastAsia="宋体" w:cs="Times New Roman"/>
      <w:sz w:val="18"/>
      <w:szCs w:val="18"/>
    </w:rPr>
  </w:style>
  <w:style w:type="paragraph" w:customStyle="1" w:styleId="227">
    <w:name w:val="正文_3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3"/>
    <w:basedOn w:val="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标题 4_1"/>
    <w:basedOn w:val="230"/>
    <w:next w:val="230"/>
    <w:qFormat/>
    <w:uiPriority w:val="0"/>
    <w:pPr>
      <w:keepNext/>
      <w:keepLines/>
      <w:spacing w:before="280" w:after="290" w:line="372" w:lineRule="auto"/>
      <w:outlineLvl w:val="3"/>
    </w:pPr>
    <w:rPr>
      <w:rFonts w:ascii="Cambria" w:hAnsi="Cambria"/>
      <w:b/>
      <w:bCs/>
      <w:sz w:val="28"/>
      <w:szCs w:val="28"/>
    </w:rPr>
  </w:style>
  <w:style w:type="paragraph" w:customStyle="1" w:styleId="232">
    <w:name w:val="正文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3">
    <w:name w:val="first-child"/>
    <w:basedOn w:val="47"/>
    <w:qFormat/>
    <w:uiPriority w:val="0"/>
  </w:style>
  <w:style w:type="character" w:customStyle="1" w:styleId="234">
    <w:name w:val="NormalCharacter"/>
    <w:qFormat/>
    <w:uiPriority w:val="0"/>
  </w:style>
  <w:style w:type="character" w:customStyle="1" w:styleId="235">
    <w:name w:val="layui-layer-tabnow"/>
    <w:basedOn w:val="47"/>
    <w:qFormat/>
    <w:uiPriority w:val="0"/>
    <w:rPr>
      <w:bdr w:val="single" w:color="CCCCCC" w:sz="6" w:space="0"/>
      <w:shd w:val="clear" w:color="auto" w:fill="FFFFFF"/>
    </w:rPr>
  </w:style>
  <w:style w:type="paragraph" w:customStyle="1" w:styleId="236">
    <w:name w:val="Normal_0"/>
    <w:qFormat/>
    <w:uiPriority w:val="0"/>
    <w:rPr>
      <w:rFonts w:ascii="Times New Roman" w:hAnsi="Times New Roman" w:eastAsia="Times New Roman" w:cs="Times New Roman"/>
      <w:sz w:val="24"/>
      <w:szCs w:val="24"/>
      <w:lang w:val="en-US" w:eastAsia="zh-CN" w:bidi="ar-SA"/>
    </w:rPr>
  </w:style>
  <w:style w:type="paragraph" w:customStyle="1" w:styleId="237">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3"/>
    <w:qFormat/>
    <w:uiPriority w:val="0"/>
    <w:rPr>
      <w:rFonts w:ascii="Times New Roman" w:hAnsi="Times New Roman" w:eastAsia="Times New Roman" w:cs="Times New Roman"/>
      <w:sz w:val="24"/>
      <w:szCs w:val="24"/>
      <w:lang w:val="en-US" w:eastAsia="zh-CN" w:bidi="ar-SA"/>
    </w:rPr>
  </w:style>
  <w:style w:type="paragraph" w:customStyle="1" w:styleId="23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8"/>
    <w:qFormat/>
    <w:uiPriority w:val="0"/>
    <w:rPr>
      <w:rFonts w:ascii="Times New Roman" w:hAnsi="Times New Roman" w:eastAsia="Times New Roman" w:cs="Times New Roman"/>
      <w:sz w:val="24"/>
      <w:szCs w:val="24"/>
      <w:lang w:val="en-US" w:eastAsia="zh-CN" w:bidi="ar-SA"/>
    </w:rPr>
  </w:style>
  <w:style w:type="character" w:customStyle="1" w:styleId="241">
    <w:name w:val="批注文字 Char1"/>
    <w:qFormat/>
    <w:uiPriority w:val="99"/>
    <w:rPr>
      <w:rFonts w:ascii="Times New Roman" w:hAnsi="Times New Roman"/>
      <w:kern w:val="2"/>
      <w:sz w:val="21"/>
      <w:szCs w:val="24"/>
    </w:rPr>
  </w:style>
  <w:style w:type="character" w:customStyle="1" w:styleId="242">
    <w:name w:val="纯文本 Char1"/>
    <w:qFormat/>
    <w:uiPriority w:val="99"/>
    <w:rPr>
      <w:rFonts w:ascii="宋体" w:hAnsi="Courier New" w:eastAsia="宋体" w:cs="Courier New"/>
      <w:szCs w:val="21"/>
    </w:rPr>
  </w:style>
  <w:style w:type="paragraph" w:customStyle="1" w:styleId="24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44">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5">
    <w:name w:val="Body text|1_1"/>
    <w:basedOn w:val="230"/>
    <w:qFormat/>
    <w:uiPriority w:val="0"/>
    <w:pPr>
      <w:spacing w:line="360" w:lineRule="auto"/>
      <w:ind w:firstLine="400"/>
    </w:pPr>
    <w:rPr>
      <w:rFonts w:ascii="宋体" w:hAnsi="宋体" w:eastAsia="宋体" w:cs="宋体"/>
      <w:color w:val="auto"/>
      <w:sz w:val="20"/>
      <w:szCs w:val="2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122</Pages>
  <Words>21415</Words>
  <Characters>22876</Characters>
  <Lines>698</Lines>
  <Paragraphs>196</Paragraphs>
  <TotalTime>101</TotalTime>
  <ScaleCrop>false</ScaleCrop>
  <LinksUpToDate>false</LinksUpToDate>
  <CharactersWithSpaces>23118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2023-12-29T19:12:00Z</dcterms:created>
  <dc:creator>唐冰</dc:creator>
  <cp:lastModifiedBy>L</cp:lastModifiedBy>
  <cp:lastPrinted>2026-02-24T11:09:00Z</cp:lastPrinted>
  <dcterms:modified xsi:type="dcterms:W3CDTF">2026-03-12T07:16:39Z</dcterms:modified>
  <dc:title>竞争性谈判文件规范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88441B8F95264180940526B16AB224BE_13</vt:lpwstr>
  </property>
  <property fmtid="{D5CDD505-2E9C-101B-9397-08002B2CF9AE}" pid="4" name="KSOTemplateDocerSaveRecord">
    <vt:lpwstr>eyJoZGlkIjoiMDY4MDVlYTNjYjkwZjVhZGZiNGM0MmE1ZWU4ZTg5OTAiLCJ1c2VySWQiOiI1MTA2MDEwNDcifQ==</vt:lpwstr>
  </property>
</Properties>
</file>