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A1B2B">
      <w:pPr>
        <w:spacing w:line="360" w:lineRule="auto"/>
        <w:jc w:val="center"/>
        <w:rPr>
          <w:rFonts w:ascii="宋体" w:hAnsi="宋体" w:cs="宋体"/>
          <w:b/>
          <w:color w:val="auto"/>
          <w:sz w:val="32"/>
          <w:szCs w:val="32"/>
          <w:highlight w:val="none"/>
        </w:rPr>
      </w:pPr>
    </w:p>
    <w:p w14:paraId="13096081">
      <w:pPr>
        <w:snapToGrid/>
        <w:spacing w:before="0" w:beforeLines="-2147483648" w:line="360" w:lineRule="auto"/>
        <w:jc w:val="center"/>
        <w:rPr>
          <w:rFonts w:hint="default" w:ascii="宋体" w:hAnsi="宋体" w:cs="宋体"/>
          <w:b/>
          <w:bCs w:val="0"/>
          <w:color w:val="auto"/>
          <w:sz w:val="32"/>
          <w:szCs w:val="32"/>
          <w:highlight w:val="none"/>
          <w:lang w:eastAsia="zh-CN"/>
        </w:rPr>
      </w:pPr>
    </w:p>
    <w:p w14:paraId="0B6CE0A9">
      <w:pPr>
        <w:snapToGrid/>
        <w:spacing w:before="0" w:beforeLines="-2147483648" w:line="360" w:lineRule="auto"/>
        <w:jc w:val="center"/>
        <w:rPr>
          <w:rFonts w:hint="default" w:ascii="宋体" w:hAnsi="宋体" w:cs="宋体"/>
          <w:b/>
          <w:bCs w:val="0"/>
          <w:color w:val="auto"/>
          <w:sz w:val="32"/>
          <w:szCs w:val="32"/>
          <w:highlight w:val="none"/>
          <w:lang w:eastAsia="zh-CN"/>
        </w:rPr>
      </w:pPr>
    </w:p>
    <w:p w14:paraId="15EB2988">
      <w:pPr>
        <w:tabs>
          <w:tab w:val="left" w:pos="1578"/>
          <w:tab w:val="center" w:pos="4498"/>
        </w:tabs>
        <w:snapToGrid w:val="0"/>
        <w:spacing w:before="156" w:beforeLines="50" w:line="360" w:lineRule="auto"/>
        <w:jc w:val="center"/>
        <w:rPr>
          <w:rFonts w:ascii="宋体" w:hAnsi="宋体" w:cs="宋体"/>
          <w:b/>
          <w:bCs/>
          <w:color w:val="auto"/>
          <w:sz w:val="44"/>
          <w:szCs w:val="44"/>
          <w:highlight w:val="none"/>
        </w:rPr>
      </w:pPr>
      <w:r>
        <w:rPr>
          <w:rFonts w:hint="eastAsia" w:ascii="宋体" w:hAnsi="宋体" w:cs="宋体"/>
          <w:b/>
          <w:bCs/>
          <w:color w:val="auto"/>
          <w:sz w:val="72"/>
          <w:szCs w:val="72"/>
          <w:highlight w:val="none"/>
        </w:rPr>
        <w:t>竞争性磋商文件</w:t>
      </w:r>
    </w:p>
    <w:p w14:paraId="1E96CA4D">
      <w:pPr>
        <w:spacing w:line="360" w:lineRule="auto"/>
        <w:jc w:val="center"/>
        <w:rPr>
          <w:rFonts w:ascii="宋体" w:hAnsi="宋体" w:cs="宋体"/>
          <w:b/>
          <w:color w:val="auto"/>
          <w:sz w:val="32"/>
          <w:szCs w:val="32"/>
          <w:highlight w:val="none"/>
        </w:rPr>
      </w:pPr>
    </w:p>
    <w:p w14:paraId="1AB20C5B">
      <w:pPr>
        <w:spacing w:line="360" w:lineRule="auto"/>
        <w:jc w:val="center"/>
        <w:rPr>
          <w:rFonts w:ascii="宋体" w:hAnsi="宋体" w:cs="宋体"/>
          <w:b/>
          <w:color w:val="auto"/>
          <w:sz w:val="32"/>
          <w:szCs w:val="32"/>
          <w:highlight w:val="none"/>
        </w:rPr>
      </w:pPr>
    </w:p>
    <w:p w14:paraId="65C69DD2">
      <w:pPr>
        <w:spacing w:line="360" w:lineRule="auto"/>
        <w:jc w:val="center"/>
        <w:rPr>
          <w:rFonts w:ascii="宋体" w:hAnsi="宋体" w:cs="宋体"/>
          <w:b/>
          <w:color w:val="auto"/>
          <w:sz w:val="32"/>
          <w:szCs w:val="32"/>
          <w:highlight w:val="none"/>
        </w:rPr>
      </w:pPr>
      <w:bookmarkStart w:id="59" w:name="_GoBack"/>
      <w:bookmarkEnd w:id="59"/>
    </w:p>
    <w:p w14:paraId="473D7878">
      <w:pPr>
        <w:spacing w:line="360" w:lineRule="auto"/>
        <w:jc w:val="center"/>
        <w:rPr>
          <w:rFonts w:ascii="宋体" w:hAnsi="宋体" w:cs="宋体"/>
          <w:b/>
          <w:color w:val="auto"/>
          <w:sz w:val="32"/>
          <w:szCs w:val="32"/>
          <w:highlight w:val="none"/>
        </w:rPr>
      </w:pPr>
    </w:p>
    <w:p w14:paraId="5F233CA7">
      <w:pPr>
        <w:spacing w:line="360" w:lineRule="auto"/>
        <w:jc w:val="center"/>
        <w:rPr>
          <w:rFonts w:ascii="宋体" w:hAnsi="宋体" w:cs="宋体"/>
          <w:b/>
          <w:color w:val="auto"/>
          <w:sz w:val="32"/>
          <w:szCs w:val="32"/>
          <w:highlight w:val="none"/>
        </w:rPr>
      </w:pPr>
    </w:p>
    <w:p w14:paraId="4A483B2B">
      <w:pPr>
        <w:spacing w:line="360" w:lineRule="auto"/>
        <w:ind w:firstLine="964" w:firstLineChars="3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项目名称：</w:t>
      </w:r>
      <w:r>
        <w:rPr>
          <w:rFonts w:hint="eastAsia" w:ascii="宋体" w:hAnsi="宋体" w:cs="宋体"/>
          <w:b/>
          <w:color w:val="auto"/>
          <w:sz w:val="32"/>
          <w:szCs w:val="32"/>
          <w:highlight w:val="none"/>
          <w:lang w:eastAsia="zh-CN"/>
        </w:rPr>
        <w:t>2026年度采购流浪乞讨人员救助服务项目</w:t>
      </w:r>
      <w:r>
        <w:rPr>
          <w:rFonts w:hint="eastAsia" w:ascii="宋体" w:hAnsi="宋体" w:cs="宋体"/>
          <w:b/>
          <w:color w:val="auto"/>
          <w:sz w:val="32"/>
          <w:szCs w:val="32"/>
          <w:highlight w:val="none"/>
          <w:lang w:eastAsia="zh-CN"/>
        </w:rPr>
        <w:t>（</w:t>
      </w:r>
      <w:r>
        <w:rPr>
          <w:rFonts w:hint="eastAsia" w:ascii="宋体" w:hAnsi="宋体" w:cs="宋体"/>
          <w:b/>
          <w:color w:val="auto"/>
          <w:sz w:val="32"/>
          <w:szCs w:val="32"/>
          <w:highlight w:val="none"/>
          <w:lang w:val="en-US" w:eastAsia="zh-CN"/>
        </w:rPr>
        <w:t>重</w:t>
      </w:r>
      <w:r>
        <w:rPr>
          <w:rFonts w:hint="eastAsia" w:ascii="宋体" w:hAnsi="宋体" w:cs="宋体"/>
          <w:b/>
          <w:color w:val="auto"/>
          <w:sz w:val="32"/>
          <w:szCs w:val="32"/>
          <w:highlight w:val="none"/>
          <w:lang w:eastAsia="zh-CN"/>
        </w:rPr>
        <w:t>）</w:t>
      </w:r>
    </w:p>
    <w:p w14:paraId="75359804">
      <w:pPr>
        <w:spacing w:line="360" w:lineRule="auto"/>
        <w:ind w:firstLine="964" w:firstLineChars="300"/>
        <w:rPr>
          <w:rFonts w:hint="eastAsia" w:ascii="宋体" w:hAnsi="宋体" w:cs="宋体"/>
          <w:b/>
          <w:color w:val="auto"/>
          <w:sz w:val="32"/>
          <w:szCs w:val="32"/>
          <w:highlight w:val="none"/>
        </w:rPr>
      </w:pPr>
    </w:p>
    <w:p w14:paraId="5DCD1537">
      <w:pPr>
        <w:spacing w:line="360" w:lineRule="auto"/>
        <w:ind w:firstLine="964" w:firstLineChars="30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QZZC2026-C3-990046-GXCJ</w:t>
      </w:r>
    </w:p>
    <w:p w14:paraId="1801BD27">
      <w:pPr>
        <w:spacing w:line="360" w:lineRule="auto"/>
        <w:jc w:val="center"/>
        <w:rPr>
          <w:rFonts w:ascii="宋体" w:hAnsi="宋体" w:cs="宋体"/>
          <w:b/>
          <w:color w:val="auto"/>
          <w:sz w:val="32"/>
          <w:szCs w:val="32"/>
          <w:highlight w:val="none"/>
        </w:rPr>
      </w:pPr>
    </w:p>
    <w:p w14:paraId="733460CD">
      <w:pPr>
        <w:spacing w:line="360" w:lineRule="auto"/>
        <w:ind w:left="2519" w:leftChars="450" w:hanging="1574" w:hangingChars="490"/>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采 购 人：</w:t>
      </w:r>
      <w:r>
        <w:rPr>
          <w:rFonts w:hint="eastAsia" w:ascii="宋体" w:hAnsi="宋体" w:cs="宋体"/>
          <w:b/>
          <w:color w:val="auto"/>
          <w:sz w:val="32"/>
          <w:szCs w:val="32"/>
          <w:highlight w:val="none"/>
          <w:lang w:eastAsia="zh-CN"/>
        </w:rPr>
        <w:t>钦州市救助管理站</w:t>
      </w:r>
    </w:p>
    <w:p w14:paraId="3E21145C">
      <w:pPr>
        <w:spacing w:line="360" w:lineRule="auto"/>
        <w:jc w:val="center"/>
        <w:rPr>
          <w:rFonts w:ascii="宋体" w:hAnsi="宋体" w:cs="宋体"/>
          <w:b/>
          <w:color w:val="auto"/>
          <w:sz w:val="32"/>
          <w:szCs w:val="32"/>
          <w:highlight w:val="none"/>
        </w:rPr>
      </w:pPr>
    </w:p>
    <w:p w14:paraId="67E46B5A">
      <w:pPr>
        <w:spacing w:line="360" w:lineRule="auto"/>
        <w:ind w:firstLine="964" w:firstLineChars="300"/>
        <w:rPr>
          <w:rFonts w:ascii="宋体" w:hAnsi="宋体" w:cs="宋体"/>
          <w:b/>
          <w:color w:val="auto"/>
          <w:sz w:val="32"/>
          <w:szCs w:val="32"/>
          <w:highlight w:val="none"/>
        </w:rPr>
      </w:pPr>
      <w:r>
        <w:rPr>
          <w:rFonts w:hint="eastAsia" w:ascii="宋体" w:hAnsi="宋体" w:cs="宋体"/>
          <w:b/>
          <w:color w:val="auto"/>
          <w:sz w:val="32"/>
          <w:szCs w:val="32"/>
          <w:highlight w:val="none"/>
        </w:rPr>
        <w:t>采购代理机构：广西城建咨询设计有限公司</w:t>
      </w:r>
    </w:p>
    <w:p w14:paraId="36A85334">
      <w:pPr>
        <w:spacing w:line="360" w:lineRule="auto"/>
        <w:jc w:val="center"/>
        <w:rPr>
          <w:rFonts w:ascii="宋体" w:hAnsi="宋体" w:cs="宋体"/>
          <w:b/>
          <w:color w:val="auto"/>
          <w:sz w:val="32"/>
          <w:szCs w:val="32"/>
          <w:highlight w:val="none"/>
        </w:rPr>
      </w:pPr>
    </w:p>
    <w:p w14:paraId="2796AE68">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lang w:val="en-US" w:eastAsia="zh-CN"/>
        </w:rPr>
        <w:t>2026</w:t>
      </w:r>
      <w:r>
        <w:rPr>
          <w:rFonts w:hint="eastAsia" w:ascii="宋体" w:hAnsi="宋体" w:cs="宋体"/>
          <w:b/>
          <w:color w:val="auto"/>
          <w:sz w:val="32"/>
          <w:szCs w:val="32"/>
          <w:highlight w:val="none"/>
        </w:rPr>
        <w:t>年</w:t>
      </w:r>
      <w:r>
        <w:rPr>
          <w:rFonts w:hint="eastAsia" w:ascii="宋体" w:hAnsi="宋体" w:cs="宋体"/>
          <w:b/>
          <w:color w:val="auto"/>
          <w:sz w:val="32"/>
          <w:szCs w:val="32"/>
          <w:highlight w:val="none"/>
          <w:lang w:val="en-US" w:eastAsia="zh-CN"/>
        </w:rPr>
        <w:t>2</w:t>
      </w:r>
      <w:r>
        <w:rPr>
          <w:rFonts w:hint="eastAsia" w:ascii="宋体" w:hAnsi="宋体" w:cs="宋体"/>
          <w:b/>
          <w:color w:val="auto"/>
          <w:sz w:val="32"/>
          <w:szCs w:val="32"/>
          <w:highlight w:val="none"/>
        </w:rPr>
        <w:t>月</w:t>
      </w:r>
      <w:r>
        <w:rPr>
          <w:rFonts w:hint="eastAsia" w:ascii="宋体" w:hAnsi="宋体" w:cs="宋体"/>
          <w:b/>
          <w:color w:val="auto"/>
          <w:sz w:val="32"/>
          <w:szCs w:val="32"/>
          <w:highlight w:val="none"/>
          <w:lang w:val="en-US" w:eastAsia="zh-CN"/>
        </w:rPr>
        <w:t>3</w:t>
      </w:r>
      <w:r>
        <w:rPr>
          <w:rFonts w:hint="eastAsia" w:ascii="宋体" w:hAnsi="宋体" w:cs="宋体"/>
          <w:b/>
          <w:color w:val="auto"/>
          <w:sz w:val="32"/>
          <w:szCs w:val="32"/>
          <w:highlight w:val="none"/>
        </w:rPr>
        <w:t>日</w:t>
      </w:r>
    </w:p>
    <w:p w14:paraId="3747F6A9">
      <w:pPr>
        <w:spacing w:line="360" w:lineRule="auto"/>
        <w:jc w:val="center"/>
        <w:rPr>
          <w:rFonts w:hint="eastAsia" w:ascii="宋体" w:hAnsi="宋体" w:cs="宋体"/>
          <w:b/>
          <w:color w:val="auto"/>
          <w:sz w:val="44"/>
          <w:szCs w:val="44"/>
          <w:highlight w:val="none"/>
        </w:rPr>
        <w:sectPr>
          <w:headerReference r:id="rId3" w:type="default"/>
          <w:pgSz w:w="11906" w:h="16838"/>
          <w:pgMar w:top="1440" w:right="1440" w:bottom="1440" w:left="1587" w:header="851" w:footer="992" w:gutter="0"/>
          <w:pgNumType w:start="2"/>
          <w:cols w:space="720" w:num="1"/>
          <w:titlePg/>
          <w:docGrid w:type="lines" w:linePitch="312" w:charSpace="0"/>
        </w:sectPr>
      </w:pPr>
    </w:p>
    <w:p w14:paraId="4B98F663">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6DE0D4F6">
      <w:pPr>
        <w:spacing w:line="400" w:lineRule="exact"/>
        <w:jc w:val="center"/>
        <w:rPr>
          <w:rFonts w:ascii="宋体" w:hAnsi="宋体" w:cs="宋体"/>
          <w:b/>
          <w:color w:val="auto"/>
          <w:sz w:val="44"/>
          <w:szCs w:val="44"/>
          <w:highlight w:val="none"/>
        </w:rPr>
      </w:pPr>
    </w:p>
    <w:p w14:paraId="2CFA854D">
      <w:pPr>
        <w:pStyle w:val="25"/>
        <w:tabs>
          <w:tab w:val="right" w:leader="dot" w:pos="8879"/>
        </w:tabs>
        <w:spacing w:line="360" w:lineRule="auto"/>
        <w:rPr>
          <w:rFonts w:ascii="宋体" w:hAnsi="宋体" w:cs="宋体"/>
          <w:color w:val="auto"/>
          <w:sz w:val="28"/>
          <w:szCs w:val="28"/>
          <w:highlight w:val="none"/>
        </w:rPr>
      </w:pPr>
      <w:r>
        <w:rPr>
          <w:rFonts w:hint="eastAsia" w:ascii="宋体" w:hAnsi="宋体" w:cs="宋体"/>
          <w:b/>
          <w:color w:val="auto"/>
          <w:sz w:val="28"/>
          <w:szCs w:val="28"/>
          <w:highlight w:val="none"/>
        </w:rPr>
        <w:fldChar w:fldCharType="begin"/>
      </w:r>
      <w:r>
        <w:rPr>
          <w:rFonts w:hint="eastAsia" w:ascii="宋体" w:hAnsi="宋体" w:cs="宋体"/>
          <w:b/>
          <w:color w:val="auto"/>
          <w:sz w:val="28"/>
          <w:szCs w:val="28"/>
          <w:highlight w:val="none"/>
        </w:rPr>
        <w:instrText xml:space="preserve"> TOC \o "1-3" \h \z \u </w:instrText>
      </w:r>
      <w:r>
        <w:rPr>
          <w:rFonts w:hint="eastAsia" w:ascii="宋体" w:hAnsi="宋体" w:cs="宋体"/>
          <w:b/>
          <w:color w:val="auto"/>
          <w:sz w:val="28"/>
          <w:szCs w:val="28"/>
          <w:highlight w:val="none"/>
        </w:rPr>
        <w:fldChar w:fldCharType="separate"/>
      </w:r>
      <w:r>
        <w:rPr>
          <w:color w:val="auto"/>
          <w:highlight w:val="none"/>
        </w:rPr>
        <w:fldChar w:fldCharType="begin"/>
      </w:r>
      <w:r>
        <w:rPr>
          <w:color w:val="auto"/>
          <w:highlight w:val="none"/>
        </w:rPr>
        <w:instrText xml:space="preserve"> HYPERLINK \l "_Toc8971" </w:instrText>
      </w:r>
      <w:r>
        <w:rPr>
          <w:color w:val="auto"/>
          <w:highlight w:val="none"/>
        </w:rPr>
        <w:fldChar w:fldCharType="separate"/>
      </w:r>
      <w:r>
        <w:rPr>
          <w:rFonts w:hint="eastAsia" w:ascii="宋体" w:hAnsi="宋体" w:cs="宋体"/>
          <w:color w:val="auto"/>
          <w:sz w:val="28"/>
          <w:szCs w:val="28"/>
          <w:highlight w:val="none"/>
        </w:rPr>
        <w:t>第一章 竞争性磋商公告</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_Toc8971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52BBA5F1">
      <w:pPr>
        <w:pStyle w:val="25"/>
        <w:tabs>
          <w:tab w:val="right" w:leader="dot" w:pos="8879"/>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"_Toc25187" </w:instrText>
      </w:r>
      <w:r>
        <w:rPr>
          <w:color w:val="auto"/>
          <w:highlight w:val="none"/>
        </w:rPr>
        <w:fldChar w:fldCharType="separate"/>
      </w:r>
      <w:r>
        <w:rPr>
          <w:rFonts w:hint="eastAsia" w:ascii="宋体" w:hAnsi="宋体" w:cs="宋体"/>
          <w:color w:val="auto"/>
          <w:sz w:val="28"/>
          <w:szCs w:val="28"/>
          <w:highlight w:val="none"/>
        </w:rPr>
        <w:t>第二章 供应商须知</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_Toc25187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6927106B">
      <w:pPr>
        <w:pStyle w:val="25"/>
        <w:tabs>
          <w:tab w:val="right" w:leader="dot" w:pos="8879"/>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"_Toc28824" </w:instrText>
      </w:r>
      <w:r>
        <w:rPr>
          <w:color w:val="auto"/>
          <w:highlight w:val="none"/>
        </w:rPr>
        <w:fldChar w:fldCharType="separate"/>
      </w:r>
      <w:r>
        <w:rPr>
          <w:rFonts w:hint="eastAsia" w:ascii="宋体" w:hAnsi="宋体" w:cs="宋体"/>
          <w:color w:val="auto"/>
          <w:sz w:val="28"/>
          <w:szCs w:val="28"/>
          <w:highlight w:val="none"/>
        </w:rPr>
        <w:t>第三章 采购需求</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_Toc28824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26</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6232016">
      <w:pPr>
        <w:pStyle w:val="25"/>
        <w:tabs>
          <w:tab w:val="right" w:leader="dot" w:pos="8879"/>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"_Toc24175" </w:instrText>
      </w:r>
      <w:r>
        <w:rPr>
          <w:color w:val="auto"/>
          <w:highlight w:val="none"/>
        </w:rPr>
        <w:fldChar w:fldCharType="separate"/>
      </w:r>
      <w:r>
        <w:rPr>
          <w:rFonts w:hint="eastAsia" w:ascii="宋体" w:hAnsi="宋体" w:cs="宋体"/>
          <w:color w:val="auto"/>
          <w:sz w:val="28"/>
          <w:szCs w:val="28"/>
          <w:highlight w:val="none"/>
        </w:rPr>
        <w:t>第四章 评审程序、评审方法和评审标准</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_Toc24175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30</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2F53F00D">
      <w:pPr>
        <w:pStyle w:val="25"/>
        <w:tabs>
          <w:tab w:val="right" w:leader="dot" w:pos="8879"/>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"_Toc5109" </w:instrText>
      </w:r>
      <w:r>
        <w:rPr>
          <w:color w:val="auto"/>
          <w:highlight w:val="none"/>
        </w:rPr>
        <w:fldChar w:fldCharType="separate"/>
      </w:r>
      <w:r>
        <w:rPr>
          <w:rFonts w:hint="eastAsia" w:ascii="宋体" w:hAnsi="宋体" w:cs="宋体"/>
          <w:color w:val="auto"/>
          <w:sz w:val="28"/>
          <w:szCs w:val="28"/>
          <w:highlight w:val="none"/>
        </w:rPr>
        <w:t>第五章 响应文件格式</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_Toc5109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44</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7024521">
      <w:pPr>
        <w:pStyle w:val="25"/>
        <w:tabs>
          <w:tab w:val="right" w:leader="dot" w:pos="8879"/>
        </w:tabs>
        <w:spacing w:line="360" w:lineRule="auto"/>
        <w:rPr>
          <w:rFonts w:ascii="宋体" w:hAnsi="宋体" w:cs="宋体"/>
          <w:color w:val="auto"/>
          <w:sz w:val="28"/>
          <w:szCs w:val="28"/>
          <w:highlight w:val="none"/>
        </w:rPr>
      </w:pPr>
      <w:r>
        <w:rPr>
          <w:color w:val="auto"/>
          <w:highlight w:val="none"/>
        </w:rPr>
        <w:fldChar w:fldCharType="begin"/>
      </w:r>
      <w:r>
        <w:rPr>
          <w:color w:val="auto"/>
          <w:highlight w:val="none"/>
        </w:rPr>
        <w:instrText xml:space="preserve"> HYPERLINK \l "_Toc11290" </w:instrText>
      </w:r>
      <w:r>
        <w:rPr>
          <w:color w:val="auto"/>
          <w:highlight w:val="none"/>
        </w:rPr>
        <w:fldChar w:fldCharType="separate"/>
      </w:r>
      <w:r>
        <w:rPr>
          <w:rFonts w:hint="eastAsia" w:ascii="宋体" w:hAnsi="宋体" w:cs="宋体"/>
          <w:color w:val="auto"/>
          <w:sz w:val="28"/>
          <w:szCs w:val="28"/>
          <w:highlight w:val="none"/>
        </w:rPr>
        <w:t>第六章 合同文本</w:t>
      </w:r>
      <w:r>
        <w:rPr>
          <w:rFonts w:hint="eastAsia" w:ascii="宋体" w:hAnsi="宋体" w:cs="宋体"/>
          <w:color w:val="auto"/>
          <w:sz w:val="28"/>
          <w:szCs w:val="28"/>
          <w:highlight w:val="none"/>
        </w:rPr>
        <w:tab/>
      </w:r>
      <w:r>
        <w:rPr>
          <w:rFonts w:hint="eastAsia" w:ascii="宋体" w:hAnsi="宋体" w:cs="宋体"/>
          <w:color w:val="auto"/>
          <w:sz w:val="28"/>
          <w:szCs w:val="28"/>
          <w:highlight w:val="none"/>
        </w:rPr>
        <w:fldChar w:fldCharType="begin"/>
      </w:r>
      <w:r>
        <w:rPr>
          <w:rFonts w:hint="eastAsia" w:ascii="宋体" w:hAnsi="宋体" w:cs="宋体"/>
          <w:color w:val="auto"/>
          <w:sz w:val="28"/>
          <w:szCs w:val="28"/>
          <w:highlight w:val="none"/>
        </w:rPr>
        <w:instrText xml:space="preserve"> PAGEREF _Toc11290 \h </w:instrText>
      </w:r>
      <w:r>
        <w:rPr>
          <w:rFonts w:hint="eastAsia" w:ascii="宋体" w:hAnsi="宋体" w:cs="宋体"/>
          <w:color w:val="auto"/>
          <w:sz w:val="28"/>
          <w:szCs w:val="28"/>
          <w:highlight w:val="none"/>
        </w:rPr>
        <w:fldChar w:fldCharType="separate"/>
      </w:r>
      <w:r>
        <w:rPr>
          <w:rFonts w:hint="eastAsia" w:ascii="宋体" w:hAnsi="宋体" w:cs="宋体"/>
          <w:color w:val="auto"/>
          <w:sz w:val="28"/>
          <w:szCs w:val="28"/>
          <w:highlight w:val="none"/>
        </w:rPr>
        <w:t>45</w:t>
      </w:r>
      <w:r>
        <w:rPr>
          <w:rFonts w:hint="eastAsia" w:ascii="宋体" w:hAnsi="宋体" w:cs="宋体"/>
          <w:color w:val="auto"/>
          <w:sz w:val="28"/>
          <w:szCs w:val="28"/>
          <w:highlight w:val="none"/>
        </w:rPr>
        <w:fldChar w:fldCharType="end"/>
      </w:r>
      <w:r>
        <w:rPr>
          <w:rFonts w:hint="eastAsia" w:ascii="宋体" w:hAnsi="宋体" w:cs="宋体"/>
          <w:color w:val="auto"/>
          <w:sz w:val="28"/>
          <w:szCs w:val="28"/>
          <w:highlight w:val="none"/>
        </w:rPr>
        <w:fldChar w:fldCharType="end"/>
      </w:r>
    </w:p>
    <w:p w14:paraId="4468D230">
      <w:pPr>
        <w:pStyle w:val="26"/>
        <w:spacing w:line="360" w:lineRule="auto"/>
        <w:rPr>
          <w:rFonts w:ascii="宋体" w:hAnsi="宋体" w:cs="宋体"/>
          <w:b/>
          <w:color w:val="auto"/>
          <w:sz w:val="32"/>
          <w:szCs w:val="32"/>
          <w:highlight w:val="none"/>
        </w:rPr>
      </w:pPr>
      <w:r>
        <w:rPr>
          <w:rFonts w:hint="eastAsia" w:ascii="宋体" w:hAnsi="宋体" w:cs="宋体"/>
          <w:color w:val="auto"/>
          <w:sz w:val="28"/>
          <w:szCs w:val="28"/>
          <w:highlight w:val="none"/>
        </w:rPr>
        <w:fldChar w:fldCharType="end"/>
      </w:r>
    </w:p>
    <w:p w14:paraId="141241EA">
      <w:pPr>
        <w:spacing w:line="400" w:lineRule="exact"/>
        <w:rPr>
          <w:rFonts w:ascii="宋体" w:hAnsi="宋体" w:cs="宋体"/>
          <w:b/>
          <w:color w:val="auto"/>
          <w:sz w:val="32"/>
          <w:szCs w:val="32"/>
          <w:highlight w:val="none"/>
        </w:rPr>
      </w:pPr>
    </w:p>
    <w:p w14:paraId="7DE519C4">
      <w:pPr>
        <w:spacing w:line="400" w:lineRule="exact"/>
        <w:rPr>
          <w:rFonts w:ascii="宋体" w:hAnsi="宋体" w:cs="宋体"/>
          <w:b/>
          <w:color w:val="auto"/>
          <w:sz w:val="32"/>
          <w:szCs w:val="32"/>
          <w:highlight w:val="none"/>
        </w:rPr>
      </w:pPr>
    </w:p>
    <w:p w14:paraId="361F5713">
      <w:pPr>
        <w:spacing w:line="400" w:lineRule="exact"/>
        <w:rPr>
          <w:rFonts w:ascii="宋体" w:hAnsi="宋体" w:cs="宋体"/>
          <w:b/>
          <w:color w:val="auto"/>
          <w:sz w:val="32"/>
          <w:szCs w:val="32"/>
          <w:highlight w:val="none"/>
        </w:rPr>
        <w:sectPr>
          <w:footerReference r:id="rId5" w:type="first"/>
          <w:footerReference r:id="rId4" w:type="default"/>
          <w:pgSz w:w="11906" w:h="16838"/>
          <w:pgMar w:top="1440" w:right="1440" w:bottom="1440" w:left="1587" w:header="851" w:footer="992" w:gutter="0"/>
          <w:pgNumType w:fmt="decimal" w:start="2"/>
          <w:cols w:space="720" w:num="1"/>
          <w:titlePg/>
          <w:docGrid w:type="lines" w:linePitch="312" w:charSpace="0"/>
        </w:sectPr>
      </w:pPr>
    </w:p>
    <w:p w14:paraId="6980CAFC">
      <w:pPr>
        <w:pStyle w:val="4"/>
        <w:spacing w:line="420" w:lineRule="exact"/>
        <w:jc w:val="center"/>
        <w:rPr>
          <w:rFonts w:ascii="宋体" w:hAnsi="宋体" w:cs="宋体"/>
          <w:color w:val="auto"/>
          <w:highlight w:val="none"/>
        </w:rPr>
      </w:pPr>
      <w:bookmarkStart w:id="0" w:name="_Toc8971"/>
      <w:r>
        <w:rPr>
          <w:rFonts w:hint="eastAsia" w:ascii="宋体" w:hAnsi="宋体" w:cs="宋体"/>
          <w:color w:val="auto"/>
          <w:highlight w:val="none"/>
        </w:rPr>
        <w:t>第一章 竞争性磋商公告</w:t>
      </w:r>
      <w:bookmarkEnd w:id="0"/>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5"/>
      </w:tblGrid>
      <w:tr w14:paraId="1CD2A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5" w:type="dxa"/>
          </w:tcPr>
          <w:p w14:paraId="2620B578">
            <w:pPr>
              <w:spacing w:line="420" w:lineRule="exact"/>
              <w:ind w:firstLine="420" w:firstLineChars="200"/>
              <w:rPr>
                <w:rFonts w:ascii="宋体" w:hAnsi="宋体" w:cs="宋体"/>
                <w:color w:val="auto"/>
                <w:szCs w:val="21"/>
                <w:highlight w:val="none"/>
              </w:rPr>
            </w:pPr>
            <w:bookmarkStart w:id="1" w:name="_Toc28359012"/>
            <w:bookmarkStart w:id="2" w:name="_Toc35393629"/>
            <w:bookmarkStart w:id="3" w:name="_Toc35393798"/>
            <w:bookmarkStart w:id="4" w:name="_Toc28359089"/>
            <w:bookmarkStart w:id="5" w:name="_Toc44229878"/>
            <w:bookmarkStart w:id="6" w:name="_Hlk37430271"/>
            <w:r>
              <w:rPr>
                <w:rFonts w:hint="eastAsia" w:ascii="宋体" w:hAnsi="宋体" w:cs="宋体"/>
                <w:color w:val="auto"/>
                <w:szCs w:val="21"/>
                <w:highlight w:val="none"/>
              </w:rPr>
              <w:t>项目概况</w:t>
            </w:r>
          </w:p>
          <w:p w14:paraId="3B8E382F">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lang w:eastAsia="zh-CN"/>
              </w:rPr>
              <w:t>2026年度采购流浪乞讨人员救助服务项目</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重</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的潜在供应商应在广西政府采购云平台线上获取采购文件，并于</w:t>
            </w:r>
            <w:r>
              <w:rPr>
                <w:rFonts w:hint="eastAsia" w:ascii="宋体" w:hAnsi="宋体" w:cs="宋体"/>
                <w:color w:val="auto"/>
                <w:szCs w:val="21"/>
                <w:highlight w:val="none"/>
                <w:lang w:val="en-US" w:eastAsia="zh-CN"/>
              </w:rPr>
              <w:t>2026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14</w:t>
            </w:r>
            <w:r>
              <w:rPr>
                <w:rFonts w:hint="eastAsia" w:ascii="宋体" w:hAnsi="宋体" w:cs="宋体"/>
                <w:color w:val="auto"/>
                <w:szCs w:val="21"/>
                <w:highlight w:val="none"/>
              </w:rPr>
              <w:t>日 09:30（北京时间）前提交响应文件。</w:t>
            </w:r>
          </w:p>
        </w:tc>
      </w:tr>
    </w:tbl>
    <w:p w14:paraId="29CB25B2">
      <w:pPr>
        <w:spacing w:line="420" w:lineRule="exact"/>
        <w:rPr>
          <w:rFonts w:ascii="宋体" w:hAnsi="宋体" w:cs="宋体"/>
          <w:b/>
          <w:bCs/>
          <w:color w:val="auto"/>
          <w:sz w:val="24"/>
          <w:highlight w:val="none"/>
        </w:rPr>
      </w:pPr>
      <w:r>
        <w:rPr>
          <w:rFonts w:hint="eastAsia" w:ascii="宋体" w:hAnsi="宋体" w:cs="宋体"/>
          <w:b/>
          <w:bCs/>
          <w:color w:val="auto"/>
          <w:sz w:val="24"/>
          <w:highlight w:val="none"/>
        </w:rPr>
        <w:t>一、项目基本情况</w:t>
      </w:r>
      <w:bookmarkEnd w:id="1"/>
      <w:bookmarkEnd w:id="2"/>
      <w:bookmarkEnd w:id="3"/>
      <w:bookmarkEnd w:id="4"/>
      <w:bookmarkEnd w:id="5"/>
    </w:p>
    <w:p w14:paraId="0B713986">
      <w:pPr>
        <w:spacing w:line="42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QZZC2026-C3-990046-GXCJ</w:t>
      </w:r>
    </w:p>
    <w:p w14:paraId="465839B8">
      <w:pPr>
        <w:spacing w:line="4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2026年度采购流浪乞讨人员救助服务项目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重</w:t>
      </w:r>
      <w:r>
        <w:rPr>
          <w:rFonts w:hint="eastAsia" w:ascii="宋体" w:hAnsi="宋体" w:cs="宋体"/>
          <w:color w:val="auto"/>
          <w:szCs w:val="21"/>
          <w:highlight w:val="none"/>
          <w:lang w:eastAsia="zh-CN"/>
        </w:rPr>
        <w:t>）</w:t>
      </w:r>
    </w:p>
    <w:p w14:paraId="40B4C3DE">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采购方式：竞争性磋商</w:t>
      </w:r>
    </w:p>
    <w:p w14:paraId="6C4A7409">
      <w:pPr>
        <w:spacing w:line="4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预算总金额（元）：</w:t>
      </w:r>
      <w:r>
        <w:rPr>
          <w:rFonts w:hint="eastAsia" w:ascii="宋体" w:hAnsi="宋体" w:cs="宋体"/>
          <w:color w:val="auto"/>
          <w:szCs w:val="21"/>
          <w:highlight w:val="none"/>
          <w:lang w:eastAsia="zh-CN"/>
        </w:rPr>
        <w:t>635000.00</w:t>
      </w:r>
    </w:p>
    <w:p w14:paraId="0BE6485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5"/>
      </w:tblGrid>
      <w:tr w14:paraId="5939F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5" w:type="dxa"/>
          </w:tcPr>
          <w:p w14:paraId="1CCBBFFC">
            <w:pPr>
              <w:spacing w:line="4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：2026年度采购流浪乞讨人员救助服务项目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重</w:t>
            </w:r>
            <w:r>
              <w:rPr>
                <w:rFonts w:hint="eastAsia" w:ascii="宋体" w:hAnsi="宋体" w:cs="宋体"/>
                <w:color w:val="auto"/>
                <w:szCs w:val="21"/>
                <w:highlight w:val="none"/>
                <w:lang w:eastAsia="zh-CN"/>
              </w:rPr>
              <w:t>）</w:t>
            </w:r>
          </w:p>
          <w:p w14:paraId="6D211C9F">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14:paraId="3ACFE033">
            <w:pPr>
              <w:spacing w:line="4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eastAsia="zh-CN"/>
              </w:rPr>
              <w:t>635000.00</w:t>
            </w:r>
          </w:p>
          <w:p w14:paraId="3EEE2EC9">
            <w:pPr>
              <w:spacing w:line="4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lang w:eastAsia="zh-CN"/>
              </w:rPr>
              <w:t>钦州市救助管理站</w:t>
            </w:r>
            <w:r>
              <w:rPr>
                <w:rFonts w:hint="eastAsia" w:ascii="宋体" w:hAnsi="宋体" w:cs="宋体"/>
                <w:color w:val="auto"/>
                <w:szCs w:val="21"/>
                <w:highlight w:val="none"/>
                <w:lang w:val="en-US" w:eastAsia="zh-CN"/>
              </w:rPr>
              <w:t>提供</w:t>
            </w:r>
            <w:r>
              <w:rPr>
                <w:rFonts w:hint="eastAsia" w:ascii="宋体" w:hAnsi="宋体" w:cs="宋体"/>
                <w:color w:val="auto"/>
                <w:szCs w:val="21"/>
                <w:highlight w:val="none"/>
                <w:lang w:eastAsia="zh-CN"/>
              </w:rPr>
              <w:t>2026年度流浪乞讨人员救助服务，</w:t>
            </w:r>
            <w:r>
              <w:rPr>
                <w:rFonts w:hint="eastAsia" w:ascii="宋体" w:hAnsi="宋体" w:cs="宋体"/>
                <w:color w:val="auto"/>
                <w:szCs w:val="21"/>
                <w:highlight w:val="none"/>
              </w:rPr>
              <w:t>具体内容详见磋商文件《采购需求》</w:t>
            </w:r>
            <w:r>
              <w:rPr>
                <w:rFonts w:hint="eastAsia" w:ascii="宋体" w:hAnsi="宋体" w:cs="宋体"/>
                <w:color w:val="auto"/>
                <w:szCs w:val="21"/>
                <w:highlight w:val="none"/>
                <w:lang w:eastAsia="zh-CN"/>
              </w:rPr>
              <w:t>。</w:t>
            </w:r>
          </w:p>
          <w:p w14:paraId="783624EE">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w:t>
            </w:r>
            <w:r>
              <w:rPr>
                <w:rFonts w:hint="eastAsia" w:ascii="宋体" w:hAnsi="宋体" w:cs="宋体"/>
                <w:color w:val="auto"/>
                <w:szCs w:val="21"/>
                <w:highlight w:val="none"/>
                <w:lang w:eastAsia="zh-CN"/>
              </w:rPr>
              <w:t>635000.00</w:t>
            </w:r>
            <w:r>
              <w:rPr>
                <w:rFonts w:hint="eastAsia" w:ascii="宋体" w:hAnsi="宋体" w:cs="宋体"/>
                <w:color w:val="auto"/>
                <w:szCs w:val="21"/>
                <w:highlight w:val="none"/>
              </w:rPr>
              <w:t>元</w:t>
            </w:r>
          </w:p>
          <w:p w14:paraId="63DF5CA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合同履约期限：</w:t>
            </w:r>
            <w:r>
              <w:rPr>
                <w:rFonts w:hint="eastAsia" w:ascii="宋体" w:hAnsi="宋体" w:cs="宋体"/>
                <w:color w:val="auto"/>
                <w:szCs w:val="21"/>
                <w:highlight w:val="none"/>
                <w:lang w:eastAsia="zh-CN"/>
              </w:rPr>
              <w:t>1年，从签订合同的时间起或双方约定的时间起12个月。</w:t>
            </w:r>
          </w:p>
          <w:p w14:paraId="2AE5B4DB">
            <w:pPr>
              <w:spacing w:line="42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本标项（否）接受联合体</w:t>
            </w:r>
            <w:r>
              <w:rPr>
                <w:rFonts w:hint="eastAsia" w:ascii="宋体" w:hAnsi="宋体" w:cs="宋体"/>
                <w:color w:val="auto"/>
                <w:szCs w:val="21"/>
                <w:highlight w:val="none"/>
                <w:lang w:eastAsia="zh-CN"/>
              </w:rPr>
              <w:t>竞标</w:t>
            </w:r>
          </w:p>
          <w:p w14:paraId="13E03859">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w:t>
            </w:r>
            <w:r>
              <w:rPr>
                <w:rFonts w:hint="eastAsia" w:ascii="宋体" w:hAnsi="宋体" w:eastAsia="宋体" w:cs="宋体"/>
                <w:i w:val="0"/>
                <w:iCs w:val="0"/>
                <w:caps w:val="0"/>
                <w:color w:val="auto"/>
                <w:spacing w:val="0"/>
                <w:sz w:val="21"/>
                <w:szCs w:val="21"/>
                <w:highlight w:val="none"/>
                <w:shd w:val="clear" w:fill="auto"/>
              </w:rPr>
              <w:t>本项目为线上电子招标项目</w:t>
            </w:r>
            <w:r>
              <w:rPr>
                <w:rFonts w:hint="eastAsia" w:ascii="宋体" w:hAnsi="宋体" w:eastAsia="宋体" w:cs="宋体"/>
                <w:i w:val="0"/>
                <w:iCs w:val="0"/>
                <w:caps w:val="0"/>
                <w:color w:val="auto"/>
                <w:spacing w:val="0"/>
                <w:sz w:val="21"/>
                <w:szCs w:val="21"/>
                <w:highlight w:val="none"/>
                <w:shd w:val="clear" w:fill="auto"/>
                <w:lang w:eastAsia="zh-CN"/>
              </w:rPr>
              <w:t>，</w:t>
            </w:r>
            <w:r>
              <w:rPr>
                <w:rFonts w:hint="eastAsia" w:ascii="宋体" w:hAnsi="宋体" w:eastAsia="宋体" w:cs="宋体"/>
                <w:i w:val="0"/>
                <w:iCs w:val="0"/>
                <w:caps w:val="0"/>
                <w:color w:val="auto"/>
                <w:spacing w:val="0"/>
                <w:sz w:val="21"/>
                <w:szCs w:val="21"/>
                <w:highlight w:val="none"/>
                <w:shd w:val="clear" w:fill="auto"/>
              </w:rPr>
              <w:t>有意向参与本项目的供应商应当做好参与全流程电子招投标交易的充分准备。</w:t>
            </w:r>
          </w:p>
        </w:tc>
      </w:tr>
    </w:tbl>
    <w:p w14:paraId="5FB2FDC4">
      <w:pPr>
        <w:spacing w:line="420" w:lineRule="exact"/>
        <w:rPr>
          <w:rFonts w:ascii="宋体" w:hAnsi="宋体" w:cs="宋体"/>
          <w:b/>
          <w:color w:val="auto"/>
          <w:sz w:val="24"/>
          <w:highlight w:val="none"/>
        </w:rPr>
      </w:pPr>
      <w:bookmarkStart w:id="7" w:name="_Toc44229879"/>
      <w:bookmarkStart w:id="8" w:name="_Toc28359013"/>
      <w:bookmarkStart w:id="9" w:name="_Toc35393799"/>
      <w:bookmarkStart w:id="10" w:name="_Toc28359090"/>
      <w:bookmarkStart w:id="11" w:name="_Toc35393630"/>
      <w:r>
        <w:rPr>
          <w:rFonts w:hint="eastAsia" w:ascii="宋体" w:hAnsi="宋体" w:cs="宋体"/>
          <w:b/>
          <w:color w:val="auto"/>
          <w:sz w:val="24"/>
          <w:highlight w:val="none"/>
        </w:rPr>
        <w:t>二、</w:t>
      </w:r>
      <w:bookmarkEnd w:id="7"/>
      <w:bookmarkEnd w:id="8"/>
      <w:bookmarkEnd w:id="9"/>
      <w:bookmarkEnd w:id="10"/>
      <w:bookmarkEnd w:id="11"/>
      <w:r>
        <w:rPr>
          <w:rFonts w:hint="eastAsia" w:ascii="宋体" w:hAnsi="宋体" w:cs="宋体"/>
          <w:b/>
          <w:color w:val="auto"/>
          <w:sz w:val="24"/>
          <w:highlight w:val="none"/>
        </w:rPr>
        <w:t>申请人的资格要求：</w:t>
      </w:r>
    </w:p>
    <w:p w14:paraId="4859B940">
      <w:pPr>
        <w:spacing w:line="420" w:lineRule="exact"/>
        <w:ind w:firstLine="420" w:firstLineChars="200"/>
        <w:rPr>
          <w:rFonts w:ascii="宋体" w:hAnsi="宋体" w:cs="宋体"/>
          <w:color w:val="auto"/>
          <w:szCs w:val="21"/>
          <w:highlight w:val="none"/>
        </w:rPr>
      </w:pPr>
      <w:bookmarkStart w:id="12" w:name="_Toc35393800"/>
      <w:bookmarkStart w:id="13" w:name="_Toc44229880"/>
      <w:bookmarkStart w:id="14" w:name="_Toc28359091"/>
      <w:bookmarkStart w:id="15" w:name="_Toc35393631"/>
      <w:bookmarkStart w:id="16" w:name="_Toc28359014"/>
      <w:r>
        <w:rPr>
          <w:rFonts w:hint="eastAsia" w:ascii="宋体" w:hAnsi="宋体" w:cs="宋体"/>
          <w:color w:val="auto"/>
          <w:szCs w:val="21"/>
          <w:highlight w:val="none"/>
        </w:rPr>
        <w:t>1.满足《中华人民共和国政府采购法》第二十二条规定；</w:t>
      </w:r>
    </w:p>
    <w:p w14:paraId="52FB53B7">
      <w:pPr>
        <w:spacing w:line="420" w:lineRule="exact"/>
        <w:ind w:firstLine="420" w:firstLineChars="200"/>
        <w:rPr>
          <w:rFonts w:ascii="宋体" w:hAnsi="宋体" w:cs="宋体"/>
          <w:color w:val="auto"/>
          <w:sz w:val="24"/>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eastAsia="zh-CN"/>
        </w:rPr>
        <w:t>本项目属于专门面向中小企业采购的项目（供应商应为中小微企业、监狱企业、残疾人福利性单位）；</w:t>
      </w:r>
    </w:p>
    <w:p w14:paraId="2264E281">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eastAsia="zh-CN"/>
        </w:rPr>
        <w:t>无</w:t>
      </w:r>
      <w:r>
        <w:rPr>
          <w:rFonts w:hint="eastAsia" w:ascii="宋体" w:hAnsi="宋体" w:cs="宋体"/>
          <w:color w:val="auto"/>
          <w:szCs w:val="21"/>
          <w:highlight w:val="none"/>
        </w:rPr>
        <w:t>。</w:t>
      </w:r>
    </w:p>
    <w:p w14:paraId="5A93A9D4">
      <w:pPr>
        <w:spacing w:line="420" w:lineRule="exact"/>
        <w:rPr>
          <w:rFonts w:ascii="宋体" w:hAnsi="宋体" w:cs="宋体"/>
          <w:b/>
          <w:color w:val="auto"/>
          <w:sz w:val="24"/>
          <w:highlight w:val="none"/>
        </w:rPr>
      </w:pPr>
      <w:r>
        <w:rPr>
          <w:rFonts w:hint="eastAsia" w:ascii="宋体" w:hAnsi="宋体" w:cs="宋体"/>
          <w:b/>
          <w:color w:val="auto"/>
          <w:sz w:val="24"/>
          <w:highlight w:val="none"/>
        </w:rPr>
        <w:t>三、</w:t>
      </w:r>
      <w:bookmarkEnd w:id="12"/>
      <w:bookmarkEnd w:id="13"/>
      <w:bookmarkEnd w:id="14"/>
      <w:bookmarkEnd w:id="15"/>
      <w:bookmarkEnd w:id="16"/>
      <w:r>
        <w:rPr>
          <w:rFonts w:hint="eastAsia" w:ascii="宋体" w:hAnsi="宋体" w:cs="宋体"/>
          <w:b/>
          <w:color w:val="auto"/>
          <w:sz w:val="24"/>
          <w:highlight w:val="none"/>
        </w:rPr>
        <w:t>获取采购文件</w:t>
      </w:r>
    </w:p>
    <w:p w14:paraId="07773B6D">
      <w:pPr>
        <w:spacing w:line="420" w:lineRule="exact"/>
        <w:ind w:firstLine="420" w:firstLineChars="200"/>
        <w:rPr>
          <w:rFonts w:ascii="宋体" w:hAnsi="宋体" w:cs="宋体"/>
          <w:bCs/>
          <w:color w:val="auto"/>
          <w:kern w:val="0"/>
          <w:szCs w:val="21"/>
          <w:highlight w:val="none"/>
        </w:rPr>
      </w:pPr>
      <w:bookmarkStart w:id="17" w:name="_Toc35393632"/>
      <w:bookmarkStart w:id="18" w:name="_Toc44229881"/>
      <w:bookmarkStart w:id="19" w:name="_Toc28359092"/>
      <w:bookmarkStart w:id="20" w:name="_Toc35393801"/>
      <w:bookmarkStart w:id="21" w:name="_Toc28359015"/>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val="en-US" w:eastAsia="zh-CN"/>
        </w:rPr>
        <w:t>2026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日至</w:t>
      </w:r>
      <w:r>
        <w:rPr>
          <w:rFonts w:hint="eastAsia" w:ascii="宋体" w:hAnsi="宋体" w:cs="宋体"/>
          <w:bCs/>
          <w:color w:val="auto"/>
          <w:kern w:val="0"/>
          <w:szCs w:val="21"/>
          <w:highlight w:val="none"/>
          <w:lang w:val="en-US" w:eastAsia="zh-CN"/>
        </w:rPr>
        <w:t>2026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日，每天上午00:00至11:59，下午12:00至23:59（北京时间，法定节假日除外）</w:t>
      </w:r>
    </w:p>
    <w:p w14:paraId="3E768230">
      <w:pPr>
        <w:spacing w:line="42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地点（网址）：广西政府采购云平台线上获取</w:t>
      </w:r>
    </w:p>
    <w:p w14:paraId="4425C2A5">
      <w:pPr>
        <w:spacing w:line="42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方式：供应商登录广西政府采购云平台https://www.gcy.zfcg.gxzf.gov.cn/在线申请获取采购文件（进入“项目采购”应用，在获取采购文件菜单中选择项目，申请获取采购文件）</w:t>
      </w:r>
    </w:p>
    <w:p w14:paraId="1DA501EE">
      <w:pPr>
        <w:spacing w:line="42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售价（元）：0</w:t>
      </w:r>
    </w:p>
    <w:p w14:paraId="456CB017">
      <w:pPr>
        <w:spacing w:line="420" w:lineRule="exact"/>
        <w:rPr>
          <w:rFonts w:ascii="宋体" w:hAnsi="宋体" w:cs="宋体"/>
          <w:b/>
          <w:color w:val="auto"/>
          <w:sz w:val="24"/>
          <w:highlight w:val="none"/>
        </w:rPr>
      </w:pPr>
      <w:r>
        <w:rPr>
          <w:rFonts w:hint="eastAsia" w:ascii="宋体" w:hAnsi="宋体" w:cs="宋体"/>
          <w:b/>
          <w:color w:val="auto"/>
          <w:sz w:val="24"/>
          <w:highlight w:val="none"/>
        </w:rPr>
        <w:t>四、响应文件提交</w:t>
      </w:r>
      <w:bookmarkEnd w:id="17"/>
      <w:bookmarkEnd w:id="18"/>
      <w:bookmarkEnd w:id="19"/>
      <w:bookmarkEnd w:id="20"/>
      <w:bookmarkEnd w:id="21"/>
    </w:p>
    <w:p w14:paraId="16E958BF">
      <w:pPr>
        <w:spacing w:line="420" w:lineRule="exact"/>
        <w:ind w:firstLine="420" w:firstLineChars="200"/>
        <w:rPr>
          <w:rFonts w:ascii="宋体" w:hAnsi="宋体" w:cs="宋体"/>
          <w:bCs/>
          <w:color w:val="auto"/>
          <w:szCs w:val="21"/>
          <w:highlight w:val="none"/>
        </w:rPr>
      </w:pPr>
      <w:bookmarkStart w:id="22" w:name="_Toc28359016"/>
      <w:bookmarkStart w:id="23" w:name="_Toc35393802"/>
      <w:bookmarkStart w:id="24" w:name="_Toc35393633"/>
      <w:bookmarkStart w:id="25" w:name="_Toc44229882"/>
      <w:bookmarkStart w:id="26" w:name="_Toc28359093"/>
      <w:r>
        <w:rPr>
          <w:rFonts w:hint="eastAsia" w:ascii="宋体" w:hAnsi="宋体" w:cs="宋体"/>
          <w:bCs/>
          <w:color w:val="auto"/>
          <w:szCs w:val="21"/>
          <w:highlight w:val="none"/>
        </w:rPr>
        <w:t>截止时间：202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kern w:val="0"/>
          <w:szCs w:val="21"/>
          <w:highlight w:val="none"/>
          <w:lang w:val="en-US" w:eastAsia="zh-CN"/>
        </w:rPr>
        <w:t>2</w:t>
      </w:r>
      <w:r>
        <w:rPr>
          <w:rFonts w:hint="eastAsia" w:ascii="宋体" w:hAnsi="宋体" w:cs="宋体"/>
          <w:bCs/>
          <w:color w:val="auto"/>
          <w:szCs w:val="21"/>
          <w:highlight w:val="none"/>
        </w:rPr>
        <w:t>月</w:t>
      </w:r>
      <w:r>
        <w:rPr>
          <w:rFonts w:hint="eastAsia" w:ascii="宋体" w:hAnsi="宋体" w:cs="宋体"/>
          <w:bCs/>
          <w:color w:val="auto"/>
          <w:kern w:val="0"/>
          <w:szCs w:val="21"/>
          <w:highlight w:val="none"/>
          <w:lang w:val="en-US" w:eastAsia="zh-CN"/>
        </w:rPr>
        <w:t>14</w:t>
      </w:r>
      <w:r>
        <w:rPr>
          <w:rFonts w:hint="eastAsia" w:ascii="宋体" w:hAnsi="宋体" w:cs="宋体"/>
          <w:bCs/>
          <w:color w:val="auto"/>
          <w:szCs w:val="21"/>
          <w:highlight w:val="none"/>
        </w:rPr>
        <w:t>日 09:30（北京时间）</w:t>
      </w:r>
    </w:p>
    <w:p w14:paraId="076ED156">
      <w:pPr>
        <w:spacing w:line="42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地点（网址）：请登录广西政府采购云平台投标客户端投标</w:t>
      </w:r>
    </w:p>
    <w:p w14:paraId="67C0CCED">
      <w:pPr>
        <w:spacing w:line="420" w:lineRule="exact"/>
        <w:rPr>
          <w:rFonts w:ascii="宋体" w:hAnsi="宋体" w:cs="宋体"/>
          <w:b/>
          <w:color w:val="auto"/>
          <w:sz w:val="24"/>
          <w:highlight w:val="none"/>
        </w:rPr>
      </w:pPr>
      <w:r>
        <w:rPr>
          <w:rFonts w:hint="eastAsia" w:ascii="宋体" w:hAnsi="宋体" w:cs="宋体"/>
          <w:b/>
          <w:color w:val="auto"/>
          <w:sz w:val="24"/>
          <w:highlight w:val="none"/>
        </w:rPr>
        <w:t>五、</w:t>
      </w:r>
      <w:bookmarkEnd w:id="22"/>
      <w:bookmarkEnd w:id="23"/>
      <w:bookmarkEnd w:id="24"/>
      <w:bookmarkEnd w:id="25"/>
      <w:bookmarkEnd w:id="26"/>
      <w:r>
        <w:rPr>
          <w:rFonts w:hint="eastAsia" w:ascii="宋体" w:hAnsi="宋体" w:cs="宋体"/>
          <w:b/>
          <w:color w:val="auto"/>
          <w:sz w:val="24"/>
          <w:highlight w:val="none"/>
        </w:rPr>
        <w:t>响应文件开启</w:t>
      </w:r>
    </w:p>
    <w:p w14:paraId="09DD5F83">
      <w:pPr>
        <w:spacing w:line="420" w:lineRule="exact"/>
        <w:ind w:firstLine="420" w:firstLineChars="200"/>
        <w:rPr>
          <w:rFonts w:ascii="宋体" w:hAnsi="宋体" w:cs="宋体"/>
          <w:color w:val="auto"/>
          <w:szCs w:val="21"/>
          <w:highlight w:val="none"/>
        </w:rPr>
      </w:pPr>
      <w:bookmarkStart w:id="27" w:name="_Toc28359017"/>
      <w:bookmarkStart w:id="28" w:name="_Toc28359094"/>
      <w:bookmarkStart w:id="29" w:name="_Toc35393803"/>
      <w:bookmarkStart w:id="30" w:name="_Toc35393634"/>
      <w:bookmarkStart w:id="31" w:name="_Toc44229883"/>
      <w:r>
        <w:rPr>
          <w:rFonts w:hint="eastAsia" w:ascii="宋体" w:hAnsi="宋体" w:cs="宋体"/>
          <w:color w:val="auto"/>
          <w:szCs w:val="21"/>
          <w:highlight w:val="none"/>
        </w:rPr>
        <w:t>开启时间：</w:t>
      </w:r>
      <w:r>
        <w:rPr>
          <w:rFonts w:hint="eastAsia" w:ascii="宋体" w:hAnsi="宋体" w:cs="宋体"/>
          <w:bCs/>
          <w:color w:val="auto"/>
          <w:szCs w:val="21"/>
          <w:highlight w:val="none"/>
        </w:rPr>
        <w:t>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kern w:val="0"/>
          <w:szCs w:val="21"/>
          <w:highlight w:val="none"/>
          <w:lang w:val="en-US" w:eastAsia="zh-CN"/>
        </w:rPr>
        <w:t>2</w:t>
      </w:r>
      <w:r>
        <w:rPr>
          <w:rFonts w:hint="eastAsia" w:ascii="宋体" w:hAnsi="宋体" w:cs="宋体"/>
          <w:bCs/>
          <w:color w:val="auto"/>
          <w:szCs w:val="21"/>
          <w:highlight w:val="none"/>
        </w:rPr>
        <w:t>月</w:t>
      </w:r>
      <w:r>
        <w:rPr>
          <w:rFonts w:hint="eastAsia" w:ascii="宋体" w:hAnsi="宋体" w:cs="宋体"/>
          <w:bCs/>
          <w:color w:val="auto"/>
          <w:kern w:val="0"/>
          <w:szCs w:val="21"/>
          <w:highlight w:val="none"/>
          <w:lang w:val="en-US" w:eastAsia="zh-CN"/>
        </w:rPr>
        <w:t>14</w:t>
      </w:r>
      <w:r>
        <w:rPr>
          <w:rFonts w:hint="eastAsia" w:ascii="宋体" w:hAnsi="宋体" w:cs="宋体"/>
          <w:bCs/>
          <w:color w:val="auto"/>
          <w:szCs w:val="21"/>
          <w:highlight w:val="none"/>
        </w:rPr>
        <w:t>日</w:t>
      </w:r>
      <w:r>
        <w:rPr>
          <w:rFonts w:hint="eastAsia" w:ascii="宋体" w:hAnsi="宋体" w:cs="宋体"/>
          <w:color w:val="auto"/>
          <w:szCs w:val="21"/>
          <w:highlight w:val="none"/>
        </w:rPr>
        <w:t>09:30（北京时间）</w:t>
      </w:r>
    </w:p>
    <w:p w14:paraId="0579DB80">
      <w:pPr>
        <w:spacing w:line="42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地点：广西政府采购云平台https://www.gcy.zfcg.gxzf.gov.cn/</w:t>
      </w:r>
    </w:p>
    <w:p w14:paraId="68F0A564">
      <w:pPr>
        <w:spacing w:line="420" w:lineRule="exact"/>
        <w:rPr>
          <w:rFonts w:ascii="宋体" w:hAnsi="宋体" w:cs="宋体"/>
          <w:b/>
          <w:color w:val="auto"/>
          <w:sz w:val="24"/>
          <w:highlight w:val="none"/>
        </w:rPr>
      </w:pPr>
      <w:r>
        <w:rPr>
          <w:rFonts w:hint="eastAsia" w:ascii="宋体" w:hAnsi="宋体" w:cs="宋体"/>
          <w:b/>
          <w:color w:val="auto"/>
          <w:sz w:val="24"/>
          <w:highlight w:val="none"/>
        </w:rPr>
        <w:t>六、公告期限</w:t>
      </w:r>
      <w:bookmarkEnd w:id="27"/>
      <w:bookmarkEnd w:id="28"/>
      <w:bookmarkEnd w:id="29"/>
      <w:bookmarkEnd w:id="30"/>
      <w:bookmarkEnd w:id="31"/>
    </w:p>
    <w:p w14:paraId="33CF51CD">
      <w:pPr>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个工作日。</w:t>
      </w:r>
    </w:p>
    <w:p w14:paraId="42ACE82A">
      <w:pPr>
        <w:spacing w:line="420" w:lineRule="exact"/>
        <w:rPr>
          <w:rFonts w:ascii="宋体" w:hAnsi="宋体" w:cs="宋体"/>
          <w:b/>
          <w:color w:val="auto"/>
          <w:sz w:val="24"/>
          <w:highlight w:val="none"/>
        </w:rPr>
      </w:pPr>
      <w:bookmarkStart w:id="32" w:name="_Toc44229884"/>
      <w:bookmarkStart w:id="33" w:name="_Toc35393804"/>
      <w:bookmarkStart w:id="34" w:name="_Toc35393635"/>
      <w:r>
        <w:rPr>
          <w:rFonts w:hint="eastAsia" w:ascii="宋体" w:hAnsi="宋体" w:cs="宋体"/>
          <w:b/>
          <w:color w:val="auto"/>
          <w:sz w:val="24"/>
          <w:highlight w:val="none"/>
        </w:rPr>
        <w:t>七、其他补充事宜</w:t>
      </w:r>
      <w:bookmarkEnd w:id="32"/>
      <w:bookmarkEnd w:id="33"/>
      <w:bookmarkEnd w:id="34"/>
    </w:p>
    <w:p w14:paraId="720AF8F4">
      <w:pPr>
        <w:spacing w:line="420" w:lineRule="exact"/>
        <w:ind w:firstLine="420" w:firstLineChars="200"/>
        <w:rPr>
          <w:rFonts w:ascii="宋体" w:hAnsi="宋体" w:cs="宋体"/>
          <w:color w:val="auto"/>
          <w:szCs w:val="21"/>
          <w:highlight w:val="none"/>
        </w:rPr>
      </w:pPr>
      <w:bookmarkStart w:id="35" w:name="_Toc35393636"/>
      <w:bookmarkStart w:id="36" w:name="_Toc44229885"/>
      <w:bookmarkStart w:id="37" w:name="_Toc28359095"/>
      <w:bookmarkStart w:id="38" w:name="_Toc35393805"/>
      <w:bookmarkStart w:id="39" w:name="_Toc28359018"/>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.网上查询地址：</w:t>
      </w:r>
      <w:r>
        <w:rPr>
          <w:rFonts w:hint="eastAsia" w:ascii="宋体" w:hAnsi="宋体" w:cs="宋体"/>
          <w:color w:val="auto"/>
          <w:szCs w:val="21"/>
          <w:highlight w:val="none"/>
        </w:rPr>
        <w:t>中国政府采购网（http://www.ccgp.gov.cn/）、广西壮族自治区政府采购网（www.zfcg.gxzf.gov.cn）。</w:t>
      </w:r>
    </w:p>
    <w:p w14:paraId="15E23C5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.本项目需要落实的政府采购政策：</w:t>
      </w:r>
    </w:p>
    <w:p w14:paraId="21AB17E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（1）政府采购促进中小企业发展。</w:t>
      </w:r>
    </w:p>
    <w:p w14:paraId="67757910">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6312F1BB">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3B61EDA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（4）政府采购促进残疾人就业政策。</w:t>
      </w:r>
    </w:p>
    <w:p w14:paraId="10D2C6C1">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（5）政府采购支持监狱企业发展。</w:t>
      </w:r>
    </w:p>
    <w:p w14:paraId="509A95C8">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.磋商注意事项：</w:t>
      </w:r>
    </w:p>
    <w:p w14:paraId="0564CC18">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提交方式：本项目为全流程电子化政府采购项目，通过“广西政府采购云平台”（https://www.gcy.zfcg.gxzf.gov.cn/）实行在线电子磋商采购，供应商应先安装“广西政府采购云平台电子交易客户端”（请自行前往“广西政府采购云平台”进行下载），并按照本项目竞争性磋商文件和“广西政府采购云平台”的要求编制、加密后在首次响应文件提交截止时间前通过网络上传至“广西政府采购云平台”，供应商在“广西政府采购云平台”提交电子版响应文件时，请填写参加远程开标活动经办人联系方式。</w:t>
      </w:r>
    </w:p>
    <w:p w14:paraId="412D15A1">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3E5872D9">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未进行网上注册并办理数字证书（CA认证）的供应商将无法参与本项目政府采购活动，潜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70E33F6E">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（4）为确保网上操作合法、有效和安全，请供应商确保在电子竞标过程中能够对相关数据电文进行加密和使用电子签章，妥善保管CA数字证书并使用有效的CA数字证书参与整个采购活动。</w:t>
      </w:r>
    </w:p>
    <w:p w14:paraId="5D896955">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广西政府采购云平台”平台将予以拒收。</w:t>
      </w:r>
    </w:p>
    <w:p w14:paraId="1AEA0795">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.CA证书在线解密：首次响应文件开启时，</w:t>
      </w:r>
      <w:r>
        <w:rPr>
          <w:rFonts w:hint="eastAsia" w:ascii="宋体" w:hAnsi="宋体" w:cs="宋体"/>
          <w:color w:val="auto"/>
          <w:szCs w:val="21"/>
          <w:highlight w:val="none"/>
          <w:lang w:eastAsia="zh-CN"/>
        </w:rPr>
        <w:t>须</w:t>
      </w:r>
      <w:r>
        <w:rPr>
          <w:rFonts w:hint="eastAsia" w:ascii="宋体" w:hAnsi="宋体" w:cs="宋体"/>
          <w:color w:val="auto"/>
          <w:szCs w:val="21"/>
          <w:highlight w:val="none"/>
        </w:rPr>
        <w:t>供应商携带制作响应文件时用来加密的有效数字证书（CA认证）登录“广西政府采购云平台”电子开标大厅现场按规定时间对加密的响应文件进行解密，否则后果自负。</w:t>
      </w:r>
    </w:p>
    <w:p w14:paraId="0A739CF0">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.供应商需要在具备有摄像头及语音功能且互联网网络状况良好的电脑登录</w:t>
      </w:r>
      <w:r>
        <w:rPr>
          <w:rFonts w:hint="eastAsia" w:ascii="宋体" w:hAnsi="宋体" w:cs="宋体"/>
          <w:color w:val="auto"/>
          <w:szCs w:val="21"/>
          <w:highlight w:val="none"/>
          <w:u w:val="none"/>
        </w:rPr>
        <w:t>“广西政府采购云平台”远程</w:t>
      </w:r>
      <w:r>
        <w:rPr>
          <w:rFonts w:hint="eastAsia" w:ascii="宋体" w:hAnsi="宋体" w:cs="宋体"/>
          <w:color w:val="auto"/>
          <w:szCs w:val="21"/>
          <w:highlight w:val="none"/>
        </w:rPr>
        <w:t>开标大厅参与本次磋商，否则后果自负。</w:t>
      </w:r>
    </w:p>
    <w:p w14:paraId="63402A94">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.若对项目采购电子交易系统操作有疑问，</w:t>
      </w:r>
      <w:r>
        <w:rPr>
          <w:rFonts w:hint="eastAsia" w:ascii="宋体" w:hAnsi="宋体" w:cs="宋体"/>
          <w:color w:val="auto"/>
          <w:szCs w:val="21"/>
          <w:highlight w:val="none"/>
          <w:u w:val="single"/>
        </w:rPr>
        <w:t>可登录“广西政府采购云平台”</w:t>
      </w:r>
      <w:r>
        <w:rPr>
          <w:rFonts w:hint="eastAsia" w:ascii="宋体" w:hAnsi="宋体" w:cs="宋体"/>
          <w:color w:val="auto"/>
          <w:szCs w:val="21"/>
          <w:highlight w:val="none"/>
        </w:rPr>
        <w:t>，点击右侧咨询小采，获取采小蜜智能服务管家帮助，或拨打广西政府采购云平台服务热线95763获取热线服务帮助。</w:t>
      </w:r>
    </w:p>
    <w:p w14:paraId="180C2845">
      <w:pPr>
        <w:spacing w:line="420" w:lineRule="exact"/>
        <w:rPr>
          <w:rFonts w:ascii="宋体" w:hAnsi="宋体" w:cs="宋体"/>
          <w:b/>
          <w:bCs/>
          <w:color w:val="auto"/>
          <w:sz w:val="24"/>
          <w:highlight w:val="none"/>
        </w:rPr>
      </w:pPr>
      <w:r>
        <w:rPr>
          <w:rFonts w:hint="eastAsia" w:ascii="宋体" w:hAnsi="宋体" w:cs="宋体"/>
          <w:b/>
          <w:bCs/>
          <w:color w:val="auto"/>
          <w:sz w:val="24"/>
          <w:highlight w:val="none"/>
        </w:rPr>
        <w:t>八、</w:t>
      </w:r>
      <w:bookmarkEnd w:id="35"/>
      <w:bookmarkEnd w:id="36"/>
      <w:bookmarkEnd w:id="37"/>
      <w:bookmarkEnd w:id="38"/>
      <w:bookmarkEnd w:id="39"/>
      <w:r>
        <w:rPr>
          <w:rFonts w:hint="eastAsia" w:ascii="宋体" w:hAnsi="宋体" w:cs="宋体"/>
          <w:b/>
          <w:bCs/>
          <w:color w:val="auto"/>
          <w:sz w:val="24"/>
          <w:highlight w:val="none"/>
        </w:rPr>
        <w:t>凡对本次招标提出询问，请按以下方式联系</w:t>
      </w:r>
    </w:p>
    <w:p w14:paraId="4FA46B32">
      <w:pPr>
        <w:spacing w:line="420" w:lineRule="exact"/>
        <w:ind w:firstLine="420" w:firstLineChars="200"/>
        <w:rPr>
          <w:rFonts w:ascii="宋体" w:hAnsi="宋体" w:cs="宋体"/>
          <w:color w:val="auto"/>
          <w:kern w:val="0"/>
          <w:szCs w:val="21"/>
          <w:highlight w:val="none"/>
        </w:rPr>
      </w:pPr>
      <w:bookmarkStart w:id="40" w:name="_Toc28359019"/>
      <w:bookmarkStart w:id="41" w:name="_Toc35393637"/>
      <w:bookmarkStart w:id="42" w:name="_Toc35393806"/>
      <w:bookmarkStart w:id="43" w:name="_Toc28359096"/>
      <w:r>
        <w:rPr>
          <w:rFonts w:hint="eastAsia" w:ascii="宋体" w:hAnsi="宋体" w:cs="宋体"/>
          <w:color w:val="auto"/>
          <w:kern w:val="0"/>
          <w:szCs w:val="21"/>
          <w:highlight w:val="none"/>
        </w:rPr>
        <w:t>1.采购人信息</w:t>
      </w:r>
      <w:bookmarkEnd w:id="40"/>
      <w:bookmarkEnd w:id="41"/>
      <w:bookmarkEnd w:id="42"/>
      <w:bookmarkEnd w:id="43"/>
    </w:p>
    <w:p w14:paraId="12CFCD1D">
      <w:pPr>
        <w:spacing w:line="42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钦州市救助管理站</w:t>
      </w:r>
    </w:p>
    <w:p w14:paraId="645339C7">
      <w:pPr>
        <w:spacing w:line="420" w:lineRule="exact"/>
        <w:ind w:firstLine="420" w:firstLineChars="200"/>
        <w:rPr>
          <w:rFonts w:ascii="宋体" w:hAnsi="宋体" w:cs="宋体"/>
          <w:color w:val="auto"/>
          <w:kern w:val="0"/>
          <w:szCs w:val="21"/>
          <w:highlight w:val="none"/>
        </w:rPr>
      </w:pPr>
      <w:bookmarkStart w:id="44" w:name="_Toc28359097"/>
      <w:bookmarkStart w:id="45" w:name="_Toc35393638"/>
      <w:bookmarkStart w:id="46" w:name="_Toc28359020"/>
      <w:bookmarkStart w:id="47" w:name="_Toc35393807"/>
      <w:r>
        <w:rPr>
          <w:rFonts w:hint="eastAsia" w:ascii="宋体" w:hAnsi="宋体" w:cs="宋体"/>
          <w:color w:val="auto"/>
          <w:kern w:val="0"/>
          <w:szCs w:val="21"/>
          <w:highlight w:val="none"/>
        </w:rPr>
        <w:t>地    址：</w:t>
      </w:r>
      <w:r>
        <w:rPr>
          <w:rFonts w:hint="eastAsia" w:ascii="宋体" w:hAnsi="宋体" w:cs="宋体"/>
          <w:color w:val="auto"/>
          <w:kern w:val="0"/>
          <w:szCs w:val="21"/>
          <w:highlight w:val="none"/>
          <w:lang w:val="en-US" w:eastAsia="zh-CN"/>
        </w:rPr>
        <w:t>广西壮族自治区钦州市金华路8号</w:t>
      </w:r>
    </w:p>
    <w:p w14:paraId="23A526CA">
      <w:pPr>
        <w:spacing w:line="42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val="en-US" w:eastAsia="zh-CN"/>
        </w:rPr>
        <w:t>郑晖</w:t>
      </w:r>
    </w:p>
    <w:p w14:paraId="63D19FAC">
      <w:pPr>
        <w:spacing w:line="42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lang w:eastAsia="zh-CN"/>
        </w:rPr>
        <w:t>0777-3893218</w:t>
      </w:r>
    </w:p>
    <w:p w14:paraId="3DCD68C3">
      <w:pPr>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bookmarkEnd w:id="44"/>
      <w:bookmarkEnd w:id="45"/>
      <w:bookmarkEnd w:id="46"/>
      <w:bookmarkEnd w:id="47"/>
    </w:p>
    <w:p w14:paraId="52448AA9">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highlight w:val="none"/>
        </w:rPr>
        <w:t>广西城建咨询设计有限公司</w:t>
      </w:r>
    </w:p>
    <w:p w14:paraId="4062D4FA">
      <w:pPr>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highlight w:val="none"/>
        </w:rPr>
        <w:t>：钦州市钦南区子材东大街4号阳光曼哈顿3座4楼3A07室广西城建咨询设计有限公司钦州分公司</w:t>
      </w:r>
    </w:p>
    <w:p w14:paraId="54B9EC7F">
      <w:pPr>
        <w:pStyle w:val="19"/>
        <w:spacing w:line="420" w:lineRule="exact"/>
        <w:ind w:firstLine="420" w:firstLineChars="200"/>
        <w:rPr>
          <w:rFonts w:hAnsi="宋体" w:cs="宋体"/>
          <w:color w:val="auto"/>
          <w:sz w:val="21"/>
          <w:highlight w:val="none"/>
        </w:rPr>
      </w:pPr>
      <w:r>
        <w:rPr>
          <w:rFonts w:hint="eastAsia" w:hAnsi="宋体" w:cs="宋体"/>
          <w:color w:val="auto"/>
          <w:sz w:val="21"/>
          <w:highlight w:val="none"/>
        </w:rPr>
        <w:t>项目联系人：</w:t>
      </w:r>
      <w:r>
        <w:rPr>
          <w:rFonts w:hint="eastAsia" w:hAnsi="宋体" w:cs="宋体"/>
          <w:color w:val="auto"/>
          <w:sz w:val="21"/>
          <w:highlight w:val="none"/>
          <w:lang w:val="en-US" w:eastAsia="zh-CN"/>
        </w:rPr>
        <w:t>甘丽筠、</w:t>
      </w:r>
      <w:r>
        <w:rPr>
          <w:rFonts w:hint="eastAsia" w:hAnsi="宋体" w:cs="宋体"/>
          <w:color w:val="auto"/>
          <w:sz w:val="21"/>
          <w:highlight w:val="none"/>
        </w:rPr>
        <w:t>庞东</w:t>
      </w:r>
    </w:p>
    <w:p w14:paraId="30D729D3">
      <w:pPr>
        <w:spacing w:line="420" w:lineRule="exact"/>
        <w:ind w:firstLine="420" w:firstLineChars="200"/>
        <w:rPr>
          <w:rFonts w:ascii="宋体" w:hAnsi="宋体" w:cs="宋体"/>
          <w:color w:val="auto"/>
          <w:highlight w:val="none"/>
        </w:rPr>
      </w:pPr>
      <w:r>
        <w:rPr>
          <w:rFonts w:hint="eastAsia" w:ascii="宋体" w:hAnsi="宋体" w:cs="宋体"/>
          <w:color w:val="auto"/>
          <w:szCs w:val="21"/>
          <w:highlight w:val="none"/>
        </w:rPr>
        <w:t>项目联系方式：0771-5823850</w:t>
      </w:r>
    </w:p>
    <w:p w14:paraId="032BD1C3">
      <w:pPr>
        <w:spacing w:line="420" w:lineRule="exact"/>
        <w:ind w:firstLine="630" w:firstLineChars="300"/>
        <w:jc w:val="right"/>
        <w:rPr>
          <w:rFonts w:ascii="宋体" w:hAnsi="宋体" w:cs="宋体"/>
          <w:color w:val="auto"/>
          <w:szCs w:val="21"/>
          <w:highlight w:val="none"/>
        </w:rPr>
      </w:pPr>
    </w:p>
    <w:p w14:paraId="62C9B9DB">
      <w:pPr>
        <w:spacing w:line="420" w:lineRule="exact"/>
        <w:ind w:firstLine="630" w:firstLineChars="300"/>
        <w:jc w:val="right"/>
        <w:rPr>
          <w:rFonts w:ascii="宋体" w:hAnsi="宋体" w:cs="宋体"/>
          <w:color w:val="auto"/>
          <w:szCs w:val="21"/>
          <w:highlight w:val="none"/>
        </w:rPr>
      </w:pPr>
      <w:r>
        <w:rPr>
          <w:rFonts w:hint="eastAsia" w:ascii="宋体" w:hAnsi="宋体" w:cs="宋体"/>
          <w:color w:val="auto"/>
          <w:szCs w:val="21"/>
          <w:highlight w:val="none"/>
        </w:rPr>
        <w:t>广西城建咨询设计有限公司</w:t>
      </w:r>
    </w:p>
    <w:p w14:paraId="01627AE0">
      <w:pPr>
        <w:spacing w:line="420" w:lineRule="exact"/>
        <w:jc w:val="center"/>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2026</w:t>
      </w:r>
      <w:r>
        <w:rPr>
          <w:rFonts w:hint="eastAsia" w:ascii="宋体" w:hAnsi="宋体" w:cs="宋体"/>
          <w:bCs/>
          <w:color w:val="auto"/>
          <w:szCs w:val="21"/>
          <w:highlight w:val="none"/>
        </w:rPr>
        <w:t>年</w:t>
      </w:r>
      <w:r>
        <w:rPr>
          <w:rFonts w:hint="eastAsia" w:ascii="宋体" w:hAnsi="宋体" w:cs="宋体"/>
          <w:bCs/>
          <w:color w:val="auto"/>
          <w:kern w:val="0"/>
          <w:szCs w:val="21"/>
          <w:highlight w:val="none"/>
          <w:lang w:val="en-US" w:eastAsia="zh-CN"/>
        </w:rPr>
        <w:t>2</w:t>
      </w:r>
      <w:r>
        <w:rPr>
          <w:rFonts w:hint="eastAsia" w:ascii="宋体" w:hAnsi="宋体" w:cs="宋体"/>
          <w:bCs/>
          <w:color w:val="auto"/>
          <w:szCs w:val="21"/>
          <w:highlight w:val="none"/>
        </w:rPr>
        <w:t>月</w:t>
      </w:r>
      <w:r>
        <w:rPr>
          <w:rFonts w:hint="eastAsia" w:ascii="宋体" w:hAnsi="宋体" w:cs="宋体"/>
          <w:bCs/>
          <w:color w:val="auto"/>
          <w:kern w:val="0"/>
          <w:szCs w:val="21"/>
          <w:highlight w:val="none"/>
          <w:lang w:val="en-US" w:eastAsia="zh-CN"/>
        </w:rPr>
        <w:t>3</w:t>
      </w:r>
      <w:r>
        <w:rPr>
          <w:rFonts w:hint="eastAsia" w:ascii="宋体" w:hAnsi="宋体" w:cs="宋体"/>
          <w:bCs/>
          <w:color w:val="auto"/>
          <w:szCs w:val="21"/>
          <w:highlight w:val="none"/>
        </w:rPr>
        <w:t>日</w:t>
      </w:r>
      <w:bookmarkEnd w:id="6"/>
    </w:p>
    <w:p w14:paraId="48E9DD8B">
      <w:pPr>
        <w:pStyle w:val="4"/>
        <w:spacing w:line="360" w:lineRule="auto"/>
        <w:jc w:val="center"/>
        <w:rPr>
          <w:rFonts w:ascii="宋体" w:hAnsi="宋体" w:cs="宋体"/>
          <w:color w:val="auto"/>
          <w:highlight w:val="none"/>
        </w:rPr>
      </w:pPr>
      <w:r>
        <w:rPr>
          <w:rFonts w:hint="eastAsia" w:ascii="宋体" w:hAnsi="宋体" w:cs="宋体"/>
          <w:color w:val="auto"/>
          <w:highlight w:val="none"/>
        </w:rPr>
        <w:br w:type="page"/>
      </w:r>
      <w:bookmarkStart w:id="48" w:name="_Toc25187"/>
      <w:r>
        <w:rPr>
          <w:rFonts w:hint="eastAsia"/>
          <w:color w:val="auto"/>
          <w:highlight w:val="none"/>
        </w:rPr>
        <w:t>第二章 供应商须知</w:t>
      </w:r>
      <w:bookmarkEnd w:id="48"/>
    </w:p>
    <w:p w14:paraId="0D9B31FF">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4CEF0DB7">
      <w:pPr>
        <w:spacing w:line="400" w:lineRule="exact"/>
        <w:jc w:val="center"/>
        <w:rPr>
          <w:rFonts w:ascii="宋体" w:hAnsi="宋体" w:cs="宋体"/>
          <w:b/>
          <w:color w:val="auto"/>
          <w:sz w:val="32"/>
          <w:szCs w:val="32"/>
          <w:highlight w:val="none"/>
        </w:rPr>
      </w:pPr>
    </w:p>
    <w:tbl>
      <w:tblPr>
        <w:tblStyle w:val="3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22C48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26A0630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tcPr>
          <w:p w14:paraId="46DC6DBD">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    容</w:t>
            </w:r>
          </w:p>
        </w:tc>
      </w:tr>
      <w:tr w14:paraId="652A8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66CA1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vAlign w:val="center"/>
          </w:tcPr>
          <w:p w14:paraId="19FA5B53">
            <w:pPr>
              <w:spacing w:line="360" w:lineRule="auto"/>
              <w:rPr>
                <w:rFonts w:ascii="宋体" w:hAnsi="宋体" w:cs="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p>
          <w:p w14:paraId="4647F9A7">
            <w:pPr>
              <w:spacing w:line="360" w:lineRule="auto"/>
              <w:rPr>
                <w:rFonts w:ascii="宋体" w:hAnsi="宋体" w:cs="宋体"/>
                <w:color w:val="auto"/>
                <w:szCs w:val="21"/>
                <w:highlight w:val="none"/>
              </w:rPr>
            </w:pPr>
            <w:r>
              <w:rPr>
                <w:rFonts w:hint="eastAsia" w:ascii="宋体" w:hAnsi="宋体" w:cs="宋体"/>
                <w:color w:val="auto"/>
                <w:szCs w:val="21"/>
                <w:highlight w:val="none"/>
              </w:rPr>
              <w:t>2.供应商出现下列情形之一的，不得参加政府采购活动：</w:t>
            </w:r>
          </w:p>
          <w:p w14:paraId="1CD7678A">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2FA129D">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名单、政府采购严重违法失信行为记录名单及其他不符合《中华人民共和国政府采购法》第二十二条规定条件的供应商，不得参与政府采购活动。</w:t>
            </w:r>
          </w:p>
        </w:tc>
      </w:tr>
      <w:tr w14:paraId="3571D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0C712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vAlign w:val="center"/>
          </w:tcPr>
          <w:p w14:paraId="6C03BCF9">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是否接受联合体竞标：否。</w:t>
            </w:r>
          </w:p>
        </w:tc>
      </w:tr>
      <w:tr w14:paraId="6CF4F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F7559D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7912" w:type="dxa"/>
            <w:vAlign w:val="center"/>
          </w:tcPr>
          <w:p w14:paraId="6B8BFC02">
            <w:pPr>
              <w:spacing w:line="360" w:lineRule="auto"/>
              <w:rPr>
                <w:rFonts w:ascii="宋体" w:hAnsi="宋体" w:cs="宋体"/>
                <w:color w:val="auto"/>
                <w:szCs w:val="21"/>
                <w:highlight w:val="none"/>
              </w:rPr>
            </w:pPr>
            <w:r>
              <w:rPr>
                <w:rFonts w:hint="eastAsia" w:ascii="宋体" w:hAnsi="宋体" w:cs="宋体"/>
                <w:color w:val="auto"/>
                <w:szCs w:val="21"/>
                <w:highlight w:val="none"/>
              </w:rPr>
              <w:t>如接受联合体竞标，联合体竞标要求如下：无。</w:t>
            </w:r>
          </w:p>
        </w:tc>
      </w:tr>
      <w:tr w14:paraId="0DF32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68574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vAlign w:val="center"/>
          </w:tcPr>
          <w:p w14:paraId="75DBFA73">
            <w:pPr>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不允许分包</w:t>
            </w:r>
          </w:p>
          <w:p w14:paraId="479C06A1">
            <w:pPr>
              <w:spacing w:line="360" w:lineRule="auto"/>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允许分包</w:t>
            </w:r>
          </w:p>
          <w:p w14:paraId="5B6CCE49">
            <w:pPr>
              <w:spacing w:line="360" w:lineRule="auto"/>
              <w:rPr>
                <w:rFonts w:ascii="宋体" w:hAnsi="宋体" w:cs="宋体"/>
                <w:color w:val="auto"/>
                <w:szCs w:val="21"/>
                <w:highlight w:val="non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10B83101">
            <w:pPr>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r w14:paraId="6AFD9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CE1ADE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7912" w:type="dxa"/>
            <w:vAlign w:val="center"/>
          </w:tcPr>
          <w:p w14:paraId="4F89A732">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资格证明文件</w:t>
            </w:r>
          </w:p>
          <w:p w14:paraId="3F8C1678">
            <w:pPr>
              <w:numPr>
                <w:ilvl w:val="-1"/>
                <w:numId w:val="0"/>
              </w:numPr>
              <w:spacing w:line="360" w:lineRule="auto"/>
              <w:ind w:left="0" w:firstLine="0"/>
              <w:jc w:val="lef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供应商为法人或者其他组织的提供其营业执照等证明文件（如营业执照或者事业单位法人证书或者执业许可证或者登记证书等），如是事业单位竞标，需满足：未参照&lt;&lt;中华人民共和国公务员法&gt;&gt;管理且不具备行政管理职能的事业单位；</w:t>
            </w:r>
            <w:r>
              <w:rPr>
                <w:rFonts w:hint="eastAsia" w:ascii="宋体" w:hAnsi="宋体" w:cs="宋体"/>
                <w:b/>
                <w:bCs/>
                <w:color w:val="auto"/>
                <w:szCs w:val="21"/>
                <w:highlight w:val="none"/>
              </w:rPr>
              <w:t>（必须提供，否则响应文件按无效响应处理）</w:t>
            </w:r>
          </w:p>
          <w:p w14:paraId="3C25AD12">
            <w:pPr>
              <w:numPr>
                <w:ilvl w:val="-1"/>
                <w:numId w:val="0"/>
              </w:numPr>
              <w:spacing w:line="360" w:lineRule="auto"/>
              <w:ind w:firstLine="0"/>
              <w:contextualSpacing w:val="0"/>
              <w:jc w:val="left"/>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供应商依法缴纳税收的相关材料（2025年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至响应文件提交截止时间止任意连续3个月的依法缴纳税收的凭据；依法免税的，必须提供相应文件证明其依法免税。从成立之日起到响应文件提交截止时间止不足要求月数的，只需提供从成立之日起的依法缴纳税收相应证明文件）；</w:t>
            </w:r>
            <w:r>
              <w:rPr>
                <w:rFonts w:hint="eastAsia" w:ascii="宋体" w:hAnsi="宋体" w:cs="宋体"/>
                <w:b/>
                <w:bCs/>
                <w:color w:val="auto"/>
                <w:szCs w:val="21"/>
                <w:highlight w:val="none"/>
              </w:rPr>
              <w:t>（必须提供，否则响应文件按无效响应处理）</w:t>
            </w:r>
          </w:p>
          <w:p w14:paraId="6E2D24AB">
            <w:pPr>
              <w:numPr>
                <w:ilvl w:val="-1"/>
                <w:numId w:val="0"/>
              </w:numPr>
              <w:spacing w:line="360" w:lineRule="auto"/>
              <w:ind w:firstLine="0"/>
              <w:contextualSpacing w:val="0"/>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lang w:eastAsia="zh-CN"/>
              </w:rPr>
              <w:t>（</w:t>
            </w: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月至响应文件提交截止时间止任意连续3个月的依法缴纳社会保障资金的缴费凭证（专用收据或者社会保险缴纳清单）扫描件；依法不需要缴纳社会保障资金的，必须提供相应文件证明不需要缴纳社会保障资金。从成立之日起到响应文件提交截止时间止不足要求月数的只需提供从成立</w:t>
            </w:r>
            <w:r>
              <w:rPr>
                <w:rFonts w:hint="eastAsia" w:ascii="宋体" w:hAnsi="宋体" w:cs="宋体"/>
                <w:color w:val="auto"/>
                <w:szCs w:val="21"/>
                <w:highlight w:val="none"/>
                <w:u w:val="none"/>
              </w:rPr>
              <w:t>之日起</w:t>
            </w:r>
            <w:r>
              <w:rPr>
                <w:rFonts w:hint="eastAsia" w:ascii="宋体" w:hAnsi="宋体" w:cs="宋体"/>
                <w:color w:val="auto"/>
                <w:szCs w:val="21"/>
                <w:highlight w:val="none"/>
              </w:rPr>
              <w:t>依法缴纳社会保障资金的相应证明文件</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（必须提供，否则响应文件按无效响应处理）</w:t>
            </w:r>
          </w:p>
          <w:p w14:paraId="5CB1B3D7">
            <w:pPr>
              <w:numPr>
                <w:ilvl w:val="-1"/>
                <w:numId w:val="0"/>
              </w:numPr>
              <w:spacing w:line="360" w:lineRule="auto"/>
              <w:ind w:firstLine="0"/>
              <w:contextualSpacing w:val="0"/>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供应商2024年的年度财务报告，包括资产负债表、现金流量表、利润表（如供应商为磋商当年新成立公司的，应提供于公司成立之日后的财务报表）；</w:t>
            </w:r>
            <w:r>
              <w:rPr>
                <w:rFonts w:hint="eastAsia" w:ascii="宋体" w:hAnsi="宋体" w:cs="宋体"/>
                <w:b/>
                <w:bCs/>
                <w:color w:val="auto"/>
                <w:szCs w:val="21"/>
                <w:highlight w:val="none"/>
              </w:rPr>
              <w:t>（必须提供，否则响应文件按无效响应处理）</w:t>
            </w:r>
          </w:p>
          <w:p w14:paraId="20A52703">
            <w:pPr>
              <w:numPr>
                <w:ilvl w:val="-1"/>
                <w:numId w:val="0"/>
              </w:numPr>
              <w:spacing w:line="360" w:lineRule="auto"/>
              <w:ind w:firstLine="0"/>
              <w:contextualSpacing w:val="0"/>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供应商基本情况表（格式后附）；</w:t>
            </w:r>
            <w:r>
              <w:rPr>
                <w:rFonts w:hint="eastAsia" w:ascii="宋体" w:hAnsi="宋体" w:cs="宋体"/>
                <w:b/>
                <w:bCs/>
                <w:color w:val="auto"/>
                <w:szCs w:val="21"/>
                <w:highlight w:val="none"/>
              </w:rPr>
              <w:t>（必须提供，否则响应文件按无效响应处理）</w:t>
            </w:r>
          </w:p>
          <w:p w14:paraId="73A70353">
            <w:pPr>
              <w:numPr>
                <w:ilvl w:val="-1"/>
                <w:numId w:val="0"/>
              </w:numPr>
              <w:spacing w:line="360" w:lineRule="auto"/>
              <w:ind w:firstLine="0"/>
              <w:contextualSpacing w:val="0"/>
              <w:jc w:val="left"/>
              <w:rPr>
                <w:rFonts w:hint="eastAsia" w:ascii="宋体" w:hAnsi="宋体" w:cs="宋体"/>
                <w:b/>
                <w:bCs/>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供应商直接控股、管理关系信息表（格式后附）</w:t>
            </w:r>
            <w:r>
              <w:rPr>
                <w:rFonts w:hint="eastAsia" w:ascii="宋体" w:hAnsi="宋体" w:cs="宋体"/>
                <w:b/>
                <w:bCs/>
                <w:color w:val="auto"/>
                <w:szCs w:val="21"/>
                <w:highlight w:val="none"/>
              </w:rPr>
              <w:t>；（必须提供，否则响应文件按无效响应处理）</w:t>
            </w:r>
          </w:p>
          <w:p w14:paraId="77284C8D">
            <w:pPr>
              <w:numPr>
                <w:ilvl w:val="-1"/>
                <w:numId w:val="0"/>
              </w:numPr>
              <w:spacing w:line="360" w:lineRule="auto"/>
              <w:ind w:firstLine="0"/>
              <w:contextualSpacing w:val="0"/>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w:t>
            </w:r>
            <w:r>
              <w:rPr>
                <w:rFonts w:hint="eastAsia" w:ascii="宋体" w:hAnsi="宋体" w:cs="宋体"/>
                <w:b w:val="0"/>
                <w:bCs w:val="0"/>
                <w:color w:val="auto"/>
                <w:szCs w:val="21"/>
                <w:highlight w:val="none"/>
              </w:rPr>
              <w:t>中小企业声明函或者残疾人福利性单位声明函或者供应商属于监狱企业的证明材料（格式后附）；</w:t>
            </w:r>
            <w:r>
              <w:rPr>
                <w:rFonts w:hint="eastAsia" w:ascii="宋体" w:hAnsi="宋体" w:cs="宋体"/>
                <w:b/>
                <w:bCs/>
                <w:color w:val="auto"/>
                <w:szCs w:val="21"/>
                <w:highlight w:val="none"/>
              </w:rPr>
              <w:t>（必须提供，否则响应文件按无效响应处理）</w:t>
            </w:r>
          </w:p>
          <w:p w14:paraId="0E0164DB">
            <w:pPr>
              <w:numPr>
                <w:ilvl w:val="-1"/>
                <w:numId w:val="0"/>
              </w:numPr>
              <w:spacing w:line="360" w:lineRule="auto"/>
              <w:ind w:firstLine="0"/>
              <w:contextualSpacing w:val="0"/>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竞标声明（格式后附）；</w:t>
            </w:r>
            <w:r>
              <w:rPr>
                <w:rFonts w:hint="eastAsia" w:ascii="宋体" w:hAnsi="宋体" w:cs="宋体"/>
                <w:b/>
                <w:bCs/>
                <w:color w:val="auto"/>
                <w:szCs w:val="21"/>
                <w:highlight w:val="none"/>
              </w:rPr>
              <w:t>（必须提供，否则响应文件按无效响应处理）</w:t>
            </w:r>
          </w:p>
          <w:p w14:paraId="77D5741C">
            <w:pPr>
              <w:numPr>
                <w:ilvl w:val="-1"/>
                <w:numId w:val="0"/>
              </w:numPr>
              <w:spacing w:line="360" w:lineRule="auto"/>
              <w:contextualSpacing w:val="0"/>
              <w:jc w:val="left"/>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政府采购项目竞标资格承诺函（格式后附）；</w:t>
            </w:r>
            <w:r>
              <w:rPr>
                <w:rFonts w:hint="eastAsia" w:ascii="宋体" w:hAnsi="宋体" w:cs="宋体"/>
                <w:b/>
                <w:bCs/>
                <w:color w:val="auto"/>
                <w:szCs w:val="21"/>
                <w:highlight w:val="none"/>
              </w:rPr>
              <w:t>（必须提供，否则响应文件按无效响应处理）</w:t>
            </w:r>
          </w:p>
          <w:p w14:paraId="088CF118">
            <w:pPr>
              <w:numPr>
                <w:ilvl w:val="-1"/>
                <w:numId w:val="0"/>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其他资格证明文件（编制时应与公告的特定资格要求相对应）；</w:t>
            </w:r>
          </w:p>
          <w:p w14:paraId="0C4F4692">
            <w:pPr>
              <w:numPr>
                <w:ilvl w:val="-1"/>
                <w:numId w:val="0"/>
              </w:numPr>
              <w:spacing w:line="360" w:lineRule="auto"/>
              <w:ind w:firstLine="0"/>
              <w:jc w:val="left"/>
              <w:rPr>
                <w:rFonts w:ascii="宋体" w:hAnsi="宋体" w:cs="宋体"/>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除磋商文件规定必须提供以外，供应商认为需要提供的其他证明材料。</w:t>
            </w:r>
          </w:p>
          <w:p w14:paraId="799D3215">
            <w:pPr>
              <w:spacing w:line="360" w:lineRule="auto"/>
              <w:rPr>
                <w:rFonts w:ascii="宋体" w:hAnsi="宋体" w:cs="宋体"/>
                <w:color w:val="auto"/>
                <w:szCs w:val="21"/>
                <w:highlight w:val="none"/>
              </w:rPr>
            </w:pPr>
            <w:r>
              <w:rPr>
                <w:rFonts w:hint="eastAsia" w:ascii="宋体" w:hAnsi="宋体" w:cs="宋体"/>
                <w:b/>
                <w:bCs/>
                <w:color w:val="auto"/>
                <w:szCs w:val="21"/>
                <w:highlight w:val="none"/>
              </w:rPr>
              <w:t>注：1.以上标明“必须提供”的材料属于复印件或扫描件的，必须加盖供应商电子签章，否则响应文件按无效处理。</w:t>
            </w:r>
          </w:p>
        </w:tc>
      </w:tr>
      <w:tr w14:paraId="0277E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A64EBC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vAlign w:val="center"/>
          </w:tcPr>
          <w:p w14:paraId="4CA431E2">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报价商务技术文件</w:t>
            </w:r>
          </w:p>
          <w:p w14:paraId="4C221368">
            <w:pPr>
              <w:numPr>
                <w:ilvl w:val="0"/>
                <w:numId w:val="1"/>
              </w:numPr>
              <w:spacing w:line="360" w:lineRule="auto"/>
              <w:rPr>
                <w:rFonts w:ascii="宋体" w:hAnsi="宋体" w:cs="宋体"/>
                <w:color w:val="auto"/>
                <w:szCs w:val="21"/>
                <w:highlight w:val="none"/>
              </w:rPr>
            </w:pPr>
            <w:r>
              <w:rPr>
                <w:rFonts w:hint="eastAsia" w:ascii="宋体" w:hAnsi="宋体" w:cs="宋体"/>
                <w:color w:val="auto"/>
                <w:szCs w:val="21"/>
                <w:highlight w:val="none"/>
              </w:rPr>
              <w:t>竞标报价表（格式后附）；</w:t>
            </w:r>
            <w:r>
              <w:rPr>
                <w:rFonts w:hint="eastAsia" w:ascii="宋体" w:hAnsi="宋体" w:cs="宋体"/>
                <w:b/>
                <w:bCs/>
                <w:color w:val="auto"/>
                <w:szCs w:val="21"/>
                <w:highlight w:val="none"/>
              </w:rPr>
              <w:t>（必须提供，否则响应文件按无效响应处理）</w:t>
            </w:r>
          </w:p>
          <w:p w14:paraId="6542AE0B">
            <w:pPr>
              <w:numPr>
                <w:ilvl w:val="0"/>
                <w:numId w:val="1"/>
              </w:numPr>
              <w:spacing w:line="360" w:lineRule="auto"/>
              <w:rPr>
                <w:rFonts w:ascii="宋体" w:hAnsi="宋体" w:cs="宋体"/>
                <w:color w:val="auto"/>
                <w:szCs w:val="21"/>
                <w:highlight w:val="none"/>
              </w:rPr>
            </w:pPr>
            <w:r>
              <w:rPr>
                <w:rFonts w:hint="eastAsia" w:ascii="宋体" w:hAnsi="宋体" w:cs="宋体"/>
                <w:color w:val="auto"/>
                <w:szCs w:val="21"/>
                <w:highlight w:val="none"/>
              </w:rPr>
              <w:t>商务条款偏离表（格式后附）；</w:t>
            </w:r>
            <w:r>
              <w:rPr>
                <w:rFonts w:hint="eastAsia" w:ascii="宋体" w:hAnsi="宋体" w:cs="宋体"/>
                <w:b/>
                <w:bCs/>
                <w:color w:val="auto"/>
                <w:szCs w:val="21"/>
                <w:highlight w:val="none"/>
              </w:rPr>
              <w:t>（必须提供，否则响应文件按无效响应处理）</w:t>
            </w:r>
          </w:p>
          <w:p w14:paraId="192AB936">
            <w:pPr>
              <w:numPr>
                <w:ilvl w:val="0"/>
                <w:numId w:val="1"/>
              </w:num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服务需求</w:t>
            </w:r>
            <w:r>
              <w:rPr>
                <w:rFonts w:hint="eastAsia" w:ascii="宋体" w:hAnsi="宋体" w:cs="宋体"/>
                <w:color w:val="auto"/>
                <w:szCs w:val="21"/>
                <w:highlight w:val="none"/>
              </w:rPr>
              <w:t>偏离表（格式后附）；</w:t>
            </w:r>
            <w:r>
              <w:rPr>
                <w:rFonts w:hint="eastAsia" w:ascii="宋体" w:hAnsi="宋体" w:cs="宋体"/>
                <w:b/>
                <w:bCs/>
                <w:color w:val="auto"/>
                <w:szCs w:val="21"/>
                <w:highlight w:val="none"/>
              </w:rPr>
              <w:t>（必须提供，否则响应文件按无效响应处理）</w:t>
            </w:r>
          </w:p>
          <w:p w14:paraId="467F120C">
            <w:pPr>
              <w:numPr>
                <w:ilvl w:val="0"/>
                <w:numId w:val="1"/>
              </w:numPr>
              <w:spacing w:line="360" w:lineRule="auto"/>
              <w:rPr>
                <w:rFonts w:ascii="宋体" w:hAnsi="宋体" w:cs="宋体"/>
                <w:color w:val="auto"/>
                <w:szCs w:val="21"/>
                <w:highlight w:val="none"/>
              </w:rPr>
            </w:pPr>
            <w:r>
              <w:rPr>
                <w:rFonts w:hint="eastAsia" w:ascii="宋体" w:hAnsi="宋体" w:cs="宋体"/>
                <w:color w:val="auto"/>
                <w:szCs w:val="21"/>
                <w:highlight w:val="none"/>
              </w:rPr>
              <w:t>无串通竞标行为的承诺函（格式后附）；</w:t>
            </w:r>
            <w:r>
              <w:rPr>
                <w:rFonts w:hint="eastAsia" w:ascii="宋体" w:hAnsi="宋体" w:cs="宋体"/>
                <w:b/>
                <w:bCs/>
                <w:color w:val="auto"/>
                <w:szCs w:val="21"/>
                <w:highlight w:val="none"/>
              </w:rPr>
              <w:t>（必须提供，否则响应文件按无效响应处理）</w:t>
            </w:r>
          </w:p>
          <w:p w14:paraId="6DB72467">
            <w:pPr>
              <w:numPr>
                <w:ilvl w:val="0"/>
                <w:numId w:val="1"/>
              </w:num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法定代表人身份证明书及法定代表人有效身份证正反面扫描件（格式后附）；</w:t>
            </w:r>
            <w:r>
              <w:rPr>
                <w:rFonts w:hint="eastAsia" w:ascii="宋体" w:hAnsi="宋体" w:cs="宋体"/>
                <w:b/>
                <w:bCs/>
                <w:color w:val="auto"/>
                <w:szCs w:val="21"/>
                <w:highlight w:val="none"/>
              </w:rPr>
              <w:t>（除自然人竞标外必须提供，否则响应文件按无效响应处理）</w:t>
            </w:r>
          </w:p>
          <w:p w14:paraId="4370D757">
            <w:pPr>
              <w:numPr>
                <w:ilvl w:val="0"/>
                <w:numId w:val="1"/>
              </w:numPr>
              <w:spacing w:line="360" w:lineRule="auto"/>
              <w:rPr>
                <w:rFonts w:ascii="宋体" w:hAnsi="宋体" w:cs="宋体"/>
                <w:color w:val="auto"/>
                <w:szCs w:val="21"/>
                <w:highlight w:val="none"/>
              </w:rPr>
            </w:pPr>
            <w:r>
              <w:rPr>
                <w:rFonts w:hint="eastAsia" w:ascii="宋体" w:hAnsi="宋体" w:cs="宋体"/>
                <w:color w:val="auto"/>
                <w:szCs w:val="21"/>
                <w:highlight w:val="none"/>
              </w:rPr>
              <w:t>授权委托书及委托代理人有效身份证正反面扫描件（格式后附）；</w:t>
            </w:r>
            <w:r>
              <w:rPr>
                <w:rFonts w:hint="eastAsia" w:ascii="宋体" w:hAnsi="宋体" w:cs="宋体"/>
                <w:b/>
                <w:bCs/>
                <w:color w:val="auto"/>
                <w:szCs w:val="21"/>
                <w:highlight w:val="none"/>
              </w:rPr>
              <w:t>（委托时必须提供，否则响应文件按无效响应处理）</w:t>
            </w:r>
          </w:p>
          <w:p w14:paraId="3F8A3ADB">
            <w:pPr>
              <w:numPr>
                <w:ilvl w:val="0"/>
                <w:numId w:val="1"/>
              </w:numPr>
              <w:spacing w:line="360" w:lineRule="auto"/>
              <w:rPr>
                <w:rFonts w:ascii="宋体" w:hAnsi="宋体" w:cs="宋体"/>
                <w:color w:val="auto"/>
                <w:szCs w:val="21"/>
                <w:highlight w:val="none"/>
              </w:rPr>
            </w:pPr>
            <w:r>
              <w:rPr>
                <w:rFonts w:hint="eastAsia" w:ascii="宋体" w:hAnsi="宋体" w:cs="宋体"/>
                <w:color w:val="auto"/>
                <w:szCs w:val="21"/>
                <w:highlight w:val="none"/>
              </w:rPr>
              <w:t>拟投入人员情况表（请结合《采购需求》及《评审办法》自行编写），表后附人员的相关证书证明；</w:t>
            </w:r>
            <w:r>
              <w:rPr>
                <w:rFonts w:hint="eastAsia" w:ascii="宋体" w:hAnsi="宋体" w:cs="宋体"/>
                <w:b/>
                <w:bCs/>
                <w:color w:val="auto"/>
                <w:szCs w:val="21"/>
                <w:highlight w:val="none"/>
              </w:rPr>
              <w:t>（必须提供，否则响应文件按无效响应处理）</w:t>
            </w:r>
          </w:p>
          <w:p w14:paraId="1166745F">
            <w:pPr>
              <w:numPr>
                <w:ilvl w:val="0"/>
                <w:numId w:val="1"/>
              </w:num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供应商针对本项目采购需求制定的</w:t>
            </w:r>
            <w:r>
              <w:rPr>
                <w:rFonts w:hint="eastAsia" w:ascii="宋体" w:hAnsi="宋体" w:cs="宋体"/>
                <w:color w:val="auto"/>
                <w:szCs w:val="21"/>
                <w:highlight w:val="none"/>
                <w:lang w:eastAsia="zh-CN"/>
              </w:rPr>
              <w:t>技术</w:t>
            </w:r>
            <w:r>
              <w:rPr>
                <w:rFonts w:hint="eastAsia" w:ascii="宋体" w:hAnsi="宋体" w:cs="宋体"/>
                <w:color w:val="auto"/>
                <w:szCs w:val="21"/>
                <w:highlight w:val="none"/>
              </w:rPr>
              <w:t>方案等（请结合《采购需求》及《评审办法》自行编写）；</w:t>
            </w:r>
            <w:r>
              <w:rPr>
                <w:rFonts w:hint="eastAsia" w:ascii="宋体" w:hAnsi="宋体" w:cs="宋体"/>
                <w:b/>
                <w:bCs/>
                <w:color w:val="auto"/>
                <w:szCs w:val="21"/>
                <w:highlight w:val="none"/>
              </w:rPr>
              <w:t>（必须提供，否则响应文件按无效响应处理）</w:t>
            </w:r>
          </w:p>
          <w:p w14:paraId="20BFF574">
            <w:pPr>
              <w:numPr>
                <w:ilvl w:val="0"/>
                <w:numId w:val="1"/>
              </w:numPr>
              <w:spacing w:line="360" w:lineRule="auto"/>
              <w:rPr>
                <w:rFonts w:ascii="宋体" w:hAnsi="宋体" w:cs="宋体"/>
                <w:color w:val="auto"/>
                <w:szCs w:val="21"/>
                <w:highlight w:val="none"/>
              </w:rPr>
            </w:pPr>
            <w:r>
              <w:rPr>
                <w:rFonts w:hint="eastAsia" w:ascii="宋体" w:hAnsi="宋体" w:cs="宋体"/>
                <w:color w:val="auto"/>
                <w:szCs w:val="21"/>
                <w:highlight w:val="none"/>
              </w:rPr>
              <w:t>供应商综合实力证明材料；</w:t>
            </w:r>
          </w:p>
          <w:p w14:paraId="53659BA3">
            <w:pPr>
              <w:widowControl/>
              <w:numPr>
                <w:ilvl w:val="0"/>
                <w:numId w:val="1"/>
              </w:numPr>
              <w:spacing w:line="360" w:lineRule="auto"/>
              <w:rPr>
                <w:rFonts w:ascii="宋体" w:hAnsi="宋体" w:cs="宋体"/>
                <w:color w:val="auto"/>
                <w:szCs w:val="21"/>
                <w:highlight w:val="none"/>
              </w:rPr>
            </w:pPr>
            <w:r>
              <w:rPr>
                <w:rFonts w:hint="eastAsia" w:ascii="宋体" w:hAnsi="宋体" w:cs="宋体"/>
                <w:color w:val="auto"/>
                <w:szCs w:val="21"/>
                <w:highlight w:val="none"/>
              </w:rPr>
              <w:t>供应商认为需要提供的其他有关资料。</w:t>
            </w:r>
          </w:p>
          <w:p w14:paraId="697F99E9">
            <w:pPr>
              <w:spacing w:line="360" w:lineRule="auto"/>
              <w:rPr>
                <w:rFonts w:ascii="宋体" w:hAnsi="宋体" w:cs="宋体"/>
                <w:color w:val="auto"/>
                <w:szCs w:val="21"/>
                <w:highlight w:val="none"/>
              </w:rPr>
            </w:pPr>
            <w:r>
              <w:rPr>
                <w:rFonts w:hint="eastAsia" w:ascii="宋体" w:hAnsi="宋体" w:cs="宋体"/>
                <w:b/>
                <w:bCs/>
                <w:color w:val="auto"/>
                <w:szCs w:val="21"/>
                <w:highlight w:val="none"/>
              </w:rPr>
              <w:t xml:space="preserve">注：以上标明“必须提供”的材料属于复印件或复印件的，必须加盖供应商电子签章，否则响应文件按无效响应处理。 </w:t>
            </w:r>
          </w:p>
        </w:tc>
      </w:tr>
      <w:tr w14:paraId="0CF05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9558A9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vAlign w:val="center"/>
          </w:tcPr>
          <w:p w14:paraId="4F76B972">
            <w:pPr>
              <w:spacing w:line="360" w:lineRule="auto"/>
              <w:ind w:firstLine="0" w:firstLineChars="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报价包含以下内容：</w:t>
            </w:r>
          </w:p>
          <w:p w14:paraId="684F7969">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服务的价格；</w:t>
            </w:r>
          </w:p>
          <w:p w14:paraId="4222F2F1">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必要的保险费用和各项税金；</w:t>
            </w:r>
          </w:p>
          <w:p w14:paraId="120AE84E">
            <w:pPr>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3.供应商为完成本项目而支出的所有人员相关工资、社保、出差、工作经费、食宿、福利、安全责任等均由供应商负责。</w:t>
            </w:r>
          </w:p>
          <w:p w14:paraId="5C3DD775">
            <w:pPr>
              <w:spacing w:line="360" w:lineRule="auto"/>
              <w:ind w:firstLine="0" w:firstLineChars="0"/>
              <w:jc w:val="left"/>
              <w:rPr>
                <w:rFonts w:ascii="宋体" w:hAnsi="宋体" w:cs="宋体"/>
                <w:color w:val="auto"/>
                <w:szCs w:val="21"/>
                <w:highlight w:val="none"/>
              </w:rPr>
            </w:pPr>
            <w:r>
              <w:rPr>
                <w:rFonts w:hint="eastAsia" w:ascii="宋体" w:hAnsi="宋体" w:cs="宋体"/>
                <w:color w:val="auto"/>
                <w:szCs w:val="21"/>
                <w:highlight w:val="none"/>
                <w:lang w:val="en-US" w:eastAsia="zh-CN"/>
              </w:rPr>
              <w:t>备注：</w:t>
            </w:r>
            <w:r>
              <w:rPr>
                <w:rFonts w:hint="eastAsia" w:ascii="宋体" w:hAnsi="宋体" w:cs="宋体"/>
                <w:color w:val="auto"/>
                <w:szCs w:val="21"/>
                <w:highlight w:val="none"/>
              </w:rPr>
              <w:t>本项目采用固定总价包干合同</w:t>
            </w:r>
            <w:r>
              <w:rPr>
                <w:rFonts w:hint="eastAsia" w:ascii="宋体" w:hAnsi="宋体" w:cs="宋体"/>
                <w:color w:val="auto"/>
                <w:szCs w:val="21"/>
                <w:highlight w:val="none"/>
                <w:lang w:eastAsia="zh-CN"/>
              </w:rPr>
              <w:t>，</w:t>
            </w:r>
            <w:r>
              <w:rPr>
                <w:rFonts w:hint="eastAsia" w:ascii="宋体" w:hAnsi="宋体" w:cs="宋体"/>
                <w:color w:val="auto"/>
                <w:szCs w:val="21"/>
                <w:highlight w:val="none"/>
              </w:rPr>
              <w:t>除非合同中另有规定，供应商所报的单价和合价，以及竞标报价表中的价格应包括完成本合同所需的成本、管理、福利、加班、交通、食宿、保险、利润、税金、政策性文件规定及合同包含的所有风险、责任等各项应有费用，应计未计部分视为已经计入。</w:t>
            </w:r>
          </w:p>
        </w:tc>
      </w:tr>
      <w:tr w14:paraId="48B67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3F70A8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7912" w:type="dxa"/>
            <w:vAlign w:val="center"/>
          </w:tcPr>
          <w:p w14:paraId="4FD970D7">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竞标有效期：自首次响应文件提交截止之日起</w:t>
            </w:r>
            <w:r>
              <w:rPr>
                <w:rFonts w:hint="eastAsia" w:ascii="宋体" w:hAnsi="宋体" w:cs="宋体"/>
                <w:color w:val="auto"/>
                <w:szCs w:val="21"/>
                <w:highlight w:val="none"/>
                <w:u w:val="single"/>
              </w:rPr>
              <w:t xml:space="preserve"> 60 </w:t>
            </w:r>
            <w:r>
              <w:rPr>
                <w:rFonts w:hint="eastAsia" w:ascii="宋体" w:hAnsi="宋体" w:cs="宋体"/>
                <w:color w:val="auto"/>
                <w:szCs w:val="21"/>
                <w:highlight w:val="none"/>
              </w:rPr>
              <w:t>日。</w:t>
            </w:r>
          </w:p>
        </w:tc>
      </w:tr>
      <w:tr w14:paraId="31454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52EA8F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vAlign w:val="center"/>
          </w:tcPr>
          <w:p w14:paraId="5F68B4BE">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磋商保证金：</w:t>
            </w:r>
            <w:r>
              <w:rPr>
                <w:rFonts w:hint="eastAsia" w:ascii="宋体" w:hAnsi="宋体" w:cs="宋体"/>
                <w:color w:val="auto"/>
                <w:szCs w:val="21"/>
                <w:highlight w:val="none"/>
                <w:lang w:eastAsia="zh-CN"/>
              </w:rPr>
              <w:t>无需缴纳。</w:t>
            </w:r>
          </w:p>
        </w:tc>
      </w:tr>
      <w:tr w14:paraId="01F9E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D0148A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18.2</w:t>
            </w:r>
          </w:p>
        </w:tc>
        <w:tc>
          <w:tcPr>
            <w:tcW w:w="7912" w:type="dxa"/>
            <w:vAlign w:val="center"/>
          </w:tcPr>
          <w:p w14:paraId="158373DE">
            <w:pPr>
              <w:spacing w:line="360" w:lineRule="auto"/>
              <w:rPr>
                <w:rFonts w:ascii="宋体" w:hAnsi="宋体" w:cs="宋体"/>
                <w:color w:val="auto"/>
                <w:szCs w:val="21"/>
                <w:highlight w:val="none"/>
              </w:rPr>
            </w:pPr>
            <w:r>
              <w:rPr>
                <w:rFonts w:hint="eastAsia" w:ascii="宋体" w:hAnsi="宋体" w:cs="宋体"/>
                <w:color w:val="auto"/>
                <w:szCs w:val="21"/>
                <w:highlight w:val="none"/>
              </w:rPr>
              <w:t>响应文件份数：电子版一份。</w:t>
            </w:r>
          </w:p>
        </w:tc>
      </w:tr>
      <w:tr w14:paraId="2AF75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578796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tcPr>
          <w:p w14:paraId="31BDD1B6">
            <w:pPr>
              <w:spacing w:line="360" w:lineRule="auto"/>
              <w:rPr>
                <w:rFonts w:ascii="宋体" w:hAnsi="宋体" w:cs="宋体"/>
                <w:color w:val="auto"/>
                <w:szCs w:val="21"/>
                <w:highlight w:val="none"/>
              </w:rPr>
            </w:pPr>
            <w:r>
              <w:rPr>
                <w:rFonts w:hint="eastAsia" w:ascii="宋体" w:hAnsi="宋体" w:cs="宋体"/>
                <w:color w:val="auto"/>
                <w:szCs w:val="21"/>
                <w:highlight w:val="none"/>
              </w:rPr>
              <w:t>本项目不接受电子备份响应文件。</w:t>
            </w:r>
          </w:p>
        </w:tc>
      </w:tr>
      <w:tr w14:paraId="0E136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1148B3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tcPr>
          <w:p w14:paraId="23331162">
            <w:pPr>
              <w:spacing w:line="360" w:lineRule="auto"/>
              <w:rPr>
                <w:rFonts w:ascii="宋体" w:hAnsi="宋体" w:cs="宋体"/>
                <w:color w:val="auto"/>
                <w:szCs w:val="21"/>
                <w:highlight w:val="none"/>
              </w:rPr>
            </w:pPr>
            <w:r>
              <w:rPr>
                <w:rFonts w:hint="eastAsia" w:ascii="宋体" w:hAnsi="宋体" w:cs="宋体"/>
                <w:color w:val="auto"/>
                <w:szCs w:val="21"/>
                <w:highlight w:val="none"/>
              </w:rPr>
              <w:t>响应文件提交起止时间：详见竞争性磋商公告。</w:t>
            </w:r>
          </w:p>
          <w:p w14:paraId="1FFEA076">
            <w:pPr>
              <w:spacing w:line="360" w:lineRule="auto"/>
              <w:rPr>
                <w:rFonts w:ascii="宋体" w:hAnsi="宋体" w:cs="宋体"/>
                <w:color w:val="auto"/>
                <w:szCs w:val="21"/>
                <w:highlight w:val="none"/>
              </w:rPr>
            </w:pPr>
            <w:r>
              <w:rPr>
                <w:rFonts w:hint="eastAsia" w:ascii="宋体" w:hAnsi="宋体" w:cs="宋体"/>
                <w:color w:val="auto"/>
                <w:szCs w:val="21"/>
                <w:highlight w:val="none"/>
              </w:rPr>
              <w:t>响应文件提交截止时间：详见竞争性磋商公告。</w:t>
            </w:r>
          </w:p>
          <w:p w14:paraId="4154E1F0">
            <w:pPr>
              <w:spacing w:line="360" w:lineRule="auto"/>
              <w:rPr>
                <w:rFonts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478B5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EC854E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vAlign w:val="center"/>
          </w:tcPr>
          <w:p w14:paraId="2DA54F43">
            <w:pPr>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磋商小组的人数：</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w:t>
            </w:r>
          </w:p>
        </w:tc>
      </w:tr>
      <w:tr w14:paraId="08E60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30558A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7912" w:type="dxa"/>
            <w:vAlign w:val="center"/>
          </w:tcPr>
          <w:p w14:paraId="366D2123">
            <w:pPr>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79EEE3A7">
            <w:pPr>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服务需求</w:t>
            </w:r>
            <w:r>
              <w:rPr>
                <w:rFonts w:hint="eastAsia" w:ascii="宋体" w:hAnsi="宋体" w:cs="宋体"/>
                <w:color w:val="auto"/>
                <w:szCs w:val="21"/>
                <w:highlight w:val="none"/>
              </w:rPr>
              <w:t>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22BAC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245B5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28.1</w:t>
            </w:r>
          </w:p>
        </w:tc>
        <w:tc>
          <w:tcPr>
            <w:tcW w:w="7912" w:type="dxa"/>
            <w:vAlign w:val="center"/>
          </w:tcPr>
          <w:p w14:paraId="1825E505">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sym w:font="Wingdings 2" w:char="0052"/>
            </w:r>
            <w:r>
              <w:rPr>
                <w:rFonts w:hint="eastAsia" w:ascii="宋体" w:hAnsi="宋体" w:cs="宋体"/>
                <w:b/>
                <w:bCs/>
                <w:color w:val="auto"/>
                <w:szCs w:val="21"/>
                <w:highlight w:val="none"/>
              </w:rPr>
              <w:t>本项目不收取履约保证金。</w:t>
            </w:r>
          </w:p>
          <w:p w14:paraId="314095C7">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sym w:font="Wingdings 2" w:char="00A3"/>
            </w:r>
            <w:r>
              <w:rPr>
                <w:rFonts w:hint="eastAsia" w:ascii="宋体" w:hAnsi="宋体" w:cs="宋体"/>
                <w:b/>
                <w:bCs/>
                <w:color w:val="auto"/>
                <w:szCs w:val="21"/>
                <w:highlight w:val="none"/>
              </w:rPr>
              <w:t>本项目收取履约保证金：</w:t>
            </w:r>
          </w:p>
          <w:p w14:paraId="4A8517C9">
            <w:pPr>
              <w:spacing w:line="360" w:lineRule="auto"/>
              <w:rPr>
                <w:rFonts w:ascii="宋体" w:hAnsi="宋体" w:cs="宋体"/>
                <w:color w:val="auto"/>
                <w:szCs w:val="21"/>
                <w:highlight w:val="none"/>
              </w:rPr>
            </w:pPr>
            <w:r>
              <w:rPr>
                <w:rFonts w:hint="eastAsia" w:ascii="宋体" w:hAnsi="宋体" w:cs="宋体"/>
                <w:b/>
                <w:bCs/>
                <w:color w:val="auto"/>
                <w:szCs w:val="21"/>
                <w:highlight w:val="none"/>
              </w:rPr>
              <w:t>履约保证金金额：</w:t>
            </w:r>
            <w:r>
              <w:rPr>
                <w:rFonts w:hint="eastAsia" w:ascii="宋体" w:hAnsi="宋体" w:cs="宋体"/>
                <w:color w:val="auto"/>
                <w:szCs w:val="21"/>
                <w:highlight w:val="none"/>
              </w:rPr>
              <w:t>按中标金额的</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%【如为中型企业，按合同总金额的2%收取，如为小微企业的，免收履约保证金】。</w:t>
            </w:r>
          </w:p>
          <w:p w14:paraId="18FA9484">
            <w:pPr>
              <w:spacing w:line="360" w:lineRule="auto"/>
              <w:rPr>
                <w:rFonts w:ascii="宋体" w:hAnsi="宋体" w:cs="宋体"/>
                <w:color w:val="auto"/>
                <w:szCs w:val="21"/>
                <w:highlight w:val="none"/>
              </w:rPr>
            </w:pPr>
            <w:r>
              <w:rPr>
                <w:rFonts w:hint="eastAsia" w:ascii="宋体" w:hAnsi="宋体" w:cs="宋体"/>
                <w:b/>
                <w:bCs/>
                <w:color w:val="auto"/>
                <w:szCs w:val="21"/>
                <w:highlight w:val="none"/>
              </w:rPr>
              <w:t>履约保证金提交方式：</w:t>
            </w:r>
            <w:r>
              <w:rPr>
                <w:rFonts w:hint="eastAsia" w:ascii="宋体" w:hAnsi="宋体" w:cs="宋体"/>
                <w:color w:val="auto"/>
                <w:szCs w:val="21"/>
                <w:highlight w:val="none"/>
              </w:rPr>
              <w:t>银行转账、支票、汇票、本票或者金融、担保机构出具的保函等非现金方式（参照磋商保证金）。</w:t>
            </w:r>
          </w:p>
          <w:p w14:paraId="099C8A41">
            <w:pPr>
              <w:spacing w:line="360" w:lineRule="auto"/>
              <w:rPr>
                <w:rFonts w:ascii="宋体" w:hAnsi="宋体" w:cs="宋体"/>
                <w:color w:val="auto"/>
                <w:szCs w:val="21"/>
                <w:highlight w:val="none"/>
              </w:rPr>
            </w:pPr>
            <w:r>
              <w:rPr>
                <w:rFonts w:hint="eastAsia" w:ascii="宋体" w:hAnsi="宋体" w:cs="宋体"/>
                <w:b/>
                <w:bCs/>
                <w:color w:val="auto"/>
                <w:szCs w:val="21"/>
                <w:highlight w:val="none"/>
              </w:rPr>
              <w:t>履约保证金退付方式、时间及条件：</w:t>
            </w:r>
            <w:r>
              <w:rPr>
                <w:rFonts w:hint="eastAsia" w:ascii="宋体" w:hAnsi="宋体" w:cs="宋体"/>
                <w:color w:val="auto"/>
                <w:szCs w:val="21"/>
                <w:highlight w:val="none"/>
              </w:rPr>
              <w:t>如有，将依照招标文件第五章拟签订的合同文本约定。</w:t>
            </w:r>
          </w:p>
          <w:p w14:paraId="14C269D2">
            <w:pPr>
              <w:spacing w:line="360" w:lineRule="auto"/>
              <w:rPr>
                <w:rFonts w:ascii="宋体" w:hAnsi="宋体" w:cs="宋体"/>
                <w:color w:val="auto"/>
                <w:szCs w:val="21"/>
                <w:highlight w:val="none"/>
              </w:rPr>
            </w:pPr>
            <w:r>
              <w:rPr>
                <w:rFonts w:hint="eastAsia" w:ascii="宋体" w:hAnsi="宋体" w:cs="宋体"/>
                <w:color w:val="auto"/>
                <w:szCs w:val="21"/>
                <w:highlight w:val="none"/>
              </w:rPr>
              <w:t>如：由成交供应商向履约保证金收取单位提供《广西壮族自治区政府采购项目合同验收书》（详见附件1）及《政府采购项目履约保证金退付意见书》（详见附件2），保证金收取单位在收到合格材料后5个工作日内办理退还手续（不计利息）。</w:t>
            </w:r>
          </w:p>
          <w:p w14:paraId="25C0D85F">
            <w:pPr>
              <w:spacing w:line="360" w:lineRule="auto"/>
              <w:rPr>
                <w:rFonts w:ascii="宋体" w:hAnsi="宋体" w:cs="宋体"/>
                <w:color w:val="auto"/>
                <w:szCs w:val="21"/>
                <w:highlight w:val="none"/>
              </w:rPr>
            </w:pPr>
            <w:r>
              <w:rPr>
                <w:rFonts w:hint="eastAsia" w:ascii="宋体" w:hAnsi="宋体" w:cs="宋体"/>
                <w:b/>
                <w:bCs/>
                <w:color w:val="auto"/>
                <w:szCs w:val="21"/>
                <w:highlight w:val="none"/>
              </w:rPr>
              <w:t>履约保证金指定账户：</w:t>
            </w:r>
            <w:r>
              <w:rPr>
                <w:rFonts w:hint="eastAsia" w:ascii="宋体" w:hAnsi="宋体" w:cs="宋体"/>
                <w:color w:val="auto"/>
                <w:szCs w:val="21"/>
                <w:highlight w:val="none"/>
              </w:rPr>
              <w:t>中标后由采购人提供。</w:t>
            </w:r>
          </w:p>
          <w:p w14:paraId="76C7E4D8">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备注：</w:t>
            </w:r>
          </w:p>
          <w:p w14:paraId="6C1E0862">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1.</w:t>
            </w:r>
            <w:bookmarkStart w:id="49" w:name="_Hlk54170335"/>
            <w:r>
              <w:rPr>
                <w:rFonts w:hint="eastAsia" w:ascii="宋体" w:hAnsi="宋体" w:cs="宋体"/>
                <w:b/>
                <w:bCs/>
                <w:color w:val="auto"/>
                <w:szCs w:val="21"/>
                <w:highlight w:val="none"/>
              </w:rPr>
              <w:t>根据《广西壮族自治区财政厅关于进一步发挥政府采购政策功能促进企业发展的通知》（桂财采〔2022〕30号）规定，采购文件要求中标或者成交供应商提交履约保证金的，履约保证金数额不得超过政府采购合同金额的5%，对中小企业收取的履约保证金数额不得超过政府采购合同金额的2%。采购人可根据供应商的资信等情况减免履约保证金。</w:t>
            </w:r>
            <w:bookmarkEnd w:id="49"/>
          </w:p>
          <w:p w14:paraId="581DE8BB">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5EE7EB22">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3.采用金融、担保机构出具保函的，必须为无条件保函，否则视为未按规定提交履约保证金。</w:t>
            </w:r>
          </w:p>
          <w:p w14:paraId="4D71ADFC">
            <w:pPr>
              <w:spacing w:line="360" w:lineRule="auto"/>
              <w:rPr>
                <w:rFonts w:ascii="宋体" w:hAnsi="宋体" w:cs="宋体"/>
                <w:color w:val="auto"/>
                <w:szCs w:val="21"/>
                <w:highlight w:val="none"/>
              </w:rPr>
            </w:pPr>
            <w:r>
              <w:rPr>
                <w:rFonts w:hint="eastAsia" w:ascii="宋体" w:hAnsi="宋体" w:cs="宋体"/>
                <w:b/>
                <w:bCs/>
                <w:color w:val="auto"/>
                <w:szCs w:val="21"/>
                <w:highlight w:val="none"/>
              </w:rPr>
              <w:t>4.供应商为联合体的，可由联合体任意一方或者联合体各方共同提交的履约保证金，视为有效履约保证金。</w:t>
            </w:r>
          </w:p>
        </w:tc>
      </w:tr>
      <w:tr w14:paraId="76DD5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106D79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29.1</w:t>
            </w:r>
          </w:p>
        </w:tc>
        <w:tc>
          <w:tcPr>
            <w:tcW w:w="7912" w:type="dxa"/>
            <w:vAlign w:val="center"/>
          </w:tcPr>
          <w:p w14:paraId="12E717B4">
            <w:pPr>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签订合同携带的证明材料：</w:t>
            </w:r>
          </w:p>
          <w:p w14:paraId="08B091A8">
            <w:pPr>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57D1053F">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4F564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B9263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7912" w:type="dxa"/>
            <w:vAlign w:val="center"/>
          </w:tcPr>
          <w:p w14:paraId="0275C418">
            <w:pPr>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0E5A534C">
            <w:pPr>
              <w:spacing w:line="360" w:lineRule="auto"/>
              <w:rPr>
                <w:rFonts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kern w:val="0"/>
                <w:szCs w:val="21"/>
                <w:highlight w:val="none"/>
              </w:rPr>
              <w:t>广西城建咨询设计有限公司</w:t>
            </w:r>
          </w:p>
          <w:p w14:paraId="0F98703D">
            <w:pPr>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kern w:val="0"/>
                <w:szCs w:val="21"/>
                <w:highlight w:val="none"/>
              </w:rPr>
              <w:t>0777-3882166</w:t>
            </w:r>
          </w:p>
          <w:p w14:paraId="5879CECA">
            <w:pPr>
              <w:spacing w:line="360" w:lineRule="auto"/>
              <w:rPr>
                <w:rFonts w:ascii="宋体" w:hAnsi="宋体" w:cs="宋体"/>
                <w:color w:val="auto"/>
                <w:szCs w:val="21"/>
                <w:highlight w:val="none"/>
              </w:rPr>
            </w:pPr>
            <w:r>
              <w:rPr>
                <w:rFonts w:hint="eastAsia" w:ascii="宋体" w:hAnsi="宋体" w:cs="宋体"/>
                <w:color w:val="auto"/>
                <w:szCs w:val="21"/>
                <w:highlight w:val="none"/>
              </w:rPr>
              <w:t>通讯地址：广西城建咨询设计有限公司钦州分公司（钦州市钦南区子材东大街4号阳光曼哈顿3座4楼3A07室)</w:t>
            </w:r>
          </w:p>
          <w:p w14:paraId="4DF3FCE6">
            <w:pPr>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业务时间：上午 09 时 00 分到 12 时 00 分，下午 15 时 00 分到 17 时 30 分，业务时间以外、双休日和法定节假日不办理业务。</w:t>
            </w:r>
          </w:p>
        </w:tc>
      </w:tr>
      <w:tr w14:paraId="79B4B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E1FADE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7912" w:type="dxa"/>
            <w:vAlign w:val="center"/>
          </w:tcPr>
          <w:p w14:paraId="59C7437D">
            <w:pPr>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投诉方式：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7F5DF7D">
            <w:pPr>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监督部门及联系方式:</w:t>
            </w:r>
          </w:p>
          <w:p w14:paraId="30533D6A">
            <w:pPr>
              <w:autoSpaceDE w:val="0"/>
              <w:autoSpaceDN w:val="0"/>
              <w:spacing w:line="360" w:lineRule="auto"/>
              <w:textAlignment w:val="bottom"/>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名称：钦州市财政局政府采购监督管理科</w:t>
            </w:r>
          </w:p>
          <w:p w14:paraId="7B758756">
            <w:pPr>
              <w:autoSpaceDE w:val="0"/>
              <w:autoSpaceDN w:val="0"/>
              <w:spacing w:line="360" w:lineRule="auto"/>
              <w:textAlignment w:val="bottom"/>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地址：钦州市钦北区银河街125号</w:t>
            </w:r>
          </w:p>
          <w:p w14:paraId="7491DBF1">
            <w:pPr>
              <w:autoSpaceDE w:val="0"/>
              <w:autoSpaceDN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lang w:val="en-US" w:eastAsia="zh-CN"/>
              </w:rPr>
              <w:t>联系电话：0777-2895258</w:t>
            </w:r>
          </w:p>
        </w:tc>
      </w:tr>
      <w:tr w14:paraId="319E0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2E6C13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32.1</w:t>
            </w:r>
          </w:p>
        </w:tc>
        <w:tc>
          <w:tcPr>
            <w:tcW w:w="7912" w:type="dxa"/>
            <w:vAlign w:val="center"/>
          </w:tcPr>
          <w:p w14:paraId="32F76ED1">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1.采购代理费支付方式：</w:t>
            </w:r>
          </w:p>
          <w:p w14:paraId="19503BE7">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☑本项目代理服务费由</w:t>
            </w:r>
            <w:r>
              <w:rPr>
                <w:rFonts w:hint="eastAsia" w:ascii="宋体" w:hAnsi="宋体" w:cs="宋体"/>
                <w:color w:val="auto"/>
                <w:kern w:val="0"/>
                <w:szCs w:val="21"/>
                <w:highlight w:val="none"/>
                <w:u w:val="single"/>
              </w:rPr>
              <w:t>成交供应商</w:t>
            </w:r>
            <w:r>
              <w:rPr>
                <w:rFonts w:hint="eastAsia" w:ascii="宋体" w:hAnsi="宋体" w:cs="宋体"/>
                <w:color w:val="auto"/>
                <w:kern w:val="0"/>
                <w:szCs w:val="21"/>
                <w:highlight w:val="none"/>
              </w:rPr>
              <w:t>领取成交通知书前，一次性向采购代理机构支付。</w:t>
            </w:r>
          </w:p>
          <w:p w14:paraId="30933052">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2.采购代理费收取标准：</w:t>
            </w:r>
          </w:p>
          <w:p w14:paraId="63D8AA7C">
            <w:pPr>
              <w:spacing w:line="360" w:lineRule="auto"/>
              <w:rPr>
                <w:rFonts w:ascii="宋体" w:hAnsi="宋体" w:cs="宋体"/>
                <w:color w:val="auto"/>
                <w:kern w:val="0"/>
                <w:szCs w:val="21"/>
                <w:highlight w:val="none"/>
              </w:rPr>
            </w:pPr>
            <w:r>
              <w:rPr>
                <w:rFonts w:hint="eastAsia" w:ascii="宋体" w:hAnsi="宋体" w:cs="宋体"/>
                <w:color w:val="auto"/>
                <w:szCs w:val="21"/>
                <w:highlight w:val="none"/>
              </w:rPr>
              <w:t>按照原国家计委计价格〔2002〕1980号文、国家发改委发改办价格〔2003〕857号文、发改价格〔2011〕534号文规定的</w:t>
            </w:r>
            <w:r>
              <w:rPr>
                <w:rFonts w:hint="eastAsia" w:ascii="宋体" w:hAnsi="宋体" w:cs="宋体"/>
                <w:color w:val="auto"/>
                <w:szCs w:val="21"/>
                <w:highlight w:val="none"/>
                <w:u w:val="single"/>
              </w:rPr>
              <w:t>服务类</w:t>
            </w:r>
            <w:r>
              <w:rPr>
                <w:rFonts w:hint="eastAsia" w:ascii="宋体" w:hAnsi="宋体" w:cs="宋体"/>
                <w:color w:val="auto"/>
                <w:szCs w:val="21"/>
                <w:highlight w:val="none"/>
              </w:rPr>
              <w:t>收费标准，采用差额定率累进法，以成交金额为计算基数计取。</w:t>
            </w:r>
          </w:p>
          <w:p w14:paraId="2E578331">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 采购代理费收取银行账户</w:t>
            </w:r>
          </w:p>
          <w:p w14:paraId="5A0B62B9">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开户名称：广西城建咨询设计有限公司钦州分公司</w:t>
            </w:r>
          </w:p>
          <w:p w14:paraId="04ED7713">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开户银行：工行钦州向阳支行</w:t>
            </w:r>
          </w:p>
          <w:p w14:paraId="6709487A">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银行账号：2115 5900 0930 0013 302</w:t>
            </w:r>
          </w:p>
        </w:tc>
      </w:tr>
      <w:tr w14:paraId="4E7A0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83E5FF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33.1</w:t>
            </w:r>
          </w:p>
        </w:tc>
        <w:tc>
          <w:tcPr>
            <w:tcW w:w="7912" w:type="dxa"/>
            <w:vAlign w:val="center"/>
          </w:tcPr>
          <w:p w14:paraId="6761B1E4">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41E91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14:paraId="38881B39">
            <w:pPr>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rPr>
              <w:t>33.2</w:t>
            </w:r>
          </w:p>
        </w:tc>
        <w:tc>
          <w:tcPr>
            <w:tcW w:w="7912" w:type="dxa"/>
            <w:vAlign w:val="center"/>
          </w:tcPr>
          <w:p w14:paraId="3F0ECFF7">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6B46C620">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213474D">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7AADB6CF">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4.自然人竞标的，磋商文件规定盖公章处由自然人摁手指指印。</w:t>
            </w:r>
          </w:p>
          <w:p w14:paraId="6D0E7247">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5.本磋商文件所称的“以上”“以下”“以内”“届满”，包括本数；所称的“不满”“超过”“以外”，不包括本数。</w:t>
            </w:r>
          </w:p>
        </w:tc>
      </w:tr>
      <w:tr w14:paraId="4626E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16F813B6">
            <w:pPr>
              <w:spacing w:line="360" w:lineRule="auto"/>
              <w:jc w:val="center"/>
              <w:rPr>
                <w:rFonts w:ascii="宋体" w:hAnsi="宋体" w:cs="宋体"/>
                <w:b/>
                <w:bCs/>
                <w:color w:val="auto"/>
                <w:szCs w:val="21"/>
                <w:highlight w:val="none"/>
              </w:rPr>
            </w:pPr>
          </w:p>
        </w:tc>
        <w:tc>
          <w:tcPr>
            <w:tcW w:w="7912" w:type="dxa"/>
            <w:vAlign w:val="center"/>
          </w:tcPr>
          <w:p w14:paraId="5E548AB5">
            <w:pPr>
              <w:spacing w:line="360" w:lineRule="auto"/>
              <w:rPr>
                <w:rFonts w:ascii="宋体" w:hAnsi="宋体" w:cs="宋体"/>
                <w:color w:val="auto"/>
                <w:szCs w:val="21"/>
                <w:highlight w:val="none"/>
              </w:rPr>
            </w:pPr>
            <w:r>
              <w:rPr>
                <w:rFonts w:hint="eastAsia" w:ascii="宋体" w:hAnsi="宋体" w:cs="宋体"/>
                <w:color w:val="auto"/>
                <w:szCs w:val="21"/>
                <w:highlight w:val="none"/>
              </w:rPr>
              <w:t>采购人或者采购代理机构在资格审查结束前，对供应商进行信用查询。</w:t>
            </w:r>
          </w:p>
          <w:p w14:paraId="7FCD8546">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（1）查询渠道：“信用中国”网站(www.creditchina.gov.cn)、中国政府采购网(www.ccgp.gov.cn)链接入口。</w:t>
            </w:r>
          </w:p>
          <w:p w14:paraId="7D174BD5">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（2）信用查询截止时点：资格审查结束前。</w:t>
            </w:r>
          </w:p>
          <w:p w14:paraId="44B4E21A">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（3）查询记录和证据留存方式：在查询网站中直接查询，截图另存为电子文档并打印查询结果作为评审资料保存。</w:t>
            </w:r>
          </w:p>
          <w:p w14:paraId="000D5CE5">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148A7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7EBED40B">
            <w:pPr>
              <w:spacing w:line="360" w:lineRule="auto"/>
              <w:jc w:val="center"/>
              <w:rPr>
                <w:rFonts w:ascii="宋体" w:hAnsi="宋体" w:cs="宋体"/>
                <w:b/>
                <w:bCs/>
                <w:color w:val="auto"/>
                <w:szCs w:val="21"/>
                <w:highlight w:val="none"/>
              </w:rPr>
            </w:pPr>
          </w:p>
        </w:tc>
        <w:tc>
          <w:tcPr>
            <w:tcW w:w="7912" w:type="dxa"/>
            <w:vAlign w:val="center"/>
          </w:tcPr>
          <w:p w14:paraId="66BD689B">
            <w:pPr>
              <w:spacing w:line="360" w:lineRule="auto"/>
              <w:rPr>
                <w:rFonts w:ascii="宋体" w:hAnsi="宋体" w:cs="宋体"/>
                <w:color w:val="auto"/>
                <w:szCs w:val="21"/>
                <w:highlight w:val="none"/>
              </w:rPr>
            </w:pPr>
            <w:r>
              <w:rPr>
                <w:rFonts w:hint="eastAsia" w:ascii="宋体" w:hAnsi="宋体" w:cs="宋体"/>
                <w:b/>
                <w:bCs/>
                <w:color w:val="auto"/>
                <w:szCs w:val="21"/>
                <w:highlight w:val="none"/>
              </w:rPr>
              <w:t>网上开标、电子评标：</w:t>
            </w:r>
          </w:p>
          <w:p w14:paraId="2A186352">
            <w:pPr>
              <w:spacing w:line="360" w:lineRule="auto"/>
              <w:rPr>
                <w:rFonts w:ascii="宋体" w:hAnsi="宋体" w:cs="宋体"/>
                <w:b/>
                <w:bCs/>
                <w:color w:val="auto"/>
                <w:kern w:val="0"/>
                <w:szCs w:val="21"/>
                <w:highlight w:val="none"/>
              </w:rPr>
            </w:pPr>
            <w:r>
              <w:rPr>
                <w:rFonts w:hint="eastAsia" w:ascii="宋体" w:hAnsi="宋体" w:cs="宋体"/>
                <w:color w:val="auto"/>
                <w:kern w:val="0"/>
                <w:szCs w:val="21"/>
                <w:highlight w:val="none"/>
              </w:rPr>
              <w:t>供应商根据竞争性磋商文件要求，登录“广西政府采购云平台”平台，在指定时间内将电子响应文件通过CA加密后上传完成投标。开标实行网上不见面开标。到达开标时间后，采购代理机构工作人员在“广西政府采购云平台”平台开始网上开标，供应商在竞争性磋商文件指定解密时间内各自登录“广西政府采购云平台”平台进行响应文件解密，供应商全部解密完成或解密时间结束后由采购代理机构工作人员开启唱标及评标程序，供应商可在个人电脑上查看到唱标信息，并等待专家评委评审，评审结束后系统中将显示评标结果。</w:t>
            </w:r>
          </w:p>
        </w:tc>
      </w:tr>
      <w:tr w14:paraId="01FA1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5961AD0B">
            <w:pPr>
              <w:spacing w:line="360" w:lineRule="auto"/>
              <w:jc w:val="center"/>
              <w:rPr>
                <w:rFonts w:ascii="宋体" w:hAnsi="宋体" w:cs="宋体"/>
                <w:color w:val="auto"/>
                <w:kern w:val="0"/>
                <w:szCs w:val="21"/>
                <w:highlight w:val="none"/>
              </w:rPr>
            </w:pPr>
          </w:p>
        </w:tc>
        <w:tc>
          <w:tcPr>
            <w:tcW w:w="7912" w:type="dxa"/>
            <w:vAlign w:val="center"/>
          </w:tcPr>
          <w:p w14:paraId="4C488494">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1.★本项目采购标的需执行的国家相关标准、行业标准、地方标准或其他强制性标准、规范等要求：无。（列明相应的标准和规范名称及文号或编号，若无则写“无”）</w:t>
            </w:r>
          </w:p>
          <w:p w14:paraId="013E2FDB">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2.依据《政府采购促进中小企业发展管理办法》规定享受扶持政策获得政府采购合同的，小微企业不得将合同分包给大中型企业，中型企业不得将合同分包给大型企业。</w:t>
            </w:r>
          </w:p>
        </w:tc>
      </w:tr>
      <w:tr w14:paraId="1E28F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14:paraId="4621603A">
            <w:pPr>
              <w:spacing w:line="360" w:lineRule="auto"/>
              <w:jc w:val="center"/>
              <w:rPr>
                <w:rFonts w:ascii="宋体" w:hAnsi="宋体" w:cs="宋体"/>
                <w:color w:val="auto"/>
                <w:kern w:val="0"/>
                <w:szCs w:val="21"/>
                <w:highlight w:val="none"/>
              </w:rPr>
            </w:pPr>
          </w:p>
        </w:tc>
        <w:tc>
          <w:tcPr>
            <w:tcW w:w="7912" w:type="dxa"/>
            <w:vAlign w:val="center"/>
          </w:tcPr>
          <w:p w14:paraId="20BB0CD6">
            <w:pPr>
              <w:spacing w:line="360" w:lineRule="auto"/>
              <w:rPr>
                <w:rFonts w:ascii="宋体" w:hAnsi="宋体" w:cs="宋体"/>
                <w:b/>
                <w:bCs/>
                <w:color w:val="auto"/>
                <w:kern w:val="0"/>
                <w:szCs w:val="21"/>
                <w:highlight w:val="none"/>
              </w:rPr>
            </w:pPr>
            <w:r>
              <w:rPr>
                <w:rFonts w:hint="eastAsia" w:ascii="宋体" w:hAnsi="宋体" w:cs="宋体"/>
                <w:b/>
                <w:bCs/>
                <w:color w:val="auto"/>
                <w:kern w:val="0"/>
                <w:szCs w:val="21"/>
                <w:highlight w:val="none"/>
              </w:rPr>
              <w:t>广西线上“政采贷”政策告知函</w:t>
            </w:r>
          </w:p>
          <w:p w14:paraId="2E53D586">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各供应商：</w:t>
            </w:r>
          </w:p>
          <w:p w14:paraId="7E9984DF">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欢迎贵公司参与广西政府采购活动！</w:t>
            </w:r>
          </w:p>
          <w:p w14:paraId="55594A28">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广西壮族自治区财政厅关于推广线上“政采贷”融资模式的通知》(南宁银发〔2021〕258号)，按照双方自愿的原则提供便捷、优惠的贷款服务。</w:t>
            </w:r>
          </w:p>
          <w:p w14:paraId="5142011D">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相关金融产品和银行业金融机构联系方式，可在中征应收账款融资服务平台查询 (网址：https://www.crcrfsp.com/，客服电话： 400-009-0001)。</w:t>
            </w:r>
          </w:p>
        </w:tc>
      </w:tr>
    </w:tbl>
    <w:p w14:paraId="58BF775B">
      <w:pPr>
        <w:autoSpaceDE w:val="0"/>
        <w:spacing w:line="360" w:lineRule="auto"/>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lang w:bidi="ar"/>
        </w:rPr>
        <w:t>供应商须知正文</w:t>
      </w:r>
    </w:p>
    <w:p w14:paraId="04860467">
      <w:pPr>
        <w:autoSpaceDE w:val="0"/>
        <w:spacing w:line="360" w:lineRule="auto"/>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lang w:bidi="ar"/>
        </w:rPr>
        <w:t>一、总则</w:t>
      </w:r>
    </w:p>
    <w:p w14:paraId="7B29DA18">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1. 适用范围</w:t>
      </w:r>
    </w:p>
    <w:p w14:paraId="36380320">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1.1 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62D99CA7">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1.2 本竞争性磋商文件（以下简称磋商文件）适用于本项目的所有采购程序和环节（法律、法规另有规定的，从其规定）。</w:t>
      </w:r>
    </w:p>
    <w:p w14:paraId="7FEBFAE4">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2. 定义</w:t>
      </w:r>
    </w:p>
    <w:p w14:paraId="0BF9A2FA">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2.1 “采购人”是指依法进行政府采购的国家机关、事业单位、团体组织。</w:t>
      </w:r>
    </w:p>
    <w:p w14:paraId="0F1E03DE">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2.2 “采购代理机构”是指政府采购集中采购机构和集中采购机构以外的采购代理机构。</w:t>
      </w:r>
    </w:p>
    <w:p w14:paraId="01053EAA">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2.3 “供应商”是指向采购人提供货物、工程或者服务的法人、其他组织或者自然人。</w:t>
      </w:r>
    </w:p>
    <w:p w14:paraId="14497A4F">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2.4 “服务”是指除货物和工程以外的其他政府采购对象。</w:t>
      </w:r>
    </w:p>
    <w:p w14:paraId="49476308">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2.5 “竞标”是指供应商按照本项目竞争性磋商公告规定的方式获取磋商文件、提交响应文件并希望获得标的的行为。</w:t>
      </w:r>
    </w:p>
    <w:p w14:paraId="44C03015">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2.6 “书面形式”是指合同书、信件和数据电文（包括电报、电传、传真、电子数据交换和电子邮件）等可以有形地表现所载内容的形式。</w:t>
      </w:r>
    </w:p>
    <w:p w14:paraId="409B8483">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2.7 “响应文件”是指：供应商根据本磋商文件要求，编制包含资格证明、报价、商务技术等所有内容的文件。</w:t>
      </w:r>
    </w:p>
    <w:p w14:paraId="5500A1FB">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2.8 “实质性要求”是指磋商文件中已经指明不满足则响应文件按无效响应处理的条款，或者不能负偏离的条款，或者采购需求中带“▲”的条款。</w:t>
      </w:r>
    </w:p>
    <w:p w14:paraId="1A890EDC">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2.9 “正偏离”，是指响应文件对磋商文件“采购需求”中有关条款作出的响应优于条款要求并有利于采购人的情形。</w:t>
      </w:r>
    </w:p>
    <w:p w14:paraId="78FD76EE">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2.10 “负偏离”，是指响应文件对磋商文件“采购需求”中有关条款作出的响应不满足条款要求，导致采购人要求不能得到满足的情形。</w:t>
      </w:r>
    </w:p>
    <w:p w14:paraId="5FDA6849">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2.11 “允许负偏离的条款”是指采购需求中的不属于“实质性要求”的条款。</w:t>
      </w:r>
    </w:p>
    <w:p w14:paraId="7CCD507A">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2.12 “首次报价”是指供应商提交的首次响应文件中的报价。</w:t>
      </w:r>
    </w:p>
    <w:p w14:paraId="64E071D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2.13 “评审价”是指供应商提交的最后报价并经修正（如有）和政策功能价格扣除（如有）后的价格。</w:t>
      </w:r>
    </w:p>
    <w:p w14:paraId="1037F19A">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3. 供应商的资格条件</w:t>
      </w:r>
    </w:p>
    <w:p w14:paraId="2261E0B3">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供应商的资格条件详见“供应商须知前附表”。</w:t>
      </w:r>
    </w:p>
    <w:p w14:paraId="5DF34BC6">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4. 竞标费用</w:t>
      </w:r>
    </w:p>
    <w:p w14:paraId="380080EB">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供应商应承担参与本次采购活动有关的所有费用，包括但不限于获取磋商文件、勘查现场、编制和提交响应文件、参加磋商与应答、签订合同等，不论竞标结果如何，均应自行承担。</w:t>
      </w:r>
    </w:p>
    <w:p w14:paraId="26C91EEF">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5. 联合体竞标</w:t>
      </w:r>
    </w:p>
    <w:p w14:paraId="2DA0F725">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5.1 本项目是否接受联合体竞标，详见“供应商须知前附表”。</w:t>
      </w:r>
    </w:p>
    <w:p w14:paraId="4AF7B066">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5.2 如接受联合体竞标，联合体竞标要求详见“供应商须知前附表”。</w:t>
      </w:r>
    </w:p>
    <w:p w14:paraId="22059F0C">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6. 转包与分包</w:t>
      </w:r>
    </w:p>
    <w:p w14:paraId="2674EAEB">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6.1 本项目不允许转包。</w:t>
      </w:r>
    </w:p>
    <w:p w14:paraId="454802EB">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6.2 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00A4A15B">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6.3 供应商根据磋商文件的规定和采购项目的实际情况，拟在成交后将成交项目的非主体、非关键性工作分包的，应当在响应文件中载明分包承担主体，分包承担主体应当具备相应资质条件且不得再次分包。</w:t>
      </w:r>
    </w:p>
    <w:p w14:paraId="27526981">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7. 特别说明</w:t>
      </w:r>
    </w:p>
    <w:p w14:paraId="42A72210">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7.1 如果本磋商文件要求提供供应商或制造商的资格、信誉、荣誉、业绩与企业认证等材料的，资格、信誉、荣誉、业绩与企业认证等必须为供应商或者制造商所拥有或自身获得。</w:t>
      </w:r>
    </w:p>
    <w:p w14:paraId="233FFE8C">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7.2 供应商应仔细阅读磋商文件的所有内容，按照磋商文件的要求提交响应文件，并对所提供的全部资料的真实性承担法律责任。</w:t>
      </w:r>
    </w:p>
    <w:p w14:paraId="6E65AB8A">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7.3 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C957092">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7.4 在政府采购活动中，采购人员及相关人员与供应商有下列利害关系之一的，应当回避：</w:t>
      </w:r>
    </w:p>
    <w:p w14:paraId="34E5C7CF">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（1）参加采购活动前 3 年内与供应商存在劳动关系；</w:t>
      </w:r>
    </w:p>
    <w:p w14:paraId="7848AFDD">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（2）参加采购活动前 3 年内担任供应商的董事、监事；</w:t>
      </w:r>
    </w:p>
    <w:p w14:paraId="32317689">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（3）参加采购活动前 3 年内是供应商的控股股东或者实际控制人；</w:t>
      </w:r>
    </w:p>
    <w:p w14:paraId="0C53E6F7">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（4）与供应商的法定代表人或者负责人有夫妻、直系血亲、三代以内旁系血亲或者近姻亲关系；</w:t>
      </w:r>
    </w:p>
    <w:p w14:paraId="7AB7839C">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（5）与供应商有其他可能影响政府采购活动公平、公正进行的关系。</w:t>
      </w:r>
    </w:p>
    <w:p w14:paraId="5160A710">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FF6DF5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7.5 有下列情形之一的视为供应商相互串通竞标，响应文件将被视为无效：</w:t>
      </w:r>
    </w:p>
    <w:p w14:paraId="7CF75534">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（1）不同供应商的响应文件由同一单位或者个人编制；</w:t>
      </w:r>
    </w:p>
    <w:p w14:paraId="4B95BAED">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（2）不同供应商委托同一单位或者个人办理竞标事宜；</w:t>
      </w:r>
    </w:p>
    <w:p w14:paraId="2886F735">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（3）不同的供应商的响应文件载明的项目管理员为同一个人；</w:t>
      </w:r>
    </w:p>
    <w:p w14:paraId="4EC203DB">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（4）不同供应商的响应文件异常一致或者报价呈规律性差异；</w:t>
      </w:r>
    </w:p>
    <w:p w14:paraId="5D9A97F6">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（5）不同供应商的响应文件相互混装；</w:t>
      </w:r>
    </w:p>
    <w:p w14:paraId="5C6D9BB7">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（6）不同供应商的磋商保证金从同一单位或者个人账户转出。</w:t>
      </w:r>
    </w:p>
    <w:p w14:paraId="43501FED">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7.6 供应商有下列情形之一的，属于恶意串通行为，将报同级监督管理部门：</w:t>
      </w:r>
    </w:p>
    <w:p w14:paraId="42CDC64D">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（1）供应商直接或者间接从采购人或者采购代理机构处获得其他供应商的相关信息并修改其响应文件；</w:t>
      </w:r>
    </w:p>
    <w:p w14:paraId="643D8FF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（2）供应商按照采购人或者采购代理机构的授意撤换、修改响应文件；</w:t>
      </w:r>
    </w:p>
    <w:p w14:paraId="2F912E39">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（3）供应商之间协商报价、技术方案等响应文件或者响应文件的实质性内容；</w:t>
      </w:r>
    </w:p>
    <w:p w14:paraId="2BF1521E">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（4）属于同一集团、协会、商会等组织成员的供应商按照该组织要求协同参加政府采购活动；</w:t>
      </w:r>
    </w:p>
    <w:p w14:paraId="4CAB0F09">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（5）供应商之间事先约定一致抬高或者压低报价，或者在政府采购活动中事先约定轮流以高价位或者低价位成交，或者事先约定由某一特定供应商成交，然后再参加竞标；</w:t>
      </w:r>
    </w:p>
    <w:p w14:paraId="16E1AA52">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（6）供应商之间商定部分供应商放弃参加政府采购活动或者放弃成交；</w:t>
      </w:r>
    </w:p>
    <w:p w14:paraId="7FE3064A">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（7）供应商与采购人或者采购代理机构之间、供应商相互之间，为谋求特定供应商成交或者排斥其他供应商的其他串通行为。</w:t>
      </w:r>
    </w:p>
    <w:p w14:paraId="5206785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 xml:space="preserve"> </w:t>
      </w:r>
    </w:p>
    <w:p w14:paraId="79DE887A">
      <w:pPr>
        <w:autoSpaceDE w:val="0"/>
        <w:spacing w:line="360" w:lineRule="auto"/>
        <w:jc w:val="center"/>
        <w:outlineLvl w:val="1"/>
        <w:rPr>
          <w:rFonts w:ascii="宋体" w:hAnsi="宋体" w:cs="宋体"/>
          <w:b/>
          <w:bCs/>
          <w:color w:val="auto"/>
          <w:sz w:val="32"/>
          <w:szCs w:val="32"/>
          <w:highlight w:val="none"/>
        </w:rPr>
      </w:pPr>
      <w:r>
        <w:rPr>
          <w:rFonts w:hint="eastAsia" w:ascii="宋体" w:hAnsi="宋体" w:cs="宋体"/>
          <w:b/>
          <w:bCs/>
          <w:color w:val="auto"/>
          <w:sz w:val="32"/>
          <w:szCs w:val="32"/>
          <w:highlight w:val="none"/>
          <w:lang w:bidi="ar"/>
        </w:rPr>
        <w:t>二、磋商文件</w:t>
      </w:r>
    </w:p>
    <w:p w14:paraId="5EE1BF81">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8. 磋商文件的构成</w:t>
      </w:r>
    </w:p>
    <w:p w14:paraId="4D5ADC27">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（1）竞争性磋商公告；</w:t>
      </w:r>
    </w:p>
    <w:p w14:paraId="0CBF0629">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（2）供应商须知；</w:t>
      </w:r>
    </w:p>
    <w:p w14:paraId="34AE21B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（3）采购需求；</w:t>
      </w:r>
    </w:p>
    <w:p w14:paraId="7BC64E20">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（4）评审程序、评审方法和评审标准；</w:t>
      </w:r>
    </w:p>
    <w:p w14:paraId="50600BB7">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（5）响应文件格式；</w:t>
      </w:r>
    </w:p>
    <w:p w14:paraId="1617F8FE">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（6）合同文本</w:t>
      </w:r>
    </w:p>
    <w:p w14:paraId="68E990BF">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9. 供应商的询问</w:t>
      </w:r>
    </w:p>
    <w:p w14:paraId="2A82C268">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供应商应认真阅读磋商文件的采购需求，如供应商对磋商文件有疑问的，如要求采购人作出澄清或者修改的，供应商尽可能在提交首次响应文件截止之日前，以书面形式向采购人、采购代理机构提出。</w:t>
      </w:r>
    </w:p>
    <w:p w14:paraId="0F9893C5">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10. 磋商文件的澄清和修改</w:t>
      </w:r>
    </w:p>
    <w:p w14:paraId="079451AB">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 3 个工作日前，以书面形式通知所有获取磋商文件的供应商，不足 3 个工作日的，应当顺延提交首次响应文件截止之日。</w:t>
      </w:r>
    </w:p>
    <w:p w14:paraId="0AB62466">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 xml:space="preserve"> </w:t>
      </w:r>
    </w:p>
    <w:p w14:paraId="6FBBACBB">
      <w:pPr>
        <w:autoSpaceDE w:val="0"/>
        <w:spacing w:line="360" w:lineRule="auto"/>
        <w:jc w:val="center"/>
        <w:outlineLvl w:val="1"/>
        <w:rPr>
          <w:rFonts w:ascii="宋体" w:hAnsi="宋体" w:cs="宋体"/>
          <w:b/>
          <w:bCs/>
          <w:color w:val="auto"/>
          <w:szCs w:val="21"/>
          <w:highlight w:val="none"/>
        </w:rPr>
      </w:pPr>
      <w:r>
        <w:rPr>
          <w:rFonts w:hint="eastAsia" w:ascii="宋体" w:hAnsi="宋体" w:cs="宋体"/>
          <w:b/>
          <w:bCs/>
          <w:color w:val="auto"/>
          <w:sz w:val="32"/>
          <w:szCs w:val="32"/>
          <w:highlight w:val="none"/>
          <w:lang w:bidi="ar"/>
        </w:rPr>
        <w:t>三、响应文件的编制</w:t>
      </w:r>
    </w:p>
    <w:p w14:paraId="594CAB2B">
      <w:pPr>
        <w:autoSpaceDE w:val="0"/>
        <w:spacing w:line="360" w:lineRule="auto"/>
        <w:ind w:left="420" w:leftChars="200"/>
        <w:rPr>
          <w:rFonts w:ascii="宋体" w:hAnsi="宋体" w:cs="宋体"/>
          <w:color w:val="auto"/>
          <w:szCs w:val="21"/>
          <w:highlight w:val="none"/>
        </w:rPr>
      </w:pPr>
      <w:r>
        <w:rPr>
          <w:rFonts w:hint="eastAsia" w:ascii="宋体" w:hAnsi="宋体" w:cs="宋体"/>
          <w:b/>
          <w:bCs/>
          <w:color w:val="auto"/>
          <w:sz w:val="24"/>
          <w:highlight w:val="none"/>
          <w:lang w:bidi="ar"/>
        </w:rPr>
        <w:t>11. 响应文件的编制原则</w:t>
      </w:r>
    </w:p>
    <w:p w14:paraId="0CBAA652">
      <w:pPr>
        <w:autoSpaceDE w:val="0"/>
        <w:spacing w:line="360" w:lineRule="auto"/>
        <w:ind w:firstLine="420" w:firstLineChars="200"/>
        <w:rPr>
          <w:rFonts w:ascii="宋体" w:hAnsi="宋体" w:cs="宋体"/>
          <w:bCs/>
          <w:color w:val="auto"/>
          <w:szCs w:val="21"/>
          <w:highlight w:val="none"/>
        </w:rPr>
      </w:pPr>
      <w:r>
        <w:rPr>
          <w:rStyle w:val="93"/>
          <w:rFonts w:hint="eastAsia" w:ascii="宋体" w:hAnsi="宋体" w:cs="宋体"/>
          <w:bCs/>
          <w:color w:val="auto"/>
          <w:szCs w:val="21"/>
          <w:highlight w:val="none"/>
          <w:lang w:bidi="ar"/>
        </w:rPr>
        <w:t>供应商必须按照磋商文件的要求编制响应文件，并对其提交的响应文件的真实性、合法性承担法律责任。响应文件必须对磋商文件作出实质性响应。</w:t>
      </w:r>
    </w:p>
    <w:p w14:paraId="5F5C9AF0">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12. 响应文件的组成</w:t>
      </w:r>
    </w:p>
    <w:p w14:paraId="40B34F6A">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12.1 电子响应文件由资格证明文件、报价商务技术文件两部分组成。</w:t>
      </w:r>
    </w:p>
    <w:p w14:paraId="7DEAC8E6">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12.1.1 资格证明文件：详见须知前附表</w:t>
      </w:r>
    </w:p>
    <w:p w14:paraId="75542798">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12.1.2 报价商务技术文件：详见须知前附表</w:t>
      </w:r>
    </w:p>
    <w:p w14:paraId="01A0AE5B">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13. 计量单位</w:t>
      </w:r>
    </w:p>
    <w:p w14:paraId="442FEADA">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磋商文件已有明确规定的，使用磋商文件规定的计量单位；磋商文件没有规定的，应采用中华人民共和国法定计量单位，货币种类为人民币，否则视同未响应。</w:t>
      </w:r>
    </w:p>
    <w:p w14:paraId="6D95099A">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14. 竞标的风险</w:t>
      </w:r>
    </w:p>
    <w:p w14:paraId="52DE449C">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供应商没有按照磋商文件要求提供全部资料，或者供应商没有对磋商文件在各方面作出实质性响应可能导致其响应无效，是供应商应当考虑的风险。</w:t>
      </w:r>
    </w:p>
    <w:p w14:paraId="79288A5C">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15. 竞标报价要求和构成</w:t>
      </w:r>
    </w:p>
    <w:p w14:paraId="702A39B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15.1 竞标报价应按磋商文件中“竞标报价表”格式填写。</w:t>
      </w:r>
    </w:p>
    <w:p w14:paraId="169E96AB">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15.2 竞标报价的价格构成见“供应商须知前附表”。</w:t>
      </w:r>
    </w:p>
    <w:p w14:paraId="15853523">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15.3 竞标报价要求</w:t>
      </w:r>
    </w:p>
    <w:p w14:paraId="57D459E7">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15.3.1 供应商的竞标报价应符合以下要求，否则响应文件按无效响应处理：</w:t>
      </w:r>
    </w:p>
    <w:p w14:paraId="73EDD0A3">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（1）供应商必须就“采购需求”中所竞标的每个分标的全部内容分别作完整唯一总价报价，不得存在漏项报价；</w:t>
      </w:r>
    </w:p>
    <w:p w14:paraId="40AF0B6F">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（2）供应商必须就所竞标的分标的单项内容作唯一报价。</w:t>
      </w:r>
    </w:p>
    <w:p w14:paraId="1665C492">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15.3.2 竞标报价（包含首次报价、最后报价）超过所竞标分标规定的采购预算金额或者最高限价的，其电子响应文件将作无效处理。</w:t>
      </w:r>
    </w:p>
    <w:p w14:paraId="10174C58">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15.3.3 竞标报价（包含首次报价、最后报价）超过分项采购预算金额或者最高限价的，其电子响应文件将作无效处理。</w:t>
      </w:r>
    </w:p>
    <w:p w14:paraId="73332B8D">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16. 竞标有效期</w:t>
      </w:r>
    </w:p>
    <w:p w14:paraId="67EA0F89">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16.1 竞标有效期是指为保证采购人有足够的时间在提交响应文件后完成评审、确定成交供应商、合同签订等工作而要求供应商提交的响应文件在一定时间内保持有效的期限。</w:t>
      </w:r>
    </w:p>
    <w:p w14:paraId="00FFEA90">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16.2 竞标有效期应由供应商按“供应商须知前附表”规定的期限作出响应。</w:t>
      </w:r>
    </w:p>
    <w:p w14:paraId="3989A1FA">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16.3 供应商的响应文件在竞标有效期内均保持有效。</w:t>
      </w:r>
    </w:p>
    <w:p w14:paraId="6E1E8959">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17. 磋商保证金</w:t>
      </w:r>
    </w:p>
    <w:p w14:paraId="23A3CBEA">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17.1 供应商须按“供应商须知前附表”的规定提交磋商保证金。</w:t>
      </w:r>
    </w:p>
    <w:p w14:paraId="693A11E9">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17.2 磋商保证金的退还</w:t>
      </w:r>
    </w:p>
    <w:p w14:paraId="32C746FF">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17.2.1 未</w:t>
      </w:r>
      <w:r>
        <w:rPr>
          <w:rFonts w:hint="eastAsia" w:ascii="宋体" w:hAnsi="宋体" w:cs="宋体"/>
          <w:color w:val="auto"/>
          <w:spacing w:val="-6"/>
          <w:szCs w:val="21"/>
          <w:highlight w:val="none"/>
          <w:lang w:bidi="ar"/>
        </w:rPr>
        <w:t>成交供应商的磋商保证金自成交通知书发出之日起5个工作日内退还，退还方式如下：</w:t>
      </w:r>
    </w:p>
    <w:p w14:paraId="01CA5567">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（1）采用银行转账方式的，以转账方式退回到供应商银行账户。</w:t>
      </w:r>
    </w:p>
    <w:p w14:paraId="48AC83E4">
      <w:pPr>
        <w:pStyle w:val="27"/>
        <w:autoSpaceDE w:val="0"/>
        <w:spacing w:line="360" w:lineRule="auto"/>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lang w:bidi="ar"/>
        </w:rPr>
        <w:t>（2）采用支票、汇票、本票或者金融、担保机构出具的保函方式的，由供应商代表持相关授权证明材料至采购人或者采购代理机构办理支票、汇票、本票或者金融、担保机构出具的保函原件退还手续。</w:t>
      </w:r>
    </w:p>
    <w:p w14:paraId="4D48E61F">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17.2.2 成交供应商的磋商保证金自政府采购合同签订之日起5个工作日内退还，退还方式同未成交供应商的磋商保证金的退还方式。</w:t>
      </w:r>
    </w:p>
    <w:p w14:paraId="6C8DA6DE">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17.3 磋商保证金不计息。</w:t>
      </w:r>
    </w:p>
    <w:p w14:paraId="6ADFF02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17.4 供应商有下列情形之一的，磋商保证金将不予退还：</w:t>
      </w:r>
    </w:p>
    <w:p w14:paraId="639046E6">
      <w:pPr>
        <w:widowControl/>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（1）供应商在提交响应文件截止时间后撤回响应文件的；</w:t>
      </w:r>
    </w:p>
    <w:p w14:paraId="0968A0E7">
      <w:pPr>
        <w:widowControl/>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（2）未按规定提交履约保证金的；</w:t>
      </w:r>
    </w:p>
    <w:p w14:paraId="395BB136">
      <w:pPr>
        <w:widowControl/>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（3）供应商在响应文件中提供虚假材料的；</w:t>
      </w:r>
    </w:p>
    <w:p w14:paraId="2ABB86FD">
      <w:pPr>
        <w:widowControl/>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（4）除因不可抗力或者磋商文件认可的情形以外，成交供应商不与采购人签订合同的；</w:t>
      </w:r>
    </w:p>
    <w:p w14:paraId="2F772C6C">
      <w:pPr>
        <w:widowControl/>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（5）供应商与采购人、其他供应商或者采购代理机构恶意串通的；</w:t>
      </w:r>
    </w:p>
    <w:p w14:paraId="36A3F669">
      <w:pPr>
        <w:widowControl/>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（6）法律法规规定的其他情形。</w:t>
      </w:r>
    </w:p>
    <w:p w14:paraId="53A97DB9">
      <w:pPr>
        <w:widowControl/>
        <w:autoSpaceDE w:val="0"/>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lang w:bidi="ar"/>
        </w:rPr>
        <w:t>18. 电子响应文件编制的要求</w:t>
      </w:r>
    </w:p>
    <w:p w14:paraId="0A489788">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18.1 供应商应先安装“广西政府采购云平台电子交易客户端”（请自行前往“广西政府采购云平台”平台进行下载），并按照本项目磋商文件规定的格式和顺序和“广西政府采购云平台”平台的要求编制并加密。响应文件内容不完整、编排混乱导致响应文件被误读、漏读或者查找不到相关内容的，由此引发的后果由供应商承担。</w:t>
      </w:r>
    </w:p>
    <w:p w14:paraId="5C3ED9E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18.2 为确保网上操作合法、有效和安全，供应商应当在提交响应文件截止时间前完成在“广西政府采购云平台”平台的身份认证，确保在电子竞标过程中能够对相关数据电文进行加密和使用电子签章。</w:t>
      </w:r>
    </w:p>
    <w:p w14:paraId="2539AF5C">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18.3 响应文件须由供应商在规定位置签字、盖章（具体以供应商须知前附表或响应文件格式规定为准），否则按无效响应处理。</w:t>
      </w:r>
    </w:p>
    <w:p w14:paraId="6802287B">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18.4 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3700385E">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18.5 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3BFB165">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19. 电子备份响应文件</w:t>
      </w:r>
    </w:p>
    <w:p w14:paraId="54C687E8">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电子备份响应文件是指通过“广西政府采购云平台电子投标客户端”在线编制生成的电子备份响应文件，是否</w:t>
      </w:r>
      <w:r>
        <w:rPr>
          <w:rFonts w:hint="eastAsia" w:ascii="宋体" w:hAnsi="宋体" w:cs="宋体"/>
          <w:color w:val="auto"/>
          <w:szCs w:val="21"/>
          <w:highlight w:val="none"/>
          <w:lang w:eastAsia="zh-CN" w:bidi="ar"/>
        </w:rPr>
        <w:t>接收</w:t>
      </w:r>
      <w:r>
        <w:rPr>
          <w:rFonts w:hint="eastAsia" w:ascii="宋体" w:hAnsi="宋体" w:cs="宋体"/>
          <w:color w:val="auto"/>
          <w:szCs w:val="21"/>
          <w:highlight w:val="none"/>
          <w:lang w:bidi="ar"/>
        </w:rPr>
        <w:t>电子备份响应文件</w:t>
      </w:r>
      <w:r>
        <w:rPr>
          <w:rFonts w:hint="eastAsia" w:ascii="宋体" w:hAnsi="宋体" w:cs="宋体"/>
          <w:color w:val="auto"/>
          <w:szCs w:val="21"/>
          <w:highlight w:val="none"/>
          <w:lang w:eastAsia="zh-CN" w:bidi="ar"/>
        </w:rPr>
        <w:t>详见</w:t>
      </w:r>
      <w:r>
        <w:rPr>
          <w:rFonts w:hint="eastAsia" w:ascii="宋体" w:hAnsi="宋体" w:cs="宋体"/>
          <w:color w:val="auto"/>
          <w:szCs w:val="21"/>
          <w:highlight w:val="none"/>
          <w:lang w:bidi="ar"/>
        </w:rPr>
        <w:t>“供应商须知前附表”。</w:t>
      </w:r>
    </w:p>
    <w:p w14:paraId="4F137D54">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20. 响应文件的递交</w:t>
      </w:r>
    </w:p>
    <w:p w14:paraId="1D9833C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认证锁）进行电子签章、加密，然后通过网络将加密的电子响应文件提交至“广西政府采购云平台”平台。</w:t>
      </w:r>
    </w:p>
    <w:p w14:paraId="1A5B96E9">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20.2 未在规定时间内提交或者未按照磋商文件要求加密的电子响应文件，“广西政府采购云平台”平台将拒收。</w:t>
      </w:r>
    </w:p>
    <w:p w14:paraId="4A2CE22A">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21. 首次响应文件的补充、修改与撤回</w:t>
      </w:r>
    </w:p>
    <w:p w14:paraId="0C46D437">
      <w:pPr>
        <w:autoSpaceDE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平台将予以拒收。（补充、修改或者撤回方式可登录“广西政府采购云平台”平台，进入“服务中心”中查看 “电子投标文件制作与投送教程”）</w:t>
      </w:r>
    </w:p>
    <w:p w14:paraId="434B4615">
      <w:pPr>
        <w:autoSpaceDE w:val="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bidi="ar"/>
        </w:rPr>
        <w:t>21.2 在提交响应文件截止时间前，除供应商补充、修改或者撤回响应文件外，任何单位和个人不得解密或提取响应文件。</w:t>
      </w:r>
    </w:p>
    <w:p w14:paraId="5A5D6B19">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22. 首次响应文件的退回</w:t>
      </w:r>
    </w:p>
    <w:p w14:paraId="012B07F6">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采购人和采购代理机构对所接收的电子响应文件除“第四章 评审程序、评审方法和评审标准” 4.3 条规定的情形外，在首次电子响应文件提交截止时间止提交电子响应文件的供应商不足 3 家的，应当退回供应商电子响应文件。</w:t>
      </w:r>
    </w:p>
    <w:p w14:paraId="532B6C26">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23. 截止时间后的撤回</w:t>
      </w:r>
    </w:p>
    <w:p w14:paraId="29230672">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供应商在首次电子响应文件提交截止时间后向采购人、采购代理机构书面申请撤回电子响应文件的，除此之外采购人和采购代理机构对已开启的电子响应文件概不退回。</w:t>
      </w:r>
    </w:p>
    <w:p w14:paraId="1EB74739">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 xml:space="preserve"> </w:t>
      </w:r>
    </w:p>
    <w:p w14:paraId="7B5FD965">
      <w:pPr>
        <w:autoSpaceDE w:val="0"/>
        <w:spacing w:line="360" w:lineRule="auto"/>
        <w:jc w:val="center"/>
        <w:outlineLvl w:val="1"/>
        <w:rPr>
          <w:rFonts w:ascii="宋体" w:hAnsi="宋体" w:cs="宋体"/>
          <w:color w:val="auto"/>
          <w:szCs w:val="21"/>
          <w:highlight w:val="none"/>
        </w:rPr>
      </w:pPr>
      <w:r>
        <w:rPr>
          <w:rFonts w:hint="eastAsia" w:ascii="宋体" w:hAnsi="宋体" w:cs="宋体"/>
          <w:b/>
          <w:bCs/>
          <w:color w:val="auto"/>
          <w:sz w:val="32"/>
          <w:szCs w:val="32"/>
          <w:highlight w:val="none"/>
          <w:lang w:bidi="ar"/>
        </w:rPr>
        <w:t>四、评审及磋商</w:t>
      </w:r>
    </w:p>
    <w:p w14:paraId="56FE5E31">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24. 磋商小组成立</w:t>
      </w:r>
    </w:p>
    <w:p w14:paraId="0B129196">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24.1 磋商小组由采购人代表和评审专家共 3 人以上单数组成，具体人数见“供应商须知前附表”，其中评审专家人数不得少于磋商小组成员总数的 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 5 人以上单数组成。</w:t>
      </w:r>
    </w:p>
    <w:p w14:paraId="00CFECBF">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24.2 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 1 名法律专家。</w:t>
      </w:r>
    </w:p>
    <w:p w14:paraId="2FFF17A8">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24.3 采购代理机构应当基于“广西政府采购云平台”平台抽（选）取评审专家。</w:t>
      </w:r>
    </w:p>
    <w:p w14:paraId="6120DF30">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25. 首次响应文件的开启和解密</w:t>
      </w:r>
    </w:p>
    <w:p w14:paraId="6412AE7F">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采购代理机构将在“供应商须知前附表”规定的时间通过电子交易平台组织响应文件开启，供应商的法定代表人或其委托代理人须携带加密时所用的 CA 锁，按平台提示和磋商文件的规定登录到“广西政府采购云平台”平台电子开标大厅签到，采购代理机构依托“广西政府采购云平台”平台向各供应商发出电子加密响应文件【开始解密】通知，由供应商按“供应商须知前附表”规定的时间内自行进行响应文件解密。</w:t>
      </w:r>
      <w:r>
        <w:rPr>
          <w:rFonts w:hint="eastAsia" w:ascii="宋体" w:hAnsi="宋体" w:cs="宋体"/>
          <w:b/>
          <w:bCs/>
          <w:color w:val="auto"/>
          <w:szCs w:val="21"/>
          <w:highlight w:val="none"/>
          <w:lang w:bidi="ar"/>
        </w:rPr>
        <w:t>供应商未在规定的时间内解密响应文件或者解密失败的，供应商的响应文件作无效处理。</w:t>
      </w:r>
    </w:p>
    <w:p w14:paraId="4C706524">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26. 评审程序、评审方法和评审标准</w:t>
      </w:r>
    </w:p>
    <w:p w14:paraId="4C916558">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26.1 本项目的评审方法为综合评分法。</w:t>
      </w:r>
    </w:p>
    <w:p w14:paraId="5775582F">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26.2 磋商小组按照“第四章 评审程序、评审方法和评审标准”规定的方法、评审因素、标准和程序对响应文件进行评审。</w:t>
      </w:r>
    </w:p>
    <w:p w14:paraId="6D54F552">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26.3 商务/</w:t>
      </w:r>
      <w:r>
        <w:rPr>
          <w:rFonts w:hint="eastAsia" w:ascii="宋体" w:hAnsi="宋体" w:cs="宋体"/>
          <w:color w:val="auto"/>
          <w:szCs w:val="21"/>
          <w:highlight w:val="none"/>
          <w:lang w:eastAsia="zh-CN" w:bidi="ar"/>
        </w:rPr>
        <w:t>服务</w:t>
      </w:r>
      <w:r>
        <w:rPr>
          <w:rFonts w:hint="eastAsia" w:ascii="宋体" w:hAnsi="宋体" w:cs="宋体"/>
          <w:color w:val="auto"/>
          <w:szCs w:val="21"/>
          <w:highlight w:val="none"/>
          <w:lang w:bidi="ar"/>
        </w:rPr>
        <w:t>要求允许负偏离的条款数详见“供应商须知前附表”。</w:t>
      </w:r>
    </w:p>
    <w:p w14:paraId="7DD1181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26.4 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2F331D70">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26.5 电子交易活动的中止。采购过程中出现以下情形，导致电子交易平台无法正常运行，或者无法保证电子交易的公平、公正和安全时，采购机构可中止电子交易活动：</w:t>
      </w:r>
    </w:p>
    <w:p w14:paraId="3973ECDA">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（1）电子交易平台发生故障而无法登录访问的；</w:t>
      </w:r>
    </w:p>
    <w:p w14:paraId="3833C7F7">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（2）电子交易平台应用或数据库出现错误，不能进行正常操作的；</w:t>
      </w:r>
    </w:p>
    <w:p w14:paraId="71BFC862">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（3）电子交易平台发现严重安全漏洞，有潜在泄密危险的；</w:t>
      </w:r>
    </w:p>
    <w:p w14:paraId="57A05F48">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（4）病毒发作导致不能进行正常操作的；</w:t>
      </w:r>
    </w:p>
    <w:p w14:paraId="29087F6B">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（5）其他无法保证电子交易的公平、公正和安全的情况。</w:t>
      </w:r>
    </w:p>
    <w:p w14:paraId="1A74BDA5">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36B70ACA">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27. 确定成交供应商及结果公告</w:t>
      </w:r>
    </w:p>
    <w:p w14:paraId="109277AA">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AEAAAA4">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号）及《广西壮族自治区财政厅关于贯彻落实政府采购支持中小企业发展政策的通知》（桂财采〔2022〕31 号）规定的中小企业扶持政策的，采购人、采购代理机构应当随成交结果公开成交供应商的《中小企业声明函》。</w:t>
      </w:r>
    </w:p>
    <w:p w14:paraId="3F661A23">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27.3 出现下列情形之一的，采购人或者采购代理机构应当终止竞争性磋商采购活动，发布项目终止公告并说明原因，重新开展采购活动：</w:t>
      </w:r>
    </w:p>
    <w:p w14:paraId="5A3CAD5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（1）因情况变化，不再符合规定的竞争性磋商采购方式适用情形的；</w:t>
      </w:r>
    </w:p>
    <w:p w14:paraId="720E5F06">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（2）出现影响采购公正的违法、违规行为的；</w:t>
      </w:r>
    </w:p>
    <w:p w14:paraId="497B840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（3）除“第四章 评审程序、评审方法和评审标准”第 4.3 条规定的情形外，在采购过程中符合要求的供应商或者报价未超过采购预算的供应商不足 3 家的。</w:t>
      </w:r>
    </w:p>
    <w:p w14:paraId="08338593">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27.4 在采购活动中因重大变故，采购任务取消的，采购人或者采购代理机构应当终止采购活动，通知所有参加采购活动的供应商，并将项目实施情况和采购任务取消原因报送本级财政部门。</w:t>
      </w:r>
    </w:p>
    <w:p w14:paraId="4A7CBCB2">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28. 履约保证金（不收取履约保证金的本款不适用）</w:t>
      </w:r>
    </w:p>
    <w:p w14:paraId="24AB9B72">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28.1 履约保证金的金额、提交方式、退付的时间和条件详见 “供应商须知前附表”。成交供应商未按规定提交履约保证金的，视为拒绝与采购人签订合同，采购人可以按照评审报告推荐的成交候选人名单排序，确定下一候选人为成交供应商，也可以重新开展政府采购活动。</w:t>
      </w:r>
    </w:p>
    <w:p w14:paraId="3EB69715">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28.2 签订合同后，如成交供应商不按双方签订的合同规定履约，则没收其全部履约保证金，履约保证金不足以赔偿损失的，按实际损失赔偿。</w:t>
      </w:r>
    </w:p>
    <w:p w14:paraId="2595E11C">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28.3 在履约保证金退还日期前，若成交供应商的开户名称、开户银行、账号有变动的，请以书面形式通知履约保证金收取单位，否则由此产生的后果由成交供应商自行承担。</w:t>
      </w:r>
    </w:p>
    <w:p w14:paraId="1FD14DBF">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29. 签订合同</w:t>
      </w:r>
    </w:p>
    <w:p w14:paraId="70DDDCA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29.1 签订电子采购合同：成交供应商领取电子成交通知书后，在规定的日期、时间、地点，由法定代表人或其授权代表与采购人代表签订电子采购合同。如成交供应商为联合体的，由联合体成员各方法定代表人或其授权代表与采购人代表签订合同。</w:t>
      </w:r>
    </w:p>
    <w:p w14:paraId="6B4EC80A">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线下签订纸质合同：供应商领取成交通知书后，按“供应商须知前附表”规定向采购人出示相关证明材料，经采购人核验合格后方可签订合同。</w:t>
      </w:r>
    </w:p>
    <w:p w14:paraId="6E9FF050">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29.2 签订合同时间：自成交通知书发出之日起</w:t>
      </w: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5日内签订完毕。</w:t>
      </w:r>
    </w:p>
    <w:p w14:paraId="28BC73FE">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29.3 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1978664C">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29.4 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3C1562C9">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29.5 采购人或成交供应商不得单方面向合同另一方提出任何磋商文件没有约定的条件或不合理的要求，作为签订合同的条件；也不得协商另行订立背离磋商文件和合同实质性内容的协议。</w:t>
      </w:r>
    </w:p>
    <w:p w14:paraId="2CF2439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29.6 如签订合同并生效后，供应商无故拒绝或延期，除按照合同条款处理外，将承担相应的法律责任。</w:t>
      </w:r>
    </w:p>
    <w:p w14:paraId="6462557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29.7 政府采购合同履行中，采购人需追加与合同标的相同的货物、工程或者服务的，在不改变合同其他条款的前提下，可以与供应商协商签订补充合同，但所有补充合同的采购金额不得超过原合同采购金额的10%。</w:t>
      </w:r>
    </w:p>
    <w:p w14:paraId="28317FC7">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30. 政府采购合同公告</w:t>
      </w:r>
    </w:p>
    <w:p w14:paraId="461BD8D0">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根据《中华人民共和国政府采购法实施条例》第五十条规定，采购人应当自政府采购合同签订之日起 2 个工作日内，将政府采购合同在省级以上人民政府财政部门指定的媒体上公告，但政府采购合同中涉及国家秘密、商业秘密的内容除外。</w:t>
      </w:r>
    </w:p>
    <w:p w14:paraId="0AFAF14A">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31. 询问、质疑和投诉</w:t>
      </w:r>
    </w:p>
    <w:p w14:paraId="3ADE4900">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31.1 供应商对政府采购活动事项有疑问的，可以向采购人、采购代理机构提出询问，采购人或者采购代理机构应当在 3 个工作日内对供应商依法提出的询问作出答复。</w:t>
      </w:r>
    </w:p>
    <w:p w14:paraId="48283088">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31.2 供应商认为磋商文件、采购过程或者成交结果使自己的合法权益受到损害的，应当在知道或者应知其权益受到损害之日起 7 个工作日内，以书面形式向采购人、采购代理机构提出质疑，</w:t>
      </w:r>
      <w:r>
        <w:rPr>
          <w:rFonts w:hint="eastAsia" w:ascii="宋体" w:hAnsi="宋体" w:cs="宋体"/>
          <w:color w:val="auto"/>
          <w:szCs w:val="21"/>
          <w:highlight w:val="none"/>
          <w:shd w:val="clear" w:color="auto" w:fill="FFFFFF"/>
          <w:lang w:bidi="ar"/>
        </w:rPr>
        <w:t>接收质疑函的方式、联系部门、联系电话和通讯地址等信息详见</w:t>
      </w:r>
      <w:r>
        <w:rPr>
          <w:rFonts w:hint="eastAsia" w:ascii="宋体" w:hAnsi="宋体" w:cs="宋体"/>
          <w:color w:val="auto"/>
          <w:szCs w:val="21"/>
          <w:highlight w:val="none"/>
          <w:lang w:bidi="ar"/>
        </w:rPr>
        <w:t>“供应商须知前附表”。具体质疑起算时间如下：</w:t>
      </w:r>
    </w:p>
    <w:p w14:paraId="2159464B">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（1）对可以质疑的磋商文件提出质疑的，为收到磋商文件之日或者竞争性磋商公告期限届满之日；</w:t>
      </w:r>
    </w:p>
    <w:p w14:paraId="171B03AC">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（2）对采购过程提出质疑的，为各采购程序环节结束之日；</w:t>
      </w:r>
    </w:p>
    <w:p w14:paraId="0355384E">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（3）对成交结果提出质疑的，为成交结果公告期限届满之日。</w:t>
      </w:r>
    </w:p>
    <w:p w14:paraId="225D5986">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31.3 供应商提出的询问或者质疑超出采购人对采购代理机构委托授权范围的，采购代理机构应当告知供应商向采购人提出。政府采购评审专家应当配合采购人或者采购代理机构答复供应商的询问和质疑。</w:t>
      </w:r>
    </w:p>
    <w:p w14:paraId="02BD5FDE">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szCs w:val="21"/>
          <w:highlight w:val="none"/>
          <w:lang w:bidi="ar"/>
        </w:rPr>
        <w:t>（质疑函格式后附）</w:t>
      </w:r>
      <w:r>
        <w:rPr>
          <w:rFonts w:hint="eastAsia" w:ascii="宋体" w:hAnsi="宋体" w:cs="宋体"/>
          <w:color w:val="auto"/>
          <w:szCs w:val="21"/>
          <w:highlight w:val="none"/>
          <w:lang w:bidi="ar"/>
        </w:rPr>
        <w:t>：</w:t>
      </w:r>
    </w:p>
    <w:p w14:paraId="29DE1660">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（1）供应商的姓名或者名称、地址、邮编、联系人及联系电话；</w:t>
      </w:r>
    </w:p>
    <w:p w14:paraId="15B3E50C">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（2）质疑项目的名称、编号；</w:t>
      </w:r>
    </w:p>
    <w:p w14:paraId="067B5792">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（3）具体、明确的质疑事项和与质疑事项相关的请求；</w:t>
      </w:r>
    </w:p>
    <w:p w14:paraId="6CF6713F">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（4）事实依据；</w:t>
      </w:r>
    </w:p>
    <w:p w14:paraId="0E5E9CCA">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（5）必要的法律依据；</w:t>
      </w:r>
    </w:p>
    <w:p w14:paraId="0B90060C">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（6）提出质疑的日期。</w:t>
      </w:r>
    </w:p>
    <w:p w14:paraId="6D5AC7BF">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供应商为自然人的，应当由本人签字；供应商为法人或者其他组织的，应当由法定代表人、主要负责人，或者其委托代理人签字或者盖章，并加盖公章。</w:t>
      </w:r>
    </w:p>
    <w:p w14:paraId="5AB6F33D">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31.5 采购人、采购代理机构认为供应商质疑不成立，或者成立但未对成交结果构成影响的，继续开展采购活动；认为供应商质疑成立且影响或者可能影响成交结果的，按照下列情况处理：</w:t>
      </w:r>
    </w:p>
    <w:p w14:paraId="5395C57B">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（一）对采购文件提出的质疑，依法通过澄清或者修改可以继续开展采购活动的，澄清或者修改采购文件后继续开展采购活动；否则应当修改采购文件后重新开展采购活动。</w:t>
      </w:r>
    </w:p>
    <w:p w14:paraId="650B1323">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（二）对采购过程或者成交结果提出的质疑，合格供应商符合法定数量时，可以从合格的成交候选人中另行确定成交供应商的，应当依法另行确定成交供应商；否则应当重新开展采购活动。</w:t>
      </w:r>
    </w:p>
    <w:p w14:paraId="6D211E33">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质疑答复导致成交结果改变的，采购人或者采购代理机构应当将有关情况书面报告本级财政部门。</w:t>
      </w:r>
    </w:p>
    <w:p w14:paraId="3636745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31.6 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50AABCE5">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32. 其他内容</w:t>
      </w:r>
    </w:p>
    <w:p w14:paraId="3DB79DD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32.1 代理服务收费标准及缴费账户详见“供应商须知前附表”，供应商为联合体的，可以由联合体中的一方或者多方共同缴纳代理服务费。</w:t>
      </w:r>
    </w:p>
    <w:p w14:paraId="5EFB867B">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32.2 代理服务费收费计算标准：</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47"/>
        <w:gridCol w:w="1836"/>
        <w:gridCol w:w="1696"/>
        <w:gridCol w:w="1712"/>
      </w:tblGrid>
      <w:tr w14:paraId="39CDC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l2br w:val="single" w:color="auto" w:sz="4" w:space="0"/>
            </w:tcBorders>
            <w:shd w:val="clear" w:color="auto" w:fill="auto"/>
          </w:tcPr>
          <w:p w14:paraId="225E26E7">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 xml:space="preserve">                              费率</w:t>
            </w:r>
          </w:p>
          <w:p w14:paraId="52780509">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金额</w:t>
            </w:r>
          </w:p>
        </w:tc>
        <w:tc>
          <w:tcPr>
            <w:tcW w:w="1009" w:type="pct"/>
            <w:tcBorders>
              <w:top w:val="single" w:color="auto" w:sz="4" w:space="0"/>
              <w:left w:val="single" w:color="auto" w:sz="4" w:space="0"/>
              <w:bottom w:val="single" w:color="auto" w:sz="4" w:space="0"/>
              <w:right w:val="single" w:color="auto" w:sz="4" w:space="0"/>
            </w:tcBorders>
            <w:shd w:val="clear" w:color="auto" w:fill="auto"/>
            <w:vAlign w:val="center"/>
          </w:tcPr>
          <w:p w14:paraId="58DE90E4">
            <w:pPr>
              <w:autoSpaceDE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货物类</w:t>
            </w:r>
          </w:p>
        </w:tc>
        <w:tc>
          <w:tcPr>
            <w:tcW w:w="932" w:type="pct"/>
            <w:tcBorders>
              <w:top w:val="single" w:color="auto" w:sz="4" w:space="0"/>
              <w:left w:val="single" w:color="auto" w:sz="4" w:space="0"/>
              <w:bottom w:val="single" w:color="auto" w:sz="4" w:space="0"/>
              <w:right w:val="single" w:color="auto" w:sz="4" w:space="0"/>
            </w:tcBorders>
            <w:shd w:val="clear" w:color="auto" w:fill="auto"/>
            <w:vAlign w:val="center"/>
          </w:tcPr>
          <w:p w14:paraId="52CE2143">
            <w:pPr>
              <w:autoSpaceDE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服务类</w:t>
            </w:r>
          </w:p>
        </w:tc>
        <w:tc>
          <w:tcPr>
            <w:tcW w:w="941" w:type="pct"/>
            <w:tcBorders>
              <w:top w:val="single" w:color="auto" w:sz="4" w:space="0"/>
              <w:left w:val="single" w:color="auto" w:sz="4" w:space="0"/>
              <w:bottom w:val="single" w:color="auto" w:sz="4" w:space="0"/>
              <w:right w:val="single" w:color="auto" w:sz="4" w:space="0"/>
            </w:tcBorders>
            <w:shd w:val="clear" w:color="auto" w:fill="auto"/>
            <w:vAlign w:val="center"/>
          </w:tcPr>
          <w:p w14:paraId="2F449BD2">
            <w:pPr>
              <w:autoSpaceDE w:val="0"/>
              <w:spacing w:line="360" w:lineRule="auto"/>
              <w:jc w:val="center"/>
              <w:rPr>
                <w:rFonts w:ascii="宋体" w:hAnsi="宋体" w:cs="宋体"/>
                <w:color w:val="auto"/>
                <w:szCs w:val="21"/>
                <w:highlight w:val="none"/>
              </w:rPr>
            </w:pPr>
            <w:r>
              <w:rPr>
                <w:rFonts w:hint="eastAsia" w:ascii="宋体" w:hAnsi="宋体" w:cs="宋体"/>
                <w:color w:val="auto"/>
                <w:szCs w:val="21"/>
                <w:highlight w:val="none"/>
                <w:lang w:bidi="ar"/>
              </w:rPr>
              <w:t>工程类</w:t>
            </w:r>
          </w:p>
        </w:tc>
      </w:tr>
      <w:tr w14:paraId="73A92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7B5EF55F">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100万元以下</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5041FCFA">
            <w:pPr>
              <w:autoSpaceDE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7E00580C">
            <w:pPr>
              <w:autoSpaceDE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1.5%</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7B3C26C2">
            <w:pPr>
              <w:autoSpaceDE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1.0%</w:t>
            </w:r>
          </w:p>
        </w:tc>
      </w:tr>
      <w:tr w14:paraId="1A0AD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72969C8D">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100</w:t>
            </w:r>
            <w:r>
              <w:rPr>
                <w:rFonts w:hint="eastAsia" w:ascii="宋体" w:hAnsi="宋体" w:cs="宋体"/>
                <w:color w:val="auto"/>
                <w:szCs w:val="21"/>
                <w:highlight w:val="none"/>
                <w:lang w:eastAsia="zh-CN" w:bidi="ar"/>
              </w:rPr>
              <w:t>万</w:t>
            </w:r>
            <w:r>
              <w:rPr>
                <w:rFonts w:hint="eastAsia" w:ascii="宋体" w:hAnsi="宋体" w:cs="宋体"/>
                <w:color w:val="auto"/>
                <w:szCs w:val="21"/>
                <w:highlight w:val="none"/>
                <w:lang w:bidi="ar"/>
              </w:rPr>
              <w:t>～500万元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39D5FCD3">
            <w:pPr>
              <w:autoSpaceDE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1.1%</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6D5A2F38">
            <w:pPr>
              <w:autoSpaceDE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0.8%</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3B493A54">
            <w:pPr>
              <w:autoSpaceDE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0.7%</w:t>
            </w:r>
          </w:p>
        </w:tc>
      </w:tr>
      <w:tr w14:paraId="3A1EB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6CD933BD">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500</w:t>
            </w:r>
            <w:r>
              <w:rPr>
                <w:rFonts w:hint="eastAsia" w:ascii="宋体" w:hAnsi="宋体" w:cs="宋体"/>
                <w:color w:val="auto"/>
                <w:szCs w:val="21"/>
                <w:highlight w:val="none"/>
                <w:lang w:eastAsia="zh-CN" w:bidi="ar"/>
              </w:rPr>
              <w:t>万</w:t>
            </w:r>
            <w:r>
              <w:rPr>
                <w:rFonts w:hint="eastAsia" w:ascii="宋体" w:hAnsi="宋体" w:cs="宋体"/>
                <w:color w:val="auto"/>
                <w:szCs w:val="21"/>
                <w:highlight w:val="none"/>
                <w:lang w:bidi="ar"/>
              </w:rPr>
              <w:t>～1000万元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357F793A">
            <w:pPr>
              <w:autoSpaceDE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0.8%</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63DC6EFB">
            <w:pPr>
              <w:autoSpaceDE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0.45%</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686CC1AE">
            <w:pPr>
              <w:autoSpaceDE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0.55%</w:t>
            </w:r>
          </w:p>
        </w:tc>
      </w:tr>
      <w:tr w14:paraId="77DE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085AD7E3">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1000</w:t>
            </w:r>
            <w:r>
              <w:rPr>
                <w:rFonts w:hint="eastAsia" w:ascii="宋体" w:hAnsi="宋体" w:cs="宋体"/>
                <w:color w:val="auto"/>
                <w:szCs w:val="21"/>
                <w:highlight w:val="none"/>
                <w:lang w:eastAsia="zh-CN" w:bidi="ar"/>
              </w:rPr>
              <w:t>万</w:t>
            </w:r>
            <w:r>
              <w:rPr>
                <w:rFonts w:hint="eastAsia" w:ascii="宋体" w:hAnsi="宋体" w:cs="宋体"/>
                <w:color w:val="auto"/>
                <w:szCs w:val="21"/>
                <w:highlight w:val="none"/>
                <w:lang w:bidi="ar"/>
              </w:rPr>
              <w:t>～5000万元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3046053C">
            <w:pPr>
              <w:autoSpaceDE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0.5%</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28603343">
            <w:pPr>
              <w:autoSpaceDE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0.25%</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09911A21">
            <w:pPr>
              <w:autoSpaceDE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0.35%</w:t>
            </w:r>
          </w:p>
        </w:tc>
      </w:tr>
      <w:tr w14:paraId="3DCC8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14BFAA86">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5000万元～1亿元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3D39E392">
            <w:pPr>
              <w:autoSpaceDE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0.25%</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0DD2AA39">
            <w:pPr>
              <w:autoSpaceDE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0.1%</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420A1890">
            <w:pPr>
              <w:autoSpaceDE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0.2%</w:t>
            </w:r>
          </w:p>
        </w:tc>
      </w:tr>
      <w:tr w14:paraId="53D2F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1B0FE257">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eastAsia="zh-CN" w:bidi="ar"/>
              </w:rPr>
              <w:t>1亿～5亿</w:t>
            </w:r>
            <w:r>
              <w:rPr>
                <w:rFonts w:hint="eastAsia" w:ascii="宋体" w:hAnsi="宋体" w:cs="宋体"/>
                <w:color w:val="auto"/>
                <w:szCs w:val="21"/>
                <w:highlight w:val="none"/>
                <w:lang w:bidi="ar"/>
              </w:rPr>
              <w:t>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4329DC81">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0.05%</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69542AF2">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0.05%</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0351F269">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0.05%</w:t>
            </w:r>
          </w:p>
        </w:tc>
      </w:tr>
      <w:tr w14:paraId="65182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026BA4EB">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eastAsia="zh-CN" w:bidi="ar"/>
              </w:rPr>
              <w:t>5亿～10亿</w:t>
            </w:r>
            <w:r>
              <w:rPr>
                <w:rFonts w:hint="eastAsia" w:ascii="宋体" w:hAnsi="宋体" w:cs="宋体"/>
                <w:color w:val="auto"/>
                <w:szCs w:val="21"/>
                <w:highlight w:val="none"/>
                <w:lang w:bidi="ar"/>
              </w:rPr>
              <w:t>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29678046">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0.035%</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0A007B26">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0.035%</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4A5E98E0">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0.035%</w:t>
            </w:r>
          </w:p>
        </w:tc>
      </w:tr>
      <w:tr w14:paraId="5034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04E9B376">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eastAsia="zh-CN" w:bidi="ar"/>
              </w:rPr>
              <w:t>10亿～50亿</w:t>
            </w:r>
            <w:r>
              <w:rPr>
                <w:rFonts w:hint="eastAsia" w:ascii="宋体" w:hAnsi="宋体" w:cs="宋体"/>
                <w:color w:val="auto"/>
                <w:szCs w:val="21"/>
                <w:highlight w:val="none"/>
                <w:lang w:bidi="ar"/>
              </w:rPr>
              <w:t>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66B80154">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0.008%</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2EB445E0">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0.008%</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4C84B19A">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0.008%</w:t>
            </w:r>
          </w:p>
        </w:tc>
      </w:tr>
      <w:tr w14:paraId="3202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4507BE84">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eastAsia="zh-CN" w:bidi="ar"/>
              </w:rPr>
              <w:t>50亿～100亿</w:t>
            </w:r>
            <w:r>
              <w:rPr>
                <w:rFonts w:hint="eastAsia" w:ascii="宋体" w:hAnsi="宋体" w:cs="宋体"/>
                <w:color w:val="auto"/>
                <w:szCs w:val="21"/>
                <w:highlight w:val="none"/>
                <w:lang w:bidi="ar"/>
              </w:rPr>
              <w:t>元</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65F91485">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0.006%</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437793FB">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0.006%</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25FA05B9">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0.006%</w:t>
            </w:r>
          </w:p>
        </w:tc>
      </w:tr>
      <w:tr w14:paraId="546E3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4" w:type="pct"/>
            <w:tcBorders>
              <w:top w:val="single" w:color="auto" w:sz="4" w:space="0"/>
              <w:left w:val="single" w:color="auto" w:sz="4" w:space="0"/>
              <w:bottom w:val="single" w:color="auto" w:sz="4" w:space="0"/>
              <w:right w:val="single" w:color="auto" w:sz="4" w:space="0"/>
            </w:tcBorders>
            <w:shd w:val="clear" w:color="auto" w:fill="auto"/>
          </w:tcPr>
          <w:p w14:paraId="2C82C1FD">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100亿</w:t>
            </w:r>
            <w:r>
              <w:rPr>
                <w:rFonts w:hint="eastAsia" w:ascii="宋体" w:hAnsi="宋体" w:cs="宋体"/>
                <w:color w:val="auto"/>
                <w:szCs w:val="21"/>
                <w:highlight w:val="none"/>
                <w:lang w:eastAsia="zh-CN" w:bidi="ar"/>
              </w:rPr>
              <w:t>元</w:t>
            </w:r>
            <w:r>
              <w:rPr>
                <w:rFonts w:hint="eastAsia" w:ascii="宋体" w:hAnsi="宋体" w:cs="宋体"/>
                <w:color w:val="auto"/>
                <w:szCs w:val="21"/>
                <w:highlight w:val="none"/>
                <w:lang w:bidi="ar"/>
              </w:rPr>
              <w:t>以上</w:t>
            </w:r>
          </w:p>
        </w:tc>
        <w:tc>
          <w:tcPr>
            <w:tcW w:w="1009" w:type="pct"/>
            <w:tcBorders>
              <w:top w:val="single" w:color="auto" w:sz="4" w:space="0"/>
              <w:left w:val="single" w:color="auto" w:sz="4" w:space="0"/>
              <w:bottom w:val="single" w:color="auto" w:sz="4" w:space="0"/>
              <w:right w:val="single" w:color="auto" w:sz="4" w:space="0"/>
            </w:tcBorders>
            <w:shd w:val="clear" w:color="auto" w:fill="auto"/>
          </w:tcPr>
          <w:p w14:paraId="6A36D682">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0.004%</w:t>
            </w:r>
          </w:p>
        </w:tc>
        <w:tc>
          <w:tcPr>
            <w:tcW w:w="932" w:type="pct"/>
            <w:tcBorders>
              <w:top w:val="single" w:color="auto" w:sz="4" w:space="0"/>
              <w:left w:val="single" w:color="auto" w:sz="4" w:space="0"/>
              <w:bottom w:val="single" w:color="auto" w:sz="4" w:space="0"/>
              <w:right w:val="single" w:color="auto" w:sz="4" w:space="0"/>
            </w:tcBorders>
            <w:shd w:val="clear" w:color="auto" w:fill="auto"/>
          </w:tcPr>
          <w:p w14:paraId="1DE97B72">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0.004%</w:t>
            </w:r>
          </w:p>
        </w:tc>
        <w:tc>
          <w:tcPr>
            <w:tcW w:w="941" w:type="pct"/>
            <w:tcBorders>
              <w:top w:val="single" w:color="auto" w:sz="4" w:space="0"/>
              <w:left w:val="single" w:color="auto" w:sz="4" w:space="0"/>
              <w:bottom w:val="single" w:color="auto" w:sz="4" w:space="0"/>
              <w:right w:val="single" w:color="auto" w:sz="4" w:space="0"/>
            </w:tcBorders>
            <w:shd w:val="clear" w:color="auto" w:fill="auto"/>
          </w:tcPr>
          <w:p w14:paraId="0F475E60">
            <w:pPr>
              <w:autoSpaceDE w:val="0"/>
              <w:spacing w:line="360" w:lineRule="auto"/>
              <w:rPr>
                <w:rFonts w:ascii="宋体" w:hAnsi="宋体" w:cs="宋体"/>
                <w:color w:val="auto"/>
                <w:szCs w:val="21"/>
                <w:highlight w:val="none"/>
              </w:rPr>
            </w:pPr>
            <w:r>
              <w:rPr>
                <w:rFonts w:hint="eastAsia" w:ascii="宋体" w:hAnsi="宋体" w:cs="宋体"/>
                <w:color w:val="auto"/>
                <w:szCs w:val="21"/>
                <w:highlight w:val="none"/>
                <w:lang w:bidi="ar"/>
              </w:rPr>
              <w:t>0.004%</w:t>
            </w:r>
          </w:p>
        </w:tc>
      </w:tr>
    </w:tbl>
    <w:p w14:paraId="5C68465D">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注：</w:t>
      </w:r>
    </w:p>
    <w:p w14:paraId="5513137D">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（1）按本表费率计算的收费为采购代理的收费基准价格；</w:t>
      </w:r>
    </w:p>
    <w:p w14:paraId="00F73F90">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（2）采购代理收费按差额定率累进法计算。</w:t>
      </w:r>
    </w:p>
    <w:p w14:paraId="59B692FA">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例如：某服务采购代理业务成交金额或者暂定价为 150 万元，计算采购代理收费额如下：</w:t>
      </w:r>
    </w:p>
    <w:p w14:paraId="03F26750">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100万元×l.5％＝1.5万元</w:t>
      </w:r>
    </w:p>
    <w:p w14:paraId="423C3595">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（150－100）万元×0.8％＝0.4万元</w:t>
      </w:r>
    </w:p>
    <w:p w14:paraId="78A04876">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合计收费＝1.5＋0.4＝1.9万元</w:t>
      </w:r>
    </w:p>
    <w:p w14:paraId="6FBAE8EF">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33. 需要补充的其他内容</w:t>
      </w:r>
    </w:p>
    <w:p w14:paraId="29675546">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33.1 本磋商文件解释规则详见“供应商须知前附表”。</w:t>
      </w:r>
    </w:p>
    <w:p w14:paraId="76674336">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33.2 其他事项详见“供应商须知前附表”。</w:t>
      </w:r>
    </w:p>
    <w:p w14:paraId="0815C25A">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33.3 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4330C196">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（1）在货物采购项目中，货物由中小企业制造，即货物由中小企业生产且使用该中小企业商号或者注册商标，不对其中涉及的工程承建商和服务的承接商作出要求；</w:t>
      </w:r>
    </w:p>
    <w:p w14:paraId="40CE2AB9">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（2）在工程采购项目中，工程由中小企业承建，即工程施工单位为中小企业，不对其中涉及的货物的制造商和服务的承接商作出要求；</w:t>
      </w:r>
    </w:p>
    <w:p w14:paraId="7BDB6BE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（3）在服务采购项目中，服务由中小企业承接，即提供服务的人员为中小企业依照《中华人民共和国劳动合同法》订立劳动合同的从业人员，不对其中涉及的货物的制造商和工程承建商作出要求。</w:t>
      </w:r>
    </w:p>
    <w:p w14:paraId="51CE51E1">
      <w:pPr>
        <w:autoSpaceDE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bidi="ar"/>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67F0AF72">
      <w:pPr>
        <w:autoSpaceDE w:val="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lang w:bidi="ar"/>
        </w:rPr>
        <w:t>依据本磋商文件规定享受扶持政策获得政府采购合同的，小微企业不得将合同分包给大中型企业，中型企业不得将合同分包给大型企业。</w:t>
      </w:r>
    </w:p>
    <w:p w14:paraId="055F6154">
      <w:pPr>
        <w:pStyle w:val="4"/>
        <w:jc w:val="center"/>
        <w:rPr>
          <w:rFonts w:ascii="宋体" w:hAnsi="宋体" w:cs="宋体"/>
          <w:color w:val="auto"/>
          <w:highlight w:val="none"/>
        </w:rPr>
      </w:pPr>
      <w:r>
        <w:rPr>
          <w:rFonts w:hint="eastAsia" w:ascii="宋体" w:hAnsi="宋体" w:cs="宋体"/>
          <w:b w:val="0"/>
          <w:color w:val="auto"/>
          <w:highlight w:val="none"/>
        </w:rPr>
        <w:br w:type="page"/>
      </w:r>
      <w:bookmarkStart w:id="50" w:name="_Toc28824"/>
      <w:r>
        <w:rPr>
          <w:rFonts w:hint="eastAsia" w:ascii="宋体" w:hAnsi="宋体" w:cs="宋体"/>
          <w:color w:val="auto"/>
          <w:highlight w:val="none"/>
        </w:rPr>
        <w:t>第三章 采购需求</w:t>
      </w:r>
      <w:bookmarkEnd w:id="50"/>
    </w:p>
    <w:p w14:paraId="31B8AD6C">
      <w:pPr>
        <w:spacing w:line="360" w:lineRule="auto"/>
        <w:rPr>
          <w:rFonts w:ascii="宋体" w:hAnsi="宋体" w:cs="宋体"/>
          <w:bCs/>
          <w:color w:val="auto"/>
          <w:szCs w:val="21"/>
          <w:highlight w:val="none"/>
        </w:rPr>
      </w:pPr>
      <w:r>
        <w:rPr>
          <w:rFonts w:hint="eastAsia" w:ascii="宋体" w:hAnsi="宋体" w:cs="宋体"/>
          <w:bCs/>
          <w:color w:val="auto"/>
          <w:szCs w:val="21"/>
          <w:highlight w:val="none"/>
        </w:rPr>
        <w:t>说明：</w:t>
      </w:r>
    </w:p>
    <w:p w14:paraId="31D792E9">
      <w:pPr>
        <w:spacing w:line="360" w:lineRule="auto"/>
        <w:ind w:firstLine="420" w:firstLineChars="200"/>
        <w:contextualSpacing/>
        <w:jc w:val="left"/>
        <w:rPr>
          <w:rFonts w:ascii="宋体" w:hAnsi="宋体" w:cs="宋体"/>
          <w:bCs/>
          <w:color w:val="auto"/>
          <w:szCs w:val="21"/>
          <w:highlight w:val="none"/>
        </w:rPr>
      </w:pPr>
      <w:r>
        <w:rPr>
          <w:rFonts w:hint="eastAsia" w:ascii="宋体" w:hAnsi="宋体" w:cs="宋体"/>
          <w:bCs/>
          <w:color w:val="auto"/>
          <w:szCs w:val="21"/>
          <w:highlight w:val="none"/>
        </w:rPr>
        <w:t>1.为落实政府采购政策需满足的要求：</w:t>
      </w:r>
    </w:p>
    <w:p w14:paraId="2FACEAA8">
      <w:pPr>
        <w:spacing w:line="360" w:lineRule="auto"/>
        <w:ind w:firstLine="420" w:firstLineChars="200"/>
        <w:contextualSpacing/>
        <w:jc w:val="left"/>
        <w:rPr>
          <w:rFonts w:ascii="宋体" w:hAnsi="宋体" w:cs="宋体"/>
          <w:bCs/>
          <w:color w:val="auto"/>
          <w:szCs w:val="21"/>
          <w:highlight w:val="none"/>
        </w:rPr>
      </w:pPr>
      <w:r>
        <w:rPr>
          <w:rFonts w:hint="eastAsia" w:ascii="宋体" w:hAnsi="宋体" w:cs="宋体"/>
          <w:bCs/>
          <w:color w:val="auto"/>
          <w:szCs w:val="21"/>
          <w:highlight w:val="none"/>
        </w:rPr>
        <w:t>（1）本采购文件所称中小企业必须符合《政府采购促进中小企业发展管理办法》（财库〔2020〕46 号）的规定。</w:t>
      </w:r>
    </w:p>
    <w:p w14:paraId="66E821AF">
      <w:pPr>
        <w:spacing w:line="360" w:lineRule="auto"/>
        <w:ind w:firstLine="420" w:firstLineChars="200"/>
        <w:contextualSpacing/>
        <w:jc w:val="left"/>
        <w:rPr>
          <w:rFonts w:ascii="宋体" w:hAnsi="宋体" w:cs="宋体"/>
          <w:bCs/>
          <w:color w:val="auto"/>
          <w:szCs w:val="21"/>
          <w:highlight w:val="none"/>
        </w:rPr>
      </w:pPr>
      <w:r>
        <w:rPr>
          <w:rFonts w:hint="eastAsia" w:ascii="宋体" w:hAnsi="宋体" w:cs="宋体"/>
          <w:bCs/>
          <w:color w:val="auto"/>
          <w:szCs w:val="21"/>
          <w:highlight w:val="none"/>
        </w:rPr>
        <w:t>2.“实质性要求”是指采购需求中带“▲”的条款或者不能负偏离的条款或者已经指明不满足按响应文件按无效处理的条款。</w:t>
      </w:r>
    </w:p>
    <w:p w14:paraId="678DD921">
      <w:pPr>
        <w:tabs>
          <w:tab w:val="left" w:pos="540"/>
        </w:tabs>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.本</w:t>
      </w:r>
      <w:r>
        <w:rPr>
          <w:rFonts w:hint="eastAsia" w:ascii="宋体" w:hAnsi="宋体" w:cs="宋体"/>
          <w:bCs/>
          <w:color w:val="auto"/>
          <w:szCs w:val="21"/>
          <w:highlight w:val="none"/>
          <w:lang w:val="en-US" w:eastAsia="zh-CN"/>
        </w:rPr>
        <w:t>采购需求</w:t>
      </w:r>
      <w:r>
        <w:rPr>
          <w:rFonts w:hint="eastAsia" w:ascii="宋体" w:hAnsi="宋体" w:cs="宋体"/>
          <w:bCs/>
          <w:color w:val="auto"/>
          <w:szCs w:val="21"/>
          <w:highlight w:val="none"/>
        </w:rPr>
        <w:t>一览表中内容如与第五章“合同条款及格式”相关条款不一致的，以本表为准。</w:t>
      </w:r>
    </w:p>
    <w:p w14:paraId="3F418447">
      <w:pPr>
        <w:spacing w:line="360" w:lineRule="auto"/>
        <w:ind w:firstLine="420" w:firstLineChars="200"/>
        <w:contextualSpacing/>
        <w:jc w:val="left"/>
        <w:rPr>
          <w:rFonts w:ascii="宋体" w:hAnsi="宋体" w:cs="宋体"/>
          <w:bCs/>
          <w:color w:val="auto"/>
          <w:szCs w:val="21"/>
          <w:highlight w:val="none"/>
        </w:rPr>
      </w:pP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.供应商应承诺响应文件中提供的证明材料和资质文件真实，如出现虚假应标情况，供应商除了应接受有关部门的处罚外，还应依据《中华人民共和国民法典》的相关条款来确定赔偿金额。</w:t>
      </w:r>
    </w:p>
    <w:p w14:paraId="74DBC423">
      <w:pPr>
        <w:spacing w:line="360" w:lineRule="auto"/>
        <w:ind w:firstLine="422" w:firstLineChars="200"/>
        <w:contextualSpacing/>
        <w:jc w:val="left"/>
        <w:rPr>
          <w:rFonts w:ascii="宋体" w:hAnsi="宋体" w:cs="宋体"/>
          <w:b/>
          <w:color w:val="auto"/>
          <w:szCs w:val="21"/>
          <w:highlight w:val="none"/>
        </w:rPr>
      </w:pPr>
      <w:r>
        <w:rPr>
          <w:rFonts w:hint="eastAsia" w:ascii="宋体" w:hAnsi="宋体" w:cs="宋体"/>
          <w:b/>
          <w:color w:val="auto"/>
          <w:szCs w:val="21"/>
          <w:highlight w:val="none"/>
          <w:lang w:val="en-US" w:eastAsia="zh-CN"/>
        </w:rPr>
        <w:t>5</w:t>
      </w:r>
      <w:r>
        <w:rPr>
          <w:rFonts w:hint="eastAsia" w:ascii="宋体" w:hAnsi="宋体" w:cs="宋体"/>
          <w:b/>
          <w:color w:val="auto"/>
          <w:szCs w:val="21"/>
          <w:highlight w:val="none"/>
        </w:rPr>
        <w:t>.本项目所属行业为：其他未列明行业。</w:t>
      </w:r>
    </w:p>
    <w:p w14:paraId="6C410561">
      <w:pPr>
        <w:spacing w:line="360" w:lineRule="auto"/>
        <w:ind w:firstLine="420" w:firstLineChars="200"/>
        <w:contextualSpacing/>
        <w:jc w:val="left"/>
        <w:rPr>
          <w:rFonts w:ascii="宋体" w:hAnsi="宋体" w:cs="宋体"/>
          <w:bCs/>
          <w:color w:val="auto"/>
          <w:szCs w:val="21"/>
          <w:highlight w:val="none"/>
        </w:rPr>
      </w:pPr>
    </w:p>
    <w:p w14:paraId="38A1E9FF">
      <w:pPr>
        <w:pStyle w:val="2"/>
        <w:rPr>
          <w:rFonts w:ascii="宋体" w:hAnsi="宋体" w:cs="宋体"/>
          <w:color w:val="auto"/>
          <w:highlight w:val="none"/>
        </w:rPr>
      </w:pPr>
      <w:r>
        <w:rPr>
          <w:rFonts w:hint="eastAsia" w:ascii="宋体" w:hAnsi="宋体" w:cs="宋体"/>
          <w:bCs/>
          <w:color w:val="auto"/>
          <w:szCs w:val="21"/>
          <w:highlight w:val="none"/>
        </w:rPr>
        <w:br w:type="page"/>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82"/>
        <w:gridCol w:w="1117"/>
        <w:gridCol w:w="1344"/>
        <w:gridCol w:w="690"/>
        <w:gridCol w:w="5202"/>
      </w:tblGrid>
      <w:tr w14:paraId="65A9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000" w:type="pct"/>
            <w:gridSpan w:val="5"/>
            <w:vAlign w:val="center"/>
          </w:tcPr>
          <w:p w14:paraId="7C22AEC9">
            <w:pPr>
              <w:spacing w:line="360" w:lineRule="auto"/>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w:t>
            </w:r>
            <w:r>
              <w:rPr>
                <w:rFonts w:hint="eastAsia" w:ascii="宋体" w:hAnsi="宋体" w:cs="宋体"/>
                <w:b/>
                <w:color w:val="auto"/>
                <w:szCs w:val="21"/>
                <w:highlight w:val="none"/>
              </w:rPr>
              <w:br w:type="page"/>
            </w:r>
            <w:r>
              <w:rPr>
                <w:rFonts w:hint="eastAsia" w:ascii="宋体" w:hAnsi="宋体" w:cs="宋体"/>
                <w:b/>
                <w:color w:val="auto"/>
                <w:szCs w:val="21"/>
                <w:highlight w:val="none"/>
              </w:rPr>
              <w:t>一、</w:t>
            </w:r>
            <w:r>
              <w:rPr>
                <w:rFonts w:hint="eastAsia" w:ascii="宋体" w:hAnsi="宋体" w:cs="宋体"/>
                <w:b/>
                <w:color w:val="auto"/>
                <w:szCs w:val="21"/>
                <w:highlight w:val="none"/>
                <w:lang w:eastAsia="zh-CN"/>
              </w:rPr>
              <w:t>服务需求</w:t>
            </w:r>
          </w:p>
        </w:tc>
      </w:tr>
      <w:tr w14:paraId="10B3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26" w:type="pct"/>
            <w:vAlign w:val="center"/>
          </w:tcPr>
          <w:p w14:paraId="3093410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标项</w:t>
            </w:r>
          </w:p>
        </w:tc>
        <w:tc>
          <w:tcPr>
            <w:tcW w:w="625" w:type="pct"/>
            <w:vAlign w:val="center"/>
          </w:tcPr>
          <w:p w14:paraId="50B2B7E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服务名称</w:t>
            </w:r>
          </w:p>
        </w:tc>
        <w:tc>
          <w:tcPr>
            <w:tcW w:w="752" w:type="pct"/>
            <w:vAlign w:val="center"/>
          </w:tcPr>
          <w:p w14:paraId="0EDF35A8">
            <w:pPr>
              <w:tabs>
                <w:tab w:val="left" w:pos="180"/>
                <w:tab w:val="left" w:pos="1620"/>
              </w:tabs>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单价</w:t>
            </w:r>
          </w:p>
        </w:tc>
        <w:tc>
          <w:tcPr>
            <w:tcW w:w="386" w:type="pct"/>
            <w:vAlign w:val="center"/>
          </w:tcPr>
          <w:p w14:paraId="5CD4A91B">
            <w:pPr>
              <w:tabs>
                <w:tab w:val="left" w:pos="180"/>
                <w:tab w:val="left" w:pos="1620"/>
              </w:tabs>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数量</w:t>
            </w:r>
          </w:p>
        </w:tc>
        <w:tc>
          <w:tcPr>
            <w:tcW w:w="2908" w:type="pct"/>
            <w:vAlign w:val="center"/>
          </w:tcPr>
          <w:p w14:paraId="42148175">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服务需求</w:t>
            </w:r>
          </w:p>
        </w:tc>
      </w:tr>
      <w:tr w14:paraId="28E5A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326" w:type="pct"/>
            <w:vAlign w:val="center"/>
          </w:tcPr>
          <w:p w14:paraId="0B0271C2">
            <w:pPr>
              <w:spacing w:line="360" w:lineRule="auto"/>
              <w:jc w:val="center"/>
              <w:rPr>
                <w:rFonts w:ascii="宋体" w:hAnsi="宋体" w:cs="宋体"/>
                <w:b/>
                <w:color w:val="auto"/>
                <w:szCs w:val="21"/>
                <w:highlight w:val="none"/>
              </w:rPr>
            </w:pPr>
            <w:r>
              <w:rPr>
                <w:rFonts w:hint="eastAsia" w:ascii="宋体" w:hAnsi="宋体" w:cs="宋体"/>
                <w:bCs/>
                <w:color w:val="auto"/>
                <w:szCs w:val="21"/>
                <w:highlight w:val="none"/>
              </w:rPr>
              <w:t>1</w:t>
            </w:r>
          </w:p>
        </w:tc>
        <w:tc>
          <w:tcPr>
            <w:tcW w:w="625" w:type="pct"/>
            <w:vAlign w:val="center"/>
          </w:tcPr>
          <w:p w14:paraId="17FD70D3">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2026年度</w:t>
            </w:r>
            <w:r>
              <w:rPr>
                <w:rFonts w:hint="eastAsia" w:ascii="宋体" w:hAnsi="宋体" w:cs="宋体"/>
                <w:color w:val="auto"/>
                <w:kern w:val="0"/>
                <w:szCs w:val="21"/>
                <w:highlight w:val="none"/>
                <w:lang w:eastAsia="zh-CN"/>
              </w:rPr>
              <w:t>采购流浪乞讨人员救助服务项目</w:t>
            </w:r>
          </w:p>
        </w:tc>
        <w:tc>
          <w:tcPr>
            <w:tcW w:w="752" w:type="pct"/>
            <w:vAlign w:val="center"/>
          </w:tcPr>
          <w:p w14:paraId="03F54A3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635000.00</w:t>
            </w:r>
            <w:r>
              <w:rPr>
                <w:rFonts w:hint="eastAsia" w:ascii="宋体" w:hAnsi="宋体" w:cs="宋体"/>
                <w:color w:val="auto"/>
                <w:kern w:val="0"/>
                <w:szCs w:val="21"/>
                <w:highlight w:val="none"/>
              </w:rPr>
              <w:t>元</w:t>
            </w:r>
          </w:p>
        </w:tc>
        <w:tc>
          <w:tcPr>
            <w:tcW w:w="386" w:type="pct"/>
            <w:vAlign w:val="center"/>
          </w:tcPr>
          <w:p w14:paraId="4B878A81">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908" w:type="pct"/>
            <w:vAlign w:val="center"/>
          </w:tcPr>
          <w:p w14:paraId="015E85B9">
            <w:pPr>
              <w:widowControl/>
              <w:numPr>
                <w:ilvl w:val="255"/>
                <w:numId w:val="0"/>
              </w:numPr>
              <w:spacing w:line="360" w:lineRule="auto"/>
              <w:rPr>
                <w:rFonts w:hint="eastAsia" w:ascii="宋体" w:hAnsi="宋体" w:cs="宋体"/>
                <w:b/>
                <w:bCs/>
                <w:color w:val="auto"/>
                <w:highlight w:val="none"/>
              </w:rPr>
            </w:pPr>
            <w:r>
              <w:rPr>
                <w:rFonts w:hint="eastAsia" w:ascii="宋体" w:hAnsi="宋体" w:cs="宋体"/>
                <w:b/>
                <w:bCs/>
                <w:color w:val="auto"/>
                <w:highlight w:val="none"/>
              </w:rPr>
              <w:t>（一）服务内容</w:t>
            </w:r>
          </w:p>
          <w:p w14:paraId="3BAF0A71">
            <w:pPr>
              <w:widowControl/>
              <w:numPr>
                <w:ilvl w:val="255"/>
                <w:numId w:val="0"/>
              </w:numPr>
              <w:spacing w:line="360" w:lineRule="auto"/>
              <w:rPr>
                <w:rFonts w:hint="eastAsia" w:ascii="宋体" w:hAnsi="宋体" w:cs="宋体"/>
                <w:b w:val="0"/>
                <w:bCs w:val="0"/>
                <w:color w:val="auto"/>
                <w:highlight w:val="none"/>
              </w:rPr>
            </w:pPr>
            <w:r>
              <w:rPr>
                <w:rFonts w:hint="eastAsia" w:ascii="宋体" w:hAnsi="宋体" w:cs="宋体"/>
                <w:b w:val="0"/>
                <w:bCs w:val="0"/>
                <w:color w:val="auto"/>
                <w:highlight w:val="none"/>
              </w:rPr>
              <w:t>1.</w:t>
            </w:r>
            <w:r>
              <w:rPr>
                <w:rFonts w:hint="eastAsia" w:ascii="宋体" w:hAnsi="宋体" w:cs="宋体"/>
                <w:b w:val="0"/>
                <w:bCs w:val="0"/>
                <w:color w:val="auto"/>
                <w:highlight w:val="none"/>
                <w:lang w:eastAsia="zh-CN"/>
              </w:rPr>
              <w:t>协助</w:t>
            </w:r>
            <w:r>
              <w:rPr>
                <w:rFonts w:hint="eastAsia" w:ascii="宋体" w:hAnsi="宋体" w:cs="宋体"/>
                <w:b w:val="0"/>
                <w:bCs w:val="0"/>
                <w:color w:val="auto"/>
                <w:highlight w:val="none"/>
              </w:rPr>
              <w:t>救助服务</w:t>
            </w:r>
          </w:p>
          <w:p w14:paraId="2914039D">
            <w:pPr>
              <w:widowControl/>
              <w:numPr>
                <w:ilvl w:val="255"/>
                <w:numId w:val="0"/>
              </w:numPr>
              <w:spacing w:line="360" w:lineRule="auto"/>
              <w:rPr>
                <w:rFonts w:hint="eastAsia" w:ascii="宋体" w:hAnsi="宋体" w:cs="宋体"/>
                <w:b w:val="0"/>
                <w:bCs w:val="0"/>
                <w:color w:val="auto"/>
                <w:highlight w:val="none"/>
              </w:rPr>
            </w:pPr>
            <w:r>
              <w:rPr>
                <w:rFonts w:hint="eastAsia" w:ascii="宋体" w:hAnsi="宋体" w:cs="宋体"/>
                <w:b w:val="0"/>
                <w:bCs w:val="0"/>
                <w:color w:val="auto"/>
                <w:highlight w:val="none"/>
              </w:rPr>
              <w:t>协助市救助站对城区实施街面巡查，及时发现流浪乞讨人员及流浪未成年人; 劝导、引导城区街面流浪乞讨人员到救助管理机构接受救助，并</w:t>
            </w:r>
            <w:r>
              <w:rPr>
                <w:rFonts w:hint="eastAsia" w:ascii="宋体" w:hAnsi="宋体" w:cs="宋体"/>
                <w:b w:val="0"/>
                <w:bCs w:val="0"/>
                <w:color w:val="auto"/>
                <w:highlight w:val="none"/>
                <w:lang w:eastAsia="zh-CN"/>
              </w:rPr>
              <w:t>动态更新</w:t>
            </w:r>
            <w:r>
              <w:rPr>
                <w:rFonts w:hint="eastAsia" w:ascii="宋体" w:hAnsi="宋体" w:cs="宋体"/>
                <w:b w:val="0"/>
                <w:bCs w:val="0"/>
                <w:color w:val="auto"/>
                <w:highlight w:val="none"/>
              </w:rPr>
              <w:t>城区街面流浪乞讨人员数据库；向市民群众宣传救助管理</w:t>
            </w:r>
            <w:r>
              <w:rPr>
                <w:rFonts w:hint="eastAsia" w:ascii="宋体" w:hAnsi="宋体" w:cs="宋体"/>
                <w:b w:val="0"/>
                <w:bCs w:val="0"/>
                <w:color w:val="auto"/>
                <w:highlight w:val="none"/>
                <w:lang w:eastAsia="zh-CN"/>
              </w:rPr>
              <w:t>政策</w:t>
            </w:r>
            <w:r>
              <w:rPr>
                <w:rFonts w:hint="eastAsia" w:ascii="宋体" w:hAnsi="宋体" w:cs="宋体"/>
                <w:b w:val="0"/>
                <w:bCs w:val="0"/>
                <w:color w:val="auto"/>
                <w:highlight w:val="none"/>
              </w:rPr>
              <w:t>；配合相关部门做好其他涉及流浪乞讨人员的相关工作。要求项目服务期间主动街面巡查服务次数，平均每周不少于3次或服务期间不少于150次。服务过程中需保存佐证材料，便于市救助站监管。</w:t>
            </w:r>
          </w:p>
          <w:p w14:paraId="046819D9">
            <w:pPr>
              <w:widowControl/>
              <w:numPr>
                <w:ilvl w:val="255"/>
                <w:numId w:val="0"/>
              </w:numPr>
              <w:spacing w:line="360" w:lineRule="auto"/>
              <w:rPr>
                <w:rFonts w:hint="eastAsia" w:ascii="宋体" w:hAnsi="宋体" w:cs="宋体"/>
                <w:b w:val="0"/>
                <w:bCs w:val="0"/>
                <w:color w:val="auto"/>
                <w:highlight w:val="none"/>
              </w:rPr>
            </w:pPr>
            <w:r>
              <w:rPr>
                <w:rFonts w:hint="eastAsia" w:ascii="宋体" w:hAnsi="宋体" w:cs="宋体"/>
                <w:b w:val="0"/>
                <w:bCs w:val="0"/>
                <w:color w:val="auto"/>
                <w:highlight w:val="none"/>
              </w:rPr>
              <w:t>2.站内照料服务</w:t>
            </w:r>
          </w:p>
          <w:p w14:paraId="01755DC5">
            <w:pPr>
              <w:widowControl/>
              <w:numPr>
                <w:ilvl w:val="255"/>
                <w:numId w:val="0"/>
              </w:numPr>
              <w:spacing w:line="360" w:lineRule="auto"/>
              <w:rPr>
                <w:rFonts w:hint="eastAsia" w:ascii="宋体" w:hAnsi="宋体" w:cs="宋体"/>
                <w:b w:val="0"/>
                <w:bCs w:val="0"/>
                <w:color w:val="auto"/>
                <w:highlight w:val="none"/>
              </w:rPr>
            </w:pPr>
            <w:r>
              <w:rPr>
                <w:rFonts w:hint="eastAsia" w:ascii="宋体" w:hAnsi="宋体" w:cs="宋体"/>
                <w:b w:val="0"/>
                <w:bCs w:val="0"/>
                <w:color w:val="auto"/>
                <w:highlight w:val="none"/>
              </w:rPr>
              <w:t>协助市救助站为受助人员中老弱病残、智力、精神障碍和未成年人等特殊困难救助对象提供日常生活起居等临时站内照料，以及</w:t>
            </w:r>
            <w:r>
              <w:rPr>
                <w:rFonts w:hint="eastAsia" w:ascii="宋体" w:hAnsi="宋体" w:cs="宋体"/>
                <w:b w:val="0"/>
                <w:bCs w:val="0"/>
                <w:color w:val="auto"/>
                <w:highlight w:val="none"/>
                <w:lang w:eastAsia="zh-CN"/>
              </w:rPr>
              <w:t>受</w:t>
            </w:r>
            <w:r>
              <w:rPr>
                <w:rFonts w:hint="eastAsia" w:ascii="宋体" w:hAnsi="宋体" w:cs="宋体"/>
                <w:b w:val="0"/>
                <w:bCs w:val="0"/>
                <w:color w:val="auto"/>
                <w:highlight w:val="none"/>
              </w:rPr>
              <w:t>助人员生活区域</w:t>
            </w:r>
            <w:r>
              <w:rPr>
                <w:rFonts w:hint="eastAsia" w:ascii="宋体" w:hAnsi="宋体" w:cs="宋体"/>
                <w:b w:val="0"/>
                <w:bCs w:val="0"/>
                <w:color w:val="auto"/>
                <w:highlight w:val="none"/>
                <w:lang w:eastAsia="zh-CN"/>
              </w:rPr>
              <w:t>消毒清洁</w:t>
            </w:r>
            <w:r>
              <w:rPr>
                <w:rFonts w:hint="eastAsia" w:ascii="宋体" w:hAnsi="宋体" w:cs="宋体"/>
                <w:b w:val="0"/>
                <w:bCs w:val="0"/>
                <w:color w:val="auto"/>
                <w:highlight w:val="none"/>
              </w:rPr>
              <w:t>工作。要求项目服务期间，每名受助人员站内照料服务不少于1次，站内照料人次以项目服务期间市救助站站内救助人次为准</w:t>
            </w: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公安机关、其他单位、本站主动救助、医院接回等方式直接送医救治的；其他单位转入直接护送返乡或县区民政局、救助机构申请协助护送返乡等受助人员除外，结合工作实际提供相应服务</w:t>
            </w: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rPr>
              <w:t>。服务过程中需保存佐证材料，便于市救助站监管。</w:t>
            </w:r>
          </w:p>
          <w:p w14:paraId="68A729D2">
            <w:pPr>
              <w:widowControl/>
              <w:numPr>
                <w:ilvl w:val="255"/>
                <w:numId w:val="0"/>
              </w:numPr>
              <w:spacing w:line="360" w:lineRule="auto"/>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3</w:t>
            </w:r>
            <w:r>
              <w:rPr>
                <w:rFonts w:hint="eastAsia" w:ascii="宋体" w:hAnsi="宋体" w:cs="宋体"/>
                <w:b w:val="0"/>
                <w:bCs w:val="0"/>
                <w:color w:val="auto"/>
                <w:highlight w:val="none"/>
              </w:rPr>
              <w:t>.站内</w:t>
            </w:r>
            <w:r>
              <w:rPr>
                <w:rFonts w:hint="eastAsia" w:ascii="宋体" w:hAnsi="宋体" w:cs="宋体"/>
                <w:b w:val="0"/>
                <w:bCs w:val="0"/>
                <w:color w:val="auto"/>
                <w:highlight w:val="none"/>
                <w:lang w:eastAsia="zh-CN"/>
              </w:rPr>
              <w:t>人员安全管理</w:t>
            </w:r>
            <w:r>
              <w:rPr>
                <w:rFonts w:hint="eastAsia" w:ascii="宋体" w:hAnsi="宋体" w:cs="宋体"/>
                <w:b w:val="0"/>
                <w:bCs w:val="0"/>
                <w:color w:val="auto"/>
                <w:highlight w:val="none"/>
              </w:rPr>
              <w:t>服务</w:t>
            </w:r>
          </w:p>
          <w:p w14:paraId="303F8522">
            <w:pPr>
              <w:widowControl/>
              <w:numPr>
                <w:ilvl w:val="255"/>
                <w:numId w:val="0"/>
              </w:numPr>
              <w:spacing w:line="360" w:lineRule="auto"/>
              <w:rPr>
                <w:rFonts w:hint="eastAsia" w:ascii="宋体" w:hAnsi="宋体" w:cs="宋体"/>
                <w:b w:val="0"/>
                <w:bCs w:val="0"/>
                <w:color w:val="auto"/>
                <w:highlight w:val="none"/>
              </w:rPr>
            </w:pPr>
            <w:r>
              <w:rPr>
                <w:rFonts w:hint="eastAsia" w:ascii="宋体" w:hAnsi="宋体" w:cs="宋体"/>
                <w:b w:val="0"/>
                <w:bCs w:val="0"/>
                <w:color w:val="auto"/>
                <w:highlight w:val="none"/>
                <w:lang w:eastAsia="zh-CN"/>
              </w:rPr>
              <w:t>协助市救助站做好受助人员安全管理工作，对受助人员开展安全检查，保管受助人员寄存物品，做好值班、巡逻、守护</w:t>
            </w:r>
            <w:r>
              <w:rPr>
                <w:rFonts w:hint="eastAsia" w:ascii="宋体" w:hAnsi="宋体" w:cs="宋体"/>
                <w:b w:val="0"/>
                <w:bCs w:val="0"/>
                <w:color w:val="auto"/>
                <w:highlight w:val="none"/>
              </w:rPr>
              <w:t>等</w:t>
            </w:r>
            <w:r>
              <w:rPr>
                <w:rFonts w:hint="eastAsia" w:ascii="宋体" w:hAnsi="宋体" w:cs="宋体"/>
                <w:b w:val="0"/>
                <w:bCs w:val="0"/>
                <w:color w:val="auto"/>
                <w:highlight w:val="none"/>
                <w:lang w:eastAsia="zh-CN"/>
              </w:rPr>
              <w:t>工作。要求项目服务期间，严防无关人员随意进入救助区域，对老、弱、病、残、幼等需要特殊照顾的受助人员，以及情绪不稳定的人员，进行重点关注和看护，防止其发生自伤、走失或其他意外。</w:t>
            </w:r>
          </w:p>
          <w:p w14:paraId="1B6884C6">
            <w:pPr>
              <w:widowControl/>
              <w:numPr>
                <w:ilvl w:val="255"/>
                <w:numId w:val="0"/>
              </w:numPr>
              <w:spacing w:line="360" w:lineRule="auto"/>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4</w:t>
            </w:r>
            <w:r>
              <w:rPr>
                <w:rFonts w:hint="eastAsia" w:ascii="宋体" w:hAnsi="宋体" w:cs="宋体"/>
                <w:b w:val="0"/>
                <w:bCs w:val="0"/>
                <w:color w:val="auto"/>
                <w:highlight w:val="none"/>
              </w:rPr>
              <w:t>.甄别核查服务</w:t>
            </w:r>
          </w:p>
          <w:p w14:paraId="4BB87AB9">
            <w:pPr>
              <w:widowControl/>
              <w:numPr>
                <w:ilvl w:val="255"/>
                <w:numId w:val="0"/>
              </w:numPr>
              <w:spacing w:line="360" w:lineRule="auto"/>
              <w:rPr>
                <w:rFonts w:hint="eastAsia" w:ascii="宋体" w:hAnsi="宋体" w:cs="宋体"/>
                <w:b w:val="0"/>
                <w:bCs w:val="0"/>
                <w:color w:val="auto"/>
                <w:highlight w:val="none"/>
              </w:rPr>
            </w:pPr>
            <w:r>
              <w:rPr>
                <w:rFonts w:hint="eastAsia" w:ascii="宋体" w:hAnsi="宋体" w:cs="宋体"/>
                <w:b w:val="0"/>
                <w:bCs w:val="0"/>
                <w:color w:val="auto"/>
                <w:highlight w:val="none"/>
              </w:rPr>
              <w:t>协助市救助站为受助人员联系亲属，查找核实受助人员身份信息。要求项目服务期间，为身份信息不明确的受助人员甄别核查</w:t>
            </w:r>
            <w:r>
              <w:rPr>
                <w:rFonts w:hint="eastAsia" w:ascii="宋体" w:hAnsi="宋体" w:cs="宋体"/>
                <w:b w:val="0"/>
                <w:bCs w:val="0"/>
                <w:color w:val="auto"/>
                <w:highlight w:val="none"/>
                <w:lang w:eastAsia="zh-CN"/>
              </w:rPr>
              <w:t>至少</w:t>
            </w:r>
            <w:r>
              <w:rPr>
                <w:rFonts w:hint="eastAsia" w:ascii="宋体" w:hAnsi="宋体" w:cs="宋体"/>
                <w:b w:val="0"/>
                <w:bCs w:val="0"/>
                <w:color w:val="auto"/>
                <w:highlight w:val="none"/>
              </w:rPr>
              <w:t>一次。服务过程中需保存佐证材料，便于市救助站监管。</w:t>
            </w:r>
          </w:p>
          <w:p w14:paraId="3503519A">
            <w:pPr>
              <w:widowControl/>
              <w:numPr>
                <w:ilvl w:val="255"/>
                <w:numId w:val="0"/>
              </w:numPr>
              <w:spacing w:line="360" w:lineRule="auto"/>
              <w:rPr>
                <w:rFonts w:hint="eastAsia" w:ascii="宋体" w:hAnsi="宋体" w:cs="宋体"/>
                <w:b w:val="0"/>
                <w:bCs w:val="0"/>
                <w:color w:val="auto"/>
                <w:highlight w:val="none"/>
              </w:rPr>
            </w:pPr>
            <w:r>
              <w:rPr>
                <w:rFonts w:hint="eastAsia" w:ascii="宋体" w:hAnsi="宋体" w:cs="宋体"/>
                <w:b w:val="0"/>
                <w:bCs w:val="0"/>
                <w:color w:val="auto"/>
                <w:highlight w:val="none"/>
                <w:lang w:val="en-US" w:eastAsia="zh-CN"/>
              </w:rPr>
              <w:t>5</w:t>
            </w:r>
            <w:r>
              <w:rPr>
                <w:rFonts w:hint="eastAsia" w:ascii="宋体" w:hAnsi="宋体" w:cs="宋体"/>
                <w:b w:val="0"/>
                <w:bCs w:val="0"/>
                <w:color w:val="auto"/>
                <w:highlight w:val="none"/>
              </w:rPr>
              <w:t>.接送返乡</w:t>
            </w:r>
            <w:r>
              <w:rPr>
                <w:rFonts w:hint="eastAsia" w:ascii="宋体" w:hAnsi="宋体" w:cs="宋体"/>
                <w:b w:val="0"/>
                <w:bCs w:val="0"/>
                <w:color w:val="auto"/>
                <w:highlight w:val="none"/>
                <w:lang w:eastAsia="zh-CN"/>
              </w:rPr>
              <w:t>及源头治理</w:t>
            </w:r>
            <w:r>
              <w:rPr>
                <w:rFonts w:hint="eastAsia" w:ascii="宋体" w:hAnsi="宋体" w:cs="宋体"/>
                <w:b w:val="0"/>
                <w:bCs w:val="0"/>
                <w:color w:val="auto"/>
                <w:highlight w:val="none"/>
              </w:rPr>
              <w:t>服务</w:t>
            </w:r>
          </w:p>
          <w:p w14:paraId="45BB3E36">
            <w:pPr>
              <w:widowControl/>
              <w:numPr>
                <w:ilvl w:val="255"/>
                <w:numId w:val="0"/>
              </w:numPr>
              <w:spacing w:line="360" w:lineRule="auto"/>
              <w:rPr>
                <w:rFonts w:hint="eastAsia" w:ascii="宋体" w:hAnsi="宋体" w:cs="宋体"/>
                <w:b w:val="0"/>
                <w:bCs w:val="0"/>
                <w:color w:val="auto"/>
                <w:highlight w:val="none"/>
              </w:rPr>
            </w:pPr>
            <w:r>
              <w:rPr>
                <w:rFonts w:hint="eastAsia" w:ascii="宋体" w:hAnsi="宋体" w:cs="宋体"/>
                <w:b w:val="0"/>
                <w:bCs w:val="0"/>
                <w:color w:val="auto"/>
                <w:highlight w:val="none"/>
              </w:rPr>
              <w:t>协助市救助站做好特殊困难救助对象接送返乡</w:t>
            </w:r>
            <w:r>
              <w:rPr>
                <w:rFonts w:hint="eastAsia" w:ascii="宋体" w:hAnsi="宋体" w:cs="宋体"/>
                <w:b w:val="0"/>
                <w:bCs w:val="0"/>
                <w:color w:val="auto"/>
                <w:highlight w:val="none"/>
                <w:lang w:eastAsia="zh-CN"/>
              </w:rPr>
              <w:t>及源头治理</w:t>
            </w:r>
            <w:r>
              <w:rPr>
                <w:rFonts w:hint="eastAsia" w:ascii="宋体" w:hAnsi="宋体" w:cs="宋体"/>
                <w:b w:val="0"/>
                <w:bCs w:val="0"/>
                <w:color w:val="auto"/>
                <w:highlight w:val="none"/>
              </w:rPr>
              <w:t>服务，</w:t>
            </w:r>
            <w:r>
              <w:rPr>
                <w:rFonts w:hint="eastAsia" w:ascii="宋体" w:hAnsi="宋体" w:cs="宋体"/>
                <w:b w:val="0"/>
                <w:bCs w:val="0"/>
                <w:color w:val="auto"/>
                <w:highlight w:val="none"/>
                <w:lang w:val="en-US" w:eastAsia="zh-CN"/>
              </w:rPr>
              <w:t>协调流出地政府落实属地管理和兜底保障职责，协助落实社会救助、社会福利和社会保险等相关政策，帮助其近亲属或其他监护人做好监护照料工作。</w:t>
            </w:r>
            <w:r>
              <w:rPr>
                <w:rFonts w:hint="eastAsia" w:ascii="宋体" w:hAnsi="宋体" w:cs="宋体"/>
                <w:b w:val="0"/>
                <w:bCs w:val="0"/>
                <w:color w:val="auto"/>
                <w:highlight w:val="none"/>
              </w:rPr>
              <w:t>服务人次以市救助站实际救助工作安排为准。在协助市救助站开展接送返乡</w:t>
            </w:r>
            <w:r>
              <w:rPr>
                <w:rFonts w:hint="eastAsia" w:ascii="宋体" w:hAnsi="宋体" w:cs="宋体"/>
                <w:b w:val="0"/>
                <w:bCs w:val="0"/>
                <w:color w:val="auto"/>
                <w:highlight w:val="none"/>
                <w:lang w:eastAsia="zh-CN"/>
              </w:rPr>
              <w:t>及源头治理</w:t>
            </w:r>
            <w:r>
              <w:rPr>
                <w:rFonts w:hint="eastAsia" w:ascii="宋体" w:hAnsi="宋体" w:cs="宋体"/>
                <w:b w:val="0"/>
                <w:bCs w:val="0"/>
                <w:color w:val="auto"/>
                <w:highlight w:val="none"/>
              </w:rPr>
              <w:t>服务前，需填写审批表，经市救助站审批同意后再开展服务，</w:t>
            </w:r>
            <w:r>
              <w:rPr>
                <w:rFonts w:hint="eastAsia" w:ascii="宋体" w:hAnsi="宋体" w:cs="宋体"/>
                <w:b w:val="0"/>
                <w:bCs w:val="0"/>
                <w:color w:val="auto"/>
                <w:highlight w:val="none"/>
                <w:lang w:eastAsia="zh-CN"/>
              </w:rPr>
              <w:t>开展</w:t>
            </w:r>
            <w:r>
              <w:rPr>
                <w:rFonts w:hint="eastAsia" w:ascii="宋体" w:hAnsi="宋体" w:cs="宋体"/>
                <w:b w:val="0"/>
                <w:bCs w:val="0"/>
                <w:color w:val="auto"/>
                <w:highlight w:val="none"/>
              </w:rPr>
              <w:t>服务产生的费用，由承接机构参照钦州市本级党政机关差旅费管理办法的相关标准，从服务经费</w:t>
            </w:r>
            <w:r>
              <w:rPr>
                <w:rFonts w:hint="eastAsia" w:ascii="宋体" w:hAnsi="宋体" w:cs="宋体"/>
                <w:b w:val="0"/>
                <w:bCs w:val="0"/>
                <w:color w:val="auto"/>
                <w:highlight w:val="none"/>
                <w:lang w:eastAsia="zh-CN"/>
              </w:rPr>
              <w:t>中</w:t>
            </w:r>
            <w:r>
              <w:rPr>
                <w:rFonts w:hint="eastAsia" w:ascii="宋体" w:hAnsi="宋体" w:cs="宋体"/>
                <w:b w:val="0"/>
                <w:bCs w:val="0"/>
                <w:color w:val="auto"/>
                <w:highlight w:val="none"/>
              </w:rPr>
              <w:t>列支。服务过程中需保存佐证材料，包含开展服务人员的往返车票、住宿发票、接送返乡交接表</w:t>
            </w:r>
            <w:r>
              <w:rPr>
                <w:rFonts w:hint="eastAsia" w:ascii="宋体" w:hAnsi="宋体" w:cs="宋体"/>
                <w:b w:val="0"/>
                <w:bCs w:val="0"/>
                <w:color w:val="auto"/>
                <w:highlight w:val="none"/>
                <w:lang w:eastAsia="zh-CN"/>
              </w:rPr>
              <w:t>、回访登记表</w:t>
            </w:r>
            <w:r>
              <w:rPr>
                <w:rFonts w:hint="eastAsia" w:ascii="宋体" w:hAnsi="宋体" w:cs="宋体"/>
                <w:b w:val="0"/>
                <w:bCs w:val="0"/>
                <w:color w:val="auto"/>
                <w:highlight w:val="none"/>
              </w:rPr>
              <w:t>等相关材料，便于市救助站监管，每个季度需向市救助站通报一次服务费用支出账目。</w:t>
            </w:r>
          </w:p>
          <w:p w14:paraId="2FD6C902">
            <w:pPr>
              <w:widowControl/>
              <w:numPr>
                <w:ilvl w:val="255"/>
                <w:numId w:val="0"/>
              </w:numPr>
              <w:spacing w:line="360" w:lineRule="auto"/>
              <w:rPr>
                <w:rFonts w:hint="eastAsia"/>
                <w:color w:val="auto"/>
                <w:highlight w:val="none"/>
              </w:rPr>
            </w:pPr>
            <w:r>
              <w:rPr>
                <w:rFonts w:hint="eastAsia" w:ascii="宋体" w:hAnsi="宋体" w:cs="宋体"/>
                <w:b/>
                <w:bCs/>
                <w:color w:val="auto"/>
                <w:highlight w:val="none"/>
              </w:rPr>
              <w:t>（</w:t>
            </w:r>
            <w:r>
              <w:rPr>
                <w:rFonts w:hint="eastAsia" w:ascii="宋体" w:hAnsi="宋体" w:cs="宋体"/>
                <w:b/>
                <w:bCs/>
                <w:color w:val="auto"/>
                <w:highlight w:val="none"/>
                <w:lang w:val="en-US" w:eastAsia="zh-CN"/>
              </w:rPr>
              <w:t>二</w:t>
            </w:r>
            <w:r>
              <w:rPr>
                <w:rFonts w:hint="eastAsia" w:ascii="宋体" w:hAnsi="宋体" w:cs="宋体"/>
                <w:b/>
                <w:bCs/>
                <w:color w:val="auto"/>
                <w:highlight w:val="none"/>
              </w:rPr>
              <w:t>）</w:t>
            </w:r>
            <w:r>
              <w:rPr>
                <w:rFonts w:hint="eastAsia" w:ascii="宋体" w:hAnsi="宋体" w:eastAsia="宋体" w:cs="宋体"/>
                <w:b/>
                <w:bCs/>
                <w:color w:val="auto"/>
                <w:highlight w:val="none"/>
              </w:rPr>
              <w:t>人员要求</w:t>
            </w:r>
          </w:p>
          <w:p w14:paraId="131F8A66">
            <w:pPr>
              <w:widowControl/>
              <w:numPr>
                <w:ilvl w:val="255"/>
                <w:numId w:val="0"/>
              </w:numPr>
              <w:spacing w:line="360" w:lineRule="auto"/>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1.专业团队：拟投入不少于8人（含）</w:t>
            </w:r>
            <w:r>
              <w:rPr>
                <w:rFonts w:hint="eastAsia" w:ascii="宋体" w:hAnsi="宋体" w:cs="宋体"/>
                <w:color w:val="auto"/>
                <w:highlight w:val="none"/>
                <w:lang w:val="en-US" w:eastAsia="zh-CN"/>
              </w:rPr>
              <w:t>工作人员</w:t>
            </w:r>
            <w:r>
              <w:rPr>
                <w:rFonts w:hint="eastAsia" w:ascii="宋体" w:hAnsi="宋体" w:eastAsia="宋体" w:cs="宋体"/>
                <w:color w:val="auto"/>
                <w:highlight w:val="none"/>
                <w:lang w:val="en-US" w:eastAsia="zh-CN"/>
              </w:rPr>
              <w:t>。</w:t>
            </w:r>
          </w:p>
        </w:tc>
      </w:tr>
      <w:tr w14:paraId="355DD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3276E7EE">
            <w:pPr>
              <w:spacing w:line="360" w:lineRule="auto"/>
              <w:rPr>
                <w:rFonts w:ascii="宋体" w:hAnsi="宋体" w:cs="宋体"/>
                <w:b/>
                <w:color w:val="auto"/>
                <w:szCs w:val="21"/>
                <w:highlight w:val="none"/>
              </w:rPr>
            </w:pPr>
            <w:r>
              <w:rPr>
                <w:rFonts w:hint="eastAsia" w:ascii="宋体" w:hAnsi="宋体" w:cs="宋体"/>
                <w:b/>
                <w:color w:val="auto"/>
                <w:szCs w:val="21"/>
                <w:highlight w:val="none"/>
              </w:rPr>
              <w:t>▲二、商务条款</w:t>
            </w:r>
          </w:p>
        </w:tc>
      </w:tr>
      <w:tr w14:paraId="34DA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6748A7C0">
            <w:pPr>
              <w:widowControl/>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一、合同签订期：</w:t>
            </w:r>
            <w:r>
              <w:rPr>
                <w:rFonts w:hint="eastAsia" w:ascii="宋体" w:hAnsi="宋体" w:cs="宋体"/>
                <w:color w:val="auto"/>
                <w:kern w:val="0"/>
                <w:szCs w:val="21"/>
                <w:highlight w:val="none"/>
              </w:rPr>
              <w:t>自成交通知书发出之日起</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5日内签订完毕。</w:t>
            </w:r>
          </w:p>
          <w:p w14:paraId="338AD365">
            <w:pPr>
              <w:widowControl/>
              <w:spacing w:line="360" w:lineRule="auto"/>
              <w:ind w:firstLine="422" w:firstLineChars="200"/>
              <w:jc w:val="left"/>
              <w:rPr>
                <w:rFonts w:ascii="宋体" w:hAnsi="宋体" w:cs="宋体"/>
                <w:color w:val="auto"/>
                <w:szCs w:val="21"/>
                <w:highlight w:val="none"/>
              </w:rPr>
            </w:pPr>
            <w:r>
              <w:rPr>
                <w:rFonts w:hint="eastAsia" w:ascii="宋体" w:hAnsi="宋体" w:cs="宋体"/>
                <w:b/>
                <w:bCs/>
                <w:color w:val="auto"/>
                <w:kern w:val="0"/>
                <w:szCs w:val="21"/>
                <w:highlight w:val="none"/>
              </w:rPr>
              <w:t>二、合同履约期限：</w:t>
            </w:r>
            <w:r>
              <w:rPr>
                <w:rFonts w:hint="eastAsia" w:ascii="宋体" w:hAnsi="宋体" w:cs="宋体"/>
                <w:color w:val="auto"/>
                <w:szCs w:val="21"/>
                <w:highlight w:val="none"/>
                <w:lang w:eastAsia="zh-CN"/>
              </w:rPr>
              <w:t>1年，从签订合同的时间起或双方约定的时间起12个月。</w:t>
            </w:r>
          </w:p>
          <w:p w14:paraId="66614920">
            <w:pPr>
              <w:widowControl/>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三、服务地点：</w:t>
            </w:r>
            <w:r>
              <w:rPr>
                <w:rFonts w:hint="eastAsia" w:ascii="宋体" w:hAnsi="宋体" w:cs="宋体"/>
                <w:color w:val="auto"/>
                <w:szCs w:val="21"/>
                <w:highlight w:val="none"/>
                <w:lang w:eastAsia="zh-CN"/>
              </w:rPr>
              <w:t>采购人指定地点</w:t>
            </w:r>
            <w:r>
              <w:rPr>
                <w:rFonts w:hint="eastAsia" w:ascii="宋体" w:hAnsi="宋体" w:cs="宋体"/>
                <w:color w:val="auto"/>
                <w:szCs w:val="21"/>
                <w:highlight w:val="none"/>
              </w:rPr>
              <w:t>。</w:t>
            </w:r>
          </w:p>
          <w:p w14:paraId="5D0271A9">
            <w:pPr>
              <w:widowControl/>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四</w:t>
            </w:r>
            <w:r>
              <w:rPr>
                <w:rFonts w:hint="eastAsia" w:ascii="宋体" w:hAnsi="宋体" w:cs="宋体"/>
                <w:b/>
                <w:bCs/>
                <w:color w:val="auto"/>
                <w:kern w:val="0"/>
                <w:szCs w:val="21"/>
                <w:highlight w:val="none"/>
              </w:rPr>
              <w:t>、报价要求：</w:t>
            </w:r>
          </w:p>
          <w:p w14:paraId="5A1DEA68">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1.竞标报价必须包含</w:t>
            </w:r>
            <w:r>
              <w:rPr>
                <w:rFonts w:hint="eastAsia" w:ascii="宋体" w:hAnsi="宋体" w:cs="宋体"/>
                <w:color w:val="auto"/>
                <w:kern w:val="0"/>
                <w:szCs w:val="21"/>
                <w:highlight w:val="none"/>
                <w:lang w:val="en-US" w:eastAsia="zh-CN"/>
              </w:rPr>
              <w:t>但不限于</w:t>
            </w:r>
            <w:r>
              <w:rPr>
                <w:rFonts w:hint="default" w:ascii="Calibri" w:hAnsi="Calibri" w:cs="Calibri"/>
                <w:color w:val="auto"/>
                <w:kern w:val="0"/>
                <w:szCs w:val="21"/>
                <w:highlight w:val="none"/>
                <w:lang w:val="en-US" w:eastAsia="zh-CN"/>
              </w:rPr>
              <w:t>①</w:t>
            </w:r>
            <w:r>
              <w:rPr>
                <w:rFonts w:hint="eastAsia" w:ascii="宋体" w:hAnsi="宋体" w:cs="宋体"/>
                <w:color w:val="auto"/>
                <w:kern w:val="0"/>
                <w:szCs w:val="21"/>
                <w:highlight w:val="none"/>
              </w:rPr>
              <w:t>服务的价格</w:t>
            </w:r>
            <w:r>
              <w:rPr>
                <w:rFonts w:hint="eastAsia" w:ascii="宋体" w:hAnsi="宋体" w:cs="宋体"/>
                <w:color w:val="auto"/>
                <w:kern w:val="0"/>
                <w:szCs w:val="21"/>
                <w:highlight w:val="none"/>
                <w:lang w:eastAsia="zh-CN"/>
              </w:rPr>
              <w:t>；</w:t>
            </w:r>
            <w:r>
              <w:rPr>
                <w:rFonts w:hint="default" w:ascii="Calibri" w:hAnsi="Calibri" w:cs="Calibri"/>
                <w:color w:val="auto"/>
                <w:kern w:val="0"/>
                <w:szCs w:val="21"/>
                <w:highlight w:val="none"/>
                <w:lang w:val="en-US" w:eastAsia="zh-CN"/>
              </w:rPr>
              <w:t>②</w:t>
            </w:r>
            <w:r>
              <w:rPr>
                <w:rFonts w:hint="eastAsia" w:ascii="宋体" w:hAnsi="宋体" w:cs="宋体"/>
                <w:color w:val="auto"/>
                <w:kern w:val="0"/>
                <w:szCs w:val="21"/>
                <w:highlight w:val="none"/>
              </w:rPr>
              <w:t>必要的保险费用和各项税金</w:t>
            </w:r>
            <w:r>
              <w:rPr>
                <w:rFonts w:hint="eastAsia" w:ascii="宋体" w:hAnsi="宋体" w:cs="宋体"/>
                <w:color w:val="auto"/>
                <w:kern w:val="0"/>
                <w:szCs w:val="21"/>
                <w:highlight w:val="none"/>
                <w:lang w:eastAsia="zh-CN"/>
              </w:rPr>
              <w:t>；</w:t>
            </w:r>
            <w:r>
              <w:rPr>
                <w:rFonts w:hint="default" w:ascii="Calibri" w:hAnsi="Calibri" w:cs="Calibri"/>
                <w:color w:val="auto"/>
                <w:kern w:val="0"/>
                <w:szCs w:val="21"/>
                <w:highlight w:val="none"/>
                <w:lang w:eastAsia="zh-CN"/>
              </w:rPr>
              <w:t>③</w:t>
            </w:r>
            <w:r>
              <w:rPr>
                <w:rFonts w:hint="eastAsia" w:ascii="宋体" w:hAnsi="宋体" w:cs="宋体"/>
                <w:color w:val="auto"/>
                <w:kern w:val="0"/>
                <w:szCs w:val="21"/>
                <w:highlight w:val="none"/>
                <w:lang w:val="en-US" w:eastAsia="zh-CN"/>
              </w:rPr>
              <w:t>供应商为完成本项目而支出的所有人员相关工资、社保、出差、工作经费、食宿、福利、安全责任等均由供应商负责。备注：</w:t>
            </w:r>
            <w:r>
              <w:rPr>
                <w:rFonts w:hint="eastAsia" w:ascii="宋体" w:hAnsi="宋体" w:cs="宋体"/>
                <w:color w:val="auto"/>
                <w:kern w:val="0"/>
                <w:szCs w:val="21"/>
                <w:highlight w:val="none"/>
              </w:rPr>
              <w:t>本项目采用固定总价包干合同。除非合同中另有规定，供应商所报的单价和合价，以及竞标报价表中的价格应包括完成本合同所需的成本、管理、福利、加班、交通、食宿、保险、利润、税金、政策性文件规定及合同包含的所有风险、责任等各项应有费用，应计未计部分视为已经计入。</w:t>
            </w:r>
          </w:p>
          <w:p w14:paraId="3849D0A5">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2.竞标报价（包含首次报价、最后报价）超过所竞标分标规定的采购预算金额或者最高限价的，其电子响应文件将作无效处理。</w:t>
            </w:r>
          </w:p>
          <w:p w14:paraId="78D4508F">
            <w:pPr>
              <w:widowControl/>
              <w:spacing w:line="360" w:lineRule="auto"/>
              <w:ind w:firstLine="422" w:firstLineChars="200"/>
              <w:jc w:val="left"/>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五</w:t>
            </w:r>
            <w:r>
              <w:rPr>
                <w:rFonts w:hint="eastAsia" w:ascii="宋体" w:hAnsi="宋体" w:cs="宋体"/>
                <w:b/>
                <w:bCs/>
                <w:color w:val="auto"/>
                <w:kern w:val="0"/>
                <w:szCs w:val="21"/>
                <w:highlight w:val="none"/>
              </w:rPr>
              <w:t>、</w:t>
            </w:r>
            <w:r>
              <w:rPr>
                <w:rFonts w:hint="eastAsia" w:ascii="宋体" w:hAnsi="宋体" w:cs="宋体"/>
                <w:b/>
                <w:bCs/>
                <w:color w:val="auto"/>
                <w:kern w:val="0"/>
                <w:szCs w:val="21"/>
                <w:highlight w:val="none"/>
                <w:lang w:val="en-US" w:eastAsia="zh-CN"/>
              </w:rPr>
              <w:t>支付要求</w:t>
            </w:r>
            <w:r>
              <w:rPr>
                <w:rFonts w:hint="eastAsia" w:ascii="宋体" w:hAnsi="宋体" w:cs="宋体"/>
                <w:b/>
                <w:bCs/>
                <w:color w:val="auto"/>
                <w:kern w:val="0"/>
                <w:szCs w:val="21"/>
                <w:highlight w:val="none"/>
                <w:lang w:eastAsia="zh-CN"/>
              </w:rPr>
              <w:t>：</w:t>
            </w:r>
          </w:p>
          <w:p w14:paraId="07EBBC09">
            <w:pPr>
              <w:widowControl/>
              <w:spacing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lang w:eastAsia="zh-CN"/>
              </w:rPr>
              <w:t>项目合同</w:t>
            </w:r>
            <w:r>
              <w:rPr>
                <w:rFonts w:hint="eastAsia" w:ascii="宋体" w:hAnsi="宋体" w:cs="宋体"/>
                <w:b w:val="0"/>
                <w:bCs w:val="0"/>
                <w:color w:val="auto"/>
                <w:kern w:val="0"/>
                <w:szCs w:val="21"/>
                <w:highlight w:val="none"/>
              </w:rPr>
              <w:t>协议签订后</w:t>
            </w:r>
            <w:r>
              <w:rPr>
                <w:rFonts w:hint="eastAsia" w:ascii="宋体" w:hAnsi="宋体" w:cs="宋体"/>
                <w:b w:val="0"/>
                <w:bCs w:val="0"/>
                <w:color w:val="auto"/>
                <w:kern w:val="0"/>
                <w:szCs w:val="21"/>
                <w:highlight w:val="none"/>
                <w:lang w:val="en-US" w:eastAsia="zh-CN"/>
              </w:rPr>
              <w:t>20个</w:t>
            </w:r>
            <w:r>
              <w:rPr>
                <w:rFonts w:hint="eastAsia" w:ascii="宋体" w:hAnsi="宋体" w:cs="宋体"/>
                <w:b w:val="0"/>
                <w:bCs w:val="0"/>
                <w:color w:val="auto"/>
                <w:kern w:val="0"/>
                <w:szCs w:val="21"/>
                <w:highlight w:val="none"/>
              </w:rPr>
              <w:t>工作日内,拨付</w:t>
            </w:r>
            <w:r>
              <w:rPr>
                <w:rFonts w:hint="eastAsia" w:ascii="宋体" w:hAnsi="宋体" w:cs="宋体"/>
                <w:b w:val="0"/>
                <w:bCs w:val="0"/>
                <w:color w:val="auto"/>
                <w:kern w:val="0"/>
                <w:szCs w:val="21"/>
                <w:highlight w:val="none"/>
                <w:lang w:val="en-US" w:eastAsia="zh-CN"/>
              </w:rPr>
              <w:t>合同</w:t>
            </w:r>
            <w:r>
              <w:rPr>
                <w:rFonts w:hint="eastAsia" w:ascii="宋体" w:hAnsi="宋体" w:cs="宋体"/>
                <w:b w:val="0"/>
                <w:bCs w:val="0"/>
                <w:color w:val="auto"/>
                <w:kern w:val="0"/>
                <w:szCs w:val="21"/>
                <w:highlight w:val="none"/>
              </w:rPr>
              <w:t>总金额的40%，中期评估合格后</w:t>
            </w:r>
            <w:r>
              <w:rPr>
                <w:rFonts w:hint="eastAsia" w:ascii="宋体" w:hAnsi="宋体" w:cs="宋体"/>
                <w:b w:val="0"/>
                <w:bCs w:val="0"/>
                <w:color w:val="auto"/>
                <w:kern w:val="0"/>
                <w:szCs w:val="21"/>
                <w:highlight w:val="none"/>
                <w:lang w:val="en-US" w:eastAsia="zh-CN"/>
              </w:rPr>
              <w:t>15</w:t>
            </w:r>
            <w:r>
              <w:rPr>
                <w:rFonts w:hint="eastAsia" w:ascii="宋体" w:hAnsi="宋体" w:cs="宋体"/>
                <w:b w:val="0"/>
                <w:bCs w:val="0"/>
                <w:color w:val="auto"/>
                <w:kern w:val="0"/>
                <w:szCs w:val="21"/>
                <w:highlight w:val="none"/>
              </w:rPr>
              <w:t>个工作日内拨付</w:t>
            </w:r>
            <w:r>
              <w:rPr>
                <w:rFonts w:hint="eastAsia" w:ascii="宋体" w:hAnsi="宋体" w:cs="宋体"/>
                <w:b w:val="0"/>
                <w:bCs w:val="0"/>
                <w:color w:val="auto"/>
                <w:kern w:val="0"/>
                <w:szCs w:val="21"/>
                <w:highlight w:val="none"/>
                <w:lang w:val="en-US" w:eastAsia="zh-CN"/>
              </w:rPr>
              <w:t>合同</w:t>
            </w:r>
            <w:r>
              <w:rPr>
                <w:rFonts w:hint="eastAsia" w:ascii="宋体" w:hAnsi="宋体" w:cs="宋体"/>
                <w:b w:val="0"/>
                <w:bCs w:val="0"/>
                <w:color w:val="auto"/>
                <w:kern w:val="0"/>
                <w:szCs w:val="21"/>
                <w:highlight w:val="none"/>
              </w:rPr>
              <w:t>总金额的40%，项目末期评估验收合格后</w:t>
            </w:r>
            <w:r>
              <w:rPr>
                <w:rFonts w:hint="eastAsia" w:ascii="宋体" w:hAnsi="宋体" w:cs="宋体"/>
                <w:b w:val="0"/>
                <w:bCs w:val="0"/>
                <w:color w:val="auto"/>
                <w:kern w:val="0"/>
                <w:szCs w:val="21"/>
                <w:highlight w:val="none"/>
                <w:lang w:val="en-US" w:eastAsia="zh-CN"/>
              </w:rPr>
              <w:t>15</w:t>
            </w:r>
            <w:r>
              <w:rPr>
                <w:rFonts w:hint="eastAsia" w:ascii="宋体" w:hAnsi="宋体" w:cs="宋体"/>
                <w:b w:val="0"/>
                <w:bCs w:val="0"/>
                <w:color w:val="auto"/>
                <w:kern w:val="0"/>
                <w:szCs w:val="21"/>
                <w:highlight w:val="none"/>
              </w:rPr>
              <w:t>个工作日内拨付</w:t>
            </w:r>
            <w:r>
              <w:rPr>
                <w:rFonts w:hint="eastAsia" w:ascii="宋体" w:hAnsi="宋体" w:cs="宋体"/>
                <w:b w:val="0"/>
                <w:bCs w:val="0"/>
                <w:color w:val="auto"/>
                <w:kern w:val="0"/>
                <w:szCs w:val="21"/>
                <w:highlight w:val="none"/>
                <w:lang w:val="en-US" w:eastAsia="zh-CN"/>
              </w:rPr>
              <w:t>支付至合同</w:t>
            </w:r>
            <w:r>
              <w:rPr>
                <w:rFonts w:hint="eastAsia" w:ascii="宋体" w:hAnsi="宋体" w:cs="宋体"/>
                <w:b w:val="0"/>
                <w:bCs w:val="0"/>
                <w:color w:val="auto"/>
                <w:kern w:val="0"/>
                <w:szCs w:val="21"/>
                <w:highlight w:val="none"/>
              </w:rPr>
              <w:t>总金额的</w:t>
            </w:r>
            <w:r>
              <w:rPr>
                <w:rFonts w:hint="eastAsia" w:ascii="宋体" w:hAnsi="宋体" w:cs="宋体"/>
                <w:b w:val="0"/>
                <w:bCs w:val="0"/>
                <w:color w:val="auto"/>
                <w:kern w:val="0"/>
                <w:szCs w:val="21"/>
                <w:highlight w:val="none"/>
                <w:lang w:val="en-US" w:eastAsia="zh-CN"/>
              </w:rPr>
              <w:t>100</w:t>
            </w:r>
            <w:r>
              <w:rPr>
                <w:rFonts w:hint="eastAsia" w:ascii="宋体" w:hAnsi="宋体" w:cs="宋体"/>
                <w:b w:val="0"/>
                <w:bCs w:val="0"/>
                <w:color w:val="auto"/>
                <w:kern w:val="0"/>
                <w:szCs w:val="21"/>
                <w:highlight w:val="none"/>
              </w:rPr>
              <w:t>%。</w:t>
            </w:r>
          </w:p>
          <w:p w14:paraId="3B0C8D56">
            <w:pPr>
              <w:widowControl/>
              <w:spacing w:line="360" w:lineRule="auto"/>
              <w:ind w:firstLine="422" w:firstLineChars="200"/>
              <w:jc w:val="left"/>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lang w:val="en-US" w:eastAsia="zh-CN"/>
              </w:rPr>
              <w:t>六</w:t>
            </w:r>
            <w:r>
              <w:rPr>
                <w:rFonts w:hint="eastAsia" w:ascii="宋体" w:hAnsi="宋体" w:cs="宋体"/>
                <w:b/>
                <w:bCs/>
                <w:color w:val="auto"/>
                <w:kern w:val="0"/>
                <w:szCs w:val="21"/>
                <w:highlight w:val="none"/>
              </w:rPr>
              <w:t>、项目评估</w:t>
            </w:r>
          </w:p>
          <w:p w14:paraId="071EFE1C">
            <w:pPr>
              <w:widowControl/>
              <w:spacing w:line="360" w:lineRule="auto"/>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（一）中期评估</w:t>
            </w:r>
          </w:p>
          <w:p w14:paraId="4A625646">
            <w:pPr>
              <w:keepNext w:val="0"/>
              <w:keepLines w:val="0"/>
              <w:pageBreakBefore w:val="0"/>
              <w:widowControl/>
              <w:kinsoku/>
              <w:wordWrap/>
              <w:overflowPunct/>
              <w:topLinePunct w:val="0"/>
              <w:autoSpaceDE/>
              <w:autoSpaceDN/>
              <w:bidi w:val="0"/>
              <w:adjustRightInd/>
              <w:snapToGrid/>
              <w:spacing w:before="0" w:beforeLines="-2147483648" w:after="0" w:afterLines="-2147483648" w:line="360" w:lineRule="auto"/>
              <w:ind w:firstLine="420" w:firstLineChars="200"/>
              <w:jc w:val="lef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项目实施6个月后，由采购人组织第三方开展中期评估（评估经费由成交供应商支付）。评估结果经采购人复核合格后，继续支持其开展服务项目；评估复核不合格，进行项目整改，整改合格，继续支持其开展服务项目；整改不合格，项目终止，不支付任何费用，</w:t>
            </w:r>
            <w:r>
              <w:rPr>
                <w:rFonts w:hint="eastAsia" w:ascii="宋体" w:hAnsi="宋体" w:eastAsia="宋体" w:cs="宋体"/>
                <w:color w:val="auto"/>
                <w:kern w:val="0"/>
                <w:sz w:val="21"/>
                <w:szCs w:val="21"/>
                <w:highlight w:val="none"/>
                <w:lang w:bidi="ar"/>
              </w:rPr>
              <w:t>给</w:t>
            </w:r>
            <w:r>
              <w:rPr>
                <w:rFonts w:hint="eastAsia" w:ascii="宋体" w:hAnsi="宋体" w:eastAsia="宋体" w:cs="宋体"/>
                <w:color w:val="auto"/>
                <w:kern w:val="0"/>
                <w:sz w:val="21"/>
                <w:szCs w:val="21"/>
                <w:highlight w:val="none"/>
                <w:lang w:val="en-US" w:eastAsia="zh-CN" w:bidi="ar"/>
              </w:rPr>
              <w:t>甲方</w:t>
            </w:r>
            <w:r>
              <w:rPr>
                <w:rFonts w:hint="eastAsia" w:ascii="宋体" w:hAnsi="宋体" w:eastAsia="宋体" w:cs="宋体"/>
                <w:color w:val="auto"/>
                <w:kern w:val="0"/>
                <w:sz w:val="21"/>
                <w:szCs w:val="21"/>
                <w:highlight w:val="none"/>
                <w:lang w:bidi="ar"/>
              </w:rPr>
              <w:t>造成损失的，</w:t>
            </w:r>
            <w:r>
              <w:rPr>
                <w:rFonts w:hint="eastAsia" w:ascii="宋体" w:hAnsi="宋体" w:eastAsia="宋体" w:cs="宋体"/>
                <w:color w:val="auto"/>
                <w:kern w:val="0"/>
                <w:sz w:val="21"/>
                <w:szCs w:val="21"/>
                <w:highlight w:val="none"/>
                <w:lang w:val="en-US" w:eastAsia="zh-CN" w:bidi="ar"/>
              </w:rPr>
              <w:t>成交供应商</w:t>
            </w:r>
            <w:r>
              <w:rPr>
                <w:rFonts w:hint="eastAsia" w:ascii="宋体" w:hAnsi="宋体" w:eastAsia="宋体" w:cs="宋体"/>
                <w:color w:val="auto"/>
                <w:kern w:val="0"/>
                <w:sz w:val="21"/>
                <w:szCs w:val="21"/>
                <w:highlight w:val="none"/>
                <w:lang w:bidi="ar"/>
              </w:rPr>
              <w:t>应当予以赔偿</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b w:val="0"/>
                <w:bCs w:val="0"/>
                <w:color w:val="auto"/>
                <w:kern w:val="0"/>
                <w:sz w:val="21"/>
                <w:szCs w:val="21"/>
                <w:highlight w:val="none"/>
                <w:lang w:bidi="ar"/>
              </w:rPr>
              <w:t>赔偿范围包括但不限于</w:t>
            </w:r>
            <w:r>
              <w:rPr>
                <w:rFonts w:hint="eastAsia" w:ascii="宋体" w:hAnsi="宋体" w:eastAsia="宋体" w:cs="宋体"/>
                <w:b w:val="0"/>
                <w:bCs w:val="0"/>
                <w:color w:val="auto"/>
                <w:kern w:val="0"/>
                <w:sz w:val="21"/>
                <w:szCs w:val="21"/>
                <w:highlight w:val="none"/>
                <w:lang w:val="en-US" w:eastAsia="zh-CN" w:bidi="ar"/>
              </w:rPr>
              <w:t>采购人</w:t>
            </w:r>
            <w:r>
              <w:rPr>
                <w:rFonts w:hint="eastAsia" w:ascii="宋体" w:hAnsi="宋体" w:eastAsia="宋体" w:cs="宋体"/>
                <w:b w:val="0"/>
                <w:bCs w:val="0"/>
                <w:color w:val="auto"/>
                <w:kern w:val="0"/>
                <w:sz w:val="21"/>
                <w:szCs w:val="21"/>
                <w:highlight w:val="none"/>
                <w:lang w:bidi="ar"/>
              </w:rPr>
              <w:t>为</w:t>
            </w:r>
            <w:r>
              <w:rPr>
                <w:rFonts w:hint="eastAsia" w:ascii="宋体" w:hAnsi="宋体" w:eastAsia="宋体" w:cs="宋体"/>
                <w:color w:val="auto"/>
                <w:kern w:val="0"/>
                <w:sz w:val="21"/>
                <w:szCs w:val="21"/>
                <w:highlight w:val="none"/>
                <w:lang w:bidi="ar"/>
              </w:rPr>
              <w:t>主张合法权利支付的律师费、交通费、公告费、公证费等全部费用</w:t>
            </w:r>
            <w:r>
              <w:rPr>
                <w:rFonts w:hint="eastAsia" w:ascii="宋体" w:hAnsi="宋体" w:eastAsia="宋体" w:cs="宋体"/>
                <w:color w:val="auto"/>
                <w:kern w:val="0"/>
                <w:sz w:val="21"/>
                <w:szCs w:val="21"/>
                <w:highlight w:val="none"/>
                <w:lang w:eastAsia="zh-CN"/>
              </w:rPr>
              <w:t>。</w:t>
            </w:r>
          </w:p>
          <w:p w14:paraId="61366888">
            <w:pPr>
              <w:widowControl/>
              <w:spacing w:line="360" w:lineRule="auto"/>
              <w:ind w:firstLine="422" w:firstLineChars="200"/>
              <w:jc w:val="left"/>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（二）结项（末期）评估</w:t>
            </w:r>
          </w:p>
          <w:p w14:paraId="339BACF3">
            <w:pPr>
              <w:widowControl/>
              <w:spacing w:line="360" w:lineRule="auto"/>
              <w:ind w:firstLine="420" w:firstLineChars="200"/>
              <w:jc w:val="left"/>
              <w:rPr>
                <w:rFonts w:ascii="宋体" w:hAnsi="宋体" w:cs="宋体"/>
                <w:color w:val="auto"/>
                <w:szCs w:val="21"/>
                <w:highlight w:val="none"/>
                <w:u w:val="single"/>
              </w:rPr>
            </w:pPr>
            <w:r>
              <w:rPr>
                <w:rFonts w:hint="eastAsia" w:ascii="宋体" w:hAnsi="宋体" w:cs="宋体"/>
                <w:color w:val="auto"/>
                <w:kern w:val="0"/>
                <w:szCs w:val="21"/>
                <w:highlight w:val="none"/>
              </w:rPr>
              <w:t>项目服务结束后1个月内，由</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组织第三方开展末期考核评估（</w:t>
            </w:r>
            <w:r>
              <w:rPr>
                <w:rFonts w:hint="eastAsia" w:ascii="宋体" w:hAnsi="宋体" w:eastAsia="宋体" w:cs="宋体"/>
                <w:color w:val="auto"/>
                <w:kern w:val="0"/>
                <w:sz w:val="21"/>
                <w:szCs w:val="21"/>
                <w:highlight w:val="none"/>
                <w:lang w:val="en-US" w:eastAsia="zh-CN"/>
              </w:rPr>
              <w:t>评估经费由成交供应商支付</w:t>
            </w:r>
            <w:r>
              <w:rPr>
                <w:rFonts w:hint="eastAsia" w:ascii="宋体" w:hAnsi="宋体" w:cs="宋体"/>
                <w:color w:val="auto"/>
                <w:kern w:val="0"/>
                <w:szCs w:val="21"/>
                <w:highlight w:val="none"/>
              </w:rPr>
              <w:t>）。评估结果经</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复核合格后，项目资金全额拨付；评估结果不合格，进行项目整改。整改合格，项目资金全额拨付；整改不合格，项目终止，不支付任何费用，给</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造成损失的，</w:t>
            </w:r>
            <w:r>
              <w:rPr>
                <w:rFonts w:hint="eastAsia" w:ascii="宋体" w:hAnsi="宋体" w:eastAsia="宋体" w:cs="宋体"/>
                <w:color w:val="auto"/>
                <w:kern w:val="0"/>
                <w:sz w:val="21"/>
                <w:szCs w:val="21"/>
                <w:highlight w:val="none"/>
                <w:lang w:val="en-US" w:eastAsia="zh-CN" w:bidi="ar"/>
              </w:rPr>
              <w:t>成交供应商</w:t>
            </w:r>
            <w:r>
              <w:rPr>
                <w:rFonts w:hint="eastAsia" w:ascii="宋体" w:hAnsi="宋体" w:cs="宋体"/>
                <w:color w:val="auto"/>
                <w:kern w:val="0"/>
                <w:szCs w:val="21"/>
                <w:highlight w:val="none"/>
              </w:rPr>
              <w:t>应当予以赔偿。赔偿范围包括但不限于</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为主张合法权利支付的律师费、交通费、公告费、公证费等全部费用。</w:t>
            </w:r>
          </w:p>
        </w:tc>
      </w:tr>
    </w:tbl>
    <w:p w14:paraId="72B44128">
      <w:pPr>
        <w:snapToGrid w:val="0"/>
        <w:spacing w:line="360" w:lineRule="auto"/>
        <w:ind w:firstLine="420" w:firstLineChars="200"/>
        <w:rPr>
          <w:rFonts w:ascii="宋体" w:hAnsi="宋体" w:cs="宋体"/>
          <w:color w:val="auto"/>
          <w:szCs w:val="21"/>
          <w:highlight w:val="none"/>
        </w:rPr>
      </w:pPr>
    </w:p>
    <w:p w14:paraId="5732880B">
      <w:pPr>
        <w:rPr>
          <w:rFonts w:ascii="宋体" w:hAnsi="宋体" w:cs="宋体"/>
          <w:color w:val="auto"/>
          <w:sz w:val="32"/>
          <w:szCs w:val="32"/>
          <w:highlight w:val="none"/>
        </w:rPr>
      </w:pPr>
      <w:r>
        <w:rPr>
          <w:rFonts w:hint="eastAsia" w:ascii="宋体" w:hAnsi="宋体" w:cs="宋体"/>
          <w:color w:val="auto"/>
          <w:szCs w:val="21"/>
          <w:highlight w:val="none"/>
        </w:rPr>
        <w:br w:type="page"/>
      </w:r>
      <w:bookmarkStart w:id="51" w:name="_Toc24175"/>
      <w:r>
        <w:rPr>
          <w:rFonts w:hint="eastAsia" w:ascii="宋体" w:hAnsi="宋体" w:cs="宋体"/>
          <w:color w:val="auto"/>
          <w:sz w:val="32"/>
          <w:szCs w:val="32"/>
          <w:highlight w:val="none"/>
        </w:rPr>
        <w:t>附件1：</w:t>
      </w:r>
    </w:p>
    <w:p w14:paraId="438363A0">
      <w:pPr>
        <w:widowControl/>
        <w:spacing w:line="360" w:lineRule="auto"/>
        <w:jc w:val="center"/>
        <w:rPr>
          <w:rFonts w:ascii="宋体" w:hAnsi="宋体" w:cs="宋体"/>
          <w:b/>
          <w:bCs/>
          <w:color w:val="auto"/>
          <w:kern w:val="0"/>
          <w:sz w:val="36"/>
          <w:szCs w:val="32"/>
          <w:highlight w:val="none"/>
        </w:rPr>
      </w:pPr>
      <w:r>
        <w:rPr>
          <w:rFonts w:hint="eastAsia" w:ascii="宋体" w:hAnsi="宋体" w:cs="宋体"/>
          <w:b/>
          <w:bCs/>
          <w:color w:val="auto"/>
          <w:kern w:val="0"/>
          <w:sz w:val="36"/>
          <w:szCs w:val="32"/>
          <w:highlight w:val="none"/>
        </w:rPr>
        <w:t>统计上大中小微型企业划分标准</w:t>
      </w:r>
    </w:p>
    <w:tbl>
      <w:tblPr>
        <w:tblStyle w:val="30"/>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1320"/>
        <w:gridCol w:w="682"/>
        <w:gridCol w:w="1085"/>
        <w:gridCol w:w="1639"/>
        <w:gridCol w:w="1373"/>
        <w:gridCol w:w="954"/>
      </w:tblGrid>
      <w:tr w14:paraId="14AA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939" w:type="pct"/>
            <w:vAlign w:val="center"/>
          </w:tcPr>
          <w:p w14:paraId="03193535">
            <w:pPr>
              <w:widowControl/>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759" w:type="pct"/>
            <w:vAlign w:val="center"/>
          </w:tcPr>
          <w:p w14:paraId="0A9A196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392" w:type="pct"/>
            <w:vAlign w:val="center"/>
          </w:tcPr>
          <w:p w14:paraId="1285662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单位</w:t>
            </w:r>
          </w:p>
        </w:tc>
        <w:tc>
          <w:tcPr>
            <w:tcW w:w="624" w:type="pct"/>
            <w:vAlign w:val="center"/>
          </w:tcPr>
          <w:p w14:paraId="1C5D2B4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943" w:type="pct"/>
            <w:vAlign w:val="center"/>
          </w:tcPr>
          <w:p w14:paraId="6DA40AE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790" w:type="pct"/>
            <w:vAlign w:val="center"/>
          </w:tcPr>
          <w:p w14:paraId="2AFE75C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549" w:type="pct"/>
            <w:vAlign w:val="center"/>
          </w:tcPr>
          <w:p w14:paraId="38A8370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75F4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Align w:val="center"/>
          </w:tcPr>
          <w:p w14:paraId="524FC00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759" w:type="pct"/>
            <w:vAlign w:val="center"/>
          </w:tcPr>
          <w:p w14:paraId="4E14C7D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392" w:type="pct"/>
            <w:vAlign w:val="center"/>
          </w:tcPr>
          <w:p w14:paraId="1C4BFF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14423AB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943" w:type="pct"/>
            <w:vAlign w:val="center"/>
          </w:tcPr>
          <w:p w14:paraId="345252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790" w:type="pct"/>
            <w:vAlign w:val="center"/>
          </w:tcPr>
          <w:p w14:paraId="65B75F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549" w:type="pct"/>
            <w:vAlign w:val="center"/>
          </w:tcPr>
          <w:p w14:paraId="68115B3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007C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4C5BF3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759" w:type="pct"/>
            <w:vAlign w:val="center"/>
          </w:tcPr>
          <w:p w14:paraId="559649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392" w:type="pct"/>
            <w:vAlign w:val="center"/>
          </w:tcPr>
          <w:p w14:paraId="3A02C1E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624" w:type="pct"/>
            <w:vAlign w:val="center"/>
          </w:tcPr>
          <w:p w14:paraId="1BAE20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943" w:type="pct"/>
            <w:vAlign w:val="center"/>
          </w:tcPr>
          <w:p w14:paraId="5D2E7A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790" w:type="pct"/>
            <w:vAlign w:val="center"/>
          </w:tcPr>
          <w:p w14:paraId="067C90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549" w:type="pct"/>
            <w:vAlign w:val="center"/>
          </w:tcPr>
          <w:p w14:paraId="3AF747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B7EF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0C61C5CB">
            <w:pPr>
              <w:widowControl/>
              <w:jc w:val="left"/>
              <w:rPr>
                <w:rFonts w:ascii="宋体" w:hAnsi="宋体" w:cs="宋体"/>
                <w:color w:val="auto"/>
                <w:kern w:val="0"/>
                <w:sz w:val="18"/>
                <w:szCs w:val="18"/>
                <w:highlight w:val="none"/>
              </w:rPr>
            </w:pPr>
          </w:p>
        </w:tc>
        <w:tc>
          <w:tcPr>
            <w:tcW w:w="759" w:type="pct"/>
            <w:vAlign w:val="center"/>
          </w:tcPr>
          <w:p w14:paraId="339CB2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392" w:type="pct"/>
            <w:vAlign w:val="center"/>
          </w:tcPr>
          <w:p w14:paraId="1B25A7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7F337F8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943" w:type="pct"/>
            <w:vAlign w:val="center"/>
          </w:tcPr>
          <w:p w14:paraId="6F0AB7D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790" w:type="pct"/>
            <w:vAlign w:val="center"/>
          </w:tcPr>
          <w:p w14:paraId="10D71C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549" w:type="pct"/>
            <w:vAlign w:val="center"/>
          </w:tcPr>
          <w:p w14:paraId="2CB87C4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18C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77CDDD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759" w:type="pct"/>
            <w:vAlign w:val="center"/>
          </w:tcPr>
          <w:p w14:paraId="40A998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392" w:type="pct"/>
            <w:vAlign w:val="center"/>
          </w:tcPr>
          <w:p w14:paraId="3D35E1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57F7D1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943" w:type="pct"/>
            <w:vAlign w:val="center"/>
          </w:tcPr>
          <w:p w14:paraId="034A14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790" w:type="pct"/>
            <w:vAlign w:val="center"/>
          </w:tcPr>
          <w:p w14:paraId="737EA3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549" w:type="pct"/>
            <w:vAlign w:val="center"/>
          </w:tcPr>
          <w:p w14:paraId="7301B48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A20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3F8DC476">
            <w:pPr>
              <w:widowControl/>
              <w:jc w:val="left"/>
              <w:rPr>
                <w:rFonts w:ascii="宋体" w:hAnsi="宋体" w:cs="宋体"/>
                <w:color w:val="auto"/>
                <w:kern w:val="0"/>
                <w:sz w:val="18"/>
                <w:szCs w:val="18"/>
                <w:highlight w:val="none"/>
              </w:rPr>
            </w:pPr>
          </w:p>
        </w:tc>
        <w:tc>
          <w:tcPr>
            <w:tcW w:w="759" w:type="pct"/>
            <w:vAlign w:val="center"/>
          </w:tcPr>
          <w:p w14:paraId="0544B4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392" w:type="pct"/>
            <w:vAlign w:val="center"/>
          </w:tcPr>
          <w:p w14:paraId="2F4028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0BD3DB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943" w:type="pct"/>
            <w:vAlign w:val="center"/>
          </w:tcPr>
          <w:p w14:paraId="014016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790" w:type="pct"/>
            <w:vAlign w:val="center"/>
          </w:tcPr>
          <w:p w14:paraId="4A2C717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549" w:type="pct"/>
            <w:vAlign w:val="center"/>
          </w:tcPr>
          <w:p w14:paraId="6BEDF2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6C22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1D6DEFA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759" w:type="pct"/>
            <w:vAlign w:val="center"/>
          </w:tcPr>
          <w:p w14:paraId="69B81C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392" w:type="pct"/>
            <w:vAlign w:val="center"/>
          </w:tcPr>
          <w:p w14:paraId="08724A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624" w:type="pct"/>
            <w:vAlign w:val="center"/>
          </w:tcPr>
          <w:p w14:paraId="00CFDB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943" w:type="pct"/>
            <w:vAlign w:val="center"/>
          </w:tcPr>
          <w:p w14:paraId="3D6701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790" w:type="pct"/>
            <w:vAlign w:val="center"/>
          </w:tcPr>
          <w:p w14:paraId="59583C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549" w:type="pct"/>
            <w:vAlign w:val="center"/>
          </w:tcPr>
          <w:p w14:paraId="4A7466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6182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429B29D5">
            <w:pPr>
              <w:widowControl/>
              <w:jc w:val="left"/>
              <w:rPr>
                <w:rFonts w:ascii="宋体" w:hAnsi="宋体" w:cs="宋体"/>
                <w:color w:val="auto"/>
                <w:kern w:val="0"/>
                <w:sz w:val="18"/>
                <w:szCs w:val="18"/>
                <w:highlight w:val="none"/>
              </w:rPr>
            </w:pPr>
          </w:p>
        </w:tc>
        <w:tc>
          <w:tcPr>
            <w:tcW w:w="759" w:type="pct"/>
            <w:vAlign w:val="center"/>
          </w:tcPr>
          <w:p w14:paraId="44279E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392" w:type="pct"/>
            <w:vAlign w:val="center"/>
          </w:tcPr>
          <w:p w14:paraId="7EDD51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660BB1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943" w:type="pct"/>
            <w:vAlign w:val="center"/>
          </w:tcPr>
          <w:p w14:paraId="5304AE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790" w:type="pct"/>
            <w:vAlign w:val="center"/>
          </w:tcPr>
          <w:p w14:paraId="7DBBC124">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549" w:type="pct"/>
            <w:vAlign w:val="center"/>
          </w:tcPr>
          <w:p w14:paraId="0DA7F2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B94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469A64B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759" w:type="pct"/>
            <w:vAlign w:val="center"/>
          </w:tcPr>
          <w:p w14:paraId="414257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392" w:type="pct"/>
            <w:vAlign w:val="center"/>
          </w:tcPr>
          <w:p w14:paraId="043C38E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624" w:type="pct"/>
            <w:vAlign w:val="center"/>
          </w:tcPr>
          <w:p w14:paraId="2B25B7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943" w:type="pct"/>
            <w:vAlign w:val="center"/>
          </w:tcPr>
          <w:p w14:paraId="5E8669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790" w:type="pct"/>
            <w:vAlign w:val="center"/>
          </w:tcPr>
          <w:p w14:paraId="4FF4AB82">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549" w:type="pct"/>
            <w:vAlign w:val="center"/>
          </w:tcPr>
          <w:p w14:paraId="201239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9F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64B4DA48">
            <w:pPr>
              <w:widowControl/>
              <w:jc w:val="left"/>
              <w:rPr>
                <w:rFonts w:ascii="宋体" w:hAnsi="宋体" w:cs="宋体"/>
                <w:color w:val="auto"/>
                <w:kern w:val="0"/>
                <w:sz w:val="18"/>
                <w:szCs w:val="18"/>
                <w:highlight w:val="none"/>
              </w:rPr>
            </w:pPr>
          </w:p>
        </w:tc>
        <w:tc>
          <w:tcPr>
            <w:tcW w:w="759" w:type="pct"/>
            <w:vAlign w:val="center"/>
          </w:tcPr>
          <w:p w14:paraId="78F579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392" w:type="pct"/>
            <w:vAlign w:val="center"/>
          </w:tcPr>
          <w:p w14:paraId="3F0E6F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3F749DD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943" w:type="pct"/>
            <w:vAlign w:val="center"/>
          </w:tcPr>
          <w:p w14:paraId="522CEE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790" w:type="pct"/>
            <w:vAlign w:val="center"/>
          </w:tcPr>
          <w:p w14:paraId="5B4D07BD">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549" w:type="pct"/>
            <w:vAlign w:val="center"/>
          </w:tcPr>
          <w:p w14:paraId="3FE1A1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6A6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45F466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759" w:type="pct"/>
            <w:vAlign w:val="center"/>
          </w:tcPr>
          <w:p w14:paraId="109B96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392" w:type="pct"/>
            <w:vAlign w:val="center"/>
          </w:tcPr>
          <w:p w14:paraId="6F8BFF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624" w:type="pct"/>
            <w:vAlign w:val="center"/>
          </w:tcPr>
          <w:p w14:paraId="6C69A0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943" w:type="pct"/>
            <w:vAlign w:val="center"/>
          </w:tcPr>
          <w:p w14:paraId="31FF3B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790" w:type="pct"/>
            <w:vAlign w:val="center"/>
          </w:tcPr>
          <w:p w14:paraId="2D66302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549" w:type="pct"/>
            <w:vAlign w:val="center"/>
          </w:tcPr>
          <w:p w14:paraId="726BD7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E3E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3D2BF453">
            <w:pPr>
              <w:widowControl/>
              <w:jc w:val="left"/>
              <w:rPr>
                <w:rFonts w:ascii="宋体" w:hAnsi="宋体" w:cs="宋体"/>
                <w:color w:val="auto"/>
                <w:kern w:val="0"/>
                <w:sz w:val="18"/>
                <w:szCs w:val="18"/>
                <w:highlight w:val="none"/>
              </w:rPr>
            </w:pPr>
          </w:p>
        </w:tc>
        <w:tc>
          <w:tcPr>
            <w:tcW w:w="759" w:type="pct"/>
            <w:vAlign w:val="center"/>
          </w:tcPr>
          <w:p w14:paraId="4EDD10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392" w:type="pct"/>
            <w:vAlign w:val="center"/>
          </w:tcPr>
          <w:p w14:paraId="20642B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79D233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943" w:type="pct"/>
            <w:vAlign w:val="center"/>
          </w:tcPr>
          <w:p w14:paraId="1B9BDD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790" w:type="pct"/>
            <w:vAlign w:val="center"/>
          </w:tcPr>
          <w:p w14:paraId="58748A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549" w:type="pct"/>
            <w:vAlign w:val="center"/>
          </w:tcPr>
          <w:p w14:paraId="7E9644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87B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56947D4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759" w:type="pct"/>
            <w:vAlign w:val="center"/>
          </w:tcPr>
          <w:p w14:paraId="5207AB7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392" w:type="pct"/>
            <w:vAlign w:val="center"/>
          </w:tcPr>
          <w:p w14:paraId="5B8D78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624" w:type="pct"/>
            <w:vAlign w:val="center"/>
          </w:tcPr>
          <w:p w14:paraId="32828C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943" w:type="pct"/>
            <w:vAlign w:val="center"/>
          </w:tcPr>
          <w:p w14:paraId="63BF28AE">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790" w:type="pct"/>
            <w:vAlign w:val="center"/>
          </w:tcPr>
          <w:p w14:paraId="6E0CA9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549" w:type="pct"/>
            <w:vAlign w:val="center"/>
          </w:tcPr>
          <w:p w14:paraId="7EA2C2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C0B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26A73D7B">
            <w:pPr>
              <w:widowControl/>
              <w:jc w:val="left"/>
              <w:rPr>
                <w:rFonts w:ascii="宋体" w:hAnsi="宋体" w:cs="宋体"/>
                <w:color w:val="auto"/>
                <w:kern w:val="0"/>
                <w:sz w:val="18"/>
                <w:szCs w:val="18"/>
                <w:highlight w:val="none"/>
              </w:rPr>
            </w:pPr>
          </w:p>
        </w:tc>
        <w:tc>
          <w:tcPr>
            <w:tcW w:w="759" w:type="pct"/>
            <w:vAlign w:val="center"/>
          </w:tcPr>
          <w:p w14:paraId="22A73F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392" w:type="pct"/>
            <w:vAlign w:val="center"/>
          </w:tcPr>
          <w:p w14:paraId="54111D4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2CE4FD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943" w:type="pct"/>
            <w:vAlign w:val="center"/>
          </w:tcPr>
          <w:p w14:paraId="47AD5C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790" w:type="pct"/>
            <w:vAlign w:val="center"/>
          </w:tcPr>
          <w:p w14:paraId="2EC6F8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549" w:type="pct"/>
            <w:vAlign w:val="center"/>
          </w:tcPr>
          <w:p w14:paraId="27BBD2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299E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343BC0C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759" w:type="pct"/>
            <w:vAlign w:val="center"/>
          </w:tcPr>
          <w:p w14:paraId="039126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392" w:type="pct"/>
            <w:vAlign w:val="center"/>
          </w:tcPr>
          <w:p w14:paraId="22EA02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624" w:type="pct"/>
            <w:vAlign w:val="center"/>
          </w:tcPr>
          <w:p w14:paraId="7BCF3A6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943" w:type="pct"/>
            <w:vAlign w:val="center"/>
          </w:tcPr>
          <w:p w14:paraId="4A9ACA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790" w:type="pct"/>
            <w:vAlign w:val="center"/>
          </w:tcPr>
          <w:p w14:paraId="59F5C8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549" w:type="pct"/>
            <w:vAlign w:val="center"/>
          </w:tcPr>
          <w:p w14:paraId="5200F7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7E9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276C2B78">
            <w:pPr>
              <w:widowControl/>
              <w:jc w:val="left"/>
              <w:rPr>
                <w:rFonts w:ascii="宋体" w:hAnsi="宋体" w:cs="宋体"/>
                <w:color w:val="auto"/>
                <w:kern w:val="0"/>
                <w:sz w:val="18"/>
                <w:szCs w:val="18"/>
                <w:highlight w:val="none"/>
              </w:rPr>
            </w:pPr>
          </w:p>
        </w:tc>
        <w:tc>
          <w:tcPr>
            <w:tcW w:w="759" w:type="pct"/>
            <w:vAlign w:val="center"/>
          </w:tcPr>
          <w:p w14:paraId="21B4C4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392" w:type="pct"/>
            <w:vAlign w:val="center"/>
          </w:tcPr>
          <w:p w14:paraId="4143E40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721FC24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943" w:type="pct"/>
            <w:vAlign w:val="center"/>
          </w:tcPr>
          <w:p w14:paraId="3CE930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790" w:type="pct"/>
            <w:vAlign w:val="center"/>
          </w:tcPr>
          <w:p w14:paraId="688ED2E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549" w:type="pct"/>
            <w:vAlign w:val="center"/>
          </w:tcPr>
          <w:p w14:paraId="5D7578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A623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18E527C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759" w:type="pct"/>
            <w:vAlign w:val="center"/>
          </w:tcPr>
          <w:p w14:paraId="6812A6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392" w:type="pct"/>
            <w:vAlign w:val="center"/>
          </w:tcPr>
          <w:p w14:paraId="61C149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624" w:type="pct"/>
            <w:vAlign w:val="center"/>
          </w:tcPr>
          <w:p w14:paraId="2A449A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943" w:type="pct"/>
            <w:vAlign w:val="center"/>
          </w:tcPr>
          <w:p w14:paraId="2694CFDE">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790" w:type="pct"/>
            <w:vAlign w:val="center"/>
          </w:tcPr>
          <w:p w14:paraId="71D432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549" w:type="pct"/>
            <w:vAlign w:val="center"/>
          </w:tcPr>
          <w:p w14:paraId="556BC2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2D0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20427095">
            <w:pPr>
              <w:widowControl/>
              <w:jc w:val="left"/>
              <w:rPr>
                <w:rFonts w:ascii="宋体" w:hAnsi="宋体" w:cs="宋体"/>
                <w:color w:val="auto"/>
                <w:kern w:val="0"/>
                <w:sz w:val="18"/>
                <w:szCs w:val="18"/>
                <w:highlight w:val="none"/>
              </w:rPr>
            </w:pPr>
          </w:p>
        </w:tc>
        <w:tc>
          <w:tcPr>
            <w:tcW w:w="759" w:type="pct"/>
            <w:vAlign w:val="center"/>
          </w:tcPr>
          <w:p w14:paraId="06B60C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392" w:type="pct"/>
            <w:vAlign w:val="center"/>
          </w:tcPr>
          <w:p w14:paraId="2AF7B2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15364FF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943" w:type="pct"/>
            <w:vAlign w:val="center"/>
          </w:tcPr>
          <w:p w14:paraId="208EB2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790" w:type="pct"/>
            <w:vAlign w:val="center"/>
          </w:tcPr>
          <w:p w14:paraId="618749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549" w:type="pct"/>
            <w:vAlign w:val="center"/>
          </w:tcPr>
          <w:p w14:paraId="512966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8F1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7034B2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759" w:type="pct"/>
            <w:vAlign w:val="center"/>
          </w:tcPr>
          <w:p w14:paraId="426988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392" w:type="pct"/>
            <w:vAlign w:val="center"/>
          </w:tcPr>
          <w:p w14:paraId="3DBC22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624" w:type="pct"/>
            <w:vAlign w:val="center"/>
          </w:tcPr>
          <w:p w14:paraId="1A9652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943" w:type="pct"/>
            <w:vAlign w:val="center"/>
          </w:tcPr>
          <w:p w14:paraId="11D2EF00">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790" w:type="pct"/>
            <w:vAlign w:val="center"/>
          </w:tcPr>
          <w:p w14:paraId="194CC3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549" w:type="pct"/>
            <w:vAlign w:val="center"/>
          </w:tcPr>
          <w:p w14:paraId="793FD1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B9B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5B18AA19">
            <w:pPr>
              <w:widowControl/>
              <w:jc w:val="left"/>
              <w:rPr>
                <w:rFonts w:ascii="宋体" w:hAnsi="宋体" w:cs="宋体"/>
                <w:color w:val="auto"/>
                <w:kern w:val="0"/>
                <w:sz w:val="18"/>
                <w:szCs w:val="18"/>
                <w:highlight w:val="none"/>
              </w:rPr>
            </w:pPr>
          </w:p>
        </w:tc>
        <w:tc>
          <w:tcPr>
            <w:tcW w:w="759" w:type="pct"/>
            <w:vAlign w:val="center"/>
          </w:tcPr>
          <w:p w14:paraId="70B1C2D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392" w:type="pct"/>
            <w:vAlign w:val="center"/>
          </w:tcPr>
          <w:p w14:paraId="5105A2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409AB2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943" w:type="pct"/>
            <w:vAlign w:val="center"/>
          </w:tcPr>
          <w:p w14:paraId="391DE7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790" w:type="pct"/>
            <w:vAlign w:val="center"/>
          </w:tcPr>
          <w:p w14:paraId="17B6E4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549" w:type="pct"/>
            <w:vAlign w:val="center"/>
          </w:tcPr>
          <w:p w14:paraId="1D1098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75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restart"/>
            <w:vAlign w:val="center"/>
          </w:tcPr>
          <w:p w14:paraId="430F1C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759" w:type="pct"/>
            <w:vAlign w:val="center"/>
          </w:tcPr>
          <w:p w14:paraId="65A1AD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392" w:type="pct"/>
            <w:vAlign w:val="center"/>
          </w:tcPr>
          <w:p w14:paraId="27B0A5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624" w:type="pct"/>
            <w:vAlign w:val="center"/>
          </w:tcPr>
          <w:p w14:paraId="3872AE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943" w:type="pct"/>
            <w:vAlign w:val="center"/>
          </w:tcPr>
          <w:p w14:paraId="4674A5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790" w:type="pct"/>
            <w:vAlign w:val="center"/>
          </w:tcPr>
          <w:p w14:paraId="3B8E0F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549" w:type="pct"/>
            <w:vAlign w:val="center"/>
          </w:tcPr>
          <w:p w14:paraId="29F514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F69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Merge w:val="continue"/>
            <w:vAlign w:val="center"/>
          </w:tcPr>
          <w:p w14:paraId="3CEB35F2">
            <w:pPr>
              <w:widowControl/>
              <w:jc w:val="left"/>
              <w:rPr>
                <w:rFonts w:ascii="宋体" w:hAnsi="宋体" w:cs="宋体"/>
                <w:color w:val="auto"/>
                <w:kern w:val="0"/>
                <w:sz w:val="18"/>
                <w:szCs w:val="18"/>
                <w:highlight w:val="none"/>
              </w:rPr>
            </w:pPr>
          </w:p>
        </w:tc>
        <w:tc>
          <w:tcPr>
            <w:tcW w:w="759" w:type="pct"/>
            <w:vAlign w:val="center"/>
          </w:tcPr>
          <w:p w14:paraId="1319D0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392" w:type="pct"/>
            <w:vAlign w:val="center"/>
          </w:tcPr>
          <w:p w14:paraId="2B9212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270B55E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943" w:type="pct"/>
            <w:vAlign w:val="center"/>
          </w:tcPr>
          <w:p w14:paraId="60D702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790" w:type="pct"/>
            <w:vAlign w:val="center"/>
          </w:tcPr>
          <w:p w14:paraId="41ABCA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549" w:type="pct"/>
            <w:vAlign w:val="center"/>
          </w:tcPr>
          <w:p w14:paraId="739C4E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1FC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restart"/>
            <w:vAlign w:val="center"/>
          </w:tcPr>
          <w:p w14:paraId="601CC6D1">
            <w:pPr>
              <w:widowControl/>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759" w:type="pct"/>
            <w:vAlign w:val="center"/>
          </w:tcPr>
          <w:p w14:paraId="4767D6C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392" w:type="pct"/>
            <w:vAlign w:val="center"/>
          </w:tcPr>
          <w:p w14:paraId="18D9E9C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624" w:type="pct"/>
            <w:vAlign w:val="center"/>
          </w:tcPr>
          <w:p w14:paraId="2B588D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943" w:type="pct"/>
            <w:vAlign w:val="center"/>
          </w:tcPr>
          <w:p w14:paraId="06ED7C1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790" w:type="pct"/>
            <w:vAlign w:val="center"/>
          </w:tcPr>
          <w:p w14:paraId="410ED1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549" w:type="pct"/>
            <w:vAlign w:val="center"/>
          </w:tcPr>
          <w:p w14:paraId="0757E3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40A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continue"/>
            <w:vAlign w:val="center"/>
          </w:tcPr>
          <w:p w14:paraId="5E06D5CC">
            <w:pPr>
              <w:widowControl/>
              <w:jc w:val="left"/>
              <w:rPr>
                <w:rFonts w:ascii="宋体" w:hAnsi="宋体" w:cs="宋体"/>
                <w:color w:val="auto"/>
                <w:spacing w:val="-12"/>
                <w:kern w:val="0"/>
                <w:sz w:val="18"/>
                <w:szCs w:val="18"/>
                <w:highlight w:val="none"/>
              </w:rPr>
            </w:pPr>
          </w:p>
        </w:tc>
        <w:tc>
          <w:tcPr>
            <w:tcW w:w="759" w:type="pct"/>
            <w:vAlign w:val="center"/>
          </w:tcPr>
          <w:p w14:paraId="3F6E66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392" w:type="pct"/>
            <w:vAlign w:val="center"/>
          </w:tcPr>
          <w:p w14:paraId="1BE6BFF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2B7823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943" w:type="pct"/>
            <w:vAlign w:val="center"/>
          </w:tcPr>
          <w:p w14:paraId="4CF2A9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790" w:type="pct"/>
            <w:vAlign w:val="center"/>
          </w:tcPr>
          <w:p w14:paraId="347545C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549" w:type="pct"/>
            <w:vAlign w:val="center"/>
          </w:tcPr>
          <w:p w14:paraId="1E75D8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2404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restart"/>
            <w:vAlign w:val="center"/>
          </w:tcPr>
          <w:p w14:paraId="7097AD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759" w:type="pct"/>
            <w:vAlign w:val="center"/>
          </w:tcPr>
          <w:p w14:paraId="507FC4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392" w:type="pct"/>
            <w:vAlign w:val="center"/>
          </w:tcPr>
          <w:p w14:paraId="2E299B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3D7008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943" w:type="pct"/>
            <w:vAlign w:val="center"/>
          </w:tcPr>
          <w:p w14:paraId="276FAA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790" w:type="pct"/>
            <w:vAlign w:val="center"/>
          </w:tcPr>
          <w:p w14:paraId="6772A2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549" w:type="pct"/>
            <w:vAlign w:val="center"/>
          </w:tcPr>
          <w:p w14:paraId="75BB215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0A2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continue"/>
            <w:vAlign w:val="center"/>
          </w:tcPr>
          <w:p w14:paraId="5495FB4A">
            <w:pPr>
              <w:widowControl/>
              <w:jc w:val="left"/>
              <w:rPr>
                <w:rFonts w:ascii="宋体" w:hAnsi="宋体" w:cs="宋体"/>
                <w:color w:val="auto"/>
                <w:kern w:val="0"/>
                <w:sz w:val="18"/>
                <w:szCs w:val="18"/>
                <w:highlight w:val="none"/>
              </w:rPr>
            </w:pPr>
          </w:p>
        </w:tc>
        <w:tc>
          <w:tcPr>
            <w:tcW w:w="759" w:type="pct"/>
            <w:vAlign w:val="center"/>
          </w:tcPr>
          <w:p w14:paraId="6C052F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392" w:type="pct"/>
            <w:vAlign w:val="center"/>
          </w:tcPr>
          <w:p w14:paraId="2DA370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5510CCB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943" w:type="pct"/>
            <w:vAlign w:val="center"/>
          </w:tcPr>
          <w:p w14:paraId="2EF16B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790" w:type="pct"/>
            <w:vAlign w:val="center"/>
          </w:tcPr>
          <w:p w14:paraId="67AF18B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549" w:type="pct"/>
            <w:vAlign w:val="center"/>
          </w:tcPr>
          <w:p w14:paraId="1CE22D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0502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restart"/>
            <w:vAlign w:val="center"/>
          </w:tcPr>
          <w:p w14:paraId="0DD1DA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759" w:type="pct"/>
            <w:vAlign w:val="center"/>
          </w:tcPr>
          <w:p w14:paraId="77544E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392" w:type="pct"/>
            <w:vAlign w:val="center"/>
          </w:tcPr>
          <w:p w14:paraId="50F3F4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624" w:type="pct"/>
            <w:vAlign w:val="center"/>
          </w:tcPr>
          <w:p w14:paraId="07411A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943" w:type="pct"/>
            <w:vAlign w:val="center"/>
          </w:tcPr>
          <w:p w14:paraId="7BAC2A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790" w:type="pct"/>
            <w:vAlign w:val="center"/>
          </w:tcPr>
          <w:p w14:paraId="413C96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549" w:type="pct"/>
            <w:vAlign w:val="center"/>
          </w:tcPr>
          <w:p w14:paraId="4948AC9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C67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continue"/>
            <w:vAlign w:val="center"/>
          </w:tcPr>
          <w:p w14:paraId="771A6C17">
            <w:pPr>
              <w:widowControl/>
              <w:jc w:val="left"/>
              <w:rPr>
                <w:rFonts w:ascii="宋体" w:hAnsi="宋体" w:cs="宋体"/>
                <w:color w:val="auto"/>
                <w:kern w:val="0"/>
                <w:sz w:val="18"/>
                <w:szCs w:val="18"/>
                <w:highlight w:val="none"/>
              </w:rPr>
            </w:pPr>
          </w:p>
        </w:tc>
        <w:tc>
          <w:tcPr>
            <w:tcW w:w="759" w:type="pct"/>
            <w:vAlign w:val="center"/>
          </w:tcPr>
          <w:p w14:paraId="477BD7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392" w:type="pct"/>
            <w:vAlign w:val="center"/>
          </w:tcPr>
          <w:p w14:paraId="63ED93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07BA2F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943" w:type="pct"/>
            <w:vAlign w:val="center"/>
          </w:tcPr>
          <w:p w14:paraId="5562E568">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790" w:type="pct"/>
            <w:vAlign w:val="center"/>
          </w:tcPr>
          <w:p w14:paraId="372C32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549" w:type="pct"/>
            <w:vAlign w:val="center"/>
          </w:tcPr>
          <w:p w14:paraId="750354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01BF8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restart"/>
            <w:vAlign w:val="center"/>
          </w:tcPr>
          <w:p w14:paraId="0810F29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759" w:type="pct"/>
            <w:vAlign w:val="center"/>
          </w:tcPr>
          <w:p w14:paraId="5B74F81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392" w:type="pct"/>
            <w:vAlign w:val="center"/>
          </w:tcPr>
          <w:p w14:paraId="24FE66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624" w:type="pct"/>
            <w:vAlign w:val="center"/>
          </w:tcPr>
          <w:p w14:paraId="645AB4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943" w:type="pct"/>
            <w:vAlign w:val="center"/>
          </w:tcPr>
          <w:p w14:paraId="747BD6D6">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790" w:type="pct"/>
            <w:vAlign w:val="center"/>
          </w:tcPr>
          <w:p w14:paraId="20EC984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549" w:type="pct"/>
            <w:vAlign w:val="center"/>
          </w:tcPr>
          <w:p w14:paraId="5E6D966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E06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39" w:type="pct"/>
            <w:vMerge w:val="continue"/>
            <w:vAlign w:val="center"/>
          </w:tcPr>
          <w:p w14:paraId="265AC65F">
            <w:pPr>
              <w:widowControl/>
              <w:jc w:val="left"/>
              <w:rPr>
                <w:rFonts w:ascii="宋体" w:hAnsi="宋体" w:cs="宋体"/>
                <w:color w:val="auto"/>
                <w:kern w:val="0"/>
                <w:sz w:val="18"/>
                <w:szCs w:val="18"/>
                <w:highlight w:val="none"/>
              </w:rPr>
            </w:pPr>
          </w:p>
        </w:tc>
        <w:tc>
          <w:tcPr>
            <w:tcW w:w="759" w:type="pct"/>
            <w:vAlign w:val="center"/>
          </w:tcPr>
          <w:p w14:paraId="2F2973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392" w:type="pct"/>
            <w:vAlign w:val="center"/>
          </w:tcPr>
          <w:p w14:paraId="003393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624" w:type="pct"/>
            <w:vAlign w:val="center"/>
          </w:tcPr>
          <w:p w14:paraId="326B37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943" w:type="pct"/>
            <w:vAlign w:val="center"/>
          </w:tcPr>
          <w:p w14:paraId="769980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790" w:type="pct"/>
            <w:vAlign w:val="center"/>
          </w:tcPr>
          <w:p w14:paraId="25C396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549" w:type="pct"/>
            <w:vAlign w:val="center"/>
          </w:tcPr>
          <w:p w14:paraId="299806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7B16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9" w:type="pct"/>
            <w:vAlign w:val="center"/>
          </w:tcPr>
          <w:p w14:paraId="440329E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759" w:type="pct"/>
            <w:vAlign w:val="center"/>
          </w:tcPr>
          <w:p w14:paraId="22210F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392" w:type="pct"/>
            <w:vAlign w:val="center"/>
          </w:tcPr>
          <w:p w14:paraId="3388BA9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624" w:type="pct"/>
            <w:vAlign w:val="center"/>
          </w:tcPr>
          <w:p w14:paraId="0FE04E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943" w:type="pct"/>
            <w:vAlign w:val="center"/>
          </w:tcPr>
          <w:p w14:paraId="5491FE5A">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790" w:type="pct"/>
            <w:vAlign w:val="center"/>
          </w:tcPr>
          <w:p w14:paraId="685CE9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549" w:type="pct"/>
            <w:vAlign w:val="center"/>
          </w:tcPr>
          <w:p w14:paraId="467C26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672318F1">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说明：</w:t>
      </w:r>
    </w:p>
    <w:p w14:paraId="31C0DBBC">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1.大型、中型和小型企业须同时满足所列指标的下限，否则下划一档；微型企业只须满足所列指标中的一项即可。</w:t>
      </w:r>
    </w:p>
    <w:p w14:paraId="651BD839">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7E0ECC1">
      <w:pPr>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6E8BC543">
      <w:pPr>
        <w:spacing w:line="360" w:lineRule="auto"/>
        <w:ind w:firstLine="525" w:firstLineChars="250"/>
        <w:jc w:val="left"/>
        <w:rPr>
          <w:rFonts w:ascii="宋体" w:hAnsi="宋体" w:cs="宋体"/>
          <w:color w:val="auto"/>
          <w:szCs w:val="21"/>
          <w:highlight w:val="none"/>
        </w:rPr>
      </w:pPr>
    </w:p>
    <w:p w14:paraId="4BAA8C37">
      <w:pPr>
        <w:keepNext/>
        <w:keepLines/>
        <w:snapToGrid w:val="0"/>
        <w:spacing w:before="340" w:after="330" w:line="360" w:lineRule="auto"/>
        <w:ind w:firstLine="420" w:firstLineChars="200"/>
        <w:rPr>
          <w:rStyle w:val="50"/>
          <w:color w:val="auto"/>
          <w:highlight w:val="none"/>
        </w:rPr>
      </w:pPr>
      <w:r>
        <w:rPr>
          <w:rFonts w:hint="eastAsia" w:ascii="宋体" w:hAnsi="宋体" w:cs="宋体"/>
          <w:color w:val="auto"/>
          <w:highlight w:val="none"/>
        </w:rPr>
        <w:br w:type="page"/>
      </w:r>
      <w:r>
        <w:rPr>
          <w:rStyle w:val="50"/>
          <w:rFonts w:hint="eastAsia"/>
          <w:color w:val="auto"/>
          <w:highlight w:val="none"/>
        </w:rPr>
        <w:t>第四章 评审程序、评审方法和评审标准</w:t>
      </w:r>
    </w:p>
    <w:bookmarkEnd w:id="51"/>
    <w:p w14:paraId="58E12054">
      <w:pPr>
        <w:spacing w:line="360" w:lineRule="auto"/>
        <w:jc w:val="center"/>
        <w:outlineLvl w:val="1"/>
        <w:rPr>
          <w:rFonts w:ascii="宋体" w:hAnsi="宋体" w:cs="宋体"/>
          <w:b/>
          <w:color w:val="auto"/>
          <w:sz w:val="32"/>
          <w:szCs w:val="32"/>
          <w:highlight w:val="none"/>
        </w:rPr>
      </w:pPr>
      <w:bookmarkStart w:id="52" w:name="_Toc1316"/>
      <w:bookmarkStart w:id="53" w:name="_Toc7330"/>
      <w:bookmarkStart w:id="54" w:name="_Toc18475"/>
      <w:r>
        <w:rPr>
          <w:rFonts w:hint="eastAsia" w:ascii="宋体" w:hAnsi="宋体" w:cs="宋体"/>
          <w:b/>
          <w:color w:val="auto"/>
          <w:sz w:val="32"/>
          <w:szCs w:val="32"/>
          <w:highlight w:val="none"/>
        </w:rPr>
        <w:t>一、评审程序和评审方法</w:t>
      </w:r>
      <w:bookmarkEnd w:id="52"/>
      <w:bookmarkEnd w:id="53"/>
      <w:bookmarkEnd w:id="54"/>
    </w:p>
    <w:p w14:paraId="282352C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 资格审查</w:t>
      </w:r>
    </w:p>
    <w:p w14:paraId="1BBCCC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 响应文件开启后，磋商小组依法对供应商的资格证明文件进行审查。</w:t>
      </w:r>
    </w:p>
    <w:p w14:paraId="032493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注：磋商小组在资格审查结束前，对供应商进行信用查询。</w:t>
      </w:r>
    </w:p>
    <w:p w14:paraId="0D6794D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（1）查询渠道：“信用中国”网站(https://www.creditchina.gov.cn/)、中国政府采购网(http://www.ccgp.gov.cn/)链接入口。</w:t>
      </w:r>
    </w:p>
    <w:p w14:paraId="35D7DA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B011D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473F92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（4）信用信息使用规则：对在“信用中国”网站（https://www.creditchina.gov.cn/） 、中国政府采购网（http://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570960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 资格审查标准为本磋商文件中载明对供应商资格要求的条件。资格审查采用合格制，凡符合磋商文件规定的供应商资格要求的响应文件均通过资格审查。</w:t>
      </w:r>
    </w:p>
    <w:p w14:paraId="623410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 供应商有下列情形之一的，资格审查不通过，其响应文件按无效响应处理：</w:t>
      </w:r>
    </w:p>
    <w:p w14:paraId="4DA6F3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7094E8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3143D1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（3）响应文件的资格证明文件缺少任一项“供应商须知前附表”资格证明文件规定的“必须提供”的文件资料的；</w:t>
      </w:r>
    </w:p>
    <w:p w14:paraId="21EACC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1863A5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699E80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 通过资格审查的合格供应商不足 3 家的，不得进入符合性审查环节，采购人或者采购代理机构应当重新开展采购活动。</w:t>
      </w:r>
    </w:p>
    <w:p w14:paraId="4E8F71E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 符合性审查</w:t>
      </w:r>
    </w:p>
    <w:p w14:paraId="75F7C6E0">
      <w:pPr>
        <w:spacing w:line="360" w:lineRule="auto"/>
        <w:ind w:firstLine="420" w:firstLineChars="200"/>
        <w:rPr>
          <w:rFonts w:ascii="宋体" w:hAnsi="宋体" w:cs="宋体"/>
          <w:color w:val="auto"/>
          <w:szCs w:val="21"/>
          <w:highlight w:val="none"/>
        </w:rPr>
      </w:pPr>
      <w:bookmarkStart w:id="55" w:name="_Hlk42528882"/>
      <w:r>
        <w:rPr>
          <w:rFonts w:hint="eastAsia" w:ascii="宋体" w:hAnsi="宋体" w:cs="宋体"/>
          <w:color w:val="auto"/>
          <w:szCs w:val="21"/>
          <w:highlight w:val="none"/>
        </w:rPr>
        <w:t>2.1 由磋商小组对通过资格审查的合格供应商的响应文件的竞标报价、商务、技术等实质性要求进行符合性审查，以确定其是否满足磋商文件的实质性要求。</w:t>
      </w:r>
    </w:p>
    <w:bookmarkEnd w:id="55"/>
    <w:p w14:paraId="19E6F7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C506F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p>
    <w:p w14:paraId="015E1FA4">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09521A29">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 xml:space="preserve">2.4 </w:t>
      </w:r>
      <w:r>
        <w:rPr>
          <w:rFonts w:hint="eastAsia" w:ascii="宋体" w:hAnsi="宋体" w:cs="宋体"/>
          <w:color w:val="auto"/>
          <w:szCs w:val="21"/>
          <w:highlight w:val="none"/>
        </w:rPr>
        <w:t>首次响应文件报价出现前后不一致的，按照下列规定修正：</w:t>
      </w:r>
    </w:p>
    <w:p w14:paraId="2CFD90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21AF99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516F0A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24BBF6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3DA042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7B41F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 商务技术报价评审</w:t>
      </w:r>
    </w:p>
    <w:p w14:paraId="70B7D9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1888B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2C12C7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27BED1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2）委托代理人未能出具有效身份证或者出具的身份证与授权委托书中的信息不符的；</w:t>
      </w:r>
    </w:p>
    <w:p w14:paraId="60ABB2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3）提交的磋商保证金无效的或者未按照磋商文件的规定提交磋商保证金；</w:t>
      </w:r>
    </w:p>
    <w:p w14:paraId="78DE3E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30B27F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157028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6）未对竞标有效期作出响应或者响应文件承诺的竞标有效期不满足磋商文件要求；</w:t>
      </w:r>
    </w:p>
    <w:p w14:paraId="7A102B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7）响应文件的实质性内容未使用中文表述、使用计量单位不符合磋商文件要求；</w:t>
      </w:r>
    </w:p>
    <w:p w14:paraId="012BAA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8）响应文件中的文件资料因填写不齐全或者内容虚假或者出现其他情形而导致被磋商小组认定无效；</w:t>
      </w:r>
    </w:p>
    <w:p w14:paraId="2BFE93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w:t>
      </w:r>
    </w:p>
    <w:p w14:paraId="00FCCD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 7.5 条情形；</w:t>
      </w:r>
    </w:p>
    <w:p w14:paraId="36BC81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eastAsia="zh-CN"/>
        </w:rPr>
        <w:t>服务</w:t>
      </w:r>
      <w:r>
        <w:rPr>
          <w:rFonts w:hint="eastAsia" w:ascii="宋体" w:hAnsi="宋体" w:cs="宋体"/>
          <w:color w:val="auto"/>
          <w:szCs w:val="21"/>
          <w:highlight w:val="none"/>
        </w:rPr>
        <w:t>要求允许负偏离的条款数超过“供应商须知前附表”规定项数；</w:t>
      </w:r>
    </w:p>
    <w:p w14:paraId="514A9F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12）虚假竞标，或者出现其他情形而导致被磋商小组认定无效；</w:t>
      </w:r>
    </w:p>
    <w:p w14:paraId="278EBD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13）磋商文件未载明允许提供备选（替代）竞标方案或明确不允许提供备选（替代）竞标方案时，供应商提供了备选（替代）竞标方案的；</w:t>
      </w:r>
    </w:p>
    <w:p w14:paraId="4BBD16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14）响应文件标注的项目名称或者项目编号与磋商文件标注的项目名称或者项目编号不一致的；</w:t>
      </w:r>
    </w:p>
    <w:p w14:paraId="79D680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15）竞争性磋商文件明确不允许分包，响应文件拟分包的；</w:t>
      </w:r>
    </w:p>
    <w:p w14:paraId="4D960B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16）未响应磋商文件实质性要求；</w:t>
      </w:r>
    </w:p>
    <w:p w14:paraId="5F4200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17）法律、法规和磋商文件规定的其他无效情形。</w:t>
      </w:r>
    </w:p>
    <w:p w14:paraId="04DAD8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049546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报价文件中规定的“竞标报价表”；</w:t>
      </w:r>
    </w:p>
    <w:p w14:paraId="0767AB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4A92B6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2AC6739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磋商文件分项采购预算金额或者最高限价的（如本项目公布了最高限价）；</w:t>
      </w:r>
    </w:p>
    <w:p w14:paraId="19DD7C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173BAC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33E1E6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 磋商小组对响应文件进行评审，未实质性响应磋商文件的响应文件按无效处理，磋商小组应当将资格和符合性不通过的情况告知有关供应商。磋商小组从符合磋商文件规定的相应资格条件的供应商名单中确定不少于 3 家的供应商参加磋商。</w:t>
      </w:r>
    </w:p>
    <w:p w14:paraId="77832D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 通过符合性审查的合格供应商不足 3 家的，不得进入磋商环节，采购人或者采购代理机构应当重新开展采购活动。</w:t>
      </w:r>
    </w:p>
    <w:p w14:paraId="5834CFF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 磋商</w:t>
      </w:r>
    </w:p>
    <w:p w14:paraId="0190CB41">
      <w:pPr>
        <w:tabs>
          <w:tab w:val="left" w:pos="2835"/>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3.1 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7F083AC7">
      <w:pPr>
        <w:tabs>
          <w:tab w:val="left" w:pos="2835"/>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 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DB64523">
      <w:pPr>
        <w:tabs>
          <w:tab w:val="left" w:pos="2835"/>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3.3 对磋商文件作出的实质性变动是磋商文件的有效组成部分，由磋商小组及时以电子澄清函形式同时通知所有参加磋商的供应商。</w:t>
      </w:r>
    </w:p>
    <w:p w14:paraId="030B6688">
      <w:pPr>
        <w:tabs>
          <w:tab w:val="left" w:pos="2835"/>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3.4 供应商必须按照磋商文件的变动情况和磋商小组的要求以回函的形式重新提交响应文件，并加盖电子签章。参加磋商的供应商未在规定时间内重新提交响应文件的，视同退出磋商，其响应文件按无效处理。</w:t>
      </w:r>
    </w:p>
    <w:p w14:paraId="1ADFA399">
      <w:pPr>
        <w:tabs>
          <w:tab w:val="left" w:pos="2835"/>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3.5 磋商中，磋商的任何一方不得透露与磋商有关的其他供应商的技术资料、价格和其他信息。</w:t>
      </w:r>
    </w:p>
    <w:p w14:paraId="4F0C416E">
      <w:pPr>
        <w:tabs>
          <w:tab w:val="left" w:pos="2835"/>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3.6 采购代理机构对磋商过程和重要磋商内容进行记录。</w:t>
      </w:r>
    </w:p>
    <w:p w14:paraId="16A43C99">
      <w:pPr>
        <w:tabs>
          <w:tab w:val="left" w:pos="2835"/>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3.7 根据《财政部关于政府采购竞争性磋商采购方式管理暂行办法有关问题的补充通知》（财库〔2015〕124 号）的规定，采用竞争性磋商采购方式采购的政府购买服务项目（含政府和社会资本合作项目），在采购过程中符合要求的供应商（社会资本）只有 2 家的，竞争性磋商采购活动可以继续进行。采购过程中符合要求的供应商（社会资本）只有 1 家的，采购人（项目实施机构）或者采购代理机构应当终止竞争性磋商采购活动，发布项目终止公告并说明原因，重新开展采购活动。</w:t>
      </w:r>
    </w:p>
    <w:p w14:paraId="04968812">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3.8 除本章第 3.7 条情形外，对磋商过程提交的响应文件进行有效性、完整性和响应程度审查，通过审查的合格供应商不足 3 家的，采购人或者采购代理机构应当重新开展采购活动。</w:t>
      </w:r>
    </w:p>
    <w:p w14:paraId="63B9B71A">
      <w:pPr>
        <w:spacing w:line="360" w:lineRule="auto"/>
        <w:ind w:firstLine="482" w:firstLineChars="200"/>
        <w:rPr>
          <w:rFonts w:ascii="宋体" w:hAnsi="宋体" w:cs="宋体"/>
          <w:color w:val="auto"/>
          <w:szCs w:val="21"/>
          <w:highlight w:val="none"/>
        </w:rPr>
      </w:pPr>
      <w:r>
        <w:rPr>
          <w:rFonts w:hint="eastAsia" w:ascii="宋体" w:hAnsi="宋体" w:cs="宋体"/>
          <w:b/>
          <w:bCs/>
          <w:color w:val="auto"/>
          <w:sz w:val="24"/>
          <w:highlight w:val="none"/>
        </w:rPr>
        <w:t>4. 最后报价</w:t>
      </w:r>
    </w:p>
    <w:p w14:paraId="7A2F87E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 磋商文件能够详细列明采购标的的技术、服务要求的，磋商结束后，磋商小组应当要求所有继续参加磋商的供应商在规定时间内在“广西政府采购云平台”平台开标大厅提交最后报价，除本章第 4.3条外，提交最后报价的供应商不得少于 3 家，否则必须重新采购。</w:t>
      </w:r>
    </w:p>
    <w:p w14:paraId="2936B7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 磋商文件不能详细列明采购标的的技术、服务要求，需经磋商由供应商提供最后设计方案或者解决方案的，磋商结束后，由磋商小组按照少数服从多数的原则投票推荐 3 家以上供应商的设计方案或者解决方案，并要求其在规定时间内在“广西政府采购云平台”平台开标大厅提交最后报价。</w:t>
      </w:r>
    </w:p>
    <w:p w14:paraId="378DE0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 最后报价是供应商响应文件的有效组成部分。符合《政府采购竞争性磋商采购方式管理暂行办法》（财库〔2014〕214 号）第三条第四项“市场竞争不充分的科研项目，以及需要扶持的科技成果转化项目”和本章第 3.7 条情形的，提交最后报价的供应商可以为 2 家。</w:t>
      </w:r>
    </w:p>
    <w:p w14:paraId="6A7572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 已经提交响应文件的供应商，在提交最后报价之前，可以根据磋商情况退出磋商，退出磋商的供应商的响应文件按无效响应处理。采购人、采购代理机构将退还退出磋商的供应商的保证金。</w:t>
      </w:r>
    </w:p>
    <w:p w14:paraId="01715A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 供应商未在规定时间内提交最后报价的，视同退出磋商，其响应文件按无效处理。</w:t>
      </w:r>
    </w:p>
    <w:p w14:paraId="411D4C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4.6 最后报价统一开启后，磋商小组对最后报价进行有效性、完整性和响应程度的审查。</w:t>
      </w:r>
    </w:p>
    <w:p w14:paraId="438652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4.7 最后报价出现前后不一致的，按照本章第 2.4 条的规定修正。</w:t>
      </w:r>
    </w:p>
    <w:p w14:paraId="5C5ED3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 修正后的报价出现下列情形的，按无效响应处理：</w:t>
      </w:r>
    </w:p>
    <w:p w14:paraId="02E2B9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62C9B1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674EDF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2DDB69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4.9 经供应商确认修正后的最后报价作为评审及签订合同的依据。</w:t>
      </w:r>
    </w:p>
    <w:p w14:paraId="63EC4F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4.10 最后报价结束后，磋商小组不得再与供应商进行任何形式的商谈。</w:t>
      </w:r>
    </w:p>
    <w:p w14:paraId="3DBED1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 比较与评价</w:t>
      </w:r>
    </w:p>
    <w:p w14:paraId="6164C5E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 评审方法：综合评分法。</w:t>
      </w:r>
    </w:p>
    <w:p w14:paraId="2044AE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 经磋商确定最终采购需求和提交最后报价的供应商后，由磋商小组采用综合评分法对提交最后报价的供应商的响应文件和最后报价进行综合评分。</w:t>
      </w:r>
    </w:p>
    <w:p w14:paraId="014ABE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评审时，磋商小组各成员应当独立对每个有效响应的文件进行评价、打分，然后汇总每个供应商每项评分因素的得分。</w:t>
      </w:r>
    </w:p>
    <w:p w14:paraId="43E02D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3F5A86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705B17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 评审价为供应商的最后报价进行政策性扣除后的价格，评审价只是作为评审时使用。最终成交供应商的成交金额等于最后报价（如有修正，以确认修正后的最后报价为准）。</w:t>
      </w:r>
    </w:p>
    <w:p w14:paraId="7FFE08A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5.5 由磋商小组根据综合评分情况，按照评审得分由高到低顺序推荐 3 名以上成交候选供应商，并编写评</w:t>
      </w:r>
      <w:r>
        <w:rPr>
          <w:rFonts w:hint="eastAsia" w:ascii="宋体" w:hAnsi="宋体" w:cs="宋体"/>
          <w:color w:val="auto"/>
          <w:kern w:val="0"/>
          <w:szCs w:val="21"/>
          <w:highlight w:val="none"/>
        </w:rPr>
        <w:t>审报告。符合本章第 4.3 条情形的，可以推荐 2 家成交候选供应商。评审得分相同的，按照最后报价由低到高的顺序推荐。评审得分且最后报价相同的，按照技术指标优劣顺序推荐。</w:t>
      </w:r>
    </w:p>
    <w:p w14:paraId="68BA5458">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5.6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F5CE78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二、评审标准</w:t>
      </w:r>
    </w:p>
    <w:p w14:paraId="0DF9CE1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6.评审依据：</w:t>
      </w:r>
    </w:p>
    <w:p w14:paraId="43FC8B4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6.1资格审查和符合性审查</w:t>
      </w:r>
    </w:p>
    <w:p w14:paraId="273ECB5C">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（1）对响应文件进行资格审查和符合性审查：</w:t>
      </w:r>
    </w:p>
    <w:p w14:paraId="5C5EEC3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（2）只有通过了资格审查和符合性审查，被判定为合格的竞标人可进入综合评审。</w:t>
      </w:r>
    </w:p>
    <w:tbl>
      <w:tblPr>
        <w:tblStyle w:val="30"/>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847"/>
        <w:gridCol w:w="2686"/>
        <w:gridCol w:w="5122"/>
      </w:tblGrid>
      <w:tr w14:paraId="1703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tcMar>
              <w:top w:w="0" w:type="dxa"/>
              <w:left w:w="0" w:type="dxa"/>
              <w:bottom w:w="0" w:type="dxa"/>
              <w:right w:w="0" w:type="dxa"/>
            </w:tcMar>
            <w:vAlign w:val="center"/>
          </w:tcPr>
          <w:p w14:paraId="02D17AD3">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3533" w:type="dxa"/>
            <w:gridSpan w:val="2"/>
            <w:vAlign w:val="center"/>
          </w:tcPr>
          <w:p w14:paraId="02C9BAB1">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评审因素</w:t>
            </w:r>
          </w:p>
        </w:tc>
        <w:tc>
          <w:tcPr>
            <w:tcW w:w="5122" w:type="dxa"/>
            <w:vAlign w:val="center"/>
          </w:tcPr>
          <w:p w14:paraId="5EE61B6A">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ascii="宋体" w:hAnsi="宋体" w:cs="宋体"/>
                <w:bCs/>
                <w:color w:val="auto"/>
                <w:szCs w:val="21"/>
                <w:highlight w:val="none"/>
              </w:rPr>
            </w:pPr>
            <w:r>
              <w:rPr>
                <w:rFonts w:hint="eastAsia" w:ascii="宋体" w:hAnsi="宋体" w:cs="宋体"/>
                <w:bCs/>
                <w:color w:val="auto"/>
                <w:szCs w:val="21"/>
                <w:highlight w:val="none"/>
              </w:rPr>
              <w:t>评审标准</w:t>
            </w:r>
          </w:p>
        </w:tc>
      </w:tr>
      <w:tr w14:paraId="7B46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restart"/>
            <w:vAlign w:val="center"/>
          </w:tcPr>
          <w:p w14:paraId="4C70B1B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847" w:type="dxa"/>
            <w:vMerge w:val="restart"/>
            <w:vAlign w:val="center"/>
          </w:tcPr>
          <w:p w14:paraId="16F88CB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资格</w:t>
            </w:r>
          </w:p>
          <w:p w14:paraId="245D902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审查</w:t>
            </w:r>
          </w:p>
        </w:tc>
        <w:tc>
          <w:tcPr>
            <w:tcW w:w="2686" w:type="dxa"/>
            <w:vAlign w:val="center"/>
          </w:tcPr>
          <w:p w14:paraId="320C3C3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营业执照</w:t>
            </w:r>
          </w:p>
        </w:tc>
        <w:tc>
          <w:tcPr>
            <w:tcW w:w="5122" w:type="dxa"/>
            <w:vAlign w:val="center"/>
          </w:tcPr>
          <w:p w14:paraId="380F153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default" w:ascii="宋体" w:hAnsi="宋体" w:eastAsia="宋体" w:cs="宋体"/>
                <w:bCs/>
                <w:color w:val="auto"/>
                <w:szCs w:val="21"/>
                <w:highlight w:val="none"/>
                <w:lang w:val="en-US" w:eastAsia="zh-CN"/>
              </w:rPr>
            </w:pPr>
            <w:r>
              <w:rPr>
                <w:rFonts w:hint="eastAsia" w:ascii="宋体" w:hAnsi="宋体" w:cs="宋体"/>
                <w:color w:val="auto"/>
                <w:szCs w:val="21"/>
                <w:highlight w:val="none"/>
              </w:rPr>
              <w:t>供应商为法人或者其他组织的提供其营业执照等证明文件（如营业执照或者事业单位法人证书或者执业许可证或者登记证书等）</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如是事业单位竞标，需满足：未参照&lt;&lt;中华人民共和国公务员法&gt;&gt;管理且不具备行政管理职能的事业单位。</w:t>
            </w:r>
          </w:p>
        </w:tc>
      </w:tr>
      <w:tr w14:paraId="45CE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5451419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847" w:type="dxa"/>
            <w:vMerge w:val="continue"/>
            <w:vAlign w:val="center"/>
          </w:tcPr>
          <w:p w14:paraId="0AEF41E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2686" w:type="dxa"/>
            <w:vAlign w:val="center"/>
          </w:tcPr>
          <w:p w14:paraId="1623F3D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供应商依法缴纳税收的相关材料</w:t>
            </w:r>
          </w:p>
        </w:tc>
        <w:tc>
          <w:tcPr>
            <w:tcW w:w="5122" w:type="dxa"/>
            <w:vAlign w:val="center"/>
          </w:tcPr>
          <w:p w14:paraId="54260B5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提供</w:t>
            </w: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月至响应文件提交截止时间止任意连续3个月的依法缴纳税收的凭据；依法免税的，必须提供相应文件证明其依法免税。从成立之日起到响应文件提交截止时间止不足要求月数的，只需提供从成立之日起的依法缴纳税收相应证明文件）</w:t>
            </w:r>
            <w:r>
              <w:rPr>
                <w:rFonts w:hint="eastAsia" w:ascii="宋体" w:hAnsi="宋体" w:cs="宋体"/>
                <w:bCs/>
                <w:color w:val="auto"/>
                <w:szCs w:val="21"/>
                <w:highlight w:val="none"/>
                <w:lang w:eastAsia="zh-CN"/>
              </w:rPr>
              <w:t>。</w:t>
            </w:r>
          </w:p>
        </w:tc>
      </w:tr>
      <w:tr w14:paraId="0DDB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4994CDD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847" w:type="dxa"/>
            <w:vMerge w:val="continue"/>
            <w:vAlign w:val="center"/>
          </w:tcPr>
          <w:p w14:paraId="6C4B522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2686" w:type="dxa"/>
            <w:vAlign w:val="center"/>
          </w:tcPr>
          <w:p w14:paraId="02F2FF6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供应商依法缴纳社会保障资金的相关材料</w:t>
            </w:r>
          </w:p>
        </w:tc>
        <w:tc>
          <w:tcPr>
            <w:tcW w:w="5122" w:type="dxa"/>
            <w:vAlign w:val="center"/>
          </w:tcPr>
          <w:p w14:paraId="3CB6D36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提供</w:t>
            </w:r>
            <w:r>
              <w:rPr>
                <w:rFonts w:hint="eastAsia" w:ascii="宋体" w:hAnsi="宋体" w:cs="宋体"/>
                <w:bCs/>
                <w:color w:val="auto"/>
                <w:szCs w:val="21"/>
                <w:highlight w:val="none"/>
              </w:rPr>
              <w:t>2025年</w:t>
            </w:r>
            <w:r>
              <w:rPr>
                <w:rFonts w:hint="eastAsia" w:ascii="宋体" w:hAnsi="宋体" w:cs="宋体"/>
                <w:bCs/>
                <w:color w:val="auto"/>
                <w:szCs w:val="21"/>
                <w:highlight w:val="none"/>
                <w:lang w:val="en-US" w:eastAsia="zh-CN"/>
              </w:rPr>
              <w:t>7</w:t>
            </w:r>
            <w:r>
              <w:rPr>
                <w:rFonts w:hint="eastAsia" w:ascii="宋体" w:hAnsi="宋体" w:cs="宋体"/>
                <w:bCs/>
                <w:color w:val="auto"/>
                <w:szCs w:val="21"/>
                <w:highlight w:val="none"/>
              </w:rPr>
              <w:t>月至响应文件提交截止时间止任意连续3个月的依法缴纳社会保障资金的缴费凭证（专用收据或者社会保险缴纳清单）扫描件；依法不需要缴纳社会保障资金的，必须提供相应文件证明不需要缴纳社会保障资金。从成立之日起到响应文件提交截止时间止不足要求月数的只需提供从成立之日起的依法缴纳社会保障资金的相应证明文件</w:t>
            </w:r>
            <w:r>
              <w:rPr>
                <w:rFonts w:hint="eastAsia" w:ascii="宋体" w:hAnsi="宋体" w:cs="宋体"/>
                <w:bCs/>
                <w:color w:val="auto"/>
                <w:szCs w:val="21"/>
                <w:highlight w:val="none"/>
                <w:lang w:eastAsia="zh-CN"/>
              </w:rPr>
              <w:t>）。</w:t>
            </w:r>
          </w:p>
        </w:tc>
      </w:tr>
      <w:tr w14:paraId="214F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05FAD1A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847" w:type="dxa"/>
            <w:vMerge w:val="continue"/>
            <w:vAlign w:val="center"/>
          </w:tcPr>
          <w:p w14:paraId="60D2F4F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2686" w:type="dxa"/>
            <w:vAlign w:val="center"/>
          </w:tcPr>
          <w:p w14:paraId="3065152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供应商财务状况报告</w:t>
            </w:r>
          </w:p>
        </w:tc>
        <w:tc>
          <w:tcPr>
            <w:tcW w:w="5122" w:type="dxa"/>
            <w:vAlign w:val="center"/>
          </w:tcPr>
          <w:p w14:paraId="08296B1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color w:val="auto"/>
                <w:szCs w:val="21"/>
                <w:highlight w:val="none"/>
                <w:lang w:eastAsia="zh-CN"/>
              </w:rPr>
              <w:t>提供供应商2024年的年度财务报告，包括资产负债表、现金流量表、利润表（如供应商为磋商当年新成立公司的，应提供于公司成立之日后的财务报表）。</w:t>
            </w:r>
          </w:p>
        </w:tc>
      </w:tr>
      <w:tr w14:paraId="180A5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242098F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847" w:type="dxa"/>
            <w:vMerge w:val="continue"/>
            <w:vAlign w:val="center"/>
          </w:tcPr>
          <w:p w14:paraId="7166FEF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2686" w:type="dxa"/>
            <w:vAlign w:val="center"/>
          </w:tcPr>
          <w:p w14:paraId="601DDF8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cs="宋体"/>
                <w:bCs/>
                <w:color w:val="auto"/>
                <w:szCs w:val="21"/>
                <w:highlight w:val="none"/>
              </w:rPr>
            </w:pPr>
            <w:r>
              <w:rPr>
                <w:rFonts w:hint="eastAsia" w:ascii="宋体" w:hAnsi="宋体" w:cs="宋体"/>
                <w:bCs/>
                <w:color w:val="auto"/>
                <w:szCs w:val="21"/>
                <w:highlight w:val="none"/>
                <w:lang w:eastAsia="zh-CN"/>
              </w:rPr>
              <w:t>中小企业声明函</w:t>
            </w:r>
          </w:p>
        </w:tc>
        <w:tc>
          <w:tcPr>
            <w:tcW w:w="5122" w:type="dxa"/>
            <w:vAlign w:val="center"/>
          </w:tcPr>
          <w:p w14:paraId="367C47E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本项目属于专门面向中小企业采购的项目（供应商应为中小微企业、监狱企业、残疾人福利性单位）</w:t>
            </w:r>
            <w:r>
              <w:rPr>
                <w:rFonts w:hint="eastAsia" w:ascii="宋体" w:hAnsi="宋体" w:cs="宋体"/>
                <w:color w:val="auto"/>
                <w:szCs w:val="21"/>
                <w:highlight w:val="none"/>
                <w:lang w:eastAsia="zh-CN"/>
              </w:rPr>
              <w:t>。</w:t>
            </w:r>
          </w:p>
        </w:tc>
      </w:tr>
      <w:tr w14:paraId="6BF67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583BD659">
            <w:pPr>
              <w:keepNext w:val="0"/>
              <w:keepLines w:val="0"/>
              <w:pageBreakBefore w:val="0"/>
              <w:kinsoku/>
              <w:wordWrap/>
              <w:overflowPunct/>
              <w:topLinePunct w:val="0"/>
              <w:autoSpaceDE/>
              <w:autoSpaceDN/>
              <w:bidi w:val="0"/>
              <w:adjustRightInd/>
              <w:snapToGrid/>
              <w:spacing w:line="360" w:lineRule="auto"/>
              <w:rPr>
                <w:color w:val="auto"/>
                <w:highlight w:val="none"/>
              </w:rPr>
            </w:pPr>
          </w:p>
        </w:tc>
        <w:tc>
          <w:tcPr>
            <w:tcW w:w="847" w:type="dxa"/>
            <w:vMerge w:val="continue"/>
            <w:vAlign w:val="center"/>
          </w:tcPr>
          <w:p w14:paraId="0B430BF6">
            <w:pPr>
              <w:keepNext w:val="0"/>
              <w:keepLines w:val="0"/>
              <w:pageBreakBefore w:val="0"/>
              <w:kinsoku/>
              <w:wordWrap/>
              <w:overflowPunct/>
              <w:topLinePunct w:val="0"/>
              <w:autoSpaceDE/>
              <w:autoSpaceDN/>
              <w:bidi w:val="0"/>
              <w:adjustRightInd/>
              <w:snapToGrid/>
              <w:spacing w:line="360" w:lineRule="auto"/>
              <w:rPr>
                <w:color w:val="auto"/>
                <w:highlight w:val="none"/>
              </w:rPr>
            </w:pPr>
          </w:p>
        </w:tc>
        <w:tc>
          <w:tcPr>
            <w:tcW w:w="2686" w:type="dxa"/>
            <w:shd w:val="clear" w:color="auto" w:fill="auto"/>
            <w:vAlign w:val="center"/>
          </w:tcPr>
          <w:p w14:paraId="6DE85FD0">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供应商企业股东及出资情况</w:t>
            </w:r>
          </w:p>
        </w:tc>
        <w:tc>
          <w:tcPr>
            <w:tcW w:w="5122" w:type="dxa"/>
            <w:shd w:val="clear" w:color="auto" w:fill="auto"/>
            <w:vAlign w:val="center"/>
          </w:tcPr>
          <w:p w14:paraId="41BFEA1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供应商不存在单位负责人为同一人或者存在直接控股、管理关系</w:t>
            </w:r>
            <w:r>
              <w:rPr>
                <w:rFonts w:hint="eastAsia" w:ascii="宋体" w:hAnsi="宋体" w:cs="宋体"/>
                <w:bCs/>
                <w:color w:val="auto"/>
                <w:szCs w:val="21"/>
                <w:highlight w:val="none"/>
                <w:lang w:eastAsia="zh-CN"/>
              </w:rPr>
              <w:t>。</w:t>
            </w:r>
          </w:p>
        </w:tc>
      </w:tr>
      <w:tr w14:paraId="3C275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7497426A">
            <w:pPr>
              <w:keepNext w:val="0"/>
              <w:keepLines w:val="0"/>
              <w:pageBreakBefore w:val="0"/>
              <w:kinsoku/>
              <w:wordWrap/>
              <w:overflowPunct/>
              <w:topLinePunct w:val="0"/>
              <w:autoSpaceDE/>
              <w:autoSpaceDN/>
              <w:bidi w:val="0"/>
              <w:adjustRightInd/>
              <w:snapToGrid/>
              <w:spacing w:line="360" w:lineRule="auto"/>
              <w:rPr>
                <w:color w:val="auto"/>
                <w:highlight w:val="none"/>
              </w:rPr>
            </w:pPr>
          </w:p>
        </w:tc>
        <w:tc>
          <w:tcPr>
            <w:tcW w:w="847" w:type="dxa"/>
            <w:vMerge w:val="continue"/>
            <w:vAlign w:val="center"/>
          </w:tcPr>
          <w:p w14:paraId="1F1FD633">
            <w:pPr>
              <w:keepNext w:val="0"/>
              <w:keepLines w:val="0"/>
              <w:pageBreakBefore w:val="0"/>
              <w:kinsoku/>
              <w:wordWrap/>
              <w:overflowPunct/>
              <w:topLinePunct w:val="0"/>
              <w:autoSpaceDE/>
              <w:autoSpaceDN/>
              <w:bidi w:val="0"/>
              <w:adjustRightInd/>
              <w:snapToGrid/>
              <w:spacing w:line="360" w:lineRule="auto"/>
              <w:rPr>
                <w:color w:val="auto"/>
                <w:highlight w:val="none"/>
              </w:rPr>
            </w:pPr>
          </w:p>
        </w:tc>
        <w:tc>
          <w:tcPr>
            <w:tcW w:w="2686" w:type="dxa"/>
            <w:shd w:val="clear" w:color="auto" w:fill="auto"/>
            <w:vAlign w:val="center"/>
          </w:tcPr>
          <w:p w14:paraId="642EB08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“信用中国”网页查询</w:t>
            </w:r>
          </w:p>
        </w:tc>
        <w:tc>
          <w:tcPr>
            <w:tcW w:w="5122" w:type="dxa"/>
            <w:shd w:val="clear" w:color="auto" w:fill="auto"/>
            <w:vAlign w:val="center"/>
          </w:tcPr>
          <w:p w14:paraId="498F4A1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color w:val="auto"/>
                <w:szCs w:val="21"/>
                <w:highlight w:val="none"/>
              </w:rPr>
            </w:pPr>
            <w:r>
              <w:rPr>
                <w:rFonts w:hint="eastAsia" w:ascii="宋体" w:hAnsi="宋体" w:cs="宋体"/>
                <w:color w:val="auto"/>
                <w:szCs w:val="21"/>
                <w:highlight w:val="none"/>
              </w:rPr>
              <w:t>未被“信用中国”网站（https://www.creditchina.gov.cn/） 、中国政府采购网（http://www.ccgp.gov.cn/）被列入失信被执行人、重大税收违法失信主体、政府采购严重违法失信行为记录名单。</w:t>
            </w:r>
          </w:p>
        </w:tc>
      </w:tr>
      <w:tr w14:paraId="6FEE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6390DD0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847" w:type="dxa"/>
            <w:vMerge w:val="continue"/>
            <w:vAlign w:val="center"/>
          </w:tcPr>
          <w:p w14:paraId="1D639F1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2686" w:type="dxa"/>
            <w:vAlign w:val="center"/>
          </w:tcPr>
          <w:p w14:paraId="5D12C0D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其他</w:t>
            </w:r>
          </w:p>
        </w:tc>
        <w:tc>
          <w:tcPr>
            <w:tcW w:w="5122" w:type="dxa"/>
            <w:vAlign w:val="center"/>
          </w:tcPr>
          <w:p w14:paraId="434A3F84">
            <w:pPr>
              <w:keepNext w:val="0"/>
              <w:keepLines w:val="0"/>
              <w:pageBreakBefore w:val="0"/>
              <w:kinsoku/>
              <w:wordWrap/>
              <w:overflowPunct/>
              <w:topLinePunct w:val="0"/>
              <w:autoSpaceDE/>
              <w:autoSpaceDN/>
              <w:bidi w:val="0"/>
              <w:adjustRightInd/>
              <w:snapToGrid/>
              <w:spacing w:line="360" w:lineRule="auto"/>
              <w:rPr>
                <w:color w:val="auto"/>
                <w:highlight w:val="none"/>
              </w:rPr>
            </w:pPr>
            <w:r>
              <w:rPr>
                <w:rFonts w:hint="eastAsia" w:ascii="宋体" w:hAnsi="宋体" w:cs="宋体"/>
                <w:bCs/>
                <w:color w:val="auto"/>
                <w:szCs w:val="21"/>
                <w:highlight w:val="none"/>
              </w:rPr>
              <w:t>符合第二章供应商须知正文前附表第</w:t>
            </w:r>
            <w:r>
              <w:rPr>
                <w:rFonts w:hint="eastAsia" w:ascii="宋体" w:hAnsi="宋体" w:cs="宋体"/>
                <w:color w:val="auto"/>
                <w:szCs w:val="21"/>
                <w:highlight w:val="none"/>
              </w:rPr>
              <w:t>12.1.1项</w:t>
            </w:r>
            <w:r>
              <w:rPr>
                <w:rFonts w:hint="eastAsia" w:ascii="宋体" w:hAnsi="宋体" w:cs="宋体"/>
                <w:bCs/>
                <w:color w:val="auto"/>
                <w:szCs w:val="21"/>
                <w:highlight w:val="none"/>
              </w:rPr>
              <w:t>，资格证明文件中必须提供的内容。</w:t>
            </w:r>
          </w:p>
        </w:tc>
      </w:tr>
      <w:tr w14:paraId="22C3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restart"/>
            <w:vAlign w:val="center"/>
          </w:tcPr>
          <w:p w14:paraId="6DF8228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847" w:type="dxa"/>
            <w:vMerge w:val="restart"/>
            <w:vAlign w:val="center"/>
          </w:tcPr>
          <w:p w14:paraId="5EE1496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符合性审查</w:t>
            </w:r>
          </w:p>
        </w:tc>
        <w:tc>
          <w:tcPr>
            <w:tcW w:w="2686" w:type="dxa"/>
            <w:vAlign w:val="center"/>
          </w:tcPr>
          <w:p w14:paraId="496A469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供应商名称</w:t>
            </w:r>
          </w:p>
        </w:tc>
        <w:tc>
          <w:tcPr>
            <w:tcW w:w="5122" w:type="dxa"/>
            <w:vAlign w:val="center"/>
          </w:tcPr>
          <w:p w14:paraId="5A69443E">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响应文件描述的供应商名称与营业执照或事业单位法人证书等证明文件名称一致。</w:t>
            </w:r>
          </w:p>
        </w:tc>
      </w:tr>
      <w:tr w14:paraId="6F49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2FBDB0F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847" w:type="dxa"/>
            <w:vMerge w:val="continue"/>
            <w:vAlign w:val="center"/>
          </w:tcPr>
          <w:p w14:paraId="04622B6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2686" w:type="dxa"/>
            <w:vAlign w:val="center"/>
          </w:tcPr>
          <w:p w14:paraId="4ED7D9D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响应文件签署</w:t>
            </w:r>
          </w:p>
        </w:tc>
        <w:tc>
          <w:tcPr>
            <w:tcW w:w="5122" w:type="dxa"/>
            <w:vAlign w:val="center"/>
          </w:tcPr>
          <w:p w14:paraId="4F5866F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提供</w:t>
            </w:r>
            <w:r>
              <w:rPr>
                <w:rFonts w:hint="eastAsia" w:ascii="宋体" w:hAnsi="宋体" w:cs="宋体"/>
                <w:bCs/>
                <w:color w:val="auto"/>
                <w:szCs w:val="21"/>
                <w:highlight w:val="none"/>
              </w:rPr>
              <w:t>有效的法定代表人身份证明（附身份证扫描件）或法定代表人授权委托书（附身份证</w:t>
            </w:r>
            <w:r>
              <w:rPr>
                <w:rFonts w:hint="eastAsia" w:ascii="宋体" w:hAnsi="宋体" w:cs="宋体"/>
                <w:color w:val="auto"/>
                <w:szCs w:val="21"/>
                <w:highlight w:val="none"/>
              </w:rPr>
              <w:t>扫描</w:t>
            </w:r>
            <w:r>
              <w:rPr>
                <w:rFonts w:hint="eastAsia" w:ascii="宋体" w:hAnsi="宋体" w:cs="宋体"/>
                <w:bCs/>
                <w:color w:val="auto"/>
                <w:szCs w:val="21"/>
                <w:highlight w:val="none"/>
              </w:rPr>
              <w:t>件，授权代理时提供）</w:t>
            </w:r>
            <w:r>
              <w:rPr>
                <w:rFonts w:hint="eastAsia" w:ascii="宋体" w:hAnsi="宋体" w:cs="宋体"/>
                <w:bCs/>
                <w:color w:val="auto"/>
                <w:szCs w:val="21"/>
                <w:highlight w:val="none"/>
                <w:lang w:eastAsia="zh-CN"/>
              </w:rPr>
              <w:t>。</w:t>
            </w:r>
          </w:p>
        </w:tc>
      </w:tr>
      <w:tr w14:paraId="78BC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61E53EF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847" w:type="dxa"/>
            <w:vMerge w:val="continue"/>
            <w:vAlign w:val="center"/>
          </w:tcPr>
          <w:p w14:paraId="55CF7C7D">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2686" w:type="dxa"/>
            <w:vAlign w:val="center"/>
          </w:tcPr>
          <w:p w14:paraId="67A5512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响应文件签字或盖章</w:t>
            </w:r>
          </w:p>
        </w:tc>
        <w:tc>
          <w:tcPr>
            <w:tcW w:w="5122" w:type="dxa"/>
            <w:vAlign w:val="center"/>
          </w:tcPr>
          <w:p w14:paraId="38857DC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按照采购文件规定要求签字或盖章的</w:t>
            </w:r>
            <w:r>
              <w:rPr>
                <w:rFonts w:hint="eastAsia" w:ascii="宋体" w:hAnsi="宋体" w:cs="宋体"/>
                <w:bCs/>
                <w:color w:val="auto"/>
                <w:szCs w:val="21"/>
                <w:highlight w:val="none"/>
                <w:lang w:eastAsia="zh-CN"/>
              </w:rPr>
              <w:t>。</w:t>
            </w:r>
          </w:p>
        </w:tc>
      </w:tr>
      <w:tr w14:paraId="79BB0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395D45EA">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847" w:type="dxa"/>
            <w:vMerge w:val="continue"/>
            <w:vAlign w:val="center"/>
          </w:tcPr>
          <w:p w14:paraId="107C39F8">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2686" w:type="dxa"/>
            <w:vAlign w:val="center"/>
          </w:tcPr>
          <w:p w14:paraId="34AF1DB0">
            <w:pPr>
              <w:keepNext w:val="0"/>
              <w:keepLines w:val="0"/>
              <w:pageBreakBefore w:val="0"/>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竞标有效期</w:t>
            </w:r>
          </w:p>
        </w:tc>
        <w:tc>
          <w:tcPr>
            <w:tcW w:w="5122" w:type="dxa"/>
            <w:vAlign w:val="center"/>
          </w:tcPr>
          <w:p w14:paraId="13266807">
            <w:pPr>
              <w:keepNext w:val="0"/>
              <w:keepLines w:val="0"/>
              <w:pageBreakBefore w:val="0"/>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符合《采购文件》要求</w:t>
            </w:r>
            <w:r>
              <w:rPr>
                <w:rFonts w:hint="eastAsia" w:ascii="宋体" w:hAnsi="宋体" w:cs="宋体"/>
                <w:bCs/>
                <w:color w:val="auto"/>
                <w:szCs w:val="21"/>
                <w:highlight w:val="none"/>
                <w:lang w:eastAsia="zh-CN"/>
              </w:rPr>
              <w:t>。</w:t>
            </w:r>
          </w:p>
        </w:tc>
      </w:tr>
      <w:tr w14:paraId="59B6E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437B5047">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847" w:type="dxa"/>
            <w:vMerge w:val="continue"/>
            <w:vAlign w:val="center"/>
          </w:tcPr>
          <w:p w14:paraId="5069486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2686" w:type="dxa"/>
            <w:vAlign w:val="center"/>
          </w:tcPr>
          <w:p w14:paraId="49E1B05B">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竞标报价</w:t>
            </w:r>
          </w:p>
        </w:tc>
        <w:tc>
          <w:tcPr>
            <w:tcW w:w="5122" w:type="dxa"/>
            <w:vAlign w:val="center"/>
          </w:tcPr>
          <w:p w14:paraId="3F60ED2C">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竞标报价满足采购文件要求</w:t>
            </w:r>
            <w:r>
              <w:rPr>
                <w:rFonts w:hint="eastAsia" w:ascii="宋体" w:hAnsi="宋体" w:cs="宋体"/>
                <w:bCs/>
                <w:color w:val="auto"/>
                <w:szCs w:val="21"/>
                <w:highlight w:val="none"/>
                <w:lang w:eastAsia="zh-CN"/>
              </w:rPr>
              <w:t>。</w:t>
            </w:r>
          </w:p>
        </w:tc>
      </w:tr>
      <w:tr w14:paraId="24D4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0D8B90F2">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847" w:type="dxa"/>
            <w:vMerge w:val="continue"/>
            <w:vAlign w:val="center"/>
          </w:tcPr>
          <w:p w14:paraId="32F949C9">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2686" w:type="dxa"/>
            <w:vAlign w:val="center"/>
          </w:tcPr>
          <w:p w14:paraId="2CA484A3">
            <w:pPr>
              <w:keepNext w:val="0"/>
              <w:keepLines w:val="0"/>
              <w:pageBreakBefore w:val="0"/>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其他实质性要求响应</w:t>
            </w:r>
          </w:p>
        </w:tc>
        <w:tc>
          <w:tcPr>
            <w:tcW w:w="5122" w:type="dxa"/>
            <w:vAlign w:val="center"/>
          </w:tcPr>
          <w:p w14:paraId="5D7D145A">
            <w:pPr>
              <w:keepNext w:val="0"/>
              <w:keepLines w:val="0"/>
              <w:pageBreakBefore w:val="0"/>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lang w:eastAsia="zh-CN"/>
              </w:rPr>
              <w:t>响应</w:t>
            </w:r>
            <w:r>
              <w:rPr>
                <w:rFonts w:hint="eastAsia" w:ascii="宋体" w:hAnsi="宋体" w:cs="宋体"/>
                <w:bCs/>
                <w:color w:val="auto"/>
                <w:szCs w:val="21"/>
                <w:highlight w:val="none"/>
              </w:rPr>
              <w:t>文件中无采购人不能接受的条件，且符合采购文件第三章采购需求所涉及的实质性要求。</w:t>
            </w:r>
          </w:p>
        </w:tc>
      </w:tr>
      <w:tr w14:paraId="04E04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066BEA7F">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847" w:type="dxa"/>
            <w:vMerge w:val="continue"/>
            <w:vAlign w:val="center"/>
          </w:tcPr>
          <w:p w14:paraId="630321F3">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2686" w:type="dxa"/>
            <w:vAlign w:val="center"/>
          </w:tcPr>
          <w:p w14:paraId="4EF009FE">
            <w:pPr>
              <w:keepNext w:val="0"/>
              <w:keepLines w:val="0"/>
              <w:pageBreakBefore w:val="0"/>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响应文件格式</w:t>
            </w:r>
          </w:p>
        </w:tc>
        <w:tc>
          <w:tcPr>
            <w:tcW w:w="5122" w:type="dxa"/>
            <w:vAlign w:val="center"/>
          </w:tcPr>
          <w:p w14:paraId="266CFF46">
            <w:pPr>
              <w:keepNext w:val="0"/>
              <w:keepLines w:val="0"/>
              <w:pageBreakBefore w:val="0"/>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符合第二章供应商须知正文前附表第12.1.2项，报价商务技术文件中必须提供的内容。</w:t>
            </w:r>
          </w:p>
        </w:tc>
      </w:tr>
      <w:tr w14:paraId="62CC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 w:type="dxa"/>
            <w:vMerge w:val="continue"/>
            <w:vAlign w:val="center"/>
          </w:tcPr>
          <w:p w14:paraId="584D43C6">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847" w:type="dxa"/>
            <w:vMerge w:val="continue"/>
            <w:vAlign w:val="center"/>
          </w:tcPr>
          <w:p w14:paraId="470DABB1">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p>
        </w:tc>
        <w:tc>
          <w:tcPr>
            <w:tcW w:w="2686" w:type="dxa"/>
            <w:vAlign w:val="center"/>
          </w:tcPr>
          <w:p w14:paraId="139BC6A5">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ascii="宋体" w:hAnsi="宋体" w:cs="宋体"/>
                <w:bCs/>
                <w:color w:val="auto"/>
                <w:szCs w:val="21"/>
                <w:highlight w:val="none"/>
              </w:rPr>
            </w:pPr>
            <w:r>
              <w:rPr>
                <w:rFonts w:hint="eastAsia" w:ascii="宋体" w:hAnsi="宋体" w:cs="宋体"/>
                <w:bCs/>
                <w:color w:val="auto"/>
                <w:szCs w:val="21"/>
                <w:highlight w:val="none"/>
              </w:rPr>
              <w:t xml:space="preserve">其他  </w:t>
            </w:r>
          </w:p>
        </w:tc>
        <w:tc>
          <w:tcPr>
            <w:tcW w:w="5122" w:type="dxa"/>
            <w:vAlign w:val="center"/>
          </w:tcPr>
          <w:p w14:paraId="5E85A914">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不存在采购文件规定的</w:t>
            </w:r>
            <w:r>
              <w:rPr>
                <w:rFonts w:hint="eastAsia" w:ascii="宋体" w:hAnsi="宋体" w:cs="宋体"/>
                <w:bCs/>
                <w:color w:val="auto"/>
                <w:szCs w:val="21"/>
                <w:highlight w:val="none"/>
                <w:lang w:eastAsia="zh-CN"/>
              </w:rPr>
              <w:t>响应</w:t>
            </w:r>
            <w:r>
              <w:rPr>
                <w:rFonts w:hint="eastAsia" w:ascii="宋体" w:hAnsi="宋体" w:cs="宋体"/>
                <w:bCs/>
                <w:color w:val="auto"/>
                <w:szCs w:val="21"/>
                <w:highlight w:val="none"/>
              </w:rPr>
              <w:t>无效的情形</w:t>
            </w:r>
            <w:r>
              <w:rPr>
                <w:rFonts w:hint="eastAsia" w:ascii="宋体" w:hAnsi="宋体" w:cs="宋体"/>
                <w:bCs/>
                <w:color w:val="auto"/>
                <w:szCs w:val="21"/>
                <w:highlight w:val="none"/>
                <w:lang w:eastAsia="zh-CN"/>
              </w:rPr>
              <w:t>。</w:t>
            </w:r>
          </w:p>
        </w:tc>
      </w:tr>
    </w:tbl>
    <w:p w14:paraId="308784F5">
      <w:pPr>
        <w:spacing w:line="360" w:lineRule="auto"/>
        <w:ind w:firstLine="420" w:firstLineChars="200"/>
        <w:rPr>
          <w:rFonts w:hint="eastAsia" w:ascii="宋体" w:hAnsi="宋体" w:cs="宋体"/>
          <w:bCs/>
          <w:color w:val="auto"/>
          <w:szCs w:val="21"/>
          <w:highlight w:val="none"/>
        </w:rPr>
      </w:pPr>
    </w:p>
    <w:p w14:paraId="43B89366">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6.2综合评审</w:t>
      </w:r>
    </w:p>
    <w:p w14:paraId="21B4411A">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磋商小组将以磋商响应文件为评审依据，对供应商的报价、技术、商务等方面内容按百分制打分。（计分方法按四舍五入取至百分位）</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111"/>
        <w:gridCol w:w="764"/>
        <w:gridCol w:w="1453"/>
        <w:gridCol w:w="5096"/>
      </w:tblGrid>
      <w:tr w14:paraId="0F24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74A43E12">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序号</w:t>
            </w:r>
          </w:p>
        </w:tc>
        <w:tc>
          <w:tcPr>
            <w:tcW w:w="611" w:type="pct"/>
            <w:vAlign w:val="center"/>
          </w:tcPr>
          <w:p w14:paraId="09CE46D0">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color w:val="auto"/>
                <w:szCs w:val="21"/>
                <w:highlight w:val="none"/>
              </w:rPr>
            </w:pPr>
            <w:r>
              <w:rPr>
                <w:rFonts w:hint="eastAsia" w:ascii="宋体" w:hAnsi="宋体" w:cs="宋体"/>
                <w:b/>
                <w:color w:val="auto"/>
                <w:szCs w:val="21"/>
                <w:highlight w:val="none"/>
              </w:rPr>
              <w:t>评审因素</w:t>
            </w:r>
          </w:p>
        </w:tc>
        <w:tc>
          <w:tcPr>
            <w:tcW w:w="420" w:type="pct"/>
            <w:vAlign w:val="center"/>
          </w:tcPr>
          <w:p w14:paraId="18D0BAC4">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分值</w:t>
            </w:r>
          </w:p>
        </w:tc>
        <w:tc>
          <w:tcPr>
            <w:tcW w:w="3601" w:type="pct"/>
            <w:gridSpan w:val="2"/>
            <w:vAlign w:val="center"/>
          </w:tcPr>
          <w:p w14:paraId="3916102E">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评标标准</w:t>
            </w:r>
          </w:p>
        </w:tc>
      </w:tr>
      <w:tr w14:paraId="37E7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Align w:val="center"/>
          </w:tcPr>
          <w:p w14:paraId="250C277A">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1</w:t>
            </w:r>
          </w:p>
        </w:tc>
        <w:tc>
          <w:tcPr>
            <w:tcW w:w="611" w:type="pct"/>
            <w:vAlign w:val="center"/>
          </w:tcPr>
          <w:p w14:paraId="0C01AA97">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报价部分</w:t>
            </w:r>
          </w:p>
        </w:tc>
        <w:tc>
          <w:tcPr>
            <w:tcW w:w="420" w:type="pct"/>
            <w:vAlign w:val="center"/>
          </w:tcPr>
          <w:p w14:paraId="0BC2D29D">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0分</w:t>
            </w:r>
          </w:p>
        </w:tc>
        <w:tc>
          <w:tcPr>
            <w:tcW w:w="3601" w:type="pct"/>
            <w:gridSpan w:val="2"/>
            <w:vAlign w:val="center"/>
          </w:tcPr>
          <w:p w14:paraId="735DBCAB">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1.评审价为供应商的最后报价。</w:t>
            </w:r>
          </w:p>
          <w:p w14:paraId="60F1ABBD">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2.本项目属于专门面向中小企业采购的项目（供应商应为中小微企业、监狱企业、残疾人福利性单位)，不再进行政府采购政策性扣除计算。</w:t>
            </w:r>
          </w:p>
          <w:p w14:paraId="532EBFCE">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3.以进入比较与评价环节的最低的评审价为基准价，基准价得分为 </w:t>
            </w:r>
            <w:r>
              <w:rPr>
                <w:rFonts w:hint="eastAsia" w:ascii="宋体" w:hAnsi="宋体" w:cs="宋体"/>
                <w:color w:val="auto"/>
                <w:highlight w:val="none"/>
                <w:lang w:val="en-US" w:eastAsia="zh-CN"/>
              </w:rPr>
              <w:t>1</w:t>
            </w:r>
            <w:r>
              <w:rPr>
                <w:rFonts w:hint="eastAsia" w:ascii="宋体" w:hAnsi="宋体" w:eastAsia="宋体" w:cs="宋体"/>
                <w:color w:val="auto"/>
                <w:highlight w:val="none"/>
              </w:rPr>
              <w:t>0 分。</w:t>
            </w:r>
          </w:p>
          <w:p w14:paraId="384E3CB8">
            <w:pPr>
              <w:keepNext w:val="0"/>
              <w:keepLines w:val="0"/>
              <w:pageBreakBefore w:val="0"/>
              <w:widowControl w:val="0"/>
              <w:kinsoku/>
              <w:wordWrap/>
              <w:overflowPunct/>
              <w:topLinePunct w:val="0"/>
              <w:autoSpaceDE/>
              <w:autoSpaceDN/>
              <w:bidi w:val="0"/>
              <w:snapToGrid/>
              <w:spacing w:line="360" w:lineRule="auto"/>
              <w:rPr>
                <w:rFonts w:hint="eastAsia" w:ascii="宋体" w:hAnsi="宋体" w:eastAsia="宋体" w:cs="宋体"/>
                <w:bCs/>
                <w:color w:val="auto"/>
                <w:highlight w:val="none"/>
                <w:lang w:eastAsia="zh-CN"/>
              </w:rPr>
            </w:pPr>
            <w:r>
              <w:rPr>
                <w:rFonts w:hint="eastAsia" w:ascii="宋体" w:hAnsi="宋体" w:eastAsia="宋体" w:cs="宋体"/>
                <w:color w:val="auto"/>
                <w:highlight w:val="none"/>
              </w:rPr>
              <w:t>4.</w:t>
            </w:r>
            <w:r>
              <w:rPr>
                <w:rFonts w:hint="eastAsia" w:ascii="宋体" w:hAnsi="宋体" w:cs="宋体"/>
                <w:color w:val="auto"/>
                <w:highlight w:val="none"/>
                <w:lang w:eastAsia="zh-CN"/>
              </w:rPr>
              <w:t>报价部</w:t>
            </w:r>
            <w:r>
              <w:rPr>
                <w:rFonts w:hint="eastAsia" w:ascii="宋体" w:hAnsi="宋体" w:eastAsia="宋体" w:cs="宋体"/>
                <w:color w:val="auto"/>
                <w:highlight w:val="none"/>
              </w:rPr>
              <w:t>分计算公式：报价</w:t>
            </w:r>
            <w:r>
              <w:rPr>
                <w:rFonts w:hint="eastAsia" w:ascii="宋体" w:hAnsi="宋体" w:cs="宋体"/>
                <w:color w:val="auto"/>
                <w:highlight w:val="none"/>
                <w:lang w:eastAsia="zh-CN"/>
              </w:rPr>
              <w:t>部分</w:t>
            </w:r>
            <w:r>
              <w:rPr>
                <w:rFonts w:hint="eastAsia" w:ascii="宋体" w:hAnsi="宋体" w:eastAsia="宋体" w:cs="宋体"/>
                <w:color w:val="auto"/>
                <w:highlight w:val="none"/>
              </w:rPr>
              <w:t>得分=（基准价/评审价）×</w:t>
            </w:r>
            <w:r>
              <w:rPr>
                <w:rFonts w:hint="eastAsia" w:ascii="宋体" w:hAnsi="宋体" w:cs="宋体"/>
                <w:color w:val="auto"/>
                <w:highlight w:val="none"/>
                <w:lang w:val="en-US" w:eastAsia="zh-CN"/>
              </w:rPr>
              <w:t>1</w:t>
            </w:r>
            <w:r>
              <w:rPr>
                <w:rFonts w:hint="eastAsia" w:ascii="宋体" w:hAnsi="宋体" w:eastAsia="宋体" w:cs="宋体"/>
                <w:color w:val="auto"/>
                <w:highlight w:val="none"/>
              </w:rPr>
              <w:t>0分</w:t>
            </w:r>
          </w:p>
        </w:tc>
      </w:tr>
      <w:tr w14:paraId="7ACF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restart"/>
            <w:vAlign w:val="center"/>
          </w:tcPr>
          <w:p w14:paraId="093073D9">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2</w:t>
            </w:r>
          </w:p>
        </w:tc>
        <w:tc>
          <w:tcPr>
            <w:tcW w:w="611" w:type="pct"/>
            <w:vMerge w:val="restart"/>
            <w:vAlign w:val="center"/>
          </w:tcPr>
          <w:p w14:paraId="07F36039">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color w:val="auto"/>
                <w:szCs w:val="21"/>
                <w:highlight w:val="none"/>
              </w:rPr>
            </w:pPr>
            <w:r>
              <w:rPr>
                <w:rFonts w:hint="eastAsia" w:ascii="宋体" w:hAnsi="宋体" w:cs="宋体"/>
                <w:b/>
                <w:bCs/>
                <w:color w:val="auto"/>
                <w:szCs w:val="21"/>
                <w:highlight w:val="none"/>
              </w:rPr>
              <w:t>技术部分</w:t>
            </w:r>
          </w:p>
        </w:tc>
        <w:tc>
          <w:tcPr>
            <w:tcW w:w="420" w:type="pct"/>
            <w:vMerge w:val="restart"/>
            <w:vAlign w:val="center"/>
          </w:tcPr>
          <w:p w14:paraId="3BFC278D">
            <w:pPr>
              <w:keepNext w:val="0"/>
              <w:keepLines w:val="0"/>
              <w:pageBreakBefore w:val="0"/>
              <w:widowControl w:val="0"/>
              <w:kinsoku/>
              <w:wordWrap/>
              <w:overflowPunct/>
              <w:topLinePunct w:val="0"/>
              <w:autoSpaceDE/>
              <w:autoSpaceDN/>
              <w:bidi w:val="0"/>
              <w:snapToGrid/>
              <w:spacing w:line="360" w:lineRule="auto"/>
              <w:jc w:val="center"/>
              <w:textAlignment w:val="baseline"/>
              <w:rPr>
                <w:rFonts w:ascii="宋体" w:hAnsi="宋体" w:cs="宋体"/>
                <w:color w:val="auto"/>
                <w:highlight w:val="none"/>
              </w:rPr>
            </w:pPr>
            <w:r>
              <w:rPr>
                <w:rFonts w:hint="eastAsia" w:ascii="宋体" w:hAnsi="宋体" w:cs="宋体"/>
                <w:b/>
                <w:bCs/>
                <w:color w:val="auto"/>
                <w:highlight w:val="none"/>
                <w:lang w:val="en-US" w:eastAsia="zh-CN"/>
              </w:rPr>
              <w:t>7</w:t>
            </w:r>
            <w:r>
              <w:rPr>
                <w:rFonts w:hint="eastAsia" w:ascii="宋体" w:hAnsi="宋体" w:cs="宋体"/>
                <w:b/>
                <w:bCs/>
                <w:color w:val="auto"/>
                <w:highlight w:val="none"/>
              </w:rPr>
              <w:t>0分</w:t>
            </w:r>
          </w:p>
        </w:tc>
        <w:tc>
          <w:tcPr>
            <w:tcW w:w="799" w:type="pct"/>
            <w:vAlign w:val="center"/>
          </w:tcPr>
          <w:p w14:paraId="519E53D0">
            <w:pPr>
              <w:keepNext w:val="0"/>
              <w:keepLines w:val="0"/>
              <w:pageBreakBefore w:val="0"/>
              <w:widowControl w:val="0"/>
              <w:kinsoku/>
              <w:wordWrap/>
              <w:overflowPunct/>
              <w:topLinePunct w:val="0"/>
              <w:autoSpaceDE/>
              <w:autoSpaceDN/>
              <w:bidi w:val="0"/>
              <w:snapToGrid/>
              <w:spacing w:line="360" w:lineRule="auto"/>
              <w:jc w:val="center"/>
              <w:rPr>
                <w:rFonts w:ascii="宋体" w:hAnsi="宋体" w:cs="宋体"/>
                <w:b/>
                <w:color w:val="auto"/>
                <w:szCs w:val="21"/>
                <w:highlight w:val="none"/>
              </w:rPr>
            </w:pPr>
            <w:r>
              <w:rPr>
                <w:rFonts w:hint="eastAsia" w:ascii="宋体" w:hAnsi="宋体" w:cs="宋体"/>
                <w:b/>
                <w:color w:val="auto"/>
                <w:szCs w:val="21"/>
                <w:highlight w:val="none"/>
                <w:lang w:eastAsia="zh-CN"/>
              </w:rPr>
              <w:t>项目服务方案分</w:t>
            </w:r>
            <w:r>
              <w:rPr>
                <w:rFonts w:hint="eastAsia" w:ascii="宋体" w:hAnsi="宋体" w:cs="宋体"/>
                <w:b/>
                <w:color w:val="auto"/>
                <w:szCs w:val="21"/>
                <w:highlight w:val="none"/>
              </w:rPr>
              <w:t>（满分20分）</w:t>
            </w:r>
          </w:p>
        </w:tc>
        <w:tc>
          <w:tcPr>
            <w:tcW w:w="2801" w:type="pct"/>
            <w:vAlign w:val="center"/>
          </w:tcPr>
          <w:p w14:paraId="0FD89C14">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一档（5分）：根据</w:t>
            </w:r>
            <w:r>
              <w:rPr>
                <w:rFonts w:hint="eastAsia" w:ascii="宋体" w:hAnsi="宋体" w:cs="宋体"/>
                <w:color w:val="auto"/>
                <w:highlight w:val="none"/>
                <w:lang w:eastAsia="zh-CN"/>
              </w:rPr>
              <w:t>采购需求</w:t>
            </w:r>
            <w:r>
              <w:rPr>
                <w:rFonts w:hint="eastAsia" w:ascii="宋体" w:hAnsi="宋体" w:cs="宋体"/>
                <w:color w:val="auto"/>
                <w:highlight w:val="none"/>
              </w:rPr>
              <w:t>内容，</w:t>
            </w:r>
            <w:r>
              <w:rPr>
                <w:rFonts w:hint="eastAsia" w:ascii="宋体" w:hAnsi="宋体" w:cs="宋体"/>
                <w:color w:val="auto"/>
                <w:highlight w:val="none"/>
                <w:lang w:eastAsia="zh-CN"/>
              </w:rPr>
              <w:t>制定的服务方案有协助救助、站内照料、甄别核查、接送返乡及源头治理</w:t>
            </w:r>
            <w:r>
              <w:rPr>
                <w:rFonts w:hint="eastAsia" w:ascii="宋体" w:hAnsi="宋体" w:cs="宋体"/>
                <w:color w:val="auto"/>
                <w:highlight w:val="none"/>
                <w:lang w:val="en-US" w:eastAsia="zh-CN"/>
              </w:rPr>
              <w:t>等</w:t>
            </w:r>
            <w:r>
              <w:rPr>
                <w:rFonts w:hint="eastAsia" w:ascii="宋体" w:hAnsi="宋体" w:cs="宋体"/>
                <w:color w:val="auto"/>
                <w:highlight w:val="none"/>
                <w:lang w:eastAsia="zh-CN"/>
              </w:rPr>
              <w:t>服务方案流程，满足采购需求。</w:t>
            </w:r>
          </w:p>
          <w:p w14:paraId="64D5EA10">
            <w:pPr>
              <w:keepNext w:val="0"/>
              <w:keepLines w:val="0"/>
              <w:pageBreakBefore w:val="0"/>
              <w:widowControl w:val="0"/>
              <w:kinsoku/>
              <w:wordWrap/>
              <w:overflowPunct/>
              <w:topLinePunct w:val="0"/>
              <w:autoSpaceDE/>
              <w:autoSpaceDN/>
              <w:bidi w:val="0"/>
              <w:snapToGrid/>
              <w:spacing w:line="360" w:lineRule="auto"/>
              <w:ind w:firstLine="420" w:firstLineChars="200"/>
              <w:rPr>
                <w:rFonts w:ascii="宋体" w:hAnsi="宋体" w:cs="宋体"/>
                <w:color w:val="auto"/>
                <w:highlight w:val="none"/>
              </w:rPr>
            </w:pPr>
            <w:r>
              <w:rPr>
                <w:rFonts w:hint="eastAsia" w:ascii="宋体" w:hAnsi="宋体" w:cs="宋体"/>
                <w:color w:val="auto"/>
                <w:highlight w:val="none"/>
              </w:rPr>
              <w:t>二档（10分）：在一档的基础上，</w:t>
            </w:r>
            <w:r>
              <w:rPr>
                <w:rFonts w:hint="eastAsia" w:ascii="宋体" w:hAnsi="宋体" w:cs="宋体"/>
                <w:color w:val="auto"/>
                <w:highlight w:val="none"/>
                <w:lang w:eastAsia="zh-CN"/>
              </w:rPr>
              <w:t>制定的服务方案有协助救助、站内照料、甄别核查、接送返乡及源头治理</w:t>
            </w:r>
            <w:r>
              <w:rPr>
                <w:rFonts w:hint="eastAsia" w:ascii="宋体" w:hAnsi="宋体" w:cs="宋体"/>
                <w:color w:val="auto"/>
                <w:highlight w:val="none"/>
                <w:lang w:val="en-US" w:eastAsia="zh-CN"/>
              </w:rPr>
              <w:t>等</w:t>
            </w:r>
            <w:r>
              <w:rPr>
                <w:rFonts w:hint="eastAsia" w:ascii="宋体" w:hAnsi="宋体" w:cs="宋体"/>
                <w:color w:val="auto"/>
                <w:highlight w:val="none"/>
                <w:lang w:eastAsia="zh-CN"/>
              </w:rPr>
              <w:t>服务方案流程、调查工作计划（包含调查进度与时间安排、调查范围及对象确定）、安全管理措施、应急预案、信息安全保障措施等内容。</w:t>
            </w:r>
          </w:p>
          <w:p w14:paraId="60329D62">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rPr>
              <w:t>三档（15分）：在二档的基础上，</w:t>
            </w:r>
            <w:r>
              <w:rPr>
                <w:rFonts w:hint="eastAsia" w:ascii="宋体" w:hAnsi="宋体" w:cs="宋体"/>
                <w:color w:val="auto"/>
                <w:highlight w:val="none"/>
                <w:lang w:eastAsia="zh-CN"/>
              </w:rPr>
              <w:t>制定的服务方案有针对性，协助救助、站内照料、甄别核查、接送返乡及源头治理</w:t>
            </w:r>
            <w:r>
              <w:rPr>
                <w:rFonts w:hint="eastAsia" w:ascii="宋体" w:hAnsi="宋体" w:cs="宋体"/>
                <w:color w:val="auto"/>
                <w:highlight w:val="none"/>
                <w:lang w:val="en-US" w:eastAsia="zh-CN"/>
              </w:rPr>
              <w:t>等</w:t>
            </w:r>
            <w:r>
              <w:rPr>
                <w:rFonts w:hint="eastAsia" w:ascii="宋体" w:hAnsi="宋体" w:cs="宋体"/>
                <w:color w:val="auto"/>
                <w:highlight w:val="none"/>
                <w:lang w:eastAsia="zh-CN"/>
              </w:rPr>
              <w:t>服务方案流程</w:t>
            </w:r>
            <w:r>
              <w:rPr>
                <w:rFonts w:hint="eastAsia" w:ascii="宋体" w:hAnsi="宋体" w:cs="宋体"/>
                <w:color w:val="auto"/>
                <w:highlight w:val="none"/>
              </w:rPr>
              <w:t>契合项目实际需求</w:t>
            </w:r>
            <w:r>
              <w:rPr>
                <w:rFonts w:hint="eastAsia" w:ascii="宋体" w:hAnsi="宋体" w:cs="宋体"/>
                <w:color w:val="auto"/>
                <w:highlight w:val="none"/>
                <w:lang w:eastAsia="zh-CN"/>
              </w:rPr>
              <w:t>、调查工作计划（包含调查进度与时间安排、调查范围及对象确定、调查方法），安全管理措施、信息安全保障措施等</w:t>
            </w:r>
            <w:r>
              <w:rPr>
                <w:rFonts w:hint="eastAsia" w:ascii="宋体" w:hAnsi="宋体" w:cs="宋体"/>
                <w:color w:val="auto"/>
                <w:highlight w:val="none"/>
                <w:lang w:val="en-US" w:eastAsia="zh-CN"/>
              </w:rPr>
              <w:t>内容。</w:t>
            </w:r>
          </w:p>
          <w:p w14:paraId="5D31BA6B">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四档（20分）：在</w:t>
            </w:r>
            <w:r>
              <w:rPr>
                <w:rFonts w:hint="eastAsia" w:ascii="宋体" w:hAnsi="宋体" w:cs="宋体"/>
                <w:color w:val="auto"/>
                <w:highlight w:val="none"/>
                <w:lang w:eastAsia="zh-CN"/>
              </w:rPr>
              <w:t>三</w:t>
            </w:r>
            <w:r>
              <w:rPr>
                <w:rFonts w:hint="eastAsia" w:ascii="宋体" w:hAnsi="宋体" w:cs="宋体"/>
                <w:color w:val="auto"/>
                <w:highlight w:val="none"/>
              </w:rPr>
              <w:t>档的基础上，</w:t>
            </w:r>
            <w:r>
              <w:rPr>
                <w:rFonts w:hint="eastAsia" w:ascii="宋体" w:hAnsi="宋体" w:cs="宋体"/>
                <w:color w:val="auto"/>
                <w:highlight w:val="none"/>
                <w:lang w:eastAsia="zh-CN"/>
              </w:rPr>
              <w:t>制定的服务方案有针对性，协助救助、站内照料、甄别核查、接送返乡及源头治理</w:t>
            </w:r>
            <w:r>
              <w:rPr>
                <w:rFonts w:hint="eastAsia" w:ascii="宋体" w:hAnsi="宋体" w:cs="宋体"/>
                <w:color w:val="auto"/>
                <w:highlight w:val="none"/>
                <w:lang w:val="en-US" w:eastAsia="zh-CN"/>
              </w:rPr>
              <w:t>等</w:t>
            </w:r>
            <w:r>
              <w:rPr>
                <w:rFonts w:hint="eastAsia" w:ascii="宋体" w:hAnsi="宋体" w:cs="宋体"/>
                <w:color w:val="auto"/>
                <w:highlight w:val="none"/>
                <w:lang w:eastAsia="zh-CN"/>
              </w:rPr>
              <w:t>服务方案流程</w:t>
            </w:r>
            <w:r>
              <w:rPr>
                <w:rFonts w:hint="eastAsia" w:ascii="宋体" w:hAnsi="宋体" w:cs="宋体"/>
                <w:color w:val="auto"/>
                <w:highlight w:val="none"/>
              </w:rPr>
              <w:t>契合项目实际需求</w:t>
            </w:r>
            <w:r>
              <w:rPr>
                <w:rFonts w:hint="eastAsia" w:ascii="宋体" w:hAnsi="宋体" w:cs="宋体"/>
                <w:color w:val="auto"/>
                <w:highlight w:val="none"/>
                <w:lang w:eastAsia="zh-CN"/>
              </w:rPr>
              <w:t>、调查工作计划（包含调查进度与时间安排、调查范围及对象确定、调查方法），安全管理措施、信息安全保障措施等</w:t>
            </w:r>
            <w:r>
              <w:rPr>
                <w:rFonts w:hint="eastAsia" w:ascii="宋体" w:hAnsi="宋体" w:cs="宋体"/>
                <w:color w:val="auto"/>
                <w:highlight w:val="none"/>
                <w:lang w:val="en-US" w:eastAsia="zh-CN"/>
              </w:rPr>
              <w:t>内容，</w:t>
            </w:r>
            <w:r>
              <w:rPr>
                <w:rFonts w:hint="eastAsia"/>
                <w:color w:val="auto"/>
                <w:highlight w:val="none"/>
              </w:rPr>
              <w:t>对实施过程中可能存在的问题及产生问题的原因分析有针对性并能提出解决方案，有应急解决方案</w:t>
            </w:r>
            <w:r>
              <w:rPr>
                <w:rFonts w:hint="eastAsia" w:ascii="宋体" w:hAnsi="宋体" w:cs="宋体"/>
                <w:color w:val="auto"/>
                <w:highlight w:val="none"/>
              </w:rPr>
              <w:t>。</w:t>
            </w:r>
          </w:p>
          <w:p w14:paraId="0275CA1F">
            <w:pPr>
              <w:keepNext w:val="0"/>
              <w:keepLines w:val="0"/>
              <w:pageBreakBefore w:val="0"/>
              <w:widowControl w:val="0"/>
              <w:kinsoku/>
              <w:wordWrap/>
              <w:overflowPunct/>
              <w:topLinePunct w:val="0"/>
              <w:autoSpaceDE/>
              <w:autoSpaceDN/>
              <w:bidi w:val="0"/>
              <w:snapToGrid/>
              <w:spacing w:line="360" w:lineRule="auto"/>
              <w:ind w:firstLine="420" w:firstLineChars="200"/>
              <w:rPr>
                <w:rFonts w:ascii="宋体" w:hAnsi="宋体" w:cs="宋体"/>
                <w:color w:val="auto"/>
                <w:highlight w:val="none"/>
              </w:rPr>
            </w:pPr>
            <w:r>
              <w:rPr>
                <w:rFonts w:hint="eastAsia" w:ascii="宋体" w:hAnsi="宋体" w:cs="宋体"/>
                <w:color w:val="auto"/>
                <w:highlight w:val="none"/>
              </w:rPr>
              <w:t>备注：</w:t>
            </w:r>
            <w:r>
              <w:rPr>
                <w:rFonts w:hint="eastAsia" w:ascii="宋体" w:hAnsi="宋体" w:cs="宋体"/>
                <w:color w:val="auto"/>
                <w:highlight w:val="none"/>
                <w:lang w:eastAsia="zh-CN"/>
              </w:rPr>
              <w:t>未达到一档</w:t>
            </w:r>
            <w:r>
              <w:rPr>
                <w:rFonts w:hint="eastAsia" w:ascii="宋体" w:hAnsi="宋体" w:cs="宋体"/>
                <w:color w:val="auto"/>
                <w:highlight w:val="none"/>
              </w:rPr>
              <w:t>的本项不得分。</w:t>
            </w:r>
          </w:p>
        </w:tc>
      </w:tr>
      <w:tr w14:paraId="4DA51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42273A80">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color w:val="auto"/>
                <w:szCs w:val="21"/>
                <w:highlight w:val="none"/>
              </w:rPr>
            </w:pPr>
          </w:p>
        </w:tc>
        <w:tc>
          <w:tcPr>
            <w:tcW w:w="611" w:type="pct"/>
            <w:vMerge w:val="continue"/>
            <w:vAlign w:val="center"/>
          </w:tcPr>
          <w:p w14:paraId="6906610E">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color w:val="auto"/>
                <w:szCs w:val="21"/>
                <w:highlight w:val="none"/>
              </w:rPr>
            </w:pPr>
          </w:p>
        </w:tc>
        <w:tc>
          <w:tcPr>
            <w:tcW w:w="420" w:type="pct"/>
            <w:vMerge w:val="continue"/>
            <w:vAlign w:val="center"/>
          </w:tcPr>
          <w:p w14:paraId="0F26DBFE">
            <w:pPr>
              <w:keepNext w:val="0"/>
              <w:keepLines w:val="0"/>
              <w:pageBreakBefore w:val="0"/>
              <w:widowControl w:val="0"/>
              <w:kinsoku/>
              <w:wordWrap/>
              <w:overflowPunct/>
              <w:topLinePunct w:val="0"/>
              <w:autoSpaceDE/>
              <w:autoSpaceDN/>
              <w:bidi w:val="0"/>
              <w:snapToGrid/>
              <w:spacing w:line="360" w:lineRule="auto"/>
              <w:jc w:val="center"/>
              <w:textAlignment w:val="baseline"/>
              <w:rPr>
                <w:rFonts w:ascii="宋体" w:hAnsi="宋体" w:cs="宋体"/>
                <w:b/>
                <w:color w:val="auto"/>
                <w:szCs w:val="21"/>
                <w:highlight w:val="none"/>
              </w:rPr>
            </w:pPr>
          </w:p>
        </w:tc>
        <w:tc>
          <w:tcPr>
            <w:tcW w:w="799" w:type="pct"/>
            <w:vAlign w:val="center"/>
          </w:tcPr>
          <w:p w14:paraId="3BF47C81">
            <w:pPr>
              <w:keepNext w:val="0"/>
              <w:keepLines w:val="0"/>
              <w:pageBreakBefore w:val="0"/>
              <w:widowControl w:val="0"/>
              <w:kinsoku/>
              <w:wordWrap/>
              <w:overflowPunct/>
              <w:topLinePunct w:val="0"/>
              <w:autoSpaceDE/>
              <w:autoSpaceDN/>
              <w:bidi w:val="0"/>
              <w:snapToGrid/>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管理方案分（满分25分）</w:t>
            </w:r>
          </w:p>
        </w:tc>
        <w:tc>
          <w:tcPr>
            <w:tcW w:w="2801" w:type="pct"/>
            <w:vAlign w:val="center"/>
          </w:tcPr>
          <w:p w14:paraId="0C060C63">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一档（10分）：根据工作内容，</w:t>
            </w:r>
            <w:r>
              <w:rPr>
                <w:rFonts w:hint="eastAsia" w:ascii="宋体" w:hAnsi="宋体" w:cs="宋体"/>
                <w:color w:val="auto"/>
                <w:highlight w:val="none"/>
                <w:lang w:eastAsia="zh-CN"/>
              </w:rPr>
              <w:t>管理方案包含</w:t>
            </w:r>
            <w:r>
              <w:rPr>
                <w:rFonts w:hint="eastAsia" w:ascii="宋体" w:hAnsi="宋体" w:cs="宋体"/>
                <w:color w:val="auto"/>
                <w:highlight w:val="none"/>
              </w:rPr>
              <w:t>健全的内部管理结构，独立、健全的财务管理、会计核算和资产管理制度；</w:t>
            </w:r>
            <w:r>
              <w:rPr>
                <w:rFonts w:hint="eastAsia" w:ascii="宋体" w:hAnsi="宋体" w:cs="宋体"/>
                <w:color w:val="auto"/>
                <w:highlight w:val="none"/>
                <w:lang w:eastAsia="zh-CN"/>
              </w:rPr>
              <w:t>满足采购需求。</w:t>
            </w:r>
          </w:p>
          <w:p w14:paraId="6AC144E0">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二档（15分）：在一档的基础上，</w:t>
            </w:r>
            <w:r>
              <w:rPr>
                <w:rFonts w:hint="eastAsia" w:ascii="宋体" w:hAnsi="宋体" w:cs="宋体"/>
                <w:color w:val="auto"/>
                <w:highlight w:val="none"/>
                <w:lang w:eastAsia="zh-CN"/>
              </w:rPr>
              <w:t>管理方案包含</w:t>
            </w:r>
            <w:r>
              <w:rPr>
                <w:rFonts w:hint="eastAsia" w:ascii="宋体" w:hAnsi="宋体" w:cs="宋体"/>
                <w:color w:val="auto"/>
                <w:highlight w:val="none"/>
              </w:rPr>
              <w:t>健全的内部管理结构，独立、健全的财务管理、会计核算和资产管理制度</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建立项目相关的规章管理制度与档案管理制度</w:t>
            </w:r>
            <w:r>
              <w:rPr>
                <w:rFonts w:hint="eastAsia" w:ascii="宋体" w:hAnsi="宋体" w:cs="宋体"/>
                <w:color w:val="auto"/>
                <w:highlight w:val="none"/>
              </w:rPr>
              <w:t>。</w:t>
            </w:r>
          </w:p>
          <w:p w14:paraId="42B5509A">
            <w:pPr>
              <w:keepNext w:val="0"/>
              <w:keepLines w:val="0"/>
              <w:pageBreakBefore w:val="0"/>
              <w:widowControl w:val="0"/>
              <w:kinsoku/>
              <w:wordWrap/>
              <w:overflowPunct/>
              <w:topLinePunct w:val="0"/>
              <w:autoSpaceDE/>
              <w:autoSpaceDN/>
              <w:bidi w:val="0"/>
              <w:snapToGrid/>
              <w:spacing w:line="360" w:lineRule="auto"/>
              <w:ind w:firstLine="420" w:firstLineChars="200"/>
              <w:rPr>
                <w:rFonts w:ascii="宋体" w:hAnsi="宋体" w:cs="宋体"/>
                <w:color w:val="auto"/>
                <w:highlight w:val="none"/>
              </w:rPr>
            </w:pPr>
            <w:r>
              <w:rPr>
                <w:rFonts w:hint="eastAsia" w:ascii="宋体" w:hAnsi="宋体" w:cs="宋体"/>
                <w:color w:val="auto"/>
                <w:highlight w:val="none"/>
              </w:rPr>
              <w:t>三档（20分）：在二档的基础上，</w:t>
            </w:r>
            <w:r>
              <w:rPr>
                <w:rFonts w:hint="eastAsia" w:ascii="宋体" w:hAnsi="宋体" w:cs="宋体"/>
                <w:color w:val="auto"/>
                <w:highlight w:val="none"/>
                <w:lang w:eastAsia="zh-CN"/>
              </w:rPr>
              <w:t>管理方案包含</w:t>
            </w:r>
            <w:r>
              <w:rPr>
                <w:rFonts w:hint="eastAsia" w:ascii="宋体" w:hAnsi="宋体" w:cs="宋体"/>
                <w:color w:val="auto"/>
                <w:highlight w:val="none"/>
              </w:rPr>
              <w:t>健全的内部管理结构，独立、健全的财务管理、会计核算和资产管理制度</w:t>
            </w:r>
            <w:r>
              <w:rPr>
                <w:rFonts w:hint="eastAsia" w:ascii="宋体" w:hAnsi="宋体" w:cs="宋体"/>
                <w:color w:val="auto"/>
                <w:highlight w:val="none"/>
                <w:lang w:eastAsia="zh-CN"/>
              </w:rPr>
              <w:t>、</w:t>
            </w:r>
            <w:r>
              <w:rPr>
                <w:rFonts w:hint="eastAsia" w:ascii="宋体" w:hAnsi="宋体" w:cs="宋体"/>
                <w:color w:val="auto"/>
                <w:highlight w:val="none"/>
                <w:lang w:val="en-US" w:eastAsia="zh-CN"/>
              </w:rPr>
              <w:t>建立项目相关的规章管理制度与档案管理制度，</w:t>
            </w:r>
            <w:r>
              <w:rPr>
                <w:rFonts w:hint="eastAsia" w:ascii="宋体" w:hAnsi="宋体" w:cs="宋体"/>
                <w:color w:val="auto"/>
                <w:highlight w:val="none"/>
                <w:lang w:eastAsia="zh-CN"/>
              </w:rPr>
              <w:t>有</w:t>
            </w:r>
            <w:r>
              <w:rPr>
                <w:rFonts w:hint="eastAsia" w:ascii="宋体" w:hAnsi="宋体" w:cs="宋体"/>
                <w:color w:val="auto"/>
                <w:highlight w:val="none"/>
              </w:rPr>
              <w:t>完善的组织机构、规范的内部操作规程。</w:t>
            </w:r>
            <w:r>
              <w:rPr>
                <w:rFonts w:hint="eastAsia" w:ascii="宋体" w:hAnsi="宋体" w:cs="宋体"/>
                <w:color w:val="auto"/>
                <w:highlight w:val="none"/>
                <w:lang w:val="en-US" w:eastAsia="zh-CN"/>
              </w:rPr>
              <w:t>档案管理制度规范，</w:t>
            </w:r>
            <w:r>
              <w:rPr>
                <w:rFonts w:hint="eastAsia" w:ascii="宋体" w:hAnsi="宋体" w:cs="宋体"/>
                <w:color w:val="auto"/>
                <w:highlight w:val="none"/>
              </w:rPr>
              <w:t>内容详细包含但不限于</w:t>
            </w:r>
            <w:r>
              <w:rPr>
                <w:rFonts w:hint="eastAsia" w:ascii="宋体" w:hAnsi="宋体" w:cs="宋体"/>
                <w:color w:val="auto"/>
                <w:highlight w:val="none"/>
                <w:lang w:val="en-US" w:eastAsia="zh-CN"/>
              </w:rPr>
              <w:t>档案收集、储存</w:t>
            </w:r>
            <w:r>
              <w:rPr>
                <w:rFonts w:hint="eastAsia" w:ascii="宋体" w:hAnsi="宋体" w:cs="宋体"/>
                <w:color w:val="auto"/>
                <w:highlight w:val="none"/>
              </w:rPr>
              <w:t>；</w:t>
            </w:r>
          </w:p>
          <w:p w14:paraId="6D426CC3">
            <w:pPr>
              <w:keepNext w:val="0"/>
              <w:keepLines w:val="0"/>
              <w:pageBreakBefore w:val="0"/>
              <w:widowControl w:val="0"/>
              <w:kinsoku/>
              <w:wordWrap/>
              <w:overflowPunct/>
              <w:topLinePunct w:val="0"/>
              <w:autoSpaceDE/>
              <w:autoSpaceDN/>
              <w:bidi w:val="0"/>
              <w:snapToGrid/>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四档（25分）：在三档的基础上，管理方案</w:t>
            </w:r>
            <w:r>
              <w:rPr>
                <w:rFonts w:hint="eastAsia" w:ascii="宋体" w:hAnsi="宋体" w:cs="宋体"/>
                <w:color w:val="auto"/>
                <w:highlight w:val="none"/>
                <w:lang w:eastAsia="zh-CN"/>
              </w:rPr>
              <w:t>结合实际，</w:t>
            </w:r>
            <w:r>
              <w:rPr>
                <w:rFonts w:hint="eastAsia" w:ascii="宋体" w:hAnsi="宋体" w:cs="宋体"/>
                <w:color w:val="auto"/>
                <w:highlight w:val="none"/>
                <w:lang w:val="en-US" w:eastAsia="zh-CN"/>
              </w:rPr>
              <w:t>规章管理制度</w:t>
            </w:r>
            <w:r>
              <w:rPr>
                <w:rFonts w:hint="eastAsia" w:ascii="宋体" w:hAnsi="宋体" w:cs="宋体"/>
                <w:color w:val="auto"/>
                <w:highlight w:val="none"/>
                <w:lang w:eastAsia="zh-CN"/>
              </w:rPr>
              <w:t>包含</w:t>
            </w:r>
            <w:r>
              <w:rPr>
                <w:rFonts w:hint="eastAsia" w:ascii="宋体" w:hAnsi="宋体" w:cs="宋体"/>
                <w:color w:val="auto"/>
                <w:highlight w:val="none"/>
              </w:rPr>
              <w:t>健全的内部管理结构，独立、健全的财务管理、会计核算和资产管理制度</w:t>
            </w:r>
            <w:r>
              <w:rPr>
                <w:rFonts w:hint="eastAsia" w:ascii="宋体" w:hAnsi="宋体" w:cs="宋体"/>
                <w:color w:val="auto"/>
                <w:highlight w:val="none"/>
                <w:lang w:eastAsia="zh-CN"/>
              </w:rPr>
              <w:t>、</w:t>
            </w:r>
            <w:r>
              <w:rPr>
                <w:rFonts w:hint="eastAsia" w:ascii="宋体" w:hAnsi="宋体" w:cs="宋体"/>
                <w:color w:val="auto"/>
                <w:highlight w:val="none"/>
              </w:rPr>
              <w:t>建立场地管理、志愿者管理、项目服务质量内控、人力资源管理、财务管理、风险管理等运营管理制度性文件，</w:t>
            </w:r>
            <w:r>
              <w:rPr>
                <w:rFonts w:hint="eastAsia" w:ascii="宋体" w:hAnsi="宋体" w:cs="宋体"/>
                <w:color w:val="auto"/>
                <w:highlight w:val="none"/>
                <w:lang w:eastAsia="zh-CN"/>
              </w:rPr>
              <w:t>有员工培训方案，</w:t>
            </w:r>
            <w:r>
              <w:rPr>
                <w:rFonts w:hint="eastAsia" w:ascii="宋体" w:hAnsi="宋体" w:cs="宋体"/>
                <w:color w:val="auto"/>
                <w:highlight w:val="none"/>
                <w:lang w:val="en-US" w:eastAsia="zh-CN"/>
              </w:rPr>
              <w:t>档案管理制度有具体的档案管理方案，档案收集、储存方案及确保档案完整性的具体保障措施</w:t>
            </w:r>
            <w:r>
              <w:rPr>
                <w:rFonts w:hint="eastAsia" w:ascii="宋体" w:hAnsi="宋体" w:cs="宋体"/>
                <w:color w:val="auto"/>
                <w:highlight w:val="none"/>
              </w:rPr>
              <w:t>。</w:t>
            </w:r>
          </w:p>
          <w:p w14:paraId="74936481">
            <w:pPr>
              <w:keepNext w:val="0"/>
              <w:keepLines w:val="0"/>
              <w:pageBreakBefore w:val="0"/>
              <w:widowControl w:val="0"/>
              <w:kinsoku/>
              <w:wordWrap/>
              <w:overflowPunct/>
              <w:topLinePunct w:val="0"/>
              <w:autoSpaceDE/>
              <w:autoSpaceDN/>
              <w:bidi w:val="0"/>
              <w:snapToGrid/>
              <w:spacing w:line="360" w:lineRule="auto"/>
              <w:ind w:firstLine="420" w:firstLineChars="200"/>
              <w:rPr>
                <w:rFonts w:ascii="宋体" w:hAnsi="宋体" w:cs="宋体"/>
                <w:color w:val="auto"/>
                <w:highlight w:val="none"/>
              </w:rPr>
            </w:pPr>
            <w:r>
              <w:rPr>
                <w:rFonts w:hint="eastAsia" w:ascii="宋体" w:hAnsi="宋体" w:cs="宋体"/>
                <w:color w:val="auto"/>
                <w:highlight w:val="none"/>
              </w:rPr>
              <w:t>备注：未达到一档的，本项不得分。</w:t>
            </w:r>
          </w:p>
        </w:tc>
      </w:tr>
      <w:tr w14:paraId="7CA8C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65531559">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color w:val="auto"/>
                <w:szCs w:val="21"/>
                <w:highlight w:val="none"/>
              </w:rPr>
            </w:pPr>
          </w:p>
        </w:tc>
        <w:tc>
          <w:tcPr>
            <w:tcW w:w="611" w:type="pct"/>
            <w:vMerge w:val="continue"/>
            <w:vAlign w:val="center"/>
          </w:tcPr>
          <w:p w14:paraId="48378494">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color w:val="auto"/>
                <w:szCs w:val="21"/>
                <w:highlight w:val="none"/>
              </w:rPr>
            </w:pPr>
          </w:p>
        </w:tc>
        <w:tc>
          <w:tcPr>
            <w:tcW w:w="420" w:type="pct"/>
            <w:vMerge w:val="continue"/>
            <w:vAlign w:val="center"/>
          </w:tcPr>
          <w:p w14:paraId="7FF5B49F">
            <w:pPr>
              <w:keepNext w:val="0"/>
              <w:keepLines w:val="0"/>
              <w:pageBreakBefore w:val="0"/>
              <w:widowControl w:val="0"/>
              <w:kinsoku/>
              <w:wordWrap/>
              <w:overflowPunct/>
              <w:topLinePunct w:val="0"/>
              <w:autoSpaceDE/>
              <w:autoSpaceDN/>
              <w:bidi w:val="0"/>
              <w:snapToGrid/>
              <w:spacing w:line="360" w:lineRule="auto"/>
              <w:jc w:val="center"/>
              <w:textAlignment w:val="baseline"/>
              <w:rPr>
                <w:rFonts w:ascii="宋体" w:hAnsi="宋体" w:cs="宋体"/>
                <w:b/>
                <w:color w:val="auto"/>
                <w:szCs w:val="21"/>
                <w:highlight w:val="none"/>
              </w:rPr>
            </w:pPr>
          </w:p>
        </w:tc>
        <w:tc>
          <w:tcPr>
            <w:tcW w:w="799" w:type="pct"/>
            <w:vAlign w:val="center"/>
          </w:tcPr>
          <w:p w14:paraId="47FE7D67">
            <w:pPr>
              <w:keepNext w:val="0"/>
              <w:keepLines w:val="0"/>
              <w:pageBreakBefore w:val="0"/>
              <w:widowControl w:val="0"/>
              <w:kinsoku/>
              <w:wordWrap/>
              <w:overflowPunct/>
              <w:topLinePunct w:val="0"/>
              <w:autoSpaceDE/>
              <w:autoSpaceDN/>
              <w:bidi w:val="0"/>
              <w:snapToGrid/>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服务承诺（满分</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5分）</w:t>
            </w:r>
          </w:p>
        </w:tc>
        <w:tc>
          <w:tcPr>
            <w:tcW w:w="2801" w:type="pct"/>
            <w:vAlign w:val="center"/>
          </w:tcPr>
          <w:p w14:paraId="666B7350">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一档（</w:t>
            </w:r>
            <w:r>
              <w:rPr>
                <w:rFonts w:hint="eastAsia" w:ascii="宋体" w:hAnsi="宋体" w:cs="宋体"/>
                <w:color w:val="auto"/>
                <w:highlight w:val="none"/>
                <w:lang w:val="en-US" w:eastAsia="zh-CN"/>
              </w:rPr>
              <w:t>10</w:t>
            </w:r>
            <w:r>
              <w:rPr>
                <w:rFonts w:hint="eastAsia" w:ascii="宋体" w:hAnsi="宋体" w:cs="宋体"/>
                <w:color w:val="auto"/>
                <w:highlight w:val="none"/>
              </w:rPr>
              <w:t>分）：服务承诺方案内容包括承诺的服务期限、服务响应的时间和提供服务的内容处理问题响应时间</w:t>
            </w:r>
            <w:r>
              <w:rPr>
                <w:rFonts w:hint="eastAsia" w:ascii="宋体" w:hAnsi="宋体" w:cs="宋体"/>
                <w:color w:val="auto"/>
                <w:highlight w:val="none"/>
                <w:lang w:eastAsia="zh-CN"/>
              </w:rPr>
              <w:t>，满足采购需求。</w:t>
            </w:r>
          </w:p>
          <w:p w14:paraId="2CB0920E">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二档（</w:t>
            </w:r>
            <w:r>
              <w:rPr>
                <w:rFonts w:hint="eastAsia" w:ascii="宋体" w:hAnsi="宋体" w:cs="宋体"/>
                <w:color w:val="auto"/>
                <w:highlight w:val="none"/>
                <w:lang w:val="en-US" w:eastAsia="zh-CN"/>
              </w:rPr>
              <w:t>15</w:t>
            </w:r>
            <w:r>
              <w:rPr>
                <w:rFonts w:hint="eastAsia" w:ascii="宋体" w:hAnsi="宋体" w:cs="宋体"/>
                <w:color w:val="auto"/>
                <w:highlight w:val="none"/>
              </w:rPr>
              <w:t>分）：在一档的基础上，服务承诺方案内容包括承诺的服务期限、服务响应的时间和提供服务的内容处理问题响应时间</w:t>
            </w:r>
            <w:r>
              <w:rPr>
                <w:rFonts w:hint="eastAsia" w:ascii="宋体" w:hAnsi="宋体" w:cs="宋体"/>
                <w:color w:val="auto"/>
                <w:highlight w:val="none"/>
                <w:lang w:eastAsia="zh-CN"/>
              </w:rPr>
              <w:t>、服务保证方案、服务团队配置等方案。</w:t>
            </w:r>
          </w:p>
          <w:p w14:paraId="53CC0072">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eastAsia="宋体" w:cs="宋体"/>
                <w:color w:val="auto"/>
                <w:highlight w:val="none"/>
                <w:lang w:eastAsia="zh-CN"/>
              </w:rPr>
            </w:pPr>
            <w:r>
              <w:rPr>
                <w:rFonts w:hint="eastAsia" w:ascii="宋体" w:hAnsi="宋体" w:cs="宋体"/>
                <w:color w:val="auto"/>
                <w:highlight w:val="none"/>
              </w:rPr>
              <w:t>三档（</w:t>
            </w:r>
            <w:r>
              <w:rPr>
                <w:rFonts w:hint="eastAsia" w:ascii="宋体" w:hAnsi="宋体" w:cs="宋体"/>
                <w:color w:val="auto"/>
                <w:highlight w:val="none"/>
                <w:lang w:val="en-US" w:eastAsia="zh-CN"/>
              </w:rPr>
              <w:t>20</w:t>
            </w:r>
            <w:r>
              <w:rPr>
                <w:rFonts w:hint="eastAsia" w:ascii="宋体" w:hAnsi="宋体" w:cs="宋体"/>
                <w:color w:val="auto"/>
                <w:highlight w:val="none"/>
              </w:rPr>
              <w:t>分）：在二档的基础上，服务承诺方案内容包括承诺的服务期限、服务响应的时间和提供服务的内容处理问题响应时间</w:t>
            </w:r>
            <w:r>
              <w:rPr>
                <w:rFonts w:hint="eastAsia" w:ascii="宋体" w:hAnsi="宋体" w:cs="宋体"/>
                <w:color w:val="auto"/>
                <w:highlight w:val="none"/>
                <w:lang w:eastAsia="zh-CN"/>
              </w:rPr>
              <w:t>、服务保证方案、服务团队配置、后续跟踪服务等方案</w:t>
            </w:r>
            <w:r>
              <w:rPr>
                <w:rFonts w:hint="eastAsia" w:ascii="宋体" w:hAnsi="宋体" w:cs="宋体"/>
                <w:color w:val="auto"/>
                <w:highlight w:val="none"/>
              </w:rPr>
              <w:t>，服务承诺具有针对性的工作落实应急保障方案、保密承诺等</w:t>
            </w:r>
            <w:r>
              <w:rPr>
                <w:rFonts w:hint="eastAsia" w:ascii="宋体" w:hAnsi="宋体" w:cs="宋体"/>
                <w:color w:val="auto"/>
                <w:highlight w:val="none"/>
                <w:lang w:eastAsia="zh-CN"/>
              </w:rPr>
              <w:t>。</w:t>
            </w:r>
          </w:p>
          <w:p w14:paraId="46B87C48">
            <w:pPr>
              <w:keepNext w:val="0"/>
              <w:keepLines w:val="0"/>
              <w:pageBreakBefore w:val="0"/>
              <w:widowControl w:val="0"/>
              <w:kinsoku/>
              <w:wordWrap/>
              <w:overflowPunct/>
              <w:topLinePunct w:val="0"/>
              <w:autoSpaceDE/>
              <w:autoSpaceDN/>
              <w:bidi w:val="0"/>
              <w:snapToGrid/>
              <w:spacing w:line="360" w:lineRule="auto"/>
              <w:ind w:firstLine="420" w:firstLineChars="200"/>
              <w:rPr>
                <w:rFonts w:ascii="宋体" w:hAnsi="宋体" w:cs="宋体"/>
                <w:color w:val="auto"/>
                <w:highlight w:val="none"/>
              </w:rPr>
            </w:pPr>
            <w:r>
              <w:rPr>
                <w:rFonts w:hint="eastAsia" w:ascii="宋体" w:hAnsi="宋体" w:cs="宋体"/>
                <w:color w:val="auto"/>
                <w:highlight w:val="none"/>
              </w:rPr>
              <w:t>四档（</w:t>
            </w:r>
            <w:r>
              <w:rPr>
                <w:rFonts w:hint="eastAsia" w:ascii="宋体" w:hAnsi="宋体" w:cs="宋体"/>
                <w:color w:val="auto"/>
                <w:highlight w:val="none"/>
                <w:lang w:val="en-US" w:eastAsia="zh-CN"/>
              </w:rPr>
              <w:t>25</w:t>
            </w:r>
            <w:r>
              <w:rPr>
                <w:rFonts w:hint="eastAsia" w:ascii="宋体" w:hAnsi="宋体" w:cs="宋体"/>
                <w:color w:val="auto"/>
                <w:highlight w:val="none"/>
              </w:rPr>
              <w:t>分）：在三档基础上，服务承诺方案内容包括承诺的服务期限、服务响应的时间和提供服务的内容处理问题响应时间</w:t>
            </w:r>
            <w:r>
              <w:rPr>
                <w:rFonts w:hint="eastAsia" w:ascii="宋体" w:hAnsi="宋体" w:cs="宋体"/>
                <w:color w:val="auto"/>
                <w:highlight w:val="none"/>
                <w:lang w:eastAsia="zh-CN"/>
              </w:rPr>
              <w:t>、服务保证方案、服务团队配置、后续跟踪服务、沟通等方案</w:t>
            </w:r>
            <w:r>
              <w:rPr>
                <w:rFonts w:hint="eastAsia" w:ascii="宋体" w:hAnsi="宋体" w:cs="宋体"/>
                <w:color w:val="auto"/>
                <w:highlight w:val="none"/>
              </w:rPr>
              <w:t>，结合实际，对服务承诺目标的实现包含有合理可行且具有针对性的保障方案、保密承诺等，且描述了项目后续实施的具体方法以及实现方式，后续服务机构及联系人员名单等资料。</w:t>
            </w:r>
          </w:p>
          <w:p w14:paraId="61E1E07B">
            <w:pPr>
              <w:keepNext w:val="0"/>
              <w:keepLines w:val="0"/>
              <w:pageBreakBefore w:val="0"/>
              <w:widowControl w:val="0"/>
              <w:kinsoku/>
              <w:wordWrap/>
              <w:overflowPunct/>
              <w:topLinePunct w:val="0"/>
              <w:autoSpaceDE/>
              <w:autoSpaceDN/>
              <w:bidi w:val="0"/>
              <w:snapToGrid/>
              <w:spacing w:line="360" w:lineRule="auto"/>
              <w:ind w:firstLine="420" w:firstLineChars="200"/>
              <w:rPr>
                <w:rFonts w:ascii="宋体" w:hAnsi="宋体" w:cs="宋体"/>
                <w:color w:val="auto"/>
                <w:highlight w:val="none"/>
              </w:rPr>
            </w:pPr>
            <w:r>
              <w:rPr>
                <w:rFonts w:hint="eastAsia" w:ascii="宋体" w:hAnsi="宋体" w:cs="宋体"/>
                <w:color w:val="auto"/>
                <w:highlight w:val="none"/>
              </w:rPr>
              <w:t>备注：未达到一档的，本项不得分。</w:t>
            </w:r>
          </w:p>
        </w:tc>
      </w:tr>
      <w:tr w14:paraId="212C4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restart"/>
            <w:vAlign w:val="center"/>
          </w:tcPr>
          <w:p w14:paraId="55967640">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3</w:t>
            </w:r>
          </w:p>
        </w:tc>
        <w:tc>
          <w:tcPr>
            <w:tcW w:w="611" w:type="pct"/>
            <w:vMerge w:val="restart"/>
            <w:vAlign w:val="center"/>
          </w:tcPr>
          <w:p w14:paraId="412171ED">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bCs/>
                <w:color w:val="auto"/>
                <w:szCs w:val="21"/>
                <w:highlight w:val="none"/>
              </w:rPr>
            </w:pPr>
            <w:r>
              <w:rPr>
                <w:rFonts w:hint="eastAsia" w:ascii="宋体" w:hAnsi="宋体" w:cs="宋体"/>
                <w:b/>
                <w:bCs/>
                <w:color w:val="auto"/>
                <w:szCs w:val="21"/>
                <w:highlight w:val="none"/>
              </w:rPr>
              <w:t>商务部分</w:t>
            </w:r>
          </w:p>
        </w:tc>
        <w:tc>
          <w:tcPr>
            <w:tcW w:w="420" w:type="pct"/>
            <w:vMerge w:val="restart"/>
            <w:vAlign w:val="center"/>
          </w:tcPr>
          <w:p w14:paraId="3FF3039F">
            <w:pPr>
              <w:keepNext w:val="0"/>
              <w:keepLines w:val="0"/>
              <w:pageBreakBefore w:val="0"/>
              <w:widowControl w:val="0"/>
              <w:kinsoku/>
              <w:wordWrap/>
              <w:overflowPunct/>
              <w:topLinePunct w:val="0"/>
              <w:autoSpaceDE/>
              <w:autoSpaceDN/>
              <w:bidi w:val="0"/>
              <w:snapToGrid/>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lang w:val="en-US" w:eastAsia="zh-CN"/>
              </w:rPr>
              <w:t>20</w:t>
            </w:r>
            <w:r>
              <w:rPr>
                <w:rFonts w:hint="eastAsia" w:ascii="宋体" w:hAnsi="宋体" w:cs="宋体"/>
                <w:b/>
                <w:color w:val="auto"/>
                <w:szCs w:val="21"/>
                <w:highlight w:val="none"/>
              </w:rPr>
              <w:t>分</w:t>
            </w:r>
          </w:p>
        </w:tc>
        <w:tc>
          <w:tcPr>
            <w:tcW w:w="799" w:type="pct"/>
            <w:vAlign w:val="center"/>
          </w:tcPr>
          <w:p w14:paraId="5F041F52">
            <w:pPr>
              <w:keepNext w:val="0"/>
              <w:keepLines w:val="0"/>
              <w:pageBreakBefore w:val="0"/>
              <w:widowControl w:val="0"/>
              <w:kinsoku/>
              <w:wordWrap/>
              <w:overflowPunct/>
              <w:topLinePunct w:val="0"/>
              <w:autoSpaceDE/>
              <w:autoSpaceDN/>
              <w:bidi w:val="0"/>
              <w:snapToGrid/>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人员配置</w:t>
            </w:r>
          </w:p>
          <w:p w14:paraId="3255FFBF">
            <w:pPr>
              <w:keepNext w:val="0"/>
              <w:keepLines w:val="0"/>
              <w:pageBreakBefore w:val="0"/>
              <w:widowControl w:val="0"/>
              <w:kinsoku/>
              <w:wordWrap/>
              <w:overflowPunct/>
              <w:topLinePunct w:val="0"/>
              <w:autoSpaceDE/>
              <w:autoSpaceDN/>
              <w:bidi w:val="0"/>
              <w:snapToGrid/>
              <w:spacing w:line="360" w:lineRule="auto"/>
              <w:jc w:val="center"/>
              <w:textAlignment w:val="baseline"/>
              <w:rPr>
                <w:rFonts w:ascii="宋体" w:hAnsi="宋体" w:cs="宋体"/>
                <w:bCs/>
                <w:color w:val="auto"/>
                <w:highlight w:val="none"/>
              </w:rPr>
            </w:pPr>
            <w:r>
              <w:rPr>
                <w:rFonts w:hint="eastAsia" w:ascii="宋体" w:hAnsi="宋体" w:cs="宋体"/>
                <w:b/>
                <w:color w:val="auto"/>
                <w:szCs w:val="21"/>
                <w:highlight w:val="none"/>
              </w:rPr>
              <w:t>（满分</w:t>
            </w:r>
            <w:r>
              <w:rPr>
                <w:rFonts w:hint="eastAsia" w:ascii="宋体" w:hAnsi="宋体" w:cs="宋体"/>
                <w:b/>
                <w:color w:val="auto"/>
                <w:szCs w:val="21"/>
                <w:highlight w:val="none"/>
                <w:lang w:val="en-US" w:eastAsia="zh-CN"/>
              </w:rPr>
              <w:t>14</w:t>
            </w:r>
            <w:r>
              <w:rPr>
                <w:rFonts w:hint="eastAsia" w:ascii="宋体" w:hAnsi="宋体" w:cs="宋体"/>
                <w:b/>
                <w:color w:val="auto"/>
                <w:szCs w:val="21"/>
                <w:highlight w:val="none"/>
              </w:rPr>
              <w:t>分）</w:t>
            </w:r>
          </w:p>
        </w:tc>
        <w:tc>
          <w:tcPr>
            <w:tcW w:w="2801" w:type="pct"/>
            <w:vAlign w:val="center"/>
          </w:tcPr>
          <w:p w14:paraId="67B5CCBA">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cs="宋体"/>
                <w:color w:val="auto"/>
                <w:highlight w:val="none"/>
                <w:lang w:eastAsia="zh-CN"/>
              </w:rPr>
            </w:pPr>
            <w:r>
              <w:rPr>
                <w:rFonts w:hint="eastAsia" w:ascii="宋体" w:hAnsi="宋体" w:cs="宋体"/>
                <w:color w:val="auto"/>
                <w:highlight w:val="none"/>
                <w:lang w:eastAsia="zh-CN"/>
              </w:rPr>
              <w:t>①项目团队结构完整，拟投入人员中具备助理社会工作师的，每人得</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分，最多得</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分；具备社会工作师（中级）及以上的，每人得</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分，最多得</w:t>
            </w:r>
            <w:r>
              <w:rPr>
                <w:rFonts w:hint="eastAsia" w:ascii="宋体" w:hAnsi="宋体" w:cs="宋体"/>
                <w:color w:val="auto"/>
                <w:highlight w:val="none"/>
                <w:lang w:val="en-US" w:eastAsia="zh-CN"/>
              </w:rPr>
              <w:t>8</w:t>
            </w:r>
            <w:r>
              <w:rPr>
                <w:rFonts w:hint="eastAsia" w:ascii="宋体" w:hAnsi="宋体" w:cs="宋体"/>
                <w:color w:val="auto"/>
                <w:highlight w:val="none"/>
                <w:lang w:eastAsia="zh-CN"/>
              </w:rPr>
              <w:t>分；该项满分</w:t>
            </w:r>
            <w:r>
              <w:rPr>
                <w:rFonts w:hint="eastAsia" w:ascii="宋体" w:hAnsi="宋体" w:cs="宋体"/>
                <w:color w:val="auto"/>
                <w:highlight w:val="none"/>
                <w:lang w:val="en-US" w:eastAsia="zh-CN"/>
              </w:rPr>
              <w:t>8</w:t>
            </w:r>
            <w:r>
              <w:rPr>
                <w:rFonts w:hint="eastAsia" w:ascii="宋体" w:hAnsi="宋体" w:cs="宋体"/>
                <w:color w:val="auto"/>
                <w:highlight w:val="none"/>
                <w:lang w:eastAsia="zh-CN"/>
              </w:rPr>
              <w:t>分。</w:t>
            </w:r>
          </w:p>
          <w:p w14:paraId="2B65FD5E">
            <w:pPr>
              <w:keepNext w:val="0"/>
              <w:keepLines w:val="0"/>
              <w:pageBreakBefore w:val="0"/>
              <w:widowControl w:val="0"/>
              <w:kinsoku/>
              <w:wordWrap/>
              <w:overflowPunct/>
              <w:topLinePunct w:val="0"/>
              <w:autoSpaceDE/>
              <w:autoSpaceDN/>
              <w:bidi w:val="0"/>
              <w:snapToGrid/>
              <w:spacing w:line="360" w:lineRule="auto"/>
              <w:ind w:firstLine="420" w:firstLineChars="200"/>
              <w:rPr>
                <w:rFonts w:hint="eastAsia" w:ascii="宋体" w:hAnsi="宋体" w:cs="宋体"/>
                <w:color w:val="auto"/>
                <w:highlight w:val="none"/>
                <w:lang w:eastAsia="zh-CN"/>
              </w:rPr>
            </w:pPr>
            <w:r>
              <w:rPr>
                <w:rFonts w:hint="eastAsia" w:ascii="宋体" w:hAnsi="宋体" w:cs="宋体"/>
                <w:color w:val="auto"/>
                <w:highlight w:val="none"/>
                <w:lang w:eastAsia="zh-CN"/>
              </w:rPr>
              <w:t>②本项目</w:t>
            </w:r>
            <w:r>
              <w:rPr>
                <w:rFonts w:hint="eastAsia" w:ascii="宋体" w:hAnsi="宋体" w:cs="宋体"/>
                <w:color w:val="auto"/>
                <w:highlight w:val="none"/>
              </w:rPr>
              <w:t>拟投入不少于8人（含）工作人员</w:t>
            </w:r>
            <w:r>
              <w:rPr>
                <w:rFonts w:hint="eastAsia" w:ascii="宋体" w:hAnsi="宋体" w:cs="宋体"/>
                <w:color w:val="auto"/>
                <w:highlight w:val="none"/>
                <w:lang w:eastAsia="zh-CN"/>
              </w:rPr>
              <w:t>，每增加1名得1分，该项满分</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分。</w:t>
            </w:r>
          </w:p>
          <w:p w14:paraId="618E8FD5">
            <w:pPr>
              <w:keepNext w:val="0"/>
              <w:keepLines w:val="0"/>
              <w:pageBreakBefore w:val="0"/>
              <w:widowControl w:val="0"/>
              <w:kinsoku/>
              <w:wordWrap/>
              <w:overflowPunct/>
              <w:topLinePunct w:val="0"/>
              <w:autoSpaceDE/>
              <w:autoSpaceDN/>
              <w:bidi w:val="0"/>
              <w:snapToGrid/>
              <w:spacing w:line="360" w:lineRule="auto"/>
              <w:ind w:firstLine="420" w:firstLineChars="200"/>
              <w:rPr>
                <w:rFonts w:ascii="宋体" w:hAnsi="宋体" w:cs="宋体"/>
                <w:color w:val="auto"/>
                <w:highlight w:val="none"/>
              </w:rPr>
            </w:pPr>
            <w:r>
              <w:rPr>
                <w:rFonts w:hint="eastAsia" w:ascii="宋体" w:hAnsi="宋体" w:cs="宋体"/>
                <w:color w:val="auto"/>
                <w:highlight w:val="none"/>
                <w:lang w:eastAsia="zh-CN"/>
              </w:rPr>
              <w:t>③注：提供上述人员相关</w:t>
            </w:r>
            <w:r>
              <w:rPr>
                <w:rFonts w:hint="eastAsia" w:ascii="宋体" w:hAnsi="宋体" w:cs="宋体"/>
                <w:color w:val="auto"/>
                <w:highlight w:val="none"/>
                <w:lang w:val="en-US" w:eastAsia="zh-CN"/>
              </w:rPr>
              <w:t>身份证明（居民身份证或单位工作证），</w:t>
            </w:r>
            <w:r>
              <w:rPr>
                <w:rFonts w:hint="eastAsia" w:ascii="宋体" w:hAnsi="宋体" w:cs="宋体"/>
                <w:color w:val="auto"/>
                <w:highlight w:val="none"/>
                <w:lang w:eastAsia="zh-CN"/>
              </w:rPr>
              <w:t>社会工作者职业水平证书（</w:t>
            </w:r>
            <w:r>
              <w:rPr>
                <w:rFonts w:hint="eastAsia" w:ascii="宋体" w:hAnsi="宋体" w:cs="宋体"/>
                <w:color w:val="auto"/>
                <w:highlight w:val="none"/>
                <w:lang w:val="en-US" w:eastAsia="zh-CN"/>
              </w:rPr>
              <w:t>如有</w:t>
            </w:r>
            <w:r>
              <w:rPr>
                <w:rFonts w:hint="eastAsia" w:ascii="宋体" w:hAnsi="宋体" w:cs="宋体"/>
                <w:color w:val="auto"/>
                <w:highlight w:val="none"/>
                <w:lang w:eastAsia="zh-CN"/>
              </w:rPr>
              <w:t>）扫描件</w:t>
            </w:r>
            <w:r>
              <w:rPr>
                <w:rFonts w:hint="eastAsia" w:ascii="宋体" w:hAnsi="宋体" w:cs="宋体"/>
                <w:color w:val="auto"/>
                <w:highlight w:val="none"/>
                <w:lang w:val="en-US" w:eastAsia="zh-CN"/>
              </w:rPr>
              <w:t>并加盖供应商公章，未提供的不予计分</w:t>
            </w:r>
            <w:r>
              <w:rPr>
                <w:rFonts w:hint="eastAsia" w:ascii="宋体" w:hAnsi="宋体" w:cs="宋体"/>
                <w:color w:val="auto"/>
                <w:highlight w:val="none"/>
                <w:lang w:eastAsia="zh-CN"/>
              </w:rPr>
              <w:t>。</w:t>
            </w:r>
          </w:p>
        </w:tc>
      </w:tr>
      <w:tr w14:paraId="46E5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vMerge w:val="continue"/>
            <w:vAlign w:val="center"/>
          </w:tcPr>
          <w:p w14:paraId="742A7374">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color w:val="auto"/>
                <w:szCs w:val="21"/>
                <w:highlight w:val="none"/>
              </w:rPr>
            </w:pPr>
          </w:p>
        </w:tc>
        <w:tc>
          <w:tcPr>
            <w:tcW w:w="611" w:type="pct"/>
            <w:vMerge w:val="continue"/>
            <w:vAlign w:val="center"/>
          </w:tcPr>
          <w:p w14:paraId="2CF71766">
            <w:pPr>
              <w:keepNext w:val="0"/>
              <w:keepLines w:val="0"/>
              <w:pageBreakBefore w:val="0"/>
              <w:widowControl w:val="0"/>
              <w:kinsoku/>
              <w:wordWrap/>
              <w:overflowPunct/>
              <w:topLinePunct w:val="0"/>
              <w:autoSpaceDE/>
              <w:autoSpaceDN/>
              <w:bidi w:val="0"/>
              <w:adjustRightInd w:val="0"/>
              <w:snapToGrid/>
              <w:spacing w:line="360" w:lineRule="auto"/>
              <w:jc w:val="center"/>
              <w:textAlignment w:val="baseline"/>
              <w:rPr>
                <w:rFonts w:ascii="宋体" w:hAnsi="宋体" w:cs="宋体"/>
                <w:b/>
                <w:color w:val="auto"/>
                <w:szCs w:val="21"/>
                <w:highlight w:val="none"/>
              </w:rPr>
            </w:pPr>
          </w:p>
        </w:tc>
        <w:tc>
          <w:tcPr>
            <w:tcW w:w="420" w:type="pct"/>
            <w:vMerge w:val="continue"/>
            <w:vAlign w:val="center"/>
          </w:tcPr>
          <w:p w14:paraId="21927252">
            <w:pPr>
              <w:keepNext w:val="0"/>
              <w:keepLines w:val="0"/>
              <w:pageBreakBefore w:val="0"/>
              <w:widowControl w:val="0"/>
              <w:kinsoku/>
              <w:wordWrap/>
              <w:overflowPunct/>
              <w:topLinePunct w:val="0"/>
              <w:autoSpaceDE/>
              <w:autoSpaceDN/>
              <w:bidi w:val="0"/>
              <w:snapToGrid/>
              <w:spacing w:line="360" w:lineRule="auto"/>
              <w:jc w:val="center"/>
              <w:textAlignment w:val="baseline"/>
              <w:rPr>
                <w:rFonts w:ascii="宋体" w:hAnsi="宋体" w:cs="宋体"/>
                <w:b/>
                <w:color w:val="auto"/>
                <w:szCs w:val="21"/>
                <w:highlight w:val="none"/>
              </w:rPr>
            </w:pPr>
          </w:p>
        </w:tc>
        <w:tc>
          <w:tcPr>
            <w:tcW w:w="799" w:type="pct"/>
            <w:vAlign w:val="center"/>
          </w:tcPr>
          <w:p w14:paraId="27A547F0">
            <w:pPr>
              <w:keepNext w:val="0"/>
              <w:keepLines w:val="0"/>
              <w:pageBreakBefore w:val="0"/>
              <w:widowControl w:val="0"/>
              <w:kinsoku/>
              <w:wordWrap/>
              <w:overflowPunct/>
              <w:topLinePunct w:val="0"/>
              <w:autoSpaceDE/>
              <w:autoSpaceDN/>
              <w:bidi w:val="0"/>
              <w:snapToGrid/>
              <w:spacing w:line="360" w:lineRule="auto"/>
              <w:jc w:val="center"/>
              <w:textAlignment w:val="baseline"/>
              <w:rPr>
                <w:rFonts w:ascii="宋体" w:hAnsi="宋体" w:cs="宋体"/>
                <w:b/>
                <w:color w:val="auto"/>
                <w:szCs w:val="21"/>
                <w:highlight w:val="none"/>
              </w:rPr>
            </w:pPr>
            <w:r>
              <w:rPr>
                <w:rFonts w:hint="eastAsia" w:ascii="宋体" w:hAnsi="宋体" w:cs="宋体"/>
                <w:b/>
                <w:color w:val="auto"/>
                <w:szCs w:val="21"/>
                <w:highlight w:val="none"/>
              </w:rPr>
              <w:t>业绩</w:t>
            </w:r>
          </w:p>
          <w:p w14:paraId="25700B04">
            <w:pPr>
              <w:keepNext w:val="0"/>
              <w:keepLines w:val="0"/>
              <w:pageBreakBefore w:val="0"/>
              <w:widowControl w:val="0"/>
              <w:kinsoku/>
              <w:wordWrap/>
              <w:overflowPunct/>
              <w:topLinePunct w:val="0"/>
              <w:autoSpaceDE/>
              <w:autoSpaceDN/>
              <w:bidi w:val="0"/>
              <w:snapToGrid/>
              <w:spacing w:line="360" w:lineRule="auto"/>
              <w:jc w:val="center"/>
              <w:textAlignment w:val="baseline"/>
              <w:rPr>
                <w:rFonts w:ascii="宋体" w:hAnsi="宋体" w:cs="宋体"/>
                <w:bCs/>
                <w:color w:val="auto"/>
                <w:highlight w:val="none"/>
              </w:rPr>
            </w:pPr>
            <w:r>
              <w:rPr>
                <w:rFonts w:hint="eastAsia" w:ascii="宋体" w:hAnsi="宋体" w:cs="宋体"/>
                <w:b/>
                <w:color w:val="auto"/>
                <w:szCs w:val="21"/>
                <w:highlight w:val="none"/>
              </w:rPr>
              <w:t>（满分6分）</w:t>
            </w:r>
          </w:p>
        </w:tc>
        <w:tc>
          <w:tcPr>
            <w:tcW w:w="2801" w:type="pct"/>
            <w:vAlign w:val="center"/>
          </w:tcPr>
          <w:p w14:paraId="277936DE">
            <w:pPr>
              <w:keepNext w:val="0"/>
              <w:keepLines w:val="0"/>
              <w:pageBreakBefore w:val="0"/>
              <w:widowControl w:val="0"/>
              <w:kinsoku/>
              <w:wordWrap/>
              <w:overflowPunct/>
              <w:topLinePunct w:val="0"/>
              <w:autoSpaceDE/>
              <w:autoSpaceDN/>
              <w:bidi w:val="0"/>
              <w:snapToGrid/>
              <w:spacing w:line="360" w:lineRule="auto"/>
              <w:ind w:firstLine="420" w:firstLineChars="200"/>
              <w:rPr>
                <w:rFonts w:ascii="宋体" w:hAnsi="宋体" w:cs="宋体"/>
                <w:color w:val="auto"/>
                <w:highlight w:val="none"/>
              </w:rPr>
            </w:pPr>
            <w:r>
              <w:rPr>
                <w:rFonts w:hint="eastAsia" w:ascii="宋体" w:hAnsi="宋体" w:cs="宋体"/>
                <w:color w:val="auto"/>
                <w:highlight w:val="none"/>
              </w:rPr>
              <w:t>项目业绩（6分）：</w:t>
            </w:r>
            <w:r>
              <w:rPr>
                <w:rFonts w:hint="eastAsia" w:ascii="宋体" w:hAnsi="宋体" w:cs="宋体"/>
                <w:color w:val="auto"/>
                <w:szCs w:val="18"/>
                <w:highlight w:val="none"/>
              </w:rPr>
              <w:t>20</w:t>
            </w:r>
            <w:r>
              <w:rPr>
                <w:rFonts w:hint="eastAsia" w:ascii="宋体" w:hAnsi="宋体" w:cs="宋体"/>
                <w:color w:val="auto"/>
                <w:szCs w:val="18"/>
                <w:highlight w:val="none"/>
                <w:lang w:val="en-US" w:eastAsia="zh-CN"/>
              </w:rPr>
              <w:t>23</w:t>
            </w:r>
            <w:r>
              <w:rPr>
                <w:rFonts w:hint="eastAsia" w:ascii="宋体" w:hAnsi="宋体" w:cs="宋体"/>
                <w:color w:val="auto"/>
                <w:szCs w:val="18"/>
                <w:highlight w:val="none"/>
              </w:rPr>
              <w:t>年1月以来供应商承接过类似</w:t>
            </w:r>
            <w:r>
              <w:rPr>
                <w:rFonts w:hint="eastAsia" w:ascii="宋体" w:hAnsi="宋体" w:cs="宋体"/>
                <w:color w:val="auto"/>
                <w:szCs w:val="18"/>
                <w:highlight w:val="none"/>
                <w:lang w:val="en-US" w:eastAsia="zh-CN"/>
              </w:rPr>
              <w:t>社会服务</w:t>
            </w:r>
            <w:r>
              <w:rPr>
                <w:rFonts w:hint="eastAsia" w:ascii="宋体" w:hAnsi="宋体" w:cs="宋体"/>
                <w:color w:val="auto"/>
                <w:szCs w:val="18"/>
                <w:highlight w:val="none"/>
              </w:rPr>
              <w:t>项目（提供项目实施情况一览表、合同复印件），每个得</w:t>
            </w:r>
            <w:r>
              <w:rPr>
                <w:rFonts w:hint="eastAsia" w:ascii="宋体" w:hAnsi="宋体" w:cs="宋体"/>
                <w:color w:val="auto"/>
                <w:szCs w:val="18"/>
                <w:highlight w:val="none"/>
                <w:lang w:val="en-US" w:eastAsia="zh-CN"/>
              </w:rPr>
              <w:t>2</w:t>
            </w:r>
            <w:r>
              <w:rPr>
                <w:rFonts w:hint="eastAsia" w:ascii="宋体" w:hAnsi="宋体" w:cs="宋体"/>
                <w:color w:val="auto"/>
                <w:szCs w:val="18"/>
                <w:highlight w:val="none"/>
              </w:rPr>
              <w:t>分，满分</w:t>
            </w:r>
            <w:r>
              <w:rPr>
                <w:rFonts w:hint="eastAsia" w:ascii="宋体" w:hAnsi="宋体" w:cs="宋体"/>
                <w:color w:val="auto"/>
                <w:szCs w:val="18"/>
                <w:highlight w:val="none"/>
                <w:lang w:val="en-US" w:eastAsia="zh-CN"/>
              </w:rPr>
              <w:t>6</w:t>
            </w:r>
            <w:r>
              <w:rPr>
                <w:rFonts w:hint="eastAsia" w:ascii="宋体" w:hAnsi="宋体" w:cs="宋体"/>
                <w:color w:val="auto"/>
                <w:szCs w:val="18"/>
                <w:highlight w:val="none"/>
              </w:rPr>
              <w:t>分。</w:t>
            </w:r>
            <w:r>
              <w:rPr>
                <w:rFonts w:hint="eastAsia" w:ascii="宋体" w:hAnsi="宋体" w:cs="宋体"/>
                <w:color w:val="auto"/>
                <w:szCs w:val="21"/>
                <w:highlight w:val="none"/>
              </w:rPr>
              <w:t>（须提供合同关键页扫描件，并加盖公章。）</w:t>
            </w:r>
          </w:p>
          <w:p w14:paraId="095DA336">
            <w:pPr>
              <w:keepNext w:val="0"/>
              <w:keepLines w:val="0"/>
              <w:pageBreakBefore w:val="0"/>
              <w:widowControl w:val="0"/>
              <w:kinsoku/>
              <w:wordWrap/>
              <w:overflowPunct/>
              <w:topLinePunct w:val="0"/>
              <w:autoSpaceDE/>
              <w:autoSpaceDN/>
              <w:bidi w:val="0"/>
              <w:snapToGrid/>
              <w:spacing w:line="360" w:lineRule="auto"/>
              <w:rPr>
                <w:rFonts w:ascii="宋体" w:hAnsi="宋体" w:cs="宋体"/>
                <w:color w:val="auto"/>
                <w:highlight w:val="none"/>
              </w:rPr>
            </w:pPr>
            <w:r>
              <w:rPr>
                <w:rFonts w:hint="eastAsia" w:ascii="宋体" w:hAnsi="宋体" w:cs="宋体"/>
                <w:color w:val="auto"/>
                <w:highlight w:val="none"/>
              </w:rPr>
              <w:t>注：1.若为同一合同项的业绩，不重复计分。</w:t>
            </w:r>
          </w:p>
          <w:p w14:paraId="1D5213EC">
            <w:pPr>
              <w:keepNext w:val="0"/>
              <w:keepLines w:val="0"/>
              <w:pageBreakBefore w:val="0"/>
              <w:widowControl w:val="0"/>
              <w:kinsoku/>
              <w:wordWrap/>
              <w:overflowPunct/>
              <w:topLinePunct w:val="0"/>
              <w:autoSpaceDE/>
              <w:autoSpaceDN/>
              <w:bidi w:val="0"/>
              <w:snapToGrid/>
              <w:spacing w:line="360" w:lineRule="auto"/>
              <w:ind w:firstLine="420" w:firstLineChars="200"/>
              <w:rPr>
                <w:rFonts w:ascii="宋体" w:hAnsi="宋体" w:cs="宋体"/>
                <w:color w:val="auto"/>
                <w:highlight w:val="none"/>
              </w:rPr>
            </w:pPr>
            <w:r>
              <w:rPr>
                <w:rFonts w:hint="eastAsia" w:ascii="宋体" w:hAnsi="宋体" w:cs="宋体"/>
                <w:color w:val="auto"/>
                <w:highlight w:val="none"/>
              </w:rPr>
              <w:t>2.须提供相关业绩的合同</w:t>
            </w:r>
            <w:r>
              <w:rPr>
                <w:rFonts w:hint="eastAsia" w:ascii="宋体" w:hAnsi="宋体" w:cs="宋体"/>
                <w:color w:val="auto"/>
                <w:szCs w:val="21"/>
                <w:highlight w:val="none"/>
              </w:rPr>
              <w:t>扫描</w:t>
            </w:r>
            <w:r>
              <w:rPr>
                <w:rFonts w:hint="eastAsia" w:ascii="宋体" w:hAnsi="宋体" w:cs="宋体"/>
                <w:color w:val="auto"/>
                <w:highlight w:val="none"/>
              </w:rPr>
              <w:t>件并加盖供应商公章，否则不得分。</w:t>
            </w:r>
          </w:p>
        </w:tc>
      </w:tr>
      <w:tr w14:paraId="67FF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14:paraId="0B038C81">
            <w:pPr>
              <w:pStyle w:val="19"/>
              <w:keepNext w:val="0"/>
              <w:keepLines w:val="0"/>
              <w:pageBreakBefore w:val="0"/>
              <w:widowControl w:val="0"/>
              <w:kinsoku/>
              <w:wordWrap/>
              <w:overflowPunct/>
              <w:topLinePunct w:val="0"/>
              <w:autoSpaceDE/>
              <w:autoSpaceDN/>
              <w:bidi w:val="0"/>
              <w:snapToGrid/>
              <w:spacing w:line="360" w:lineRule="auto"/>
              <w:rPr>
                <w:rFonts w:hAnsi="宋体" w:cs="宋体"/>
                <w:bCs/>
                <w:color w:val="auto"/>
                <w:kern w:val="2"/>
                <w:sz w:val="21"/>
                <w:highlight w:val="none"/>
              </w:rPr>
            </w:pPr>
            <w:r>
              <w:rPr>
                <w:rFonts w:hint="eastAsia" w:hAnsi="宋体" w:cs="宋体"/>
                <w:b/>
                <w:bCs/>
                <w:color w:val="auto"/>
                <w:kern w:val="2"/>
                <w:sz w:val="21"/>
                <w:highlight w:val="none"/>
              </w:rPr>
              <w:t>总得分 = 1 + 2 + 3</w:t>
            </w:r>
          </w:p>
        </w:tc>
      </w:tr>
    </w:tbl>
    <w:p w14:paraId="73087983">
      <w:pPr>
        <w:spacing w:line="360" w:lineRule="auto"/>
        <w:ind w:firstLine="420" w:firstLineChars="200"/>
        <w:rPr>
          <w:rFonts w:ascii="宋体" w:hAnsi="宋体" w:cs="宋体"/>
          <w:color w:val="auto"/>
          <w:highlight w:val="none"/>
        </w:rPr>
      </w:pPr>
    </w:p>
    <w:p w14:paraId="3CFD83EE">
      <w:pPr>
        <w:spacing w:line="360" w:lineRule="auto"/>
        <w:ind w:firstLine="422" w:firstLineChars="200"/>
        <w:rPr>
          <w:rFonts w:ascii="宋体" w:hAnsi="宋体" w:cs="宋体"/>
          <w:b/>
          <w:color w:val="auto"/>
          <w:sz w:val="24"/>
          <w:highlight w:val="none"/>
        </w:rPr>
      </w:pPr>
      <w:r>
        <w:rPr>
          <w:rFonts w:hint="eastAsia" w:ascii="宋体" w:hAnsi="宋体" w:cs="宋体"/>
          <w:b/>
          <w:color w:val="auto"/>
          <w:szCs w:val="21"/>
          <w:highlight w:val="none"/>
        </w:rPr>
        <w:br w:type="page"/>
      </w:r>
      <w:r>
        <w:rPr>
          <w:rFonts w:hint="eastAsia" w:ascii="宋体" w:hAnsi="宋体" w:cs="宋体"/>
          <w:b/>
          <w:color w:val="auto"/>
          <w:sz w:val="24"/>
          <w:highlight w:val="none"/>
        </w:rPr>
        <w:t>7. 成交候选供应商推荐原则</w:t>
      </w:r>
    </w:p>
    <w:p w14:paraId="23063F89">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7.1由磋商小组根据综合评分情况，按照评审得分由高到低顺序推荐 3 名以上成交候选供应商，并编写评审报告，评审报告通过电子交易平台向采购人、采购代理机构提交。符合本章第 4.3 条情形的，可以推荐 2 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68A62AFB">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7.2成交供应商拒绝签订政府采购合同的，采购人可以按照上款规定的原则确定其他候选供应商作为成交供应商并签订政府采购合同，也可以重新开展采购活动。拒绝签订政府采购合同的成交供应商不得参加对该项目重新开展的采购活动。</w:t>
      </w:r>
    </w:p>
    <w:p w14:paraId="705124ED">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7.3磋商小组认为，某供应商的响应报价或者某些分项报价明显不合理，有可能影响质量和不能诚信履约的，应要求其在规定的期限内提供书面文件予以解释说明，并提交相关证明材料，否则，磋商小组可以取消该供应商的成交候选资格，按顺序由排在其后面的供应商递补，以此类推。</w:t>
      </w:r>
    </w:p>
    <w:p w14:paraId="6DEF23BE">
      <w:pPr>
        <w:spacing w:line="360" w:lineRule="auto"/>
        <w:ind w:firstLine="420" w:firstLineChars="200"/>
        <w:rPr>
          <w:rFonts w:ascii="宋体" w:hAnsi="宋体" w:cs="宋体"/>
          <w:color w:val="auto"/>
          <w:highlight w:val="none"/>
        </w:rPr>
      </w:pPr>
    </w:p>
    <w:p w14:paraId="3247E46F">
      <w:pPr>
        <w:spacing w:line="360" w:lineRule="auto"/>
        <w:jc w:val="center"/>
        <w:rPr>
          <w:rFonts w:ascii="宋体" w:hAnsi="宋体" w:cs="宋体"/>
          <w:color w:val="auto"/>
          <w:highlight w:val="none"/>
        </w:rPr>
      </w:pPr>
      <w:r>
        <w:rPr>
          <w:rFonts w:hint="eastAsia" w:ascii="宋体" w:hAnsi="宋体" w:cs="宋体"/>
          <w:color w:val="auto"/>
          <w:highlight w:val="none"/>
        </w:rPr>
        <w:br w:type="page"/>
      </w:r>
    </w:p>
    <w:p w14:paraId="0316FB59">
      <w:pPr>
        <w:spacing w:line="360" w:lineRule="auto"/>
        <w:jc w:val="center"/>
        <w:rPr>
          <w:rFonts w:ascii="宋体" w:hAnsi="宋体" w:cs="宋体"/>
          <w:color w:val="auto"/>
          <w:highlight w:val="none"/>
        </w:rPr>
      </w:pPr>
    </w:p>
    <w:p w14:paraId="02292841">
      <w:pPr>
        <w:spacing w:line="360" w:lineRule="auto"/>
        <w:jc w:val="center"/>
        <w:rPr>
          <w:rFonts w:ascii="宋体" w:hAnsi="宋体" w:cs="宋体"/>
          <w:color w:val="auto"/>
          <w:highlight w:val="none"/>
        </w:rPr>
      </w:pPr>
    </w:p>
    <w:p w14:paraId="15696F86">
      <w:pPr>
        <w:spacing w:line="360" w:lineRule="auto"/>
        <w:jc w:val="center"/>
        <w:rPr>
          <w:rFonts w:ascii="宋体" w:hAnsi="宋体" w:cs="宋体"/>
          <w:color w:val="auto"/>
          <w:highlight w:val="none"/>
        </w:rPr>
      </w:pPr>
    </w:p>
    <w:p w14:paraId="2DCBF2E2">
      <w:pPr>
        <w:spacing w:line="360" w:lineRule="auto"/>
        <w:jc w:val="center"/>
        <w:rPr>
          <w:rFonts w:ascii="宋体" w:hAnsi="宋体" w:cs="宋体"/>
          <w:color w:val="auto"/>
          <w:highlight w:val="none"/>
        </w:rPr>
      </w:pPr>
    </w:p>
    <w:p w14:paraId="76C8DA1A">
      <w:pPr>
        <w:spacing w:line="360" w:lineRule="auto"/>
        <w:jc w:val="center"/>
        <w:rPr>
          <w:rFonts w:ascii="宋体" w:hAnsi="宋体" w:cs="宋体"/>
          <w:color w:val="auto"/>
          <w:highlight w:val="none"/>
        </w:rPr>
      </w:pPr>
    </w:p>
    <w:p w14:paraId="21A244ED">
      <w:pPr>
        <w:spacing w:line="360" w:lineRule="auto"/>
        <w:jc w:val="center"/>
        <w:rPr>
          <w:rFonts w:ascii="宋体" w:hAnsi="宋体" w:cs="宋体"/>
          <w:color w:val="auto"/>
          <w:highlight w:val="none"/>
        </w:rPr>
      </w:pPr>
    </w:p>
    <w:p w14:paraId="72FA9FF3">
      <w:pPr>
        <w:spacing w:line="360" w:lineRule="auto"/>
        <w:jc w:val="center"/>
        <w:rPr>
          <w:rFonts w:ascii="宋体" w:hAnsi="宋体" w:cs="宋体"/>
          <w:color w:val="auto"/>
          <w:highlight w:val="none"/>
        </w:rPr>
      </w:pPr>
    </w:p>
    <w:p w14:paraId="5A30BD38">
      <w:pPr>
        <w:spacing w:line="360" w:lineRule="auto"/>
        <w:jc w:val="center"/>
        <w:rPr>
          <w:rFonts w:ascii="宋体" w:hAnsi="宋体" w:cs="宋体"/>
          <w:color w:val="auto"/>
          <w:highlight w:val="none"/>
        </w:rPr>
      </w:pPr>
    </w:p>
    <w:p w14:paraId="4809F1D5">
      <w:pPr>
        <w:pStyle w:val="4"/>
        <w:jc w:val="center"/>
        <w:rPr>
          <w:rFonts w:ascii="宋体" w:hAnsi="宋体" w:cs="宋体"/>
          <w:color w:val="auto"/>
          <w:highlight w:val="none"/>
        </w:rPr>
      </w:pPr>
      <w:bookmarkStart w:id="56" w:name="_Toc5109"/>
      <w:r>
        <w:rPr>
          <w:rFonts w:hint="eastAsia" w:ascii="宋体" w:hAnsi="宋体" w:cs="宋体"/>
          <w:color w:val="auto"/>
          <w:highlight w:val="none"/>
        </w:rPr>
        <w:t>第五章 响应文件格式</w:t>
      </w:r>
      <w:bookmarkEnd w:id="56"/>
    </w:p>
    <w:p w14:paraId="43BB3B94">
      <w:pPr>
        <w:jc w:val="center"/>
        <w:rPr>
          <w:rFonts w:ascii="宋体" w:hAnsi="宋体" w:cs="宋体"/>
          <w:bCs/>
          <w:color w:val="auto"/>
          <w:sz w:val="32"/>
          <w:szCs w:val="32"/>
          <w:highlight w:val="none"/>
        </w:rPr>
      </w:pPr>
      <w:r>
        <w:rPr>
          <w:rFonts w:hint="eastAsia" w:ascii="宋体" w:hAnsi="宋体" w:cs="宋体"/>
          <w:bCs/>
          <w:color w:val="auto"/>
          <w:sz w:val="24"/>
          <w:highlight w:val="none"/>
        </w:rPr>
        <w:br w:type="page"/>
      </w:r>
      <w:bookmarkStart w:id="57" w:name="_Toc11290"/>
      <w:r>
        <w:rPr>
          <w:rFonts w:hint="eastAsia" w:ascii="宋体" w:hAnsi="宋体" w:cs="宋体"/>
          <w:b/>
          <w:bCs/>
          <w:color w:val="auto"/>
          <w:sz w:val="32"/>
          <w:szCs w:val="32"/>
          <w:highlight w:val="none"/>
          <w:lang w:bidi="ar"/>
        </w:rPr>
        <w:t>（响应文件封面格式）</w:t>
      </w:r>
    </w:p>
    <w:p w14:paraId="7C8FA4B3">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7E9F529B">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52BAB15F">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59819160">
      <w:pPr>
        <w:spacing w:line="240" w:lineRule="atLeast"/>
        <w:jc w:val="center"/>
        <w:rPr>
          <w:rFonts w:ascii="宋体" w:hAnsi="宋体" w:cs="宋体"/>
          <w:b/>
          <w:color w:val="auto"/>
          <w:sz w:val="32"/>
          <w:szCs w:val="32"/>
          <w:highlight w:val="none"/>
        </w:rPr>
      </w:pPr>
      <w:r>
        <w:rPr>
          <w:rFonts w:hint="eastAsia" w:ascii="宋体" w:hAnsi="宋体" w:cs="宋体"/>
          <w:bCs/>
          <w:color w:val="auto"/>
          <w:sz w:val="44"/>
          <w:szCs w:val="44"/>
          <w:highlight w:val="none"/>
          <w:lang w:bidi="ar"/>
        </w:rPr>
        <w:t>响  应  文  件</w:t>
      </w:r>
      <w:r>
        <w:rPr>
          <w:rFonts w:hint="eastAsia" w:ascii="宋体" w:hAnsi="宋体" w:cs="宋体"/>
          <w:b/>
          <w:color w:val="auto"/>
          <w:sz w:val="32"/>
          <w:szCs w:val="32"/>
          <w:highlight w:val="none"/>
          <w:lang w:bidi="ar"/>
        </w:rPr>
        <w:t xml:space="preserve"> （封面）</w:t>
      </w:r>
    </w:p>
    <w:p w14:paraId="0E83284C">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4BB82F69">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6B2F4167">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11E5626B">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640168E7">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bidi="ar"/>
        </w:rPr>
        <w:t>项目编号：</w:t>
      </w:r>
    </w:p>
    <w:p w14:paraId="397094D2">
      <w:pPr>
        <w:spacing w:line="360" w:lineRule="auto"/>
        <w:ind w:firstLine="640" w:firstLineChars="200"/>
        <w:jc w:val="left"/>
        <w:rPr>
          <w:rFonts w:ascii="宋体" w:hAnsi="宋体" w:cs="宋体"/>
          <w:color w:val="auto"/>
          <w:sz w:val="32"/>
          <w:szCs w:val="32"/>
          <w:highlight w:val="none"/>
          <w:u w:val="single"/>
        </w:rPr>
      </w:pPr>
    </w:p>
    <w:p w14:paraId="6E5D7120">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bidi="ar"/>
        </w:rPr>
        <w:t>项目名称：</w:t>
      </w:r>
    </w:p>
    <w:p w14:paraId="5657C56C">
      <w:pPr>
        <w:spacing w:line="360" w:lineRule="auto"/>
        <w:ind w:firstLine="640" w:firstLineChars="200"/>
        <w:jc w:val="left"/>
        <w:rPr>
          <w:rFonts w:ascii="宋体" w:hAnsi="宋体" w:cs="宋体"/>
          <w:color w:val="auto"/>
          <w:sz w:val="32"/>
          <w:szCs w:val="32"/>
          <w:highlight w:val="none"/>
          <w:u w:val="single"/>
        </w:rPr>
      </w:pPr>
    </w:p>
    <w:p w14:paraId="2737FDEB">
      <w:pPr>
        <w:spacing w:line="360" w:lineRule="auto"/>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bidi="ar"/>
        </w:rPr>
        <w:t>所竞分标</w:t>
      </w:r>
      <w:r>
        <w:rPr>
          <w:rFonts w:hint="eastAsia" w:ascii="宋体" w:hAnsi="宋体" w:cs="宋体"/>
          <w:bCs/>
          <w:color w:val="auto"/>
          <w:sz w:val="32"/>
          <w:szCs w:val="32"/>
          <w:highlight w:val="none"/>
          <w:lang w:bidi="ar"/>
        </w:rPr>
        <w:t>（如有则填写，无分标时填写“无”或者留空）</w:t>
      </w:r>
      <w:r>
        <w:rPr>
          <w:rFonts w:hint="eastAsia" w:ascii="宋体" w:hAnsi="宋体" w:cs="宋体"/>
          <w:color w:val="auto"/>
          <w:sz w:val="32"/>
          <w:szCs w:val="32"/>
          <w:highlight w:val="none"/>
          <w:lang w:bidi="ar"/>
        </w:rPr>
        <w:t>：</w:t>
      </w:r>
    </w:p>
    <w:p w14:paraId="205A96F3">
      <w:pPr>
        <w:spacing w:line="360" w:lineRule="auto"/>
        <w:ind w:firstLine="640" w:firstLineChars="200"/>
        <w:jc w:val="left"/>
        <w:rPr>
          <w:rFonts w:ascii="宋体" w:hAnsi="宋体" w:cs="宋体"/>
          <w:color w:val="auto"/>
          <w:sz w:val="32"/>
          <w:szCs w:val="32"/>
          <w:highlight w:val="none"/>
          <w:u w:val="single"/>
        </w:rPr>
      </w:pPr>
    </w:p>
    <w:p w14:paraId="5F33B0CF">
      <w:pPr>
        <w:spacing w:line="360" w:lineRule="auto"/>
        <w:ind w:firstLine="640" w:firstLineChars="200"/>
        <w:jc w:val="left"/>
        <w:rPr>
          <w:rFonts w:ascii="宋体" w:hAnsi="宋体" w:cs="宋体"/>
          <w:color w:val="auto"/>
          <w:sz w:val="32"/>
          <w:szCs w:val="32"/>
          <w:highlight w:val="none"/>
          <w:u w:val="single"/>
        </w:rPr>
      </w:pPr>
      <w:r>
        <w:rPr>
          <w:rFonts w:hint="eastAsia" w:ascii="宋体" w:hAnsi="宋体" w:cs="宋体"/>
          <w:color w:val="auto"/>
          <w:sz w:val="32"/>
          <w:szCs w:val="32"/>
          <w:highlight w:val="none"/>
          <w:lang w:bidi="ar"/>
        </w:rPr>
        <w:t>供应商名称：</w:t>
      </w:r>
    </w:p>
    <w:p w14:paraId="7C04B2F1">
      <w:pPr>
        <w:spacing w:line="360" w:lineRule="auto"/>
        <w:ind w:firstLine="640" w:firstLineChars="200"/>
        <w:jc w:val="left"/>
        <w:rPr>
          <w:rFonts w:ascii="宋体" w:hAnsi="宋体" w:cs="宋体"/>
          <w:color w:val="auto"/>
          <w:sz w:val="32"/>
          <w:szCs w:val="32"/>
          <w:highlight w:val="none"/>
          <w:u w:val="single"/>
        </w:rPr>
      </w:pPr>
    </w:p>
    <w:p w14:paraId="03C5AEAC">
      <w:pPr>
        <w:spacing w:line="360" w:lineRule="auto"/>
        <w:ind w:firstLine="640" w:firstLineChars="200"/>
        <w:jc w:val="left"/>
        <w:rPr>
          <w:rFonts w:ascii="宋体" w:hAnsi="宋体" w:cs="宋体"/>
          <w:color w:val="auto"/>
          <w:sz w:val="32"/>
          <w:szCs w:val="32"/>
          <w:highlight w:val="none"/>
          <w:u w:val="single"/>
        </w:rPr>
      </w:pPr>
    </w:p>
    <w:p w14:paraId="567E2DC2">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lang w:bidi="ar"/>
        </w:rPr>
        <w:t>年    月    日</w:t>
      </w:r>
    </w:p>
    <w:p w14:paraId="6786B425">
      <w:pPr>
        <w:snapToGrid w:val="0"/>
        <w:spacing w:before="156" w:beforeLines="50" w:after="50"/>
        <w:rPr>
          <w:rFonts w:ascii="宋体" w:hAnsi="宋体" w:cs="宋体"/>
          <w:b/>
          <w:bCs/>
          <w:color w:val="auto"/>
          <w:sz w:val="32"/>
          <w:szCs w:val="32"/>
          <w:highlight w:val="none"/>
        </w:rPr>
      </w:pPr>
      <w:r>
        <w:rPr>
          <w:rFonts w:hint="eastAsia" w:ascii="宋体" w:hAnsi="宋体" w:cs="宋体"/>
          <w:color w:val="auto"/>
          <w:sz w:val="32"/>
          <w:szCs w:val="32"/>
          <w:highlight w:val="none"/>
          <w:lang w:bidi="ar"/>
        </w:rPr>
        <w:br w:type="page"/>
      </w:r>
      <w:r>
        <w:rPr>
          <w:rFonts w:hint="eastAsia" w:ascii="宋体" w:hAnsi="宋体" w:cs="宋体"/>
          <w:b/>
          <w:bCs/>
          <w:color w:val="auto"/>
          <w:sz w:val="32"/>
          <w:szCs w:val="32"/>
          <w:highlight w:val="none"/>
          <w:lang w:bidi="ar"/>
        </w:rPr>
        <w:t>一、资格证明文件格式</w:t>
      </w:r>
    </w:p>
    <w:p w14:paraId="03AEC4FA">
      <w:pPr>
        <w:snapToGrid w:val="0"/>
        <w:spacing w:before="156"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lang w:bidi="ar"/>
        </w:rPr>
        <w:t>1.资格证明文件封面格式：</w:t>
      </w:r>
    </w:p>
    <w:p w14:paraId="25B67690">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393B7B89">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10B90778">
      <w:pPr>
        <w:autoSpaceDE w:val="0"/>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lang w:bidi="ar"/>
        </w:rPr>
        <w:t>资  格  证  明  文  件</w:t>
      </w:r>
    </w:p>
    <w:p w14:paraId="4519CD8A">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075A0752">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55F43D42">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2D568B54">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09D4B0B5">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项目名称：</w:t>
      </w:r>
    </w:p>
    <w:p w14:paraId="6D5D01B1">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 xml:space="preserve"> </w:t>
      </w:r>
    </w:p>
    <w:p w14:paraId="0C89F6EF">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项目编号：</w:t>
      </w:r>
    </w:p>
    <w:p w14:paraId="08691649">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 xml:space="preserve"> </w:t>
      </w:r>
    </w:p>
    <w:p w14:paraId="42CA30EF">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所竞分标（如有则填写，无分标时填写“无”或者留空）：</w:t>
      </w:r>
    </w:p>
    <w:p w14:paraId="2157EE3C">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 xml:space="preserve"> </w:t>
      </w:r>
    </w:p>
    <w:p w14:paraId="3E030AED">
      <w:pPr>
        <w:pStyle w:val="27"/>
        <w:autoSpaceDE w:val="0"/>
        <w:ind w:firstLine="640" w:firstLineChars="200"/>
        <w:rPr>
          <w:rFonts w:ascii="宋体" w:hAnsi="宋体" w:cs="宋体"/>
          <w:bCs/>
          <w:color w:val="auto"/>
          <w:kern w:val="2"/>
          <w:sz w:val="32"/>
          <w:szCs w:val="32"/>
          <w:highlight w:val="none"/>
        </w:rPr>
      </w:pPr>
      <w:r>
        <w:rPr>
          <w:rFonts w:hint="eastAsia" w:ascii="宋体" w:hAnsi="宋体" w:cs="宋体"/>
          <w:bCs/>
          <w:color w:val="auto"/>
          <w:kern w:val="2"/>
          <w:sz w:val="32"/>
          <w:szCs w:val="32"/>
          <w:highlight w:val="none"/>
          <w:lang w:bidi="ar"/>
        </w:rPr>
        <w:t>供应商名称：</w:t>
      </w:r>
    </w:p>
    <w:p w14:paraId="1E77EA5D">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 xml:space="preserve"> </w:t>
      </w:r>
    </w:p>
    <w:p w14:paraId="69EB7E03">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 xml:space="preserve"> </w:t>
      </w:r>
    </w:p>
    <w:p w14:paraId="0B97365D">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lang w:bidi="ar"/>
        </w:rPr>
        <w:t>年    月    日</w:t>
      </w:r>
    </w:p>
    <w:p w14:paraId="09C3A2ED">
      <w:pPr>
        <w:snapToGrid w:val="0"/>
        <w:spacing w:before="156"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lang w:bidi="ar"/>
        </w:rPr>
        <w:br w:type="page"/>
      </w:r>
      <w:r>
        <w:rPr>
          <w:rFonts w:hint="eastAsia" w:ascii="宋体" w:hAnsi="宋体" w:cs="宋体"/>
          <w:b/>
          <w:bCs/>
          <w:color w:val="auto"/>
          <w:sz w:val="32"/>
          <w:szCs w:val="32"/>
          <w:highlight w:val="none"/>
          <w:lang w:bidi="ar"/>
        </w:rPr>
        <w:t>2.资格证明文件目录</w:t>
      </w:r>
    </w:p>
    <w:p w14:paraId="5B683EF5">
      <w:pPr>
        <w:snapToGrid w:val="0"/>
        <w:spacing w:before="156"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lang w:bidi="ar"/>
        </w:rPr>
        <w:t>根据磋商文件供应商须知前附表12.1.1要求提供的材料自行编写目录（部分格式后附）。</w:t>
      </w:r>
    </w:p>
    <w:p w14:paraId="66E1B120">
      <w:pPr>
        <w:pStyle w:val="27"/>
        <w:ind w:firstLine="640" w:firstLineChars="200"/>
        <w:jc w:val="center"/>
        <w:rPr>
          <w:rFonts w:ascii="宋体" w:hAnsi="宋体" w:cs="宋体"/>
          <w:color w:val="auto"/>
          <w:kern w:val="2"/>
          <w:sz w:val="32"/>
          <w:szCs w:val="32"/>
          <w:highlight w:val="none"/>
        </w:rPr>
      </w:pPr>
      <w:r>
        <w:rPr>
          <w:rFonts w:hint="eastAsia" w:ascii="宋体" w:hAnsi="宋体" w:cs="宋体"/>
          <w:color w:val="auto"/>
          <w:kern w:val="2"/>
          <w:sz w:val="32"/>
          <w:szCs w:val="32"/>
          <w:highlight w:val="none"/>
          <w:lang w:bidi="ar"/>
        </w:rPr>
        <w:t xml:space="preserve"> </w:t>
      </w:r>
    </w:p>
    <w:p w14:paraId="465CB34F">
      <w:pPr>
        <w:autoSpaceDE w:val="0"/>
        <w:spacing w:before="340" w:after="330" w:line="360" w:lineRule="auto"/>
        <w:jc w:val="center"/>
        <w:rPr>
          <w:rFonts w:ascii="宋体" w:hAnsi="宋体" w:cs="宋体"/>
          <w:b/>
          <w:bCs/>
          <w:color w:val="auto"/>
          <w:sz w:val="44"/>
          <w:szCs w:val="44"/>
          <w:highlight w:val="none"/>
        </w:rPr>
      </w:pPr>
      <w:r>
        <w:rPr>
          <w:rFonts w:hint="eastAsia" w:ascii="宋体" w:hAnsi="宋体" w:cs="宋体"/>
          <w:b/>
          <w:color w:val="auto"/>
          <w:sz w:val="44"/>
          <w:szCs w:val="44"/>
          <w:highlight w:val="none"/>
          <w:lang w:bidi="ar"/>
        </w:rPr>
        <w:br w:type="page"/>
      </w:r>
      <w:r>
        <w:rPr>
          <w:rFonts w:hint="eastAsia" w:ascii="宋体" w:hAnsi="宋体" w:cs="宋体"/>
          <w:b/>
          <w:bCs/>
          <w:color w:val="auto"/>
          <w:sz w:val="44"/>
          <w:szCs w:val="44"/>
          <w:highlight w:val="none"/>
          <w:lang w:bidi="ar"/>
        </w:rPr>
        <w:t>供应商基本情况表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993"/>
        <w:gridCol w:w="2126"/>
        <w:gridCol w:w="1436"/>
        <w:gridCol w:w="2341"/>
      </w:tblGrid>
      <w:tr w14:paraId="36EB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2FE6DEF3">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供应商名称（盖章）</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F103535">
            <w:pPr>
              <w:autoSpaceDE w:val="0"/>
              <w:autoSpaceDN w:val="0"/>
              <w:spacing w:line="360" w:lineRule="auto"/>
              <w:jc w:val="center"/>
              <w:rPr>
                <w:rFonts w:ascii="宋体" w:hAnsi="宋体" w:cs="宋体"/>
                <w:color w:val="auto"/>
                <w:kern w:val="0"/>
                <w:sz w:val="24"/>
                <w:highlight w:val="none"/>
              </w:rPr>
            </w:pPr>
          </w:p>
        </w:tc>
      </w:tr>
      <w:tr w14:paraId="1A73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373FC5A8">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注册地址</w:t>
            </w:r>
          </w:p>
        </w:tc>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465EA3">
            <w:pPr>
              <w:autoSpaceDE w:val="0"/>
              <w:autoSpaceDN w:val="0"/>
              <w:spacing w:line="360" w:lineRule="auto"/>
              <w:jc w:val="center"/>
              <w:rPr>
                <w:rFonts w:ascii="宋体" w:hAnsi="宋体" w:cs="宋体"/>
                <w:color w:val="auto"/>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72F96F0C">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邮政编码</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4768A3E7">
            <w:pPr>
              <w:autoSpaceDE w:val="0"/>
              <w:autoSpaceDN w:val="0"/>
              <w:spacing w:line="360" w:lineRule="auto"/>
              <w:jc w:val="center"/>
              <w:rPr>
                <w:rFonts w:ascii="宋体" w:hAnsi="宋体" w:cs="宋体"/>
                <w:color w:val="auto"/>
                <w:kern w:val="0"/>
                <w:sz w:val="24"/>
                <w:highlight w:val="none"/>
              </w:rPr>
            </w:pPr>
          </w:p>
        </w:tc>
      </w:tr>
      <w:tr w14:paraId="3067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vMerge w:val="restart"/>
            <w:tcBorders>
              <w:top w:val="nil"/>
              <w:left w:val="single" w:color="auto" w:sz="4" w:space="0"/>
              <w:bottom w:val="single" w:color="auto" w:sz="4" w:space="0"/>
              <w:right w:val="single" w:color="auto" w:sz="4" w:space="0"/>
            </w:tcBorders>
            <w:shd w:val="clear" w:color="auto" w:fill="auto"/>
            <w:vAlign w:val="center"/>
          </w:tcPr>
          <w:p w14:paraId="1F9851D0">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联系方式</w:t>
            </w: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0F65AE71">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联系人</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51A047F">
            <w:pPr>
              <w:autoSpaceDE w:val="0"/>
              <w:autoSpaceDN w:val="0"/>
              <w:spacing w:line="360" w:lineRule="auto"/>
              <w:jc w:val="center"/>
              <w:rPr>
                <w:rFonts w:ascii="宋体" w:hAnsi="宋体" w:cs="宋体"/>
                <w:color w:val="auto"/>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33E4DB53">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电 话</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0829E514">
            <w:pPr>
              <w:autoSpaceDE w:val="0"/>
              <w:autoSpaceDN w:val="0"/>
              <w:spacing w:line="360" w:lineRule="auto"/>
              <w:jc w:val="center"/>
              <w:rPr>
                <w:rFonts w:ascii="宋体" w:hAnsi="宋体" w:cs="宋体"/>
                <w:color w:val="auto"/>
                <w:kern w:val="0"/>
                <w:sz w:val="24"/>
                <w:highlight w:val="none"/>
              </w:rPr>
            </w:pPr>
          </w:p>
        </w:tc>
      </w:tr>
      <w:tr w14:paraId="524F1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vMerge w:val="continue"/>
            <w:tcBorders>
              <w:top w:val="nil"/>
              <w:left w:val="single" w:color="auto" w:sz="4" w:space="0"/>
              <w:bottom w:val="single" w:color="auto" w:sz="4" w:space="0"/>
              <w:right w:val="single" w:color="auto" w:sz="4" w:space="0"/>
            </w:tcBorders>
            <w:shd w:val="clear" w:color="auto" w:fill="auto"/>
            <w:vAlign w:val="center"/>
          </w:tcPr>
          <w:p w14:paraId="38230C25">
            <w:pPr>
              <w:rPr>
                <w:color w:val="auto"/>
                <w:sz w:val="20"/>
                <w:szCs w:val="20"/>
                <w:highlight w:val="none"/>
              </w:rPr>
            </w:pPr>
          </w:p>
        </w:tc>
        <w:tc>
          <w:tcPr>
            <w:tcW w:w="993" w:type="dxa"/>
            <w:tcBorders>
              <w:top w:val="single" w:color="auto" w:sz="4" w:space="0"/>
              <w:left w:val="single" w:color="auto" w:sz="4" w:space="0"/>
              <w:bottom w:val="single" w:color="auto" w:sz="4" w:space="0"/>
              <w:right w:val="single" w:color="auto" w:sz="4" w:space="0"/>
            </w:tcBorders>
            <w:shd w:val="clear" w:color="auto" w:fill="auto"/>
            <w:vAlign w:val="center"/>
          </w:tcPr>
          <w:p w14:paraId="7E81B4E4">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传 真</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5363F48">
            <w:pPr>
              <w:autoSpaceDE w:val="0"/>
              <w:autoSpaceDN w:val="0"/>
              <w:spacing w:line="360" w:lineRule="auto"/>
              <w:jc w:val="center"/>
              <w:rPr>
                <w:rFonts w:ascii="宋体" w:hAnsi="宋体" w:cs="宋体"/>
                <w:color w:val="auto"/>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67EF1915">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网 址</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5CF8DA2A">
            <w:pPr>
              <w:autoSpaceDE w:val="0"/>
              <w:autoSpaceDN w:val="0"/>
              <w:spacing w:line="360" w:lineRule="auto"/>
              <w:jc w:val="center"/>
              <w:rPr>
                <w:rFonts w:ascii="宋体" w:hAnsi="宋体" w:cs="宋体"/>
                <w:color w:val="auto"/>
                <w:kern w:val="0"/>
                <w:sz w:val="24"/>
                <w:highlight w:val="none"/>
              </w:rPr>
            </w:pPr>
          </w:p>
        </w:tc>
      </w:tr>
      <w:tr w14:paraId="41BAD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663E948C">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组织结构</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779E77C">
            <w:pPr>
              <w:autoSpaceDE w:val="0"/>
              <w:autoSpaceDN w:val="0"/>
              <w:spacing w:line="360" w:lineRule="auto"/>
              <w:jc w:val="center"/>
              <w:rPr>
                <w:rFonts w:ascii="宋体" w:hAnsi="宋体" w:cs="宋体"/>
                <w:color w:val="auto"/>
                <w:kern w:val="0"/>
                <w:sz w:val="24"/>
                <w:highlight w:val="none"/>
              </w:rPr>
            </w:pPr>
          </w:p>
        </w:tc>
      </w:tr>
      <w:tr w14:paraId="3399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6560650A">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法定代表人</w:t>
            </w:r>
          </w:p>
        </w:tc>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207C6E">
            <w:pPr>
              <w:autoSpaceDE w:val="0"/>
              <w:autoSpaceDN w:val="0"/>
              <w:spacing w:line="360" w:lineRule="auto"/>
              <w:jc w:val="center"/>
              <w:rPr>
                <w:rFonts w:ascii="宋体" w:hAnsi="宋体" w:cs="宋体"/>
                <w:color w:val="auto"/>
                <w:kern w:val="0"/>
                <w:sz w:val="24"/>
                <w:highlight w:val="none"/>
              </w:rPr>
            </w:pPr>
          </w:p>
        </w:tc>
        <w:tc>
          <w:tcPr>
            <w:tcW w:w="1436" w:type="dxa"/>
            <w:tcBorders>
              <w:top w:val="single" w:color="auto" w:sz="4" w:space="0"/>
              <w:left w:val="single" w:color="auto" w:sz="4" w:space="0"/>
              <w:bottom w:val="single" w:color="auto" w:sz="4" w:space="0"/>
              <w:right w:val="single" w:color="auto" w:sz="4" w:space="0"/>
            </w:tcBorders>
            <w:shd w:val="clear" w:color="auto" w:fill="auto"/>
            <w:vAlign w:val="center"/>
          </w:tcPr>
          <w:p w14:paraId="6C0CCC5C">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电话</w:t>
            </w:r>
          </w:p>
        </w:tc>
        <w:tc>
          <w:tcPr>
            <w:tcW w:w="2341" w:type="dxa"/>
            <w:tcBorders>
              <w:top w:val="single" w:color="auto" w:sz="4" w:space="0"/>
              <w:left w:val="single" w:color="auto" w:sz="4" w:space="0"/>
              <w:bottom w:val="single" w:color="auto" w:sz="4" w:space="0"/>
              <w:right w:val="single" w:color="auto" w:sz="4" w:space="0"/>
            </w:tcBorders>
            <w:shd w:val="clear" w:color="auto" w:fill="auto"/>
            <w:vAlign w:val="center"/>
          </w:tcPr>
          <w:p w14:paraId="79640E16">
            <w:pPr>
              <w:autoSpaceDE w:val="0"/>
              <w:autoSpaceDN w:val="0"/>
              <w:spacing w:line="360" w:lineRule="auto"/>
              <w:jc w:val="center"/>
              <w:rPr>
                <w:rFonts w:ascii="宋体" w:hAnsi="宋体" w:cs="宋体"/>
                <w:color w:val="auto"/>
                <w:kern w:val="0"/>
                <w:sz w:val="24"/>
                <w:highlight w:val="none"/>
              </w:rPr>
            </w:pPr>
          </w:p>
        </w:tc>
      </w:tr>
      <w:tr w14:paraId="7E84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6BFDA2BA">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成立时间</w:t>
            </w:r>
          </w:p>
        </w:tc>
        <w:tc>
          <w:tcPr>
            <w:tcW w:w="31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01EFDE">
            <w:pPr>
              <w:autoSpaceDE w:val="0"/>
              <w:autoSpaceDN w:val="0"/>
              <w:spacing w:line="360" w:lineRule="auto"/>
              <w:jc w:val="center"/>
              <w:rPr>
                <w:rFonts w:ascii="宋体" w:hAnsi="宋体" w:cs="宋体"/>
                <w:color w:val="auto"/>
                <w:kern w:val="0"/>
                <w:sz w:val="24"/>
                <w:highlight w:val="none"/>
              </w:rPr>
            </w:pPr>
          </w:p>
        </w:tc>
        <w:tc>
          <w:tcPr>
            <w:tcW w:w="37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860DB7">
            <w:pPr>
              <w:autoSpaceDE w:val="0"/>
              <w:autoSpaceDN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bidi="ar"/>
              </w:rPr>
              <w:t>员工总人数：</w:t>
            </w:r>
          </w:p>
        </w:tc>
      </w:tr>
      <w:tr w14:paraId="1076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6F72E0D1">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营业执照号</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29710C">
            <w:pPr>
              <w:autoSpaceDE w:val="0"/>
              <w:autoSpaceDN w:val="0"/>
              <w:spacing w:line="360" w:lineRule="auto"/>
              <w:jc w:val="center"/>
              <w:rPr>
                <w:rFonts w:ascii="宋体" w:hAnsi="宋体" w:cs="宋体"/>
                <w:color w:val="auto"/>
                <w:kern w:val="0"/>
                <w:sz w:val="24"/>
                <w:highlight w:val="none"/>
              </w:rPr>
            </w:pPr>
          </w:p>
        </w:tc>
      </w:tr>
      <w:tr w14:paraId="4A44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643D29C2">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注册资金</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C3F3D6">
            <w:pPr>
              <w:autoSpaceDE w:val="0"/>
              <w:autoSpaceDN w:val="0"/>
              <w:spacing w:line="360" w:lineRule="auto"/>
              <w:jc w:val="center"/>
              <w:rPr>
                <w:rFonts w:ascii="宋体" w:hAnsi="宋体" w:cs="宋体"/>
                <w:color w:val="auto"/>
                <w:kern w:val="0"/>
                <w:sz w:val="24"/>
                <w:highlight w:val="none"/>
              </w:rPr>
            </w:pPr>
          </w:p>
        </w:tc>
      </w:tr>
      <w:tr w14:paraId="3EA1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5AB4D753">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开户银行</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BAAED5">
            <w:pPr>
              <w:autoSpaceDE w:val="0"/>
              <w:autoSpaceDN w:val="0"/>
              <w:spacing w:line="360" w:lineRule="auto"/>
              <w:jc w:val="center"/>
              <w:rPr>
                <w:rFonts w:ascii="宋体" w:hAnsi="宋体" w:cs="宋体"/>
                <w:color w:val="auto"/>
                <w:kern w:val="0"/>
                <w:sz w:val="24"/>
                <w:highlight w:val="none"/>
              </w:rPr>
            </w:pPr>
          </w:p>
        </w:tc>
      </w:tr>
      <w:tr w14:paraId="167A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0E26F9B5">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账号</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D77D68B">
            <w:pPr>
              <w:autoSpaceDE w:val="0"/>
              <w:autoSpaceDN w:val="0"/>
              <w:spacing w:line="360" w:lineRule="auto"/>
              <w:jc w:val="center"/>
              <w:rPr>
                <w:rFonts w:ascii="宋体" w:hAnsi="宋体" w:cs="宋体"/>
                <w:color w:val="auto"/>
                <w:kern w:val="0"/>
                <w:sz w:val="24"/>
                <w:highlight w:val="none"/>
              </w:rPr>
            </w:pPr>
          </w:p>
        </w:tc>
      </w:tr>
      <w:tr w14:paraId="5826F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713812B7">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经营范围</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65C3D5D">
            <w:pPr>
              <w:autoSpaceDE w:val="0"/>
              <w:autoSpaceDN w:val="0"/>
              <w:spacing w:line="360" w:lineRule="auto"/>
              <w:rPr>
                <w:rFonts w:ascii="宋体" w:hAnsi="宋体" w:cs="宋体"/>
                <w:color w:val="auto"/>
                <w:kern w:val="0"/>
                <w:sz w:val="24"/>
                <w:highlight w:val="none"/>
              </w:rPr>
            </w:pPr>
          </w:p>
        </w:tc>
      </w:tr>
      <w:tr w14:paraId="7732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76" w:type="dxa"/>
            <w:tcBorders>
              <w:top w:val="single" w:color="auto" w:sz="4" w:space="0"/>
              <w:left w:val="single" w:color="auto" w:sz="4" w:space="0"/>
              <w:bottom w:val="single" w:color="auto" w:sz="4" w:space="0"/>
              <w:right w:val="single" w:color="auto" w:sz="4" w:space="0"/>
            </w:tcBorders>
            <w:shd w:val="clear" w:color="auto" w:fill="auto"/>
            <w:vAlign w:val="center"/>
          </w:tcPr>
          <w:p w14:paraId="58C014C4">
            <w:pPr>
              <w:autoSpaceDE w:val="0"/>
              <w:autoSpaceDN w:val="0"/>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备注</w:t>
            </w:r>
          </w:p>
        </w:tc>
        <w:tc>
          <w:tcPr>
            <w:tcW w:w="689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145400">
            <w:pPr>
              <w:autoSpaceDE w:val="0"/>
              <w:autoSpaceDN w:val="0"/>
              <w:spacing w:line="360" w:lineRule="auto"/>
              <w:jc w:val="center"/>
              <w:rPr>
                <w:rFonts w:ascii="宋体" w:hAnsi="宋体" w:cs="宋体"/>
                <w:color w:val="auto"/>
                <w:kern w:val="0"/>
                <w:sz w:val="24"/>
                <w:highlight w:val="none"/>
              </w:rPr>
            </w:pPr>
          </w:p>
        </w:tc>
      </w:tr>
    </w:tbl>
    <w:p w14:paraId="1F00CA8F">
      <w:pPr>
        <w:autoSpaceDE w:val="0"/>
        <w:autoSpaceDN w:val="0"/>
        <w:adjustRightIn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lang w:bidi="ar"/>
        </w:rPr>
        <w:t>注：附供应商营业执照或者事业单位法人证书或者执业许可证或者登记证书等</w:t>
      </w:r>
      <w:r>
        <w:rPr>
          <w:rFonts w:hint="eastAsia" w:ascii="宋体" w:hAnsi="宋体" w:cs="宋体"/>
          <w:b/>
          <w:color w:val="auto"/>
          <w:kern w:val="0"/>
          <w:sz w:val="24"/>
          <w:highlight w:val="none"/>
          <w:lang w:eastAsia="zh-CN" w:bidi="ar"/>
        </w:rPr>
        <w:t>扫描件</w:t>
      </w:r>
      <w:r>
        <w:rPr>
          <w:rFonts w:hint="eastAsia" w:ascii="宋体" w:hAnsi="宋体" w:cs="宋体"/>
          <w:b/>
          <w:color w:val="auto"/>
          <w:kern w:val="0"/>
          <w:sz w:val="24"/>
          <w:highlight w:val="none"/>
          <w:lang w:bidi="ar"/>
        </w:rPr>
        <w:t>。</w:t>
      </w:r>
    </w:p>
    <w:p w14:paraId="03659BCA">
      <w:pPr>
        <w:autoSpaceDE w:val="0"/>
        <w:autoSpaceDN w:val="0"/>
        <w:spacing w:before="340" w:after="330" w:line="360" w:lineRule="auto"/>
        <w:jc w:val="center"/>
        <w:rPr>
          <w:rFonts w:ascii="宋体" w:hAnsi="宋体" w:cs="宋体"/>
          <w:b/>
          <w:bCs/>
          <w:color w:val="auto"/>
          <w:sz w:val="44"/>
          <w:szCs w:val="44"/>
          <w:highlight w:val="none"/>
        </w:rPr>
      </w:pPr>
      <w:r>
        <w:rPr>
          <w:rFonts w:hint="eastAsia" w:ascii="宋体" w:hAnsi="宋体" w:cs="宋体"/>
          <w:b/>
          <w:color w:val="auto"/>
          <w:kern w:val="0"/>
          <w:szCs w:val="21"/>
          <w:highlight w:val="none"/>
          <w:lang w:bidi="ar"/>
        </w:rPr>
        <w:br w:type="page"/>
      </w:r>
      <w:r>
        <w:rPr>
          <w:rFonts w:hint="eastAsia" w:ascii="宋体" w:hAnsi="宋体" w:cs="宋体"/>
          <w:b/>
          <w:bCs/>
          <w:color w:val="auto"/>
          <w:sz w:val="44"/>
          <w:szCs w:val="44"/>
          <w:highlight w:val="none"/>
          <w:lang w:bidi="ar"/>
        </w:rPr>
        <w:t>供应商直接控股、管理关系信息表</w:t>
      </w:r>
    </w:p>
    <w:tbl>
      <w:tblPr>
        <w:tblStyle w:val="30"/>
        <w:tblW w:w="9476" w:type="dxa"/>
        <w:jc w:val="center"/>
        <w:tblLayout w:type="fixed"/>
        <w:tblCellMar>
          <w:top w:w="0" w:type="dxa"/>
          <w:left w:w="0" w:type="dxa"/>
          <w:bottom w:w="0" w:type="dxa"/>
          <w:right w:w="0" w:type="dxa"/>
        </w:tblCellMar>
      </w:tblPr>
      <w:tblGrid>
        <w:gridCol w:w="813"/>
        <w:gridCol w:w="3075"/>
        <w:gridCol w:w="1545"/>
        <w:gridCol w:w="3000"/>
        <w:gridCol w:w="1043"/>
      </w:tblGrid>
      <w:tr w14:paraId="3B755AFB">
        <w:tblPrEx>
          <w:tblCellMar>
            <w:top w:w="0" w:type="dxa"/>
            <w:left w:w="0" w:type="dxa"/>
            <w:bottom w:w="0" w:type="dxa"/>
            <w:right w:w="0" w:type="dxa"/>
          </w:tblCellMar>
        </w:tblPrEx>
        <w:trPr>
          <w:trHeight w:val="404" w:hRule="atLeast"/>
          <w:jc w:val="center"/>
        </w:trPr>
        <w:tc>
          <w:tcPr>
            <w:tcW w:w="9476" w:type="dxa"/>
            <w:gridSpan w:val="5"/>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E8F1742">
            <w:pPr>
              <w:jc w:val="center"/>
              <w:rPr>
                <w:rFonts w:ascii="宋体" w:hAnsi="宋体" w:cs="宋体"/>
                <w:b/>
                <w:bCs/>
                <w:color w:val="auto"/>
                <w:kern w:val="0"/>
                <w:sz w:val="24"/>
                <w:highlight w:val="none"/>
              </w:rPr>
            </w:pPr>
            <w:r>
              <w:rPr>
                <w:rFonts w:hint="eastAsia" w:ascii="宋体" w:hAnsi="宋体" w:cs="宋体"/>
                <w:b/>
                <w:bCs/>
                <w:color w:val="auto"/>
                <w:kern w:val="0"/>
                <w:sz w:val="28"/>
                <w:szCs w:val="28"/>
                <w:highlight w:val="none"/>
                <w:lang w:bidi="ar"/>
              </w:rPr>
              <w:t>供应商直接控股股东信息表</w:t>
            </w:r>
          </w:p>
        </w:tc>
      </w:tr>
      <w:tr w14:paraId="3E9B8AAD">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748C8B6">
            <w:pPr>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bidi="ar"/>
              </w:rPr>
              <w:t>序号</w:t>
            </w:r>
          </w:p>
        </w:tc>
        <w:tc>
          <w:tcPr>
            <w:tcW w:w="3075" w:type="dxa"/>
            <w:tcBorders>
              <w:top w:val="single" w:color="auto" w:sz="4" w:space="0"/>
              <w:left w:val="nil"/>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56710C4">
            <w:pPr>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bidi="ar"/>
              </w:rPr>
              <w:t>直接控股股东名称</w:t>
            </w:r>
          </w:p>
        </w:tc>
        <w:tc>
          <w:tcPr>
            <w:tcW w:w="1545" w:type="dxa"/>
            <w:tcBorders>
              <w:top w:val="single" w:color="auto" w:sz="4" w:space="0"/>
              <w:left w:val="nil"/>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2D20A59">
            <w:pPr>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bidi="ar"/>
              </w:rPr>
              <w:t>出资比例</w:t>
            </w:r>
          </w:p>
        </w:tc>
        <w:tc>
          <w:tcPr>
            <w:tcW w:w="3000" w:type="dxa"/>
            <w:tcBorders>
              <w:top w:val="single" w:color="auto" w:sz="4" w:space="0"/>
              <w:left w:val="nil"/>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58381CAE">
            <w:pPr>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bidi="ar"/>
              </w:rPr>
              <w:t>身份证号码或者统一社会信用代码</w:t>
            </w:r>
          </w:p>
        </w:tc>
        <w:tc>
          <w:tcPr>
            <w:tcW w:w="1043" w:type="dxa"/>
            <w:tcBorders>
              <w:top w:val="single" w:color="auto" w:sz="4" w:space="0"/>
              <w:left w:val="nil"/>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05CD05EA">
            <w:pPr>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bidi="ar"/>
              </w:rPr>
              <w:t>备注</w:t>
            </w:r>
          </w:p>
        </w:tc>
      </w:tr>
      <w:tr w14:paraId="7FDB3146">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1585EA4">
            <w:pPr>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1</w:t>
            </w:r>
          </w:p>
        </w:tc>
        <w:tc>
          <w:tcPr>
            <w:tcW w:w="3075"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4DACC4A">
            <w:pPr>
              <w:jc w:val="center"/>
              <w:rPr>
                <w:rFonts w:ascii="宋体" w:hAnsi="宋体" w:cs="宋体"/>
                <w:color w:val="auto"/>
                <w:kern w:val="0"/>
                <w:sz w:val="24"/>
                <w:highlight w:val="none"/>
              </w:rPr>
            </w:pPr>
          </w:p>
        </w:tc>
        <w:tc>
          <w:tcPr>
            <w:tcW w:w="1545"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53D7EED">
            <w:pPr>
              <w:jc w:val="center"/>
              <w:rPr>
                <w:rFonts w:ascii="宋体" w:hAnsi="宋体" w:cs="宋体"/>
                <w:color w:val="auto"/>
                <w:kern w:val="0"/>
                <w:sz w:val="24"/>
                <w:highlight w:val="none"/>
              </w:rPr>
            </w:pPr>
          </w:p>
        </w:tc>
        <w:tc>
          <w:tcPr>
            <w:tcW w:w="3000"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8B88BFA">
            <w:pPr>
              <w:jc w:val="center"/>
              <w:rPr>
                <w:rFonts w:ascii="宋体" w:hAnsi="宋体" w:cs="宋体"/>
                <w:color w:val="auto"/>
                <w:kern w:val="0"/>
                <w:sz w:val="24"/>
                <w:highlight w:val="none"/>
              </w:rPr>
            </w:pPr>
          </w:p>
        </w:tc>
        <w:tc>
          <w:tcPr>
            <w:tcW w:w="1043"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DD177AB">
            <w:pPr>
              <w:jc w:val="center"/>
              <w:rPr>
                <w:rFonts w:ascii="宋体" w:hAnsi="宋体" w:cs="宋体"/>
                <w:color w:val="auto"/>
                <w:kern w:val="0"/>
                <w:sz w:val="24"/>
                <w:highlight w:val="none"/>
              </w:rPr>
            </w:pPr>
          </w:p>
        </w:tc>
      </w:tr>
      <w:tr w14:paraId="306678FE">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42D3B07">
            <w:pPr>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2</w:t>
            </w:r>
          </w:p>
        </w:tc>
        <w:tc>
          <w:tcPr>
            <w:tcW w:w="3075"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124D6A5">
            <w:pPr>
              <w:jc w:val="center"/>
              <w:rPr>
                <w:rFonts w:ascii="宋体" w:hAnsi="宋体" w:cs="宋体"/>
                <w:color w:val="auto"/>
                <w:kern w:val="0"/>
                <w:sz w:val="24"/>
                <w:highlight w:val="none"/>
              </w:rPr>
            </w:pPr>
          </w:p>
        </w:tc>
        <w:tc>
          <w:tcPr>
            <w:tcW w:w="1545"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1BCA017">
            <w:pPr>
              <w:jc w:val="center"/>
              <w:rPr>
                <w:rFonts w:ascii="宋体" w:hAnsi="宋体" w:cs="宋体"/>
                <w:color w:val="auto"/>
                <w:kern w:val="0"/>
                <w:sz w:val="24"/>
                <w:highlight w:val="none"/>
              </w:rPr>
            </w:pPr>
          </w:p>
        </w:tc>
        <w:tc>
          <w:tcPr>
            <w:tcW w:w="3000"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05D91C8A">
            <w:pPr>
              <w:jc w:val="center"/>
              <w:rPr>
                <w:rFonts w:ascii="宋体" w:hAnsi="宋体" w:cs="宋体"/>
                <w:color w:val="auto"/>
                <w:kern w:val="0"/>
                <w:sz w:val="24"/>
                <w:highlight w:val="none"/>
              </w:rPr>
            </w:pPr>
          </w:p>
        </w:tc>
        <w:tc>
          <w:tcPr>
            <w:tcW w:w="1043"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8170CD">
            <w:pPr>
              <w:jc w:val="center"/>
              <w:rPr>
                <w:rFonts w:ascii="宋体" w:hAnsi="宋体" w:cs="宋体"/>
                <w:color w:val="auto"/>
                <w:kern w:val="0"/>
                <w:sz w:val="24"/>
                <w:highlight w:val="none"/>
              </w:rPr>
            </w:pPr>
          </w:p>
        </w:tc>
      </w:tr>
      <w:tr w14:paraId="29D8E18D">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E1A8C3F">
            <w:pPr>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w:t>
            </w:r>
          </w:p>
        </w:tc>
        <w:tc>
          <w:tcPr>
            <w:tcW w:w="3075"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A742A83">
            <w:pPr>
              <w:jc w:val="center"/>
              <w:rPr>
                <w:rFonts w:ascii="宋体" w:hAnsi="宋体" w:cs="宋体"/>
                <w:color w:val="auto"/>
                <w:kern w:val="0"/>
                <w:sz w:val="24"/>
                <w:highlight w:val="none"/>
              </w:rPr>
            </w:pPr>
          </w:p>
        </w:tc>
        <w:tc>
          <w:tcPr>
            <w:tcW w:w="1545"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7125E62">
            <w:pPr>
              <w:jc w:val="center"/>
              <w:rPr>
                <w:rFonts w:ascii="宋体" w:hAnsi="宋体" w:cs="宋体"/>
                <w:color w:val="auto"/>
                <w:kern w:val="0"/>
                <w:sz w:val="24"/>
                <w:highlight w:val="none"/>
              </w:rPr>
            </w:pPr>
          </w:p>
        </w:tc>
        <w:tc>
          <w:tcPr>
            <w:tcW w:w="3000"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1D2EBBF">
            <w:pPr>
              <w:jc w:val="center"/>
              <w:rPr>
                <w:rFonts w:ascii="宋体" w:hAnsi="宋体" w:cs="宋体"/>
                <w:color w:val="auto"/>
                <w:kern w:val="0"/>
                <w:sz w:val="24"/>
                <w:highlight w:val="none"/>
              </w:rPr>
            </w:pPr>
          </w:p>
        </w:tc>
        <w:tc>
          <w:tcPr>
            <w:tcW w:w="1043"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6AA67C8">
            <w:pPr>
              <w:jc w:val="center"/>
              <w:rPr>
                <w:rFonts w:ascii="宋体" w:hAnsi="宋体" w:cs="宋体"/>
                <w:color w:val="auto"/>
                <w:kern w:val="0"/>
                <w:sz w:val="24"/>
                <w:highlight w:val="none"/>
              </w:rPr>
            </w:pPr>
          </w:p>
        </w:tc>
      </w:tr>
      <w:tr w14:paraId="5EAAFB80">
        <w:tblPrEx>
          <w:tblCellMar>
            <w:top w:w="0" w:type="dxa"/>
            <w:left w:w="0" w:type="dxa"/>
            <w:bottom w:w="0" w:type="dxa"/>
            <w:right w:w="0" w:type="dxa"/>
          </w:tblCellMar>
        </w:tblPrEx>
        <w:trPr>
          <w:jc w:val="center"/>
        </w:trPr>
        <w:tc>
          <w:tcPr>
            <w:tcW w:w="9476" w:type="dxa"/>
            <w:gridSpan w:val="5"/>
            <w:tcBorders>
              <w:top w:val="single" w:color="auto" w:sz="4" w:space="0"/>
              <w:left w:val="single" w:color="auto" w:sz="4" w:space="0"/>
              <w:bottom w:val="single" w:color="auto" w:sz="4" w:space="0"/>
              <w:right w:val="single" w:color="auto" w:sz="4" w:space="0"/>
            </w:tcBorders>
            <w:shd w:val="clear" w:color="auto" w:fill="FFFFFF"/>
            <w:noWrap/>
            <w:tcMar>
              <w:top w:w="120" w:type="dxa"/>
              <w:left w:w="120" w:type="dxa"/>
              <w:bottom w:w="120" w:type="dxa"/>
              <w:right w:w="120" w:type="dxa"/>
            </w:tcMar>
            <w:vAlign w:val="center"/>
          </w:tcPr>
          <w:p w14:paraId="3D13271A">
            <w:pPr>
              <w:rPr>
                <w:rFonts w:ascii="宋体" w:hAnsi="宋体" w:cs="宋体"/>
                <w:color w:val="auto"/>
                <w:kern w:val="0"/>
                <w:sz w:val="24"/>
                <w:highlight w:val="none"/>
              </w:rPr>
            </w:pPr>
            <w:r>
              <w:rPr>
                <w:rFonts w:hint="eastAsia" w:ascii="宋体" w:hAnsi="宋体" w:cs="宋体"/>
                <w:color w:val="auto"/>
                <w:kern w:val="0"/>
                <w:sz w:val="24"/>
                <w:highlight w:val="none"/>
                <w:lang w:bidi="ar"/>
              </w:rPr>
              <w:t>说明：</w:t>
            </w:r>
          </w:p>
          <w:p w14:paraId="059D0588">
            <w:pPr>
              <w:rPr>
                <w:rFonts w:ascii="宋体" w:hAnsi="宋体" w:cs="宋体"/>
                <w:color w:val="auto"/>
                <w:kern w:val="0"/>
                <w:sz w:val="24"/>
                <w:highlight w:val="none"/>
              </w:rPr>
            </w:pPr>
            <w:r>
              <w:rPr>
                <w:rFonts w:hint="eastAsia" w:ascii="宋体" w:hAnsi="宋体" w:cs="宋体"/>
                <w:color w:val="auto"/>
                <w:kern w:val="0"/>
                <w:sz w:val="24"/>
                <w:highlight w:val="none"/>
                <w:lang w:bidi="ar"/>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D186E47">
            <w:pPr>
              <w:rPr>
                <w:rFonts w:ascii="宋体" w:hAnsi="宋体" w:cs="宋体"/>
                <w:color w:val="auto"/>
                <w:kern w:val="0"/>
                <w:sz w:val="24"/>
                <w:highlight w:val="none"/>
              </w:rPr>
            </w:pPr>
            <w:r>
              <w:rPr>
                <w:rFonts w:hint="eastAsia" w:ascii="宋体" w:hAnsi="宋体" w:cs="宋体"/>
                <w:color w:val="auto"/>
                <w:kern w:val="0"/>
                <w:sz w:val="24"/>
                <w:highlight w:val="none"/>
                <w:lang w:bidi="ar"/>
              </w:rPr>
              <w:t>2.本表所指的控股关系仅限于直接控股关系，不包括间接的控股关系。公司实际控制人与公司之间的关系不属于本表所指的直接控股关系。</w:t>
            </w:r>
          </w:p>
          <w:p w14:paraId="3916FC21">
            <w:pPr>
              <w:rPr>
                <w:rFonts w:ascii="宋体" w:hAnsi="宋体" w:cs="宋体"/>
                <w:b/>
                <w:bCs/>
                <w:color w:val="auto"/>
                <w:kern w:val="0"/>
                <w:sz w:val="24"/>
                <w:highlight w:val="none"/>
              </w:rPr>
            </w:pPr>
            <w:r>
              <w:rPr>
                <w:rFonts w:hint="eastAsia" w:ascii="宋体" w:hAnsi="宋体" w:cs="宋体"/>
                <w:color w:val="auto"/>
                <w:kern w:val="0"/>
                <w:sz w:val="24"/>
                <w:highlight w:val="none"/>
                <w:lang w:bidi="ar"/>
              </w:rPr>
              <w:t>3.供应商不存在直接控股股东的，则填“无”。</w:t>
            </w:r>
          </w:p>
        </w:tc>
      </w:tr>
      <w:tr w14:paraId="5683763F">
        <w:tblPrEx>
          <w:tblCellMar>
            <w:top w:w="0" w:type="dxa"/>
            <w:left w:w="0" w:type="dxa"/>
            <w:bottom w:w="0" w:type="dxa"/>
            <w:right w:w="0" w:type="dxa"/>
          </w:tblCellMar>
        </w:tblPrEx>
        <w:trPr>
          <w:jc w:val="center"/>
        </w:trPr>
        <w:tc>
          <w:tcPr>
            <w:tcW w:w="9476" w:type="dxa"/>
            <w:gridSpan w:val="5"/>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19CA2AB9">
            <w:pPr>
              <w:jc w:val="center"/>
              <w:rPr>
                <w:rFonts w:ascii="宋体" w:hAnsi="宋体" w:cs="宋体"/>
                <w:b/>
                <w:bCs/>
                <w:color w:val="auto"/>
                <w:kern w:val="0"/>
                <w:sz w:val="24"/>
                <w:highlight w:val="none"/>
              </w:rPr>
            </w:pPr>
            <w:r>
              <w:rPr>
                <w:rFonts w:hint="eastAsia" w:ascii="宋体" w:hAnsi="宋体" w:cs="宋体"/>
                <w:b/>
                <w:bCs/>
                <w:color w:val="auto"/>
                <w:kern w:val="0"/>
                <w:sz w:val="28"/>
                <w:szCs w:val="28"/>
                <w:highlight w:val="none"/>
                <w:lang w:bidi="ar"/>
              </w:rPr>
              <w:t>供应商直接管理关系信息表</w:t>
            </w:r>
          </w:p>
        </w:tc>
      </w:tr>
      <w:tr w14:paraId="5F5491C6">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718F26F9">
            <w:pPr>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bidi="ar"/>
              </w:rPr>
              <w:t>序号</w:t>
            </w:r>
          </w:p>
        </w:tc>
        <w:tc>
          <w:tcPr>
            <w:tcW w:w="4620" w:type="dxa"/>
            <w:gridSpan w:val="2"/>
            <w:tcBorders>
              <w:top w:val="single" w:color="auto" w:sz="4" w:space="0"/>
              <w:left w:val="nil"/>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27EA407">
            <w:pPr>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bidi="ar"/>
              </w:rPr>
              <w:t>直接管理关系单位名称</w:t>
            </w:r>
          </w:p>
        </w:tc>
        <w:tc>
          <w:tcPr>
            <w:tcW w:w="3000" w:type="dxa"/>
            <w:tcBorders>
              <w:top w:val="single" w:color="auto" w:sz="4" w:space="0"/>
              <w:left w:val="nil"/>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4E1F41B9">
            <w:pPr>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bidi="ar"/>
              </w:rPr>
              <w:t>统一社会信用代码</w:t>
            </w:r>
          </w:p>
        </w:tc>
        <w:tc>
          <w:tcPr>
            <w:tcW w:w="1043" w:type="dxa"/>
            <w:tcBorders>
              <w:top w:val="single" w:color="auto" w:sz="4" w:space="0"/>
              <w:left w:val="nil"/>
              <w:bottom w:val="single" w:color="auto" w:sz="4" w:space="0"/>
              <w:right w:val="single" w:color="auto" w:sz="4" w:space="0"/>
            </w:tcBorders>
            <w:shd w:val="clear" w:color="auto" w:fill="EAE3D8"/>
            <w:noWrap/>
            <w:tcMar>
              <w:top w:w="120" w:type="dxa"/>
              <w:left w:w="120" w:type="dxa"/>
              <w:bottom w:w="120" w:type="dxa"/>
              <w:right w:w="120" w:type="dxa"/>
            </w:tcMar>
            <w:vAlign w:val="center"/>
          </w:tcPr>
          <w:p w14:paraId="2C5FDADD">
            <w:pPr>
              <w:jc w:val="center"/>
              <w:rPr>
                <w:rFonts w:ascii="宋体" w:hAnsi="宋体" w:cs="宋体"/>
                <w:b/>
                <w:bCs/>
                <w:color w:val="auto"/>
                <w:kern w:val="0"/>
                <w:sz w:val="24"/>
                <w:highlight w:val="none"/>
              </w:rPr>
            </w:pPr>
            <w:r>
              <w:rPr>
                <w:rFonts w:hint="eastAsia" w:ascii="宋体" w:hAnsi="宋体" w:cs="宋体"/>
                <w:b/>
                <w:bCs/>
                <w:color w:val="auto"/>
                <w:kern w:val="0"/>
                <w:sz w:val="24"/>
                <w:highlight w:val="none"/>
                <w:lang w:bidi="ar"/>
              </w:rPr>
              <w:t>备注</w:t>
            </w:r>
          </w:p>
        </w:tc>
      </w:tr>
      <w:tr w14:paraId="5B0C6A7B">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660A0C5">
            <w:pPr>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1</w:t>
            </w:r>
          </w:p>
        </w:tc>
        <w:tc>
          <w:tcPr>
            <w:tcW w:w="4620" w:type="dxa"/>
            <w:gridSpan w:val="2"/>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7BBAEE5">
            <w:pPr>
              <w:jc w:val="center"/>
              <w:rPr>
                <w:rFonts w:ascii="宋体" w:hAnsi="宋体" w:cs="宋体"/>
                <w:color w:val="auto"/>
                <w:kern w:val="0"/>
                <w:sz w:val="24"/>
                <w:highlight w:val="none"/>
              </w:rPr>
            </w:pPr>
          </w:p>
        </w:tc>
        <w:tc>
          <w:tcPr>
            <w:tcW w:w="3000"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E8CC385">
            <w:pPr>
              <w:jc w:val="center"/>
              <w:rPr>
                <w:rFonts w:ascii="宋体" w:hAnsi="宋体" w:cs="宋体"/>
                <w:color w:val="auto"/>
                <w:kern w:val="0"/>
                <w:sz w:val="24"/>
                <w:highlight w:val="none"/>
              </w:rPr>
            </w:pPr>
          </w:p>
        </w:tc>
        <w:tc>
          <w:tcPr>
            <w:tcW w:w="1043"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A08AE0F">
            <w:pPr>
              <w:jc w:val="center"/>
              <w:rPr>
                <w:rFonts w:ascii="宋体" w:hAnsi="宋体" w:cs="宋体"/>
                <w:color w:val="auto"/>
                <w:kern w:val="0"/>
                <w:sz w:val="24"/>
                <w:highlight w:val="none"/>
              </w:rPr>
            </w:pPr>
          </w:p>
        </w:tc>
      </w:tr>
      <w:tr w14:paraId="55832E0B">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6C15E2D">
            <w:pPr>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2</w:t>
            </w:r>
          </w:p>
        </w:tc>
        <w:tc>
          <w:tcPr>
            <w:tcW w:w="4620" w:type="dxa"/>
            <w:gridSpan w:val="2"/>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505BC6EF">
            <w:pPr>
              <w:jc w:val="center"/>
              <w:rPr>
                <w:rFonts w:ascii="宋体" w:hAnsi="宋体" w:cs="宋体"/>
                <w:color w:val="auto"/>
                <w:kern w:val="0"/>
                <w:sz w:val="24"/>
                <w:highlight w:val="none"/>
              </w:rPr>
            </w:pPr>
          </w:p>
        </w:tc>
        <w:tc>
          <w:tcPr>
            <w:tcW w:w="3000"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278B77EA">
            <w:pPr>
              <w:jc w:val="center"/>
              <w:rPr>
                <w:rFonts w:ascii="宋体" w:hAnsi="宋体" w:cs="宋体"/>
                <w:color w:val="auto"/>
                <w:kern w:val="0"/>
                <w:sz w:val="24"/>
                <w:highlight w:val="none"/>
              </w:rPr>
            </w:pPr>
          </w:p>
        </w:tc>
        <w:tc>
          <w:tcPr>
            <w:tcW w:w="1043"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72894FB3">
            <w:pPr>
              <w:jc w:val="center"/>
              <w:rPr>
                <w:rFonts w:ascii="宋体" w:hAnsi="宋体" w:cs="宋体"/>
                <w:color w:val="auto"/>
                <w:kern w:val="0"/>
                <w:sz w:val="24"/>
                <w:highlight w:val="none"/>
              </w:rPr>
            </w:pPr>
          </w:p>
        </w:tc>
      </w:tr>
      <w:tr w14:paraId="725D5F84">
        <w:tblPrEx>
          <w:tblCellMar>
            <w:top w:w="0" w:type="dxa"/>
            <w:left w:w="0" w:type="dxa"/>
            <w:bottom w:w="0" w:type="dxa"/>
            <w:right w:w="0" w:type="dxa"/>
          </w:tblCellMar>
        </w:tblPrEx>
        <w:trPr>
          <w:jc w:val="center"/>
        </w:trPr>
        <w:tc>
          <w:tcPr>
            <w:tcW w:w="813"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A179FFE">
            <w:pPr>
              <w:jc w:val="center"/>
              <w:rPr>
                <w:rFonts w:ascii="宋体" w:hAnsi="宋体" w:cs="宋体"/>
                <w:color w:val="auto"/>
                <w:kern w:val="0"/>
                <w:sz w:val="24"/>
                <w:highlight w:val="none"/>
              </w:rPr>
            </w:pPr>
            <w:r>
              <w:rPr>
                <w:rFonts w:hint="eastAsia" w:ascii="宋体" w:hAnsi="宋体" w:cs="宋体"/>
                <w:color w:val="auto"/>
                <w:kern w:val="0"/>
                <w:sz w:val="24"/>
                <w:highlight w:val="none"/>
                <w:lang w:bidi="ar"/>
              </w:rPr>
              <w:t>…</w:t>
            </w:r>
          </w:p>
        </w:tc>
        <w:tc>
          <w:tcPr>
            <w:tcW w:w="4620" w:type="dxa"/>
            <w:gridSpan w:val="2"/>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33651CE3">
            <w:pPr>
              <w:jc w:val="center"/>
              <w:rPr>
                <w:rFonts w:ascii="宋体" w:hAnsi="宋体" w:cs="宋体"/>
                <w:color w:val="auto"/>
                <w:kern w:val="0"/>
                <w:sz w:val="24"/>
                <w:highlight w:val="none"/>
              </w:rPr>
            </w:pPr>
          </w:p>
        </w:tc>
        <w:tc>
          <w:tcPr>
            <w:tcW w:w="3000"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1D05EFD6">
            <w:pPr>
              <w:jc w:val="center"/>
              <w:rPr>
                <w:rFonts w:ascii="宋体" w:hAnsi="宋体" w:cs="宋体"/>
                <w:color w:val="auto"/>
                <w:kern w:val="0"/>
                <w:sz w:val="24"/>
                <w:highlight w:val="none"/>
              </w:rPr>
            </w:pPr>
          </w:p>
        </w:tc>
        <w:tc>
          <w:tcPr>
            <w:tcW w:w="1043" w:type="dxa"/>
            <w:tcBorders>
              <w:top w:val="single" w:color="auto" w:sz="4" w:space="0"/>
              <w:left w:val="nil"/>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4F8DF90E">
            <w:pPr>
              <w:jc w:val="center"/>
              <w:rPr>
                <w:rFonts w:ascii="宋体" w:hAnsi="宋体" w:cs="宋体"/>
                <w:color w:val="auto"/>
                <w:kern w:val="0"/>
                <w:sz w:val="24"/>
                <w:highlight w:val="none"/>
              </w:rPr>
            </w:pPr>
          </w:p>
        </w:tc>
      </w:tr>
      <w:tr w14:paraId="339BBDA7">
        <w:tblPrEx>
          <w:tblCellMar>
            <w:top w:w="0" w:type="dxa"/>
            <w:left w:w="0" w:type="dxa"/>
            <w:bottom w:w="0" w:type="dxa"/>
            <w:right w:w="0" w:type="dxa"/>
          </w:tblCellMar>
        </w:tblPrEx>
        <w:trPr>
          <w:jc w:val="center"/>
        </w:trPr>
        <w:tc>
          <w:tcPr>
            <w:tcW w:w="9476" w:type="dxa"/>
            <w:gridSpan w:val="5"/>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14:paraId="6EF050BE">
            <w:pPr>
              <w:rPr>
                <w:rFonts w:ascii="宋体" w:hAnsi="宋体" w:cs="宋体"/>
                <w:color w:val="auto"/>
                <w:kern w:val="0"/>
                <w:sz w:val="24"/>
                <w:highlight w:val="none"/>
              </w:rPr>
            </w:pPr>
            <w:r>
              <w:rPr>
                <w:rFonts w:hint="eastAsia" w:ascii="宋体" w:hAnsi="宋体" w:cs="宋体"/>
                <w:color w:val="auto"/>
                <w:kern w:val="0"/>
                <w:sz w:val="24"/>
                <w:highlight w:val="none"/>
                <w:lang w:bidi="ar"/>
              </w:rPr>
              <w:t>说明：</w:t>
            </w:r>
          </w:p>
          <w:p w14:paraId="18EC38BE">
            <w:pPr>
              <w:rPr>
                <w:rFonts w:ascii="宋体" w:hAnsi="宋体" w:cs="宋体"/>
                <w:color w:val="auto"/>
                <w:kern w:val="0"/>
                <w:sz w:val="24"/>
                <w:highlight w:val="none"/>
              </w:rPr>
            </w:pPr>
            <w:r>
              <w:rPr>
                <w:rFonts w:hint="eastAsia" w:ascii="宋体" w:hAnsi="宋体" w:cs="宋体"/>
                <w:color w:val="auto"/>
                <w:kern w:val="0"/>
                <w:sz w:val="24"/>
                <w:highlight w:val="none"/>
                <w:lang w:bidi="ar"/>
              </w:rPr>
              <w:t>1.管理关系：是指不具有出资持股关系的其他单位之间存在的管理与被管理关系，如一些上下级关系的事业单位和团体组织。</w:t>
            </w:r>
          </w:p>
          <w:p w14:paraId="6C79A90E">
            <w:pPr>
              <w:rPr>
                <w:rFonts w:ascii="宋体" w:hAnsi="宋体" w:cs="宋体"/>
                <w:color w:val="auto"/>
                <w:kern w:val="0"/>
                <w:sz w:val="24"/>
                <w:highlight w:val="none"/>
              </w:rPr>
            </w:pPr>
            <w:r>
              <w:rPr>
                <w:rFonts w:hint="eastAsia" w:ascii="宋体" w:hAnsi="宋体" w:cs="宋体"/>
                <w:color w:val="auto"/>
                <w:kern w:val="0"/>
                <w:sz w:val="24"/>
                <w:highlight w:val="none"/>
                <w:lang w:bidi="ar"/>
              </w:rPr>
              <w:t>2.本表所指的管理关系仅限于直接管理关系，不包括间接的管理关系。</w:t>
            </w:r>
          </w:p>
          <w:p w14:paraId="79588698">
            <w:pPr>
              <w:rPr>
                <w:rFonts w:ascii="宋体" w:hAnsi="宋体" w:cs="宋体"/>
                <w:color w:val="auto"/>
                <w:kern w:val="0"/>
                <w:sz w:val="24"/>
                <w:highlight w:val="none"/>
              </w:rPr>
            </w:pPr>
            <w:r>
              <w:rPr>
                <w:rFonts w:hint="eastAsia" w:ascii="宋体" w:hAnsi="宋体" w:cs="宋体"/>
                <w:color w:val="auto"/>
                <w:kern w:val="0"/>
                <w:sz w:val="24"/>
                <w:highlight w:val="none"/>
                <w:lang w:bidi="ar"/>
              </w:rPr>
              <w:t>3.供应商不存在直接管理关系的，则填“无”</w:t>
            </w:r>
          </w:p>
        </w:tc>
      </w:tr>
    </w:tbl>
    <w:p w14:paraId="166157AB">
      <w:pPr>
        <w:autoSpaceDE w:val="0"/>
        <w:snapToGrid w:val="0"/>
        <w:spacing w:line="360" w:lineRule="auto"/>
        <w:ind w:firstLine="4800" w:firstLineChars="2000"/>
        <w:rPr>
          <w:rFonts w:ascii="宋体" w:hAnsi="宋体" w:cs="宋体"/>
          <w:color w:val="auto"/>
          <w:kern w:val="0"/>
          <w:sz w:val="24"/>
          <w:highlight w:val="none"/>
        </w:rPr>
      </w:pPr>
      <w:r>
        <w:rPr>
          <w:rFonts w:hint="eastAsia" w:ascii="宋体" w:hAnsi="宋体" w:cs="宋体"/>
          <w:color w:val="auto"/>
          <w:kern w:val="0"/>
          <w:sz w:val="24"/>
          <w:highlight w:val="none"/>
          <w:lang w:bidi="ar"/>
        </w:rPr>
        <w:t xml:space="preserve"> </w:t>
      </w:r>
    </w:p>
    <w:p w14:paraId="2568B9D6">
      <w:pPr>
        <w:autoSpaceDE w:val="0"/>
        <w:snapToGrid w:val="0"/>
        <w:spacing w:line="360" w:lineRule="auto"/>
        <w:ind w:firstLine="4800" w:firstLineChars="2000"/>
        <w:rPr>
          <w:rFonts w:ascii="宋体" w:hAnsi="宋体" w:cs="宋体"/>
          <w:color w:val="auto"/>
          <w:kern w:val="0"/>
          <w:sz w:val="24"/>
          <w:highlight w:val="none"/>
        </w:rPr>
      </w:pPr>
      <w:r>
        <w:rPr>
          <w:rFonts w:hint="eastAsia" w:ascii="宋体" w:hAnsi="宋体" w:cs="宋体"/>
          <w:color w:val="auto"/>
          <w:kern w:val="0"/>
          <w:sz w:val="24"/>
          <w:highlight w:val="none"/>
          <w:lang w:bidi="ar"/>
        </w:rPr>
        <w:t>供应商(电子签章)：</w:t>
      </w:r>
    </w:p>
    <w:p w14:paraId="340810FD">
      <w:pPr>
        <w:autoSpaceDE w:val="0"/>
        <w:snapToGrid w:val="0"/>
        <w:spacing w:line="360" w:lineRule="auto"/>
        <w:ind w:firstLine="4800" w:firstLineChars="2000"/>
        <w:rPr>
          <w:rFonts w:ascii="宋体" w:hAnsi="宋体" w:cs="宋体"/>
          <w:b/>
          <w:color w:val="auto"/>
          <w:kern w:val="0"/>
          <w:sz w:val="24"/>
          <w:highlight w:val="none"/>
        </w:rPr>
      </w:pPr>
      <w:r>
        <w:rPr>
          <w:rFonts w:hint="eastAsia" w:ascii="宋体" w:hAnsi="宋体" w:cs="宋体"/>
          <w:color w:val="auto"/>
          <w:kern w:val="0"/>
          <w:sz w:val="24"/>
          <w:highlight w:val="none"/>
          <w:lang w:bidi="ar"/>
        </w:rPr>
        <w:t>日期：     年   月   日</w:t>
      </w:r>
    </w:p>
    <w:p w14:paraId="2C0C67A0">
      <w:pPr>
        <w:autoSpaceDE w:val="0"/>
        <w:spacing w:before="340" w:after="330" w:line="360" w:lineRule="auto"/>
        <w:jc w:val="center"/>
        <w:rPr>
          <w:rFonts w:ascii="宋体" w:hAnsi="宋体" w:cs="宋体"/>
          <w:b/>
          <w:bCs/>
          <w:color w:val="auto"/>
          <w:sz w:val="44"/>
          <w:szCs w:val="44"/>
          <w:highlight w:val="none"/>
        </w:rPr>
      </w:pPr>
      <w:r>
        <w:rPr>
          <w:rFonts w:hint="eastAsia" w:ascii="宋体" w:hAnsi="宋体" w:cs="宋体"/>
          <w:color w:val="auto"/>
          <w:szCs w:val="21"/>
          <w:highlight w:val="none"/>
          <w:lang w:bidi="ar"/>
        </w:rPr>
        <w:br w:type="page"/>
      </w:r>
      <w:r>
        <w:rPr>
          <w:rFonts w:hint="eastAsia" w:ascii="宋体" w:hAnsi="宋体" w:cs="宋体"/>
          <w:b/>
          <w:bCs/>
          <w:color w:val="auto"/>
          <w:sz w:val="44"/>
          <w:szCs w:val="44"/>
          <w:highlight w:val="none"/>
          <w:lang w:bidi="ar"/>
        </w:rPr>
        <w:t>竞标声明</w:t>
      </w:r>
    </w:p>
    <w:p w14:paraId="4D450E83">
      <w:pPr>
        <w:spacing w:before="156" w:beforeLines="50" w:after="50" w:line="360" w:lineRule="auto"/>
        <w:contextualSpacing/>
        <w:rPr>
          <w:rFonts w:ascii="宋体" w:hAnsi="宋体" w:cs="宋体"/>
          <w:color w:val="auto"/>
          <w:sz w:val="24"/>
          <w:highlight w:val="none"/>
        </w:rPr>
      </w:pPr>
      <w:r>
        <w:rPr>
          <w:rFonts w:hint="eastAsia" w:ascii="宋体" w:hAnsi="宋体" w:cs="宋体"/>
          <w:color w:val="auto"/>
          <w:sz w:val="24"/>
          <w:highlight w:val="none"/>
          <w:lang w:bidi="ar"/>
        </w:rPr>
        <w:t>致：</w:t>
      </w:r>
      <w:r>
        <w:rPr>
          <w:rFonts w:hint="eastAsia" w:ascii="宋体" w:hAnsi="宋体" w:cs="宋体"/>
          <w:color w:val="auto"/>
          <w:sz w:val="24"/>
          <w:highlight w:val="none"/>
          <w:u w:val="single"/>
          <w:lang w:bidi="ar"/>
        </w:rPr>
        <w:t>（采购代理机构名称）</w:t>
      </w:r>
      <w:r>
        <w:rPr>
          <w:rFonts w:hint="eastAsia" w:ascii="宋体" w:hAnsi="宋体" w:cs="宋体"/>
          <w:color w:val="auto"/>
          <w:sz w:val="24"/>
          <w:highlight w:val="none"/>
          <w:lang w:bidi="ar"/>
        </w:rPr>
        <w:t>：</w:t>
      </w:r>
    </w:p>
    <w:p w14:paraId="4684639B">
      <w:pPr>
        <w:autoSpaceDE w:val="0"/>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u w:val="single"/>
          <w:lang w:bidi="ar"/>
        </w:rPr>
        <w:t>（供应商名称）</w:t>
      </w:r>
      <w:r>
        <w:rPr>
          <w:rFonts w:hint="eastAsia" w:ascii="宋体" w:hAnsi="宋体" w:cs="宋体"/>
          <w:color w:val="auto"/>
          <w:sz w:val="24"/>
          <w:highlight w:val="none"/>
          <w:lang w:bidi="ar"/>
        </w:rPr>
        <w:t>系中华人民共和国合法供应商，经营地址</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w:t>
      </w:r>
    </w:p>
    <w:p w14:paraId="3BF908F3">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我方愿意参加贵方组织的</w:t>
      </w:r>
      <w:r>
        <w:rPr>
          <w:rFonts w:hint="eastAsia" w:ascii="宋体" w:hAnsi="宋体" w:cs="宋体"/>
          <w:color w:val="auto"/>
          <w:sz w:val="24"/>
          <w:highlight w:val="none"/>
          <w:u w:val="single"/>
          <w:lang w:bidi="ar"/>
        </w:rPr>
        <w:t>（项目名称）</w:t>
      </w:r>
      <w:r>
        <w:rPr>
          <w:rFonts w:hint="eastAsia" w:ascii="宋体" w:hAnsi="宋体" w:cs="宋体"/>
          <w:color w:val="auto"/>
          <w:sz w:val="24"/>
          <w:highlight w:val="none"/>
          <w:lang w:bidi="ar"/>
        </w:rPr>
        <w:t>项目的竞标，为便于贵方公正、择优地确定成交供应商及其竞标产品和服务，我方就本次竞标有关事项郑重声明如下：</w:t>
      </w:r>
    </w:p>
    <w:p w14:paraId="6948FB65">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1.我方向贵方提交的所有响应文件、资料都是准确的和真实的。</w:t>
      </w:r>
    </w:p>
    <w:p w14:paraId="079FB0E7">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06ECCB2">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3.在此，我方宣布同意如下：</w:t>
      </w:r>
    </w:p>
    <w:p w14:paraId="54886150">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（1）将按磋商文件的约定履行合同责任和义务；</w:t>
      </w:r>
    </w:p>
    <w:p w14:paraId="09B079E6">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（2）已详细审查全部磋商文件，包括澄清或者更正公告（如有）；</w:t>
      </w:r>
    </w:p>
    <w:p w14:paraId="3FA795D0">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（3）同意提供按照贵方可能要求的与磋商有关的一切数据或者资料；</w:t>
      </w:r>
    </w:p>
    <w:p w14:paraId="7BDBF8EC">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（4）响应磋商文件规定的竞标有效期。</w:t>
      </w:r>
    </w:p>
    <w:p w14:paraId="1415FA08">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4.我方承诺符合《中华人民共和国政府采购法》第二十二条规定：</w:t>
      </w:r>
    </w:p>
    <w:p w14:paraId="778A0F23">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（1）具有独立承担民事责任的能力；</w:t>
      </w:r>
    </w:p>
    <w:p w14:paraId="5A3FB8DF">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（2）具有良好的商业信誉和健全的财务会计制度；</w:t>
      </w:r>
    </w:p>
    <w:p w14:paraId="53127DB2">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（3）具有履行合同所必需的设备和专业技术能力；</w:t>
      </w:r>
    </w:p>
    <w:p w14:paraId="1FC7C8E4">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（4）有依法缴纳税收和社会保障资金的良好记录；</w:t>
      </w:r>
    </w:p>
    <w:p w14:paraId="4C14B393">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（5）参加政府采购活动前三年内，在经营活动中没有重大违法记录；</w:t>
      </w:r>
    </w:p>
    <w:p w14:paraId="65119C27">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（6）法律、行政法规规定的其他条件。</w:t>
      </w:r>
    </w:p>
    <w:p w14:paraId="449E4E5E">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7ABDA53">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5D4EBCA">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□我方本次响应文件</w:t>
      </w:r>
      <w:r>
        <w:rPr>
          <w:rFonts w:hint="eastAsia" w:ascii="宋体" w:hAnsi="宋体" w:cs="宋体"/>
          <w:color w:val="auto"/>
          <w:kern w:val="0"/>
          <w:sz w:val="24"/>
          <w:highlight w:val="none"/>
          <w:lang w:bidi="ar"/>
        </w:rPr>
        <w:t>内容中</w:t>
      </w:r>
      <w:r>
        <w:rPr>
          <w:rFonts w:hint="eastAsia" w:ascii="宋体" w:hAnsi="宋体" w:cs="宋体"/>
          <w:color w:val="auto"/>
          <w:sz w:val="24"/>
          <w:highlight w:val="none"/>
          <w:lang w:bidi="ar"/>
        </w:rPr>
        <w:t>未</w:t>
      </w:r>
      <w:r>
        <w:rPr>
          <w:rFonts w:hint="eastAsia" w:ascii="宋体" w:hAnsi="宋体" w:cs="宋体"/>
          <w:color w:val="auto"/>
          <w:kern w:val="0"/>
          <w:sz w:val="24"/>
          <w:highlight w:val="none"/>
          <w:lang w:bidi="ar"/>
        </w:rPr>
        <w:t>涉及商业秘密；</w:t>
      </w:r>
    </w:p>
    <w:p w14:paraId="23B854F4">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□我方本次响应文件</w:t>
      </w:r>
      <w:r>
        <w:rPr>
          <w:rFonts w:hint="eastAsia" w:ascii="宋体" w:hAnsi="宋体" w:cs="宋体"/>
          <w:color w:val="auto"/>
          <w:kern w:val="0"/>
          <w:sz w:val="24"/>
          <w:highlight w:val="none"/>
          <w:lang w:bidi="ar"/>
        </w:rPr>
        <w:t>涉及商业秘密的内容有：</w:t>
      </w:r>
      <w:r>
        <w:rPr>
          <w:rFonts w:hint="eastAsia" w:ascii="宋体" w:hAnsi="宋体" w:cs="宋体"/>
          <w:color w:val="auto"/>
          <w:kern w:val="0"/>
          <w:sz w:val="24"/>
          <w:highlight w:val="none"/>
          <w:u w:val="single"/>
          <w:lang w:bidi="ar"/>
        </w:rPr>
        <w:t xml:space="preserve">                            </w:t>
      </w:r>
      <w:r>
        <w:rPr>
          <w:rFonts w:hint="eastAsia" w:ascii="宋体" w:hAnsi="宋体" w:cs="宋体"/>
          <w:color w:val="auto"/>
          <w:kern w:val="0"/>
          <w:sz w:val="24"/>
          <w:highlight w:val="none"/>
          <w:lang w:bidi="ar"/>
        </w:rPr>
        <w:t>；</w:t>
      </w:r>
    </w:p>
    <w:p w14:paraId="4FABA898">
      <w:pPr>
        <w:pStyle w:val="27"/>
        <w:autoSpaceDE w:val="0"/>
        <w:spacing w:line="360" w:lineRule="auto"/>
        <w:ind w:firstLine="480" w:firstLineChars="200"/>
        <w:contextualSpacing/>
        <w:rPr>
          <w:rFonts w:ascii="宋体" w:hAnsi="宋体" w:cs="宋体"/>
          <w:color w:val="auto"/>
          <w:highlight w:val="none"/>
          <w:u w:val="single"/>
        </w:rPr>
      </w:pPr>
      <w:r>
        <w:rPr>
          <w:rFonts w:hint="eastAsia" w:ascii="宋体" w:hAnsi="宋体" w:cs="宋体"/>
          <w:color w:val="auto"/>
          <w:highlight w:val="none"/>
          <w:lang w:bidi="ar"/>
        </w:rPr>
        <w:t>7.与本磋商有关的一切正式往来信函请寄：</w:t>
      </w:r>
      <w:r>
        <w:rPr>
          <w:rFonts w:hint="eastAsia" w:ascii="宋体" w:hAnsi="宋体" w:cs="宋体"/>
          <w:color w:val="auto"/>
          <w:highlight w:val="none"/>
          <w:u w:val="single"/>
          <w:lang w:bidi="ar"/>
        </w:rPr>
        <w:t xml:space="preserve">                </w:t>
      </w:r>
      <w:r>
        <w:rPr>
          <w:rFonts w:hint="eastAsia" w:ascii="宋体" w:hAnsi="宋体" w:cs="宋体"/>
          <w:color w:val="auto"/>
          <w:highlight w:val="none"/>
          <w:lang w:bidi="ar"/>
        </w:rPr>
        <w:t>邮政编号：</w:t>
      </w:r>
      <w:r>
        <w:rPr>
          <w:rFonts w:hint="eastAsia" w:ascii="宋体" w:hAnsi="宋体" w:cs="宋体"/>
          <w:color w:val="auto"/>
          <w:highlight w:val="none"/>
          <w:u w:val="single"/>
          <w:lang w:bidi="ar"/>
        </w:rPr>
        <w:t xml:space="preserve">      </w:t>
      </w:r>
    </w:p>
    <w:p w14:paraId="0C255E4B">
      <w:pPr>
        <w:pStyle w:val="27"/>
        <w:autoSpaceDE w:val="0"/>
        <w:spacing w:line="360" w:lineRule="auto"/>
        <w:ind w:firstLine="480" w:firstLineChars="200"/>
        <w:contextualSpacing/>
        <w:rPr>
          <w:rFonts w:ascii="宋体" w:hAnsi="宋体" w:cs="宋体"/>
          <w:color w:val="auto"/>
          <w:highlight w:val="none"/>
        </w:rPr>
      </w:pPr>
      <w:r>
        <w:rPr>
          <w:rFonts w:hint="eastAsia" w:ascii="宋体" w:hAnsi="宋体" w:cs="宋体"/>
          <w:color w:val="auto"/>
          <w:highlight w:val="none"/>
          <w:lang w:bidi="ar"/>
        </w:rPr>
        <w:t>电话/传真：</w:t>
      </w:r>
      <w:r>
        <w:rPr>
          <w:rFonts w:hint="eastAsia" w:ascii="宋体" w:hAnsi="宋体" w:cs="宋体"/>
          <w:color w:val="auto"/>
          <w:highlight w:val="none"/>
          <w:u w:val="single"/>
          <w:lang w:bidi="ar"/>
        </w:rPr>
        <w:t xml:space="preserve">                        </w:t>
      </w:r>
      <w:r>
        <w:rPr>
          <w:rFonts w:hint="eastAsia" w:ascii="宋体" w:hAnsi="宋体" w:cs="宋体"/>
          <w:color w:val="auto"/>
          <w:highlight w:val="none"/>
          <w:lang w:bidi="ar"/>
        </w:rPr>
        <w:t xml:space="preserve"> 电子函件：</w:t>
      </w:r>
      <w:r>
        <w:rPr>
          <w:rFonts w:hint="eastAsia" w:ascii="宋体" w:hAnsi="宋体" w:cs="宋体"/>
          <w:color w:val="auto"/>
          <w:highlight w:val="none"/>
          <w:u w:val="single"/>
          <w:lang w:bidi="ar"/>
        </w:rPr>
        <w:t xml:space="preserve">                        </w:t>
      </w:r>
    </w:p>
    <w:p w14:paraId="064D3FFD">
      <w:pPr>
        <w:pStyle w:val="27"/>
        <w:autoSpaceDE w:val="0"/>
        <w:spacing w:beforeAutospacing="1" w:afterAutospacing="1" w:line="360" w:lineRule="auto"/>
        <w:ind w:firstLine="480" w:firstLineChars="200"/>
        <w:contextualSpacing/>
        <w:rPr>
          <w:rFonts w:ascii="宋体" w:hAnsi="宋体" w:cs="宋体"/>
          <w:color w:val="auto"/>
          <w:kern w:val="2"/>
          <w:highlight w:val="none"/>
        </w:rPr>
      </w:pPr>
      <w:r>
        <w:rPr>
          <w:rFonts w:hint="eastAsia" w:ascii="宋体" w:hAnsi="宋体" w:cs="宋体"/>
          <w:color w:val="auto"/>
          <w:kern w:val="2"/>
          <w:highlight w:val="none"/>
          <w:lang w:bidi="ar"/>
        </w:rPr>
        <w:t>开户银行：</w:t>
      </w:r>
      <w:r>
        <w:rPr>
          <w:rFonts w:hint="eastAsia" w:ascii="宋体" w:hAnsi="宋体" w:cs="宋体"/>
          <w:color w:val="auto"/>
          <w:kern w:val="2"/>
          <w:highlight w:val="none"/>
          <w:u w:val="single"/>
          <w:lang w:bidi="ar"/>
        </w:rPr>
        <w:t xml:space="preserve">                         </w:t>
      </w:r>
      <w:r>
        <w:rPr>
          <w:rFonts w:hint="eastAsia" w:ascii="宋体" w:hAnsi="宋体" w:cs="宋体"/>
          <w:color w:val="auto"/>
          <w:kern w:val="2"/>
          <w:highlight w:val="none"/>
          <w:lang w:bidi="ar"/>
        </w:rPr>
        <w:t xml:space="preserve">  账号：</w:t>
      </w:r>
      <w:r>
        <w:rPr>
          <w:rFonts w:hint="eastAsia" w:ascii="宋体" w:hAnsi="宋体" w:cs="宋体"/>
          <w:color w:val="auto"/>
          <w:kern w:val="2"/>
          <w:highlight w:val="none"/>
          <w:u w:val="single"/>
          <w:lang w:bidi="ar"/>
        </w:rPr>
        <w:t xml:space="preserve">                           </w:t>
      </w:r>
    </w:p>
    <w:p w14:paraId="522A80F3">
      <w:pPr>
        <w:pStyle w:val="27"/>
        <w:autoSpaceDE w:val="0"/>
        <w:spacing w:beforeAutospacing="1" w:afterAutospacing="1" w:line="360" w:lineRule="auto"/>
        <w:ind w:firstLine="480" w:firstLineChars="200"/>
        <w:contextualSpacing/>
        <w:rPr>
          <w:rFonts w:ascii="宋体" w:hAnsi="宋体" w:cs="宋体"/>
          <w:color w:val="auto"/>
          <w:kern w:val="2"/>
          <w:highlight w:val="none"/>
        </w:rPr>
      </w:pPr>
      <w:r>
        <w:rPr>
          <w:rFonts w:hint="eastAsia" w:ascii="宋体" w:hAnsi="宋体" w:cs="宋体"/>
          <w:color w:val="auto"/>
          <w:kern w:val="2"/>
          <w:highlight w:val="none"/>
          <w:lang w:bidi="ar"/>
        </w:rPr>
        <w:t>8.以上事项如有虚假或者隐瞒，我方愿意承担一切后果，并不再寻求任何旨在减轻或者免除法律责任的辩解。</w:t>
      </w:r>
    </w:p>
    <w:p w14:paraId="54BF075D">
      <w:pPr>
        <w:pStyle w:val="27"/>
        <w:autoSpaceDE w:val="0"/>
        <w:spacing w:beforeAutospacing="1" w:afterAutospacing="1" w:line="360" w:lineRule="auto"/>
        <w:ind w:firstLine="480" w:firstLineChars="200"/>
        <w:contextualSpacing/>
        <w:rPr>
          <w:rFonts w:ascii="宋体" w:hAnsi="宋体" w:cs="宋体"/>
          <w:color w:val="auto"/>
          <w:kern w:val="2"/>
          <w:highlight w:val="none"/>
        </w:rPr>
      </w:pPr>
      <w:r>
        <w:rPr>
          <w:rFonts w:hint="eastAsia" w:ascii="宋体" w:hAnsi="宋体" w:cs="宋体"/>
          <w:color w:val="auto"/>
          <w:kern w:val="2"/>
          <w:highlight w:val="none"/>
          <w:lang w:bidi="ar"/>
        </w:rPr>
        <w:t>特此承诺。</w:t>
      </w:r>
    </w:p>
    <w:p w14:paraId="534A4872">
      <w:pPr>
        <w:pStyle w:val="27"/>
        <w:autoSpaceDE w:val="0"/>
        <w:spacing w:beforeAutospacing="1" w:afterAutospacing="1" w:line="360" w:lineRule="auto"/>
        <w:ind w:firstLine="480" w:firstLineChars="200"/>
        <w:contextualSpacing/>
        <w:rPr>
          <w:rFonts w:ascii="宋体" w:hAnsi="宋体" w:cs="宋体"/>
          <w:color w:val="auto"/>
          <w:kern w:val="2"/>
          <w:highlight w:val="none"/>
        </w:rPr>
      </w:pPr>
      <w:r>
        <w:rPr>
          <w:rFonts w:hint="eastAsia" w:ascii="宋体" w:hAnsi="宋体" w:cs="宋体"/>
          <w:color w:val="auto"/>
          <w:kern w:val="2"/>
          <w:highlight w:val="none"/>
          <w:lang w:bidi="ar"/>
        </w:rPr>
        <w:t>注：如为联合体竞标，盖章处须加盖联合体各方公章并由联合体各方法定代表人签署，否则其响应文件按无效响应处理。</w:t>
      </w:r>
    </w:p>
    <w:p w14:paraId="5293E42A">
      <w:pPr>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5686E08F">
      <w:pPr>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法定代表人（签字或签章）：</w:t>
      </w:r>
      <w:r>
        <w:rPr>
          <w:rFonts w:hint="eastAsia" w:ascii="宋体" w:hAnsi="宋体" w:cs="宋体"/>
          <w:color w:val="auto"/>
          <w:sz w:val="24"/>
          <w:highlight w:val="none"/>
          <w:u w:val="single"/>
          <w:lang w:bidi="ar"/>
        </w:rPr>
        <w:t xml:space="preserve">            </w:t>
      </w:r>
    </w:p>
    <w:p w14:paraId="493D0386">
      <w:pPr>
        <w:spacing w:line="360" w:lineRule="auto"/>
        <w:ind w:firstLine="4320" w:firstLineChars="1800"/>
        <w:rPr>
          <w:rFonts w:ascii="宋体" w:hAnsi="宋体" w:cs="宋体"/>
          <w:color w:val="auto"/>
          <w:sz w:val="24"/>
          <w:highlight w:val="none"/>
          <w:u w:val="single"/>
        </w:rPr>
      </w:pPr>
      <w:r>
        <w:rPr>
          <w:rFonts w:hint="eastAsia" w:ascii="宋体" w:hAnsi="宋体" w:cs="宋体"/>
          <w:color w:val="auto"/>
          <w:sz w:val="24"/>
          <w:highlight w:val="none"/>
          <w:lang w:bidi="ar"/>
        </w:rPr>
        <w:t>供应商（电子签章）：</w:t>
      </w:r>
      <w:r>
        <w:rPr>
          <w:rFonts w:hint="eastAsia" w:ascii="宋体" w:hAnsi="宋体" w:cs="宋体"/>
          <w:color w:val="auto"/>
          <w:sz w:val="24"/>
          <w:highlight w:val="none"/>
          <w:u w:val="single"/>
          <w:lang w:bidi="ar"/>
        </w:rPr>
        <w:t xml:space="preserve">                  </w:t>
      </w:r>
    </w:p>
    <w:p w14:paraId="311AA646">
      <w:pPr>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日期：     年   月   日</w:t>
      </w:r>
    </w:p>
    <w:p w14:paraId="012B1226">
      <w:pPr>
        <w:autoSpaceDE w:val="0"/>
        <w:spacing w:before="340" w:after="330" w:line="360" w:lineRule="auto"/>
        <w:jc w:val="center"/>
        <w:rPr>
          <w:rFonts w:ascii="宋体" w:hAnsi="宋体" w:cs="宋体"/>
          <w:b/>
          <w:bCs/>
          <w:color w:val="auto"/>
          <w:sz w:val="44"/>
          <w:szCs w:val="44"/>
          <w:highlight w:val="none"/>
        </w:rPr>
      </w:pPr>
      <w:r>
        <w:rPr>
          <w:rFonts w:hint="eastAsia" w:ascii="宋体" w:hAnsi="宋体" w:cs="宋体"/>
          <w:color w:val="auto"/>
          <w:sz w:val="24"/>
          <w:highlight w:val="none"/>
          <w:lang w:bidi="ar"/>
        </w:rPr>
        <w:br w:type="page"/>
      </w:r>
      <w:r>
        <w:rPr>
          <w:rFonts w:hint="eastAsia" w:ascii="宋体" w:hAnsi="宋体" w:cs="宋体"/>
          <w:b/>
          <w:bCs/>
          <w:color w:val="auto"/>
          <w:sz w:val="44"/>
          <w:szCs w:val="44"/>
          <w:highlight w:val="none"/>
          <w:lang w:bidi="ar"/>
        </w:rPr>
        <w:t>政府采购项目竞标资格承诺函</w:t>
      </w:r>
    </w:p>
    <w:p w14:paraId="253BA35C">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本公司郑重承诺，根据《中华人民共和国政府采购法》第二十二条的规定，本公司为参加政府采购活动的合格供应商。即本公司同时满足以下条件：</w:t>
      </w:r>
    </w:p>
    <w:p w14:paraId="02E3BF79">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1.具有独立承担民事责任的能力。</w:t>
      </w:r>
    </w:p>
    <w:p w14:paraId="79921462">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2.具有良好的商业信誉</w:t>
      </w:r>
      <w:r>
        <w:rPr>
          <w:rFonts w:hint="eastAsia" w:ascii="宋体" w:hAnsi="宋体" w:cs="宋体"/>
          <w:color w:val="auto"/>
          <w:sz w:val="24"/>
          <w:highlight w:val="none"/>
          <w:lang w:eastAsia="zh-CN" w:bidi="ar"/>
        </w:rPr>
        <w:t>、</w:t>
      </w:r>
      <w:r>
        <w:rPr>
          <w:rFonts w:hint="eastAsia" w:ascii="宋体" w:hAnsi="宋体" w:eastAsia="宋体" w:cs="宋体"/>
          <w:color w:val="auto"/>
          <w:sz w:val="24"/>
          <w:highlight w:val="none"/>
          <w:lang w:val="en-US" w:eastAsia="zh-CN" w:bidi="ar"/>
        </w:rPr>
        <w:t>健全的内部治理结构，独立、健全的财务管理、会计核算和资产管理制度</w:t>
      </w:r>
    </w:p>
    <w:p w14:paraId="412CA2B8">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3.具有履行合同所必需的设备和专业技术能力。</w:t>
      </w:r>
    </w:p>
    <w:p w14:paraId="5415BC21">
      <w:pPr>
        <w:autoSpaceDE w:val="0"/>
        <w:spacing w:line="360" w:lineRule="auto"/>
        <w:ind w:firstLine="480" w:firstLineChars="200"/>
        <w:contextualSpacing/>
        <w:rPr>
          <w:rFonts w:hint="eastAsia" w:ascii="宋体" w:hAnsi="宋体" w:cs="宋体"/>
          <w:color w:val="auto"/>
          <w:sz w:val="24"/>
          <w:highlight w:val="none"/>
          <w:lang w:bidi="ar"/>
        </w:rPr>
      </w:pPr>
      <w:r>
        <w:rPr>
          <w:rFonts w:hint="eastAsia" w:ascii="宋体" w:hAnsi="宋体" w:cs="宋体"/>
          <w:color w:val="auto"/>
          <w:sz w:val="24"/>
          <w:highlight w:val="none"/>
          <w:lang w:bidi="ar"/>
        </w:rPr>
        <w:t>4.有依法缴纳税收和社会保障资金的良好记录。</w:t>
      </w:r>
    </w:p>
    <w:p w14:paraId="6F982DAD">
      <w:pPr>
        <w:autoSpaceDE w:val="0"/>
        <w:spacing w:line="360" w:lineRule="auto"/>
        <w:ind w:firstLine="0" w:firstLineChars="0"/>
        <w:contextualSpacing/>
        <w:rPr>
          <w:rFonts w:ascii="宋体" w:hAnsi="宋体" w:cs="宋体"/>
          <w:color w:val="auto"/>
          <w:sz w:val="24"/>
          <w:highlight w:val="none"/>
        </w:rPr>
      </w:pPr>
      <w:r>
        <w:rPr>
          <w:rFonts w:hint="eastAsia" w:ascii="宋体" w:hAnsi="宋体" w:cs="宋体"/>
          <w:color w:val="auto"/>
          <w:sz w:val="24"/>
          <w:highlight w:val="none"/>
          <w:lang w:val="en-US" w:eastAsia="zh-CN" w:bidi="ar"/>
        </w:rPr>
        <w:t xml:space="preserve">    5.</w:t>
      </w:r>
      <w:r>
        <w:rPr>
          <w:rFonts w:hint="eastAsia" w:ascii="宋体" w:hAnsi="宋体" w:cs="宋体"/>
          <w:color w:val="auto"/>
          <w:sz w:val="24"/>
          <w:highlight w:val="none"/>
          <w:lang w:bidi="ar"/>
        </w:rPr>
        <w:t>提交</w:t>
      </w:r>
      <w:r>
        <w:rPr>
          <w:rFonts w:hint="eastAsia" w:ascii="宋体" w:hAnsi="宋体" w:cs="宋体"/>
          <w:color w:val="auto"/>
          <w:sz w:val="24"/>
          <w:highlight w:val="none"/>
          <w:lang w:eastAsia="zh-CN" w:bidi="ar"/>
        </w:rPr>
        <w:t>响应</w:t>
      </w:r>
      <w:r>
        <w:rPr>
          <w:rFonts w:hint="eastAsia" w:ascii="宋体" w:hAnsi="宋体" w:cs="宋体"/>
          <w:color w:val="auto"/>
          <w:sz w:val="24"/>
          <w:highlight w:val="none"/>
          <w:lang w:bidi="ar"/>
        </w:rPr>
        <w:t>文件截止日期前三年内，在经营活动中没有重大违法记录。</w:t>
      </w:r>
    </w:p>
    <w:p w14:paraId="21DA6172">
      <w:pPr>
        <w:autoSpaceDE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lang w:bidi="ar"/>
        </w:rPr>
        <w:t>本公司对上述承诺的真实性负责，并接受政府采购、税务、社会保障等监督管理部门、采购文件规定的资格审查机构、社会公众的监督和检查。如有虚假，将依法承担相应责任。</w:t>
      </w:r>
    </w:p>
    <w:p w14:paraId="4E120B6F">
      <w:pPr>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39B93B66">
      <w:pPr>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法定代表人（签字或签章）：</w:t>
      </w:r>
      <w:r>
        <w:rPr>
          <w:rFonts w:hint="eastAsia" w:ascii="宋体" w:hAnsi="宋体" w:cs="宋体"/>
          <w:color w:val="auto"/>
          <w:sz w:val="24"/>
          <w:highlight w:val="none"/>
          <w:u w:val="single"/>
          <w:lang w:bidi="ar"/>
        </w:rPr>
        <w:t xml:space="preserve">            </w:t>
      </w:r>
    </w:p>
    <w:p w14:paraId="56E6EABE">
      <w:pPr>
        <w:spacing w:line="360" w:lineRule="auto"/>
        <w:ind w:firstLine="4320" w:firstLineChars="1800"/>
        <w:rPr>
          <w:rFonts w:ascii="宋体" w:hAnsi="宋体" w:cs="宋体"/>
          <w:color w:val="auto"/>
          <w:sz w:val="24"/>
          <w:highlight w:val="none"/>
          <w:u w:val="single"/>
        </w:rPr>
      </w:pPr>
      <w:r>
        <w:rPr>
          <w:rFonts w:hint="eastAsia" w:ascii="宋体" w:hAnsi="宋体" w:cs="宋体"/>
          <w:color w:val="auto"/>
          <w:sz w:val="24"/>
          <w:highlight w:val="none"/>
          <w:lang w:bidi="ar"/>
        </w:rPr>
        <w:t>供应商（电子签章）：</w:t>
      </w:r>
      <w:r>
        <w:rPr>
          <w:rFonts w:hint="eastAsia" w:ascii="宋体" w:hAnsi="宋体" w:cs="宋体"/>
          <w:color w:val="auto"/>
          <w:sz w:val="24"/>
          <w:highlight w:val="none"/>
          <w:u w:val="single"/>
          <w:lang w:bidi="ar"/>
        </w:rPr>
        <w:t xml:space="preserve">                  </w:t>
      </w:r>
    </w:p>
    <w:p w14:paraId="54553987">
      <w:pPr>
        <w:spacing w:line="360" w:lineRule="auto"/>
        <w:ind w:firstLine="4320" w:firstLineChars="1800"/>
        <w:rPr>
          <w:rFonts w:hint="eastAsia" w:ascii="宋体" w:hAnsi="宋体" w:cs="宋体"/>
          <w:color w:val="auto"/>
          <w:sz w:val="24"/>
          <w:highlight w:val="none"/>
          <w:lang w:bidi="ar"/>
        </w:rPr>
      </w:pPr>
      <w:r>
        <w:rPr>
          <w:rFonts w:hint="eastAsia" w:ascii="宋体" w:hAnsi="宋体" w:cs="宋体"/>
          <w:color w:val="auto"/>
          <w:sz w:val="24"/>
          <w:highlight w:val="none"/>
          <w:lang w:bidi="ar"/>
        </w:rPr>
        <w:t>日期：     年   月   日</w:t>
      </w:r>
    </w:p>
    <w:p w14:paraId="71E49638">
      <w:pPr>
        <w:rPr>
          <w:rFonts w:hint="eastAsia" w:ascii="宋体" w:hAnsi="宋体" w:cs="宋体"/>
          <w:color w:val="auto"/>
          <w:sz w:val="24"/>
          <w:highlight w:val="none"/>
          <w:lang w:bidi="ar"/>
        </w:rPr>
      </w:pPr>
      <w:r>
        <w:rPr>
          <w:rFonts w:hint="eastAsia" w:ascii="宋体" w:hAnsi="宋体" w:cs="宋体"/>
          <w:color w:val="auto"/>
          <w:sz w:val="24"/>
          <w:highlight w:val="none"/>
          <w:lang w:bidi="ar"/>
        </w:rPr>
        <w:br w:type="page"/>
      </w:r>
    </w:p>
    <w:p w14:paraId="0237D4C3">
      <w:pPr>
        <w:autoSpaceDE w:val="0"/>
        <w:spacing w:before="340" w:after="330" w:line="300" w:lineRule="auto"/>
        <w:jc w:val="center"/>
        <w:rPr>
          <w:rFonts w:ascii="宋体" w:hAnsi="宋体" w:cs="宋体"/>
          <w:b/>
          <w:bCs/>
          <w:color w:val="auto"/>
          <w:sz w:val="32"/>
          <w:szCs w:val="32"/>
          <w:highlight w:val="none"/>
        </w:rPr>
      </w:pPr>
      <w:r>
        <w:rPr>
          <w:rFonts w:hint="eastAsia" w:ascii="宋体" w:hAnsi="宋体" w:cs="宋体"/>
          <w:b/>
          <w:bCs/>
          <w:color w:val="auto"/>
          <w:sz w:val="44"/>
          <w:szCs w:val="44"/>
          <w:highlight w:val="none"/>
          <w:lang w:bidi="ar"/>
        </w:rPr>
        <w:t>其他文书、文件格式</w:t>
      </w:r>
    </w:p>
    <w:p w14:paraId="3240D63A">
      <w:pPr>
        <w:spacing w:after="156" w:afterLines="50"/>
        <w:jc w:val="center"/>
        <w:rPr>
          <w:rFonts w:ascii="宋体" w:hAnsi="宋体" w:cs="宋体"/>
          <w:b/>
          <w:color w:val="auto"/>
          <w:sz w:val="32"/>
          <w:szCs w:val="32"/>
          <w:highlight w:val="none"/>
        </w:rPr>
      </w:pPr>
      <w:r>
        <w:rPr>
          <w:rFonts w:hint="eastAsia" w:ascii="宋体" w:hAnsi="宋体" w:cs="宋体"/>
          <w:b/>
          <w:color w:val="auto"/>
          <w:sz w:val="32"/>
          <w:szCs w:val="32"/>
          <w:highlight w:val="none"/>
          <w:lang w:bidi="ar"/>
        </w:rPr>
        <w:t>中小企业声明函（服务）</w:t>
      </w:r>
    </w:p>
    <w:p w14:paraId="0ECE0ADE">
      <w:pP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本公司（联合体）郑重声明，根据《政府采购促进中小企业发展管理办法》（财库﹝2020﹞46 号）的规定，本公司（联合体）参加</w:t>
      </w:r>
      <w:r>
        <w:rPr>
          <w:rFonts w:hint="eastAsia" w:ascii="宋体" w:hAnsi="宋体" w:cs="宋体"/>
          <w:color w:val="auto"/>
          <w:sz w:val="24"/>
          <w:highlight w:val="none"/>
          <w:u w:val="single"/>
          <w:shd w:val="clear" w:color="auto" w:fill="FFFFFF"/>
          <w:lang w:eastAsia="zh-CN" w:bidi="ar"/>
        </w:rPr>
        <w:t>钦州市救助管理站</w:t>
      </w:r>
      <w:r>
        <w:rPr>
          <w:rFonts w:hint="eastAsia" w:ascii="宋体" w:hAnsi="宋体" w:cs="宋体"/>
          <w:color w:val="auto"/>
          <w:sz w:val="24"/>
          <w:highlight w:val="none"/>
          <w:u w:val="single"/>
          <w:shd w:val="clear" w:color="auto" w:fill="FFFFFF"/>
          <w:lang w:bidi="ar"/>
        </w:rPr>
        <w:t>（单位名称）</w:t>
      </w:r>
      <w:r>
        <w:rPr>
          <w:rFonts w:hint="eastAsia" w:ascii="宋体" w:hAnsi="宋体" w:cs="宋体"/>
          <w:color w:val="auto"/>
          <w:sz w:val="24"/>
          <w:highlight w:val="none"/>
          <w:shd w:val="clear" w:color="auto" w:fill="FFFFFF"/>
          <w:lang w:bidi="ar"/>
        </w:rPr>
        <w:t>的</w:t>
      </w:r>
      <w:r>
        <w:rPr>
          <w:rFonts w:hint="eastAsia" w:ascii="宋体" w:hAnsi="宋体" w:cs="宋体"/>
          <w:color w:val="auto"/>
          <w:sz w:val="24"/>
          <w:highlight w:val="none"/>
          <w:u w:val="single"/>
          <w:shd w:val="clear" w:color="auto" w:fill="FFFFFF"/>
          <w:lang w:eastAsia="zh-CN" w:bidi="ar"/>
        </w:rPr>
        <w:t>2026年度采购流浪乞讨人员救助服务项目（</w:t>
      </w:r>
      <w:r>
        <w:rPr>
          <w:rFonts w:hint="eastAsia" w:ascii="宋体" w:hAnsi="宋体" w:cs="宋体"/>
          <w:color w:val="auto"/>
          <w:sz w:val="24"/>
          <w:highlight w:val="none"/>
          <w:u w:val="single"/>
          <w:shd w:val="clear" w:color="auto" w:fill="FFFFFF"/>
          <w:lang w:val="en-US" w:eastAsia="zh-CN" w:bidi="ar"/>
        </w:rPr>
        <w:t>重</w:t>
      </w:r>
      <w:r>
        <w:rPr>
          <w:rFonts w:hint="eastAsia" w:ascii="宋体" w:hAnsi="宋体" w:cs="宋体"/>
          <w:color w:val="auto"/>
          <w:sz w:val="24"/>
          <w:highlight w:val="none"/>
          <w:u w:val="single"/>
          <w:shd w:val="clear" w:color="auto" w:fill="FFFFFF"/>
          <w:lang w:eastAsia="zh-CN" w:bidi="ar"/>
        </w:rPr>
        <w:t>）</w:t>
      </w:r>
      <w:r>
        <w:rPr>
          <w:rFonts w:hint="eastAsia" w:ascii="宋体" w:hAnsi="宋体" w:cs="宋体"/>
          <w:color w:val="auto"/>
          <w:sz w:val="24"/>
          <w:highlight w:val="none"/>
          <w:u w:val="single"/>
          <w:shd w:val="clear" w:color="auto" w:fill="FFFFFF"/>
          <w:lang w:bidi="ar"/>
        </w:rPr>
        <w:t>（项目名称）</w:t>
      </w:r>
      <w:r>
        <w:rPr>
          <w:rFonts w:hint="eastAsia" w:ascii="宋体" w:hAnsi="宋体" w:cs="宋体"/>
          <w:color w:val="auto"/>
          <w:sz w:val="24"/>
          <w:highlight w:val="none"/>
          <w:shd w:val="clear" w:color="auto" w:fill="FFFFFF"/>
          <w:lang w:bidi="ar"/>
        </w:rPr>
        <w:t>采购活动，工程的施工单位全部为符合政策要求的中小企业（或者：服务全部由符合政策要求的中小企业承接）。相关企业（含联合体中的中小企业、签订分包意向协议的中小企业）的具体情况如下：</w:t>
      </w:r>
    </w:p>
    <w:p w14:paraId="1A7607E1">
      <w:pP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1.</w:t>
      </w:r>
      <w:r>
        <w:rPr>
          <w:rFonts w:hint="eastAsia" w:ascii="宋体" w:hAnsi="宋体" w:cs="宋体"/>
          <w:color w:val="auto"/>
          <w:sz w:val="24"/>
          <w:highlight w:val="none"/>
          <w:u w:val="single"/>
          <w:shd w:val="clear" w:color="auto" w:fill="FFFFFF"/>
          <w:lang w:bidi="ar"/>
        </w:rPr>
        <w:t>（标的名称）</w:t>
      </w:r>
      <w:r>
        <w:rPr>
          <w:rFonts w:hint="eastAsia" w:ascii="宋体" w:hAnsi="宋体" w:cs="宋体"/>
          <w:color w:val="auto"/>
          <w:sz w:val="24"/>
          <w:highlight w:val="none"/>
          <w:shd w:val="clear" w:color="auto" w:fill="FFFFFF"/>
          <w:lang w:bidi="ar"/>
        </w:rPr>
        <w:t>，属于</w:t>
      </w:r>
      <w:r>
        <w:rPr>
          <w:rFonts w:hint="eastAsia" w:ascii="宋体" w:hAnsi="宋体" w:cs="宋体"/>
          <w:color w:val="auto"/>
          <w:sz w:val="24"/>
          <w:highlight w:val="none"/>
          <w:u w:val="single"/>
          <w:shd w:val="clear" w:color="auto" w:fill="FFFFFF"/>
          <w:lang w:bidi="ar"/>
        </w:rPr>
        <w:t>其他未列明行业</w:t>
      </w:r>
      <w:r>
        <w:rPr>
          <w:rFonts w:hint="eastAsia" w:ascii="宋体" w:hAnsi="宋体" w:cs="宋体"/>
          <w:color w:val="auto"/>
          <w:sz w:val="24"/>
          <w:highlight w:val="none"/>
          <w:shd w:val="clear" w:color="auto" w:fill="FFFFFF"/>
          <w:lang w:bidi="ar"/>
        </w:rPr>
        <w:t>；承建（承接）企业为</w:t>
      </w:r>
      <w:r>
        <w:rPr>
          <w:rFonts w:hint="eastAsia" w:ascii="宋体" w:hAnsi="宋体" w:cs="宋体"/>
          <w:color w:val="auto"/>
          <w:sz w:val="24"/>
          <w:highlight w:val="none"/>
          <w:u w:val="single"/>
          <w:shd w:val="clear" w:color="auto" w:fill="FFFFFF"/>
          <w:lang w:bidi="ar"/>
        </w:rPr>
        <w:t>（企业名称）</w:t>
      </w:r>
      <w:r>
        <w:rPr>
          <w:rFonts w:hint="eastAsia" w:ascii="宋体" w:hAnsi="宋体" w:cs="宋体"/>
          <w:color w:val="auto"/>
          <w:sz w:val="24"/>
          <w:highlight w:val="none"/>
          <w:shd w:val="clear" w:color="auto" w:fill="FFFFFF"/>
          <w:lang w:bidi="ar"/>
        </w:rPr>
        <w:t>，从业人员_____人，营业收入为_____万元，资产总额为_____万元，属于</w:t>
      </w:r>
      <w:r>
        <w:rPr>
          <w:rFonts w:hint="eastAsia" w:ascii="宋体" w:hAnsi="宋体" w:cs="宋体"/>
          <w:color w:val="auto"/>
          <w:sz w:val="24"/>
          <w:highlight w:val="none"/>
          <w:u w:val="single"/>
          <w:shd w:val="clear" w:color="auto" w:fill="FFFFFF"/>
          <w:lang w:bidi="ar"/>
        </w:rPr>
        <w:t>（中型企业、小型企业、微型企业）</w:t>
      </w:r>
      <w:r>
        <w:rPr>
          <w:rFonts w:hint="eastAsia" w:ascii="宋体" w:hAnsi="宋体" w:cs="宋体"/>
          <w:color w:val="auto"/>
          <w:sz w:val="24"/>
          <w:highlight w:val="none"/>
          <w:shd w:val="clear" w:color="auto" w:fill="FFFFFF"/>
          <w:lang w:bidi="ar"/>
        </w:rPr>
        <w:t>；</w:t>
      </w:r>
    </w:p>
    <w:p w14:paraId="41A15905">
      <w:pP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2.</w:t>
      </w:r>
      <w:r>
        <w:rPr>
          <w:rFonts w:hint="eastAsia" w:ascii="宋体" w:hAnsi="宋体" w:cs="宋体"/>
          <w:color w:val="auto"/>
          <w:sz w:val="24"/>
          <w:highlight w:val="none"/>
          <w:u w:val="single"/>
          <w:shd w:val="clear" w:color="auto" w:fill="FFFFFF"/>
          <w:lang w:bidi="ar"/>
        </w:rPr>
        <w:t>（标的名称）</w:t>
      </w:r>
      <w:r>
        <w:rPr>
          <w:rFonts w:hint="eastAsia" w:ascii="宋体" w:hAnsi="宋体" w:cs="宋体"/>
          <w:color w:val="auto"/>
          <w:sz w:val="24"/>
          <w:highlight w:val="none"/>
          <w:shd w:val="clear" w:color="auto" w:fill="FFFFFF"/>
          <w:lang w:bidi="ar"/>
        </w:rPr>
        <w:t>，属于</w:t>
      </w:r>
      <w:r>
        <w:rPr>
          <w:rFonts w:hint="eastAsia" w:ascii="宋体" w:hAnsi="宋体" w:cs="宋体"/>
          <w:color w:val="auto"/>
          <w:sz w:val="24"/>
          <w:highlight w:val="none"/>
          <w:u w:val="single"/>
          <w:shd w:val="clear" w:color="auto" w:fill="FFFFFF"/>
          <w:lang w:bidi="ar"/>
        </w:rPr>
        <w:t>其他未列明行业</w:t>
      </w:r>
      <w:r>
        <w:rPr>
          <w:rFonts w:hint="eastAsia" w:ascii="宋体" w:hAnsi="宋体" w:cs="宋体"/>
          <w:color w:val="auto"/>
          <w:sz w:val="24"/>
          <w:highlight w:val="none"/>
          <w:shd w:val="clear" w:color="auto" w:fill="FFFFFF"/>
          <w:lang w:bidi="ar"/>
        </w:rPr>
        <w:t>；承建（承接）企业为</w:t>
      </w:r>
      <w:r>
        <w:rPr>
          <w:rFonts w:hint="eastAsia" w:ascii="宋体" w:hAnsi="宋体" w:cs="宋体"/>
          <w:color w:val="auto"/>
          <w:sz w:val="24"/>
          <w:highlight w:val="none"/>
          <w:u w:val="single"/>
          <w:shd w:val="clear" w:color="auto" w:fill="FFFFFF"/>
          <w:lang w:bidi="ar"/>
        </w:rPr>
        <w:t>（企业名称）</w:t>
      </w:r>
      <w:r>
        <w:rPr>
          <w:rFonts w:hint="eastAsia" w:ascii="宋体" w:hAnsi="宋体" w:cs="宋体"/>
          <w:color w:val="auto"/>
          <w:sz w:val="24"/>
          <w:highlight w:val="none"/>
          <w:shd w:val="clear" w:color="auto" w:fill="FFFFFF"/>
          <w:lang w:bidi="ar"/>
        </w:rPr>
        <w:t>，从业人员_____人，营业收入为_____万元，资产总额为_____万元，属于（中型企业、小型企业、微型企业）；</w:t>
      </w:r>
    </w:p>
    <w:p w14:paraId="0EC91E9C">
      <w:pP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w:t>
      </w:r>
    </w:p>
    <w:p w14:paraId="64D8C4D9">
      <w:pP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以上企业，不属于大企业的分支机构，不存在控股股东为大企业的情形，也不存在与大企业的负责人为同一人的情形。</w:t>
      </w:r>
    </w:p>
    <w:p w14:paraId="09419F69">
      <w:pP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本企业对上述声明内容的真实性负责。如有虚假，将依法承担相应责任。</w:t>
      </w:r>
    </w:p>
    <w:p w14:paraId="21D90C5D">
      <w:pPr>
        <w:spacing w:line="360" w:lineRule="auto"/>
        <w:ind w:firstLine="48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 xml:space="preserve"> </w:t>
      </w:r>
    </w:p>
    <w:p w14:paraId="52D44C21">
      <w:pPr>
        <w:spacing w:line="360" w:lineRule="auto"/>
        <w:ind w:firstLine="4800" w:firstLineChars="200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企业名称（电子签章）：</w:t>
      </w:r>
    </w:p>
    <w:p w14:paraId="37BCEC48">
      <w:pPr>
        <w:spacing w:line="360" w:lineRule="auto"/>
        <w:ind w:firstLine="4800" w:firstLineChars="2000"/>
        <w:jc w:val="left"/>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lang w:bidi="ar"/>
        </w:rPr>
        <w:t>日期：     年   月   日</w:t>
      </w:r>
    </w:p>
    <w:p w14:paraId="4C98345E">
      <w:pPr>
        <w:spacing w:line="360" w:lineRule="auto"/>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0C91A702">
      <w:pPr>
        <w:spacing w:line="360" w:lineRule="auto"/>
        <w:jc w:val="left"/>
        <w:rPr>
          <w:rFonts w:ascii="宋体" w:hAnsi="宋体" w:cs="宋体"/>
          <w:color w:val="auto"/>
          <w:sz w:val="24"/>
          <w:highlight w:val="none"/>
        </w:rPr>
      </w:pPr>
      <w:r>
        <w:rPr>
          <w:rFonts w:hint="eastAsia" w:ascii="宋体" w:hAnsi="宋体" w:cs="宋体"/>
          <w:color w:val="auto"/>
          <w:sz w:val="24"/>
          <w:highlight w:val="none"/>
          <w:lang w:bidi="ar"/>
        </w:rPr>
        <w:t>备注：</w:t>
      </w:r>
    </w:p>
    <w:p w14:paraId="4AC2B258">
      <w:pPr>
        <w:autoSpaceDE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1.供应商须在响应文件中提供《中小企业声明函》，否则不予价格扣除；供应商提供的《中小企业声明函》与事实不符的，依照《中华人民共和国政府采购法》第七十七条第一款的规定追究法律责任。</w:t>
      </w:r>
    </w:p>
    <w:p w14:paraId="3F28F800">
      <w:pPr>
        <w:autoSpaceDE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2.从业人员、营业收入、资产总额填报上一年度数据，无上一年度数据的新成立企业可不填报。</w:t>
      </w:r>
    </w:p>
    <w:p w14:paraId="7AF45073">
      <w:pPr>
        <w:autoSpaceDE w:val="0"/>
        <w:spacing w:before="340" w:after="330" w:line="360" w:lineRule="auto"/>
        <w:jc w:val="center"/>
        <w:rPr>
          <w:rFonts w:ascii="宋体" w:hAnsi="宋体" w:cs="宋体"/>
          <w:b/>
          <w:bCs/>
          <w:color w:val="auto"/>
          <w:sz w:val="32"/>
          <w:szCs w:val="32"/>
          <w:highlight w:val="none"/>
        </w:rPr>
      </w:pPr>
      <w:r>
        <w:rPr>
          <w:rFonts w:hint="eastAsia" w:ascii="宋体" w:hAnsi="宋体" w:cs="宋体"/>
          <w:color w:val="auto"/>
          <w:szCs w:val="21"/>
          <w:highlight w:val="none"/>
          <w:lang w:bidi="ar"/>
        </w:rPr>
        <w:br w:type="page"/>
      </w:r>
      <w:r>
        <w:rPr>
          <w:rFonts w:hint="eastAsia" w:ascii="宋体" w:hAnsi="宋体" w:cs="宋体"/>
          <w:b/>
          <w:color w:val="auto"/>
          <w:sz w:val="32"/>
          <w:szCs w:val="32"/>
          <w:highlight w:val="none"/>
          <w:lang w:bidi="ar"/>
        </w:rPr>
        <w:t>残疾人福利性单位声明函</w:t>
      </w:r>
    </w:p>
    <w:p w14:paraId="6123B5C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单位的</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项目采购活动提供本单位制造的货物（由本单位承担工程/提供服务），或者提供其他残疾人福利性单位制造的货物（不包括使用非残疾人福利性单位注册商标的货物）。</w:t>
      </w:r>
    </w:p>
    <w:p w14:paraId="22D5A3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本单位对上述声明的真实性负责。如有虚假，将依法承担相应责任。</w:t>
      </w:r>
    </w:p>
    <w:p w14:paraId="718DC010">
      <w:pPr>
        <w:spacing w:line="360" w:lineRule="auto"/>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219F858C">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单位名称（电子签章）：</w:t>
      </w:r>
    </w:p>
    <w:p w14:paraId="4F6E12F9">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日  期：     年   月   日</w:t>
      </w:r>
    </w:p>
    <w:p w14:paraId="323E61CA">
      <w:pPr>
        <w:spacing w:line="360" w:lineRule="auto"/>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7393F501">
      <w:pPr>
        <w:spacing w:line="360" w:lineRule="auto"/>
        <w:rPr>
          <w:rFonts w:ascii="宋体" w:hAnsi="宋体" w:cs="宋体"/>
          <w:color w:val="auto"/>
          <w:sz w:val="24"/>
          <w:highlight w:val="none"/>
        </w:rPr>
      </w:pPr>
      <w:r>
        <w:rPr>
          <w:rFonts w:hint="eastAsia" w:ascii="宋体" w:hAnsi="宋体" w:cs="宋体"/>
          <w:color w:val="auto"/>
          <w:sz w:val="24"/>
          <w:highlight w:val="none"/>
          <w:lang w:bidi="ar"/>
        </w:rPr>
        <w:t>注：请根据自己的真实情况出具《残疾人福利性单位声明函》。依法享受中小企业优惠政策的，采购人或者采购代理机构在公告中标结果时，同时公告其《残疾人福利性单位声明函》，接受社会监督。</w:t>
      </w:r>
    </w:p>
    <w:p w14:paraId="2731D974">
      <w:pPr>
        <w:pStyle w:val="2"/>
        <w:rPr>
          <w:color w:val="auto"/>
        </w:rPr>
      </w:pPr>
    </w:p>
    <w:p w14:paraId="275C806D">
      <w:pPr>
        <w:spacing w:line="360" w:lineRule="auto"/>
        <w:rPr>
          <w:rFonts w:ascii="宋体" w:hAnsi="宋体" w:cs="宋体"/>
          <w:b/>
          <w:color w:val="auto"/>
          <w:sz w:val="32"/>
          <w:szCs w:val="32"/>
          <w:highlight w:val="none"/>
        </w:rPr>
      </w:pPr>
      <w:r>
        <w:rPr>
          <w:rFonts w:hint="eastAsia" w:ascii="宋体" w:hAnsi="宋体" w:cs="宋体"/>
          <w:color w:val="auto"/>
          <w:sz w:val="24"/>
          <w:highlight w:val="none"/>
          <w:lang w:bidi="ar"/>
        </w:rPr>
        <w:br w:type="page"/>
      </w:r>
      <w:r>
        <w:rPr>
          <w:rFonts w:hint="eastAsia" w:ascii="宋体" w:hAnsi="宋体" w:cs="宋体"/>
          <w:b/>
          <w:bCs/>
          <w:color w:val="auto"/>
          <w:sz w:val="32"/>
          <w:szCs w:val="32"/>
          <w:highlight w:val="none"/>
          <w:lang w:bidi="ar"/>
        </w:rPr>
        <w:t>二、</w:t>
      </w:r>
      <w:r>
        <w:rPr>
          <w:rFonts w:hint="eastAsia" w:ascii="宋体" w:hAnsi="宋体" w:cs="宋体"/>
          <w:b/>
          <w:color w:val="auto"/>
          <w:sz w:val="32"/>
          <w:szCs w:val="32"/>
          <w:highlight w:val="none"/>
          <w:lang w:bidi="ar"/>
        </w:rPr>
        <w:t xml:space="preserve">报价商务技术文件格式 </w:t>
      </w:r>
    </w:p>
    <w:p w14:paraId="0C38DEEA">
      <w:pPr>
        <w:snapToGrid w:val="0"/>
        <w:spacing w:before="156"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lang w:bidi="ar"/>
        </w:rPr>
        <w:t>1.报价商务技术文件封面格式</w:t>
      </w:r>
    </w:p>
    <w:p w14:paraId="12729ECA">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2E6EB744">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0DF254AA">
      <w:pPr>
        <w:snapToGrid w:val="0"/>
        <w:spacing w:before="156"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lang w:bidi="ar"/>
        </w:rPr>
        <w:t>报  价  商  务  技  术  文  件</w:t>
      </w:r>
    </w:p>
    <w:p w14:paraId="4FC2F019">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4BD4EAB8">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0B326D87">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6A275FD5">
      <w:pPr>
        <w:jc w:val="center"/>
        <w:rPr>
          <w:rFonts w:ascii="宋体" w:hAnsi="宋体" w:cs="宋体"/>
          <w:color w:val="auto"/>
          <w:sz w:val="28"/>
          <w:szCs w:val="28"/>
          <w:highlight w:val="none"/>
        </w:rPr>
      </w:pPr>
      <w:r>
        <w:rPr>
          <w:rFonts w:hint="eastAsia" w:ascii="宋体" w:hAnsi="宋体" w:cs="宋体"/>
          <w:color w:val="auto"/>
          <w:sz w:val="28"/>
          <w:szCs w:val="28"/>
          <w:highlight w:val="none"/>
          <w:lang w:bidi="ar"/>
        </w:rPr>
        <w:t xml:space="preserve"> </w:t>
      </w:r>
    </w:p>
    <w:p w14:paraId="1B29D799">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项目名称：</w:t>
      </w:r>
    </w:p>
    <w:p w14:paraId="07F52E07">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 xml:space="preserve"> </w:t>
      </w:r>
    </w:p>
    <w:p w14:paraId="7F8ED949">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项目编号：</w:t>
      </w:r>
    </w:p>
    <w:p w14:paraId="3DC55F75">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 xml:space="preserve"> </w:t>
      </w:r>
    </w:p>
    <w:p w14:paraId="488FB73C">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所竞分标（如有则填写，无分标时填写“无”或者留空）：</w:t>
      </w:r>
    </w:p>
    <w:p w14:paraId="7DB155C1">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 xml:space="preserve"> </w:t>
      </w:r>
    </w:p>
    <w:p w14:paraId="5EAED149">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供应商名称：</w:t>
      </w:r>
    </w:p>
    <w:p w14:paraId="2451DB45">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 xml:space="preserve"> </w:t>
      </w:r>
    </w:p>
    <w:p w14:paraId="54D30131">
      <w:pPr>
        <w:autoSpaceDE w:val="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lang w:bidi="ar"/>
        </w:rPr>
        <w:t xml:space="preserve"> </w:t>
      </w:r>
    </w:p>
    <w:p w14:paraId="06F8F382">
      <w:pPr>
        <w:snapToGrid w:val="0"/>
        <w:spacing w:before="156"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lang w:bidi="ar"/>
        </w:rPr>
        <w:t>年    月    日</w:t>
      </w:r>
    </w:p>
    <w:p w14:paraId="1066F562">
      <w:pPr>
        <w:snapToGrid w:val="0"/>
        <w:spacing w:before="156"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lang w:bidi="ar"/>
        </w:rPr>
        <w:br w:type="page"/>
      </w:r>
      <w:r>
        <w:rPr>
          <w:rFonts w:hint="eastAsia" w:ascii="宋体" w:hAnsi="宋体" w:cs="宋体"/>
          <w:b/>
          <w:bCs/>
          <w:color w:val="auto"/>
          <w:sz w:val="32"/>
          <w:szCs w:val="32"/>
          <w:highlight w:val="none"/>
          <w:lang w:bidi="ar"/>
        </w:rPr>
        <w:t>2.报价商务技术文件目录</w:t>
      </w:r>
    </w:p>
    <w:p w14:paraId="0886084A">
      <w:pPr>
        <w:snapToGrid w:val="0"/>
        <w:spacing w:before="156"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lang w:bidi="ar"/>
        </w:rPr>
        <w:t>根据磋商文件规定及供应商提供的材料自行编写目录（部分格式后附）。</w:t>
      </w:r>
    </w:p>
    <w:p w14:paraId="348B5ABD">
      <w:pPr>
        <w:spacing w:line="400" w:lineRule="exact"/>
        <w:rPr>
          <w:rFonts w:ascii="宋体" w:hAnsi="宋体" w:cs="宋体"/>
          <w:color w:val="auto"/>
          <w:sz w:val="32"/>
          <w:szCs w:val="32"/>
          <w:highlight w:val="none"/>
        </w:rPr>
      </w:pPr>
      <w:r>
        <w:rPr>
          <w:rFonts w:hint="eastAsia" w:ascii="宋体" w:hAnsi="宋体" w:cs="宋体"/>
          <w:color w:val="auto"/>
          <w:sz w:val="32"/>
          <w:szCs w:val="32"/>
          <w:highlight w:val="none"/>
          <w:lang w:bidi="ar"/>
        </w:rPr>
        <w:t xml:space="preserve"> </w:t>
      </w:r>
    </w:p>
    <w:p w14:paraId="6AD87A70">
      <w:pPr>
        <w:autoSpaceDE w:val="0"/>
        <w:spacing w:before="340" w:after="330" w:line="360" w:lineRule="auto"/>
        <w:jc w:val="center"/>
        <w:rPr>
          <w:rFonts w:ascii="宋体" w:hAnsi="宋体" w:cs="宋体"/>
          <w:b/>
          <w:bCs/>
          <w:color w:val="auto"/>
          <w:sz w:val="44"/>
          <w:szCs w:val="44"/>
          <w:highlight w:val="none"/>
        </w:rPr>
      </w:pPr>
      <w:r>
        <w:rPr>
          <w:rFonts w:hint="eastAsia" w:ascii="宋体" w:hAnsi="宋体" w:cs="宋体"/>
          <w:color w:val="auto"/>
          <w:sz w:val="44"/>
          <w:szCs w:val="44"/>
          <w:highlight w:val="none"/>
          <w:lang w:bidi="ar"/>
        </w:rPr>
        <w:br w:type="page"/>
      </w:r>
      <w:r>
        <w:rPr>
          <w:rFonts w:hint="eastAsia" w:ascii="宋体" w:hAnsi="宋体" w:cs="宋体"/>
          <w:b/>
          <w:bCs/>
          <w:color w:val="auto"/>
          <w:sz w:val="44"/>
          <w:szCs w:val="44"/>
          <w:highlight w:val="none"/>
          <w:lang w:bidi="ar"/>
        </w:rPr>
        <w:t>竞标报价表</w:t>
      </w:r>
    </w:p>
    <w:p w14:paraId="101788C6">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lang w:bidi="ar"/>
        </w:rPr>
        <w:t>项目名称：</w:t>
      </w:r>
      <w:r>
        <w:rPr>
          <w:rFonts w:hint="eastAsia" w:ascii="宋体" w:hAnsi="宋体" w:cs="宋体"/>
          <w:color w:val="auto"/>
          <w:sz w:val="24"/>
          <w:highlight w:val="none"/>
          <w:u w:val="single"/>
          <w:lang w:bidi="ar"/>
        </w:rPr>
        <w:t xml:space="preserve">                           </w:t>
      </w:r>
    </w:p>
    <w:p w14:paraId="0417988E">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bidi="ar"/>
        </w:rPr>
        <w:t>项目编号：</w:t>
      </w:r>
      <w:r>
        <w:rPr>
          <w:rFonts w:hint="eastAsia" w:ascii="宋体" w:hAnsi="宋体" w:cs="宋体"/>
          <w:color w:val="auto"/>
          <w:sz w:val="24"/>
          <w:highlight w:val="none"/>
          <w:u w:val="single"/>
          <w:lang w:bidi="ar"/>
        </w:rPr>
        <w:t xml:space="preserve">                           </w:t>
      </w:r>
    </w:p>
    <w:p w14:paraId="73962CB9">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lang w:bidi="ar"/>
        </w:rPr>
        <w:t>分标（如有）：</w:t>
      </w:r>
      <w:r>
        <w:rPr>
          <w:rFonts w:hint="eastAsia" w:ascii="宋体" w:hAnsi="宋体" w:cs="宋体"/>
          <w:color w:val="auto"/>
          <w:sz w:val="24"/>
          <w:highlight w:val="none"/>
          <w:u w:val="single"/>
          <w:lang w:bidi="ar"/>
        </w:rPr>
        <w:t xml:space="preserve">                       </w:t>
      </w:r>
    </w:p>
    <w:p w14:paraId="21C2B28E">
      <w:pPr>
        <w:snapToGrid w:val="0"/>
        <w:spacing w:line="360" w:lineRule="auto"/>
        <w:rPr>
          <w:rFonts w:ascii="宋体" w:hAnsi="宋体" w:cs="宋体"/>
          <w:color w:val="auto"/>
          <w:sz w:val="24"/>
          <w:highlight w:val="none"/>
          <w:u w:val="single"/>
        </w:rPr>
      </w:pPr>
      <w:r>
        <w:rPr>
          <w:rFonts w:hint="eastAsia" w:ascii="宋体" w:hAnsi="宋体" w:cs="宋体"/>
          <w:color w:val="auto"/>
          <w:sz w:val="24"/>
          <w:highlight w:val="none"/>
          <w:lang w:bidi="ar"/>
        </w:rPr>
        <w:t>供应商名称：</w:t>
      </w:r>
      <w:r>
        <w:rPr>
          <w:rFonts w:hint="eastAsia" w:ascii="宋体" w:hAnsi="宋体" w:cs="宋体"/>
          <w:color w:val="auto"/>
          <w:sz w:val="24"/>
          <w:highlight w:val="none"/>
          <w:u w:val="single"/>
          <w:lang w:bidi="ar"/>
        </w:rPr>
        <w:t xml:space="preserve">                         </w:t>
      </w:r>
    </w:p>
    <w:tbl>
      <w:tblPr>
        <w:tblStyle w:val="30"/>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494"/>
        <w:gridCol w:w="1898"/>
        <w:gridCol w:w="1816"/>
        <w:gridCol w:w="1419"/>
        <w:gridCol w:w="881"/>
      </w:tblGrid>
      <w:tr w14:paraId="5E3D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679547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2494" w:type="dxa"/>
            <w:tcBorders>
              <w:top w:val="single" w:color="auto" w:sz="4" w:space="0"/>
              <w:left w:val="single" w:color="auto" w:sz="4" w:space="0"/>
              <w:bottom w:val="single" w:color="auto" w:sz="4" w:space="0"/>
              <w:right w:val="single" w:color="auto" w:sz="4" w:space="0"/>
            </w:tcBorders>
            <w:vAlign w:val="center"/>
          </w:tcPr>
          <w:p w14:paraId="516DA00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分项服务名称</w:t>
            </w:r>
          </w:p>
        </w:tc>
        <w:tc>
          <w:tcPr>
            <w:tcW w:w="1898" w:type="dxa"/>
            <w:tcBorders>
              <w:top w:val="single" w:color="auto" w:sz="4" w:space="0"/>
              <w:left w:val="single" w:color="auto" w:sz="4" w:space="0"/>
              <w:bottom w:val="single" w:color="auto" w:sz="4" w:space="0"/>
              <w:right w:val="single" w:color="auto" w:sz="4" w:space="0"/>
            </w:tcBorders>
            <w:vAlign w:val="center"/>
          </w:tcPr>
          <w:p w14:paraId="43D51D8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数量（项）</w:t>
            </w:r>
          </w:p>
        </w:tc>
        <w:tc>
          <w:tcPr>
            <w:tcW w:w="1816" w:type="dxa"/>
            <w:tcBorders>
              <w:top w:val="single" w:color="auto" w:sz="4" w:space="0"/>
              <w:left w:val="single" w:color="auto" w:sz="4" w:space="0"/>
              <w:bottom w:val="single" w:color="auto" w:sz="4" w:space="0"/>
              <w:right w:val="single" w:color="auto" w:sz="4" w:space="0"/>
            </w:tcBorders>
            <w:vAlign w:val="center"/>
          </w:tcPr>
          <w:p w14:paraId="1DD7517B">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单价（元/项）</w:t>
            </w:r>
          </w:p>
        </w:tc>
        <w:tc>
          <w:tcPr>
            <w:tcW w:w="1419" w:type="dxa"/>
            <w:tcBorders>
              <w:top w:val="single" w:color="auto" w:sz="4" w:space="0"/>
              <w:left w:val="single" w:color="auto" w:sz="4" w:space="0"/>
              <w:bottom w:val="single" w:color="auto" w:sz="4" w:space="0"/>
              <w:right w:val="single" w:color="auto" w:sz="4" w:space="0"/>
            </w:tcBorders>
            <w:vAlign w:val="center"/>
          </w:tcPr>
          <w:p w14:paraId="42EA2708">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总价（元）</w:t>
            </w:r>
          </w:p>
        </w:tc>
        <w:tc>
          <w:tcPr>
            <w:tcW w:w="881" w:type="dxa"/>
            <w:tcBorders>
              <w:top w:val="single" w:color="auto" w:sz="4" w:space="0"/>
              <w:left w:val="single" w:color="auto" w:sz="4" w:space="0"/>
              <w:bottom w:val="single" w:color="auto" w:sz="4" w:space="0"/>
              <w:right w:val="single" w:color="auto" w:sz="4" w:space="0"/>
            </w:tcBorders>
            <w:vAlign w:val="center"/>
          </w:tcPr>
          <w:p w14:paraId="4157AF5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14:paraId="3F1F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42782C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494" w:type="dxa"/>
            <w:tcBorders>
              <w:top w:val="single" w:color="auto" w:sz="4" w:space="0"/>
              <w:left w:val="single" w:color="auto" w:sz="4" w:space="0"/>
              <w:bottom w:val="single" w:color="auto" w:sz="4" w:space="0"/>
              <w:right w:val="single" w:color="auto" w:sz="4" w:space="0"/>
            </w:tcBorders>
            <w:vAlign w:val="center"/>
          </w:tcPr>
          <w:p w14:paraId="64EF357B">
            <w:pPr>
              <w:spacing w:line="360" w:lineRule="auto"/>
              <w:jc w:val="left"/>
              <w:rPr>
                <w:rFonts w:hint="eastAsia" w:ascii="宋体" w:hAnsi="宋体" w:cs="宋体"/>
                <w:color w:val="auto"/>
                <w:sz w:val="24"/>
                <w:highlight w:val="none"/>
              </w:rPr>
            </w:pPr>
            <w:r>
              <w:rPr>
                <w:rFonts w:hint="eastAsia" w:ascii="宋体" w:hAnsi="宋体" w:eastAsia="宋体" w:cs="宋体"/>
                <w:color w:val="auto"/>
                <w:sz w:val="24"/>
                <w:szCs w:val="24"/>
                <w:highlight w:val="none"/>
                <w:lang w:eastAsia="zh-CN"/>
              </w:rPr>
              <w:t>开展街面巡查、站内照料、站内人员安全管理以及甄别寻亲服务费用</w:t>
            </w:r>
          </w:p>
        </w:tc>
        <w:tc>
          <w:tcPr>
            <w:tcW w:w="1898" w:type="dxa"/>
            <w:tcBorders>
              <w:top w:val="single" w:color="auto" w:sz="4" w:space="0"/>
              <w:left w:val="single" w:color="auto" w:sz="4" w:space="0"/>
              <w:bottom w:val="single" w:color="auto" w:sz="4" w:space="0"/>
              <w:right w:val="single" w:color="auto" w:sz="4" w:space="0"/>
            </w:tcBorders>
            <w:vAlign w:val="center"/>
          </w:tcPr>
          <w:p w14:paraId="1DE2D2F5">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816" w:type="dxa"/>
            <w:tcBorders>
              <w:top w:val="single" w:color="auto" w:sz="4" w:space="0"/>
              <w:left w:val="single" w:color="auto" w:sz="4" w:space="0"/>
              <w:bottom w:val="single" w:color="auto" w:sz="4" w:space="0"/>
              <w:right w:val="single" w:color="auto" w:sz="4" w:space="0"/>
            </w:tcBorders>
          </w:tcPr>
          <w:p w14:paraId="7AAE2B85">
            <w:pPr>
              <w:spacing w:line="360" w:lineRule="auto"/>
              <w:rPr>
                <w:rFonts w:ascii="宋体" w:hAnsi="宋体" w:cs="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tcPr>
          <w:p w14:paraId="49FFA2D0">
            <w:pPr>
              <w:spacing w:line="360" w:lineRule="auto"/>
              <w:rPr>
                <w:rFonts w:ascii="宋体" w:hAnsi="宋体" w:cs="宋体"/>
                <w:color w:val="auto"/>
                <w:sz w:val="24"/>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28FFDAB6">
            <w:pPr>
              <w:spacing w:line="360" w:lineRule="auto"/>
              <w:rPr>
                <w:rFonts w:ascii="宋体" w:hAnsi="宋体" w:cs="宋体"/>
                <w:color w:val="auto"/>
                <w:sz w:val="24"/>
                <w:highlight w:val="none"/>
              </w:rPr>
            </w:pPr>
          </w:p>
        </w:tc>
      </w:tr>
      <w:tr w14:paraId="6138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5538640">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w:t>
            </w:r>
          </w:p>
        </w:tc>
        <w:tc>
          <w:tcPr>
            <w:tcW w:w="2494" w:type="dxa"/>
            <w:tcBorders>
              <w:top w:val="single" w:color="auto" w:sz="4" w:space="0"/>
              <w:left w:val="single" w:color="auto" w:sz="4" w:space="0"/>
              <w:bottom w:val="single" w:color="auto" w:sz="4" w:space="0"/>
              <w:right w:val="single" w:color="auto" w:sz="4" w:space="0"/>
            </w:tcBorders>
            <w:vAlign w:val="center"/>
          </w:tcPr>
          <w:p w14:paraId="20EE2EB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开展接送返乡</w:t>
            </w:r>
          </w:p>
          <w:p w14:paraId="63FF3ACB">
            <w:pPr>
              <w:spacing w:line="360" w:lineRule="auto"/>
              <w:jc w:val="left"/>
              <w:rPr>
                <w:rFonts w:hint="eastAsia" w:ascii="宋体" w:hAnsi="宋体" w:cs="宋体"/>
                <w:color w:val="auto"/>
                <w:sz w:val="24"/>
                <w:highlight w:val="none"/>
              </w:rPr>
            </w:pPr>
            <w:r>
              <w:rPr>
                <w:rFonts w:hint="eastAsia" w:ascii="宋体" w:hAnsi="宋体" w:eastAsia="宋体" w:cs="宋体"/>
                <w:color w:val="auto"/>
                <w:sz w:val="24"/>
                <w:szCs w:val="24"/>
                <w:highlight w:val="none"/>
                <w:lang w:eastAsia="zh-CN"/>
              </w:rPr>
              <w:t>及源头治理服务费用</w:t>
            </w:r>
          </w:p>
        </w:tc>
        <w:tc>
          <w:tcPr>
            <w:tcW w:w="1898" w:type="dxa"/>
            <w:tcBorders>
              <w:top w:val="single" w:color="auto" w:sz="4" w:space="0"/>
              <w:left w:val="single" w:color="auto" w:sz="4" w:space="0"/>
              <w:bottom w:val="single" w:color="auto" w:sz="4" w:space="0"/>
              <w:right w:val="single" w:color="auto" w:sz="4" w:space="0"/>
            </w:tcBorders>
            <w:vAlign w:val="center"/>
          </w:tcPr>
          <w:p w14:paraId="0D0A9078">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816" w:type="dxa"/>
            <w:tcBorders>
              <w:top w:val="single" w:color="auto" w:sz="4" w:space="0"/>
              <w:left w:val="single" w:color="auto" w:sz="4" w:space="0"/>
              <w:bottom w:val="single" w:color="auto" w:sz="4" w:space="0"/>
              <w:right w:val="single" w:color="auto" w:sz="4" w:space="0"/>
            </w:tcBorders>
          </w:tcPr>
          <w:p w14:paraId="6B368612">
            <w:pPr>
              <w:spacing w:line="360" w:lineRule="auto"/>
              <w:rPr>
                <w:rFonts w:ascii="宋体" w:hAnsi="宋体" w:cs="宋体"/>
                <w:color w:val="auto"/>
                <w:sz w:val="24"/>
                <w:highlight w:val="none"/>
              </w:rPr>
            </w:pPr>
          </w:p>
        </w:tc>
        <w:tc>
          <w:tcPr>
            <w:tcW w:w="1419" w:type="dxa"/>
            <w:tcBorders>
              <w:top w:val="single" w:color="auto" w:sz="4" w:space="0"/>
              <w:left w:val="single" w:color="auto" w:sz="4" w:space="0"/>
              <w:bottom w:val="single" w:color="auto" w:sz="4" w:space="0"/>
              <w:right w:val="single" w:color="auto" w:sz="4" w:space="0"/>
            </w:tcBorders>
          </w:tcPr>
          <w:p w14:paraId="3CD88614">
            <w:pPr>
              <w:spacing w:line="360" w:lineRule="auto"/>
              <w:rPr>
                <w:rFonts w:ascii="宋体" w:hAnsi="宋体" w:cs="宋体"/>
                <w:color w:val="auto"/>
                <w:sz w:val="24"/>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60993089">
            <w:pPr>
              <w:spacing w:line="360" w:lineRule="auto"/>
              <w:rPr>
                <w:rFonts w:ascii="宋体" w:hAnsi="宋体" w:cs="宋体"/>
                <w:color w:val="auto"/>
                <w:sz w:val="24"/>
                <w:highlight w:val="none"/>
              </w:rPr>
            </w:pPr>
          </w:p>
        </w:tc>
      </w:tr>
      <w:tr w14:paraId="13E2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right"/>
        </w:trPr>
        <w:tc>
          <w:tcPr>
            <w:tcW w:w="6795" w:type="dxa"/>
            <w:gridSpan w:val="4"/>
            <w:tcBorders>
              <w:top w:val="single" w:color="auto" w:sz="4" w:space="0"/>
              <w:left w:val="single" w:color="auto" w:sz="4" w:space="0"/>
              <w:bottom w:val="single" w:color="auto" w:sz="4" w:space="0"/>
              <w:right w:val="single" w:color="auto" w:sz="4" w:space="0"/>
            </w:tcBorders>
            <w:vAlign w:val="center"/>
          </w:tcPr>
          <w:p w14:paraId="716D380E">
            <w:pPr>
              <w:spacing w:line="360" w:lineRule="auto"/>
              <w:rPr>
                <w:rFonts w:ascii="宋体" w:hAnsi="宋体" w:cs="宋体"/>
                <w:color w:val="auto"/>
                <w:sz w:val="24"/>
                <w:highlight w:val="none"/>
              </w:rPr>
            </w:pPr>
            <w:r>
              <w:rPr>
                <w:rFonts w:hint="eastAsia" w:ascii="宋体" w:hAnsi="宋体" w:cs="宋体"/>
                <w:color w:val="auto"/>
                <w:sz w:val="24"/>
                <w:highlight w:val="none"/>
              </w:rPr>
              <w:t>合计（元）</w:t>
            </w:r>
          </w:p>
        </w:tc>
        <w:tc>
          <w:tcPr>
            <w:tcW w:w="1419" w:type="dxa"/>
            <w:tcBorders>
              <w:top w:val="single" w:color="auto" w:sz="4" w:space="0"/>
              <w:left w:val="single" w:color="auto" w:sz="4" w:space="0"/>
              <w:bottom w:val="single" w:color="auto" w:sz="4" w:space="0"/>
              <w:right w:val="single" w:color="auto" w:sz="4" w:space="0"/>
            </w:tcBorders>
          </w:tcPr>
          <w:p w14:paraId="736A15E1">
            <w:pPr>
              <w:spacing w:line="360" w:lineRule="auto"/>
              <w:rPr>
                <w:rFonts w:ascii="宋体" w:hAnsi="宋体" w:cs="宋体"/>
                <w:color w:val="auto"/>
                <w:sz w:val="24"/>
                <w:highlight w:val="none"/>
              </w:rPr>
            </w:pPr>
          </w:p>
        </w:tc>
        <w:tc>
          <w:tcPr>
            <w:tcW w:w="881" w:type="dxa"/>
            <w:tcBorders>
              <w:top w:val="single" w:color="auto" w:sz="4" w:space="0"/>
              <w:left w:val="single" w:color="auto" w:sz="4" w:space="0"/>
              <w:bottom w:val="single" w:color="auto" w:sz="4" w:space="0"/>
              <w:right w:val="single" w:color="auto" w:sz="4" w:space="0"/>
            </w:tcBorders>
            <w:vAlign w:val="center"/>
          </w:tcPr>
          <w:p w14:paraId="1CDF9427">
            <w:pPr>
              <w:spacing w:line="360" w:lineRule="auto"/>
              <w:rPr>
                <w:rFonts w:ascii="宋体" w:hAnsi="宋体" w:cs="宋体"/>
                <w:color w:val="auto"/>
                <w:sz w:val="24"/>
                <w:highlight w:val="none"/>
              </w:rPr>
            </w:pPr>
          </w:p>
        </w:tc>
      </w:tr>
      <w:tr w14:paraId="3BBA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jc w:val="right"/>
        </w:trPr>
        <w:tc>
          <w:tcPr>
            <w:tcW w:w="9095" w:type="dxa"/>
            <w:gridSpan w:val="6"/>
            <w:tcBorders>
              <w:top w:val="single" w:color="auto" w:sz="4" w:space="0"/>
              <w:left w:val="single" w:color="auto" w:sz="4" w:space="0"/>
              <w:bottom w:val="single" w:color="auto" w:sz="4" w:space="0"/>
              <w:right w:val="single" w:color="auto" w:sz="4" w:space="0"/>
            </w:tcBorders>
            <w:vAlign w:val="center"/>
          </w:tcPr>
          <w:p w14:paraId="6C1E8E1D">
            <w:pPr>
              <w:spacing w:line="360" w:lineRule="auto"/>
              <w:rPr>
                <w:rFonts w:ascii="宋体" w:hAnsi="宋体" w:cs="宋体"/>
                <w:color w:val="auto"/>
                <w:sz w:val="24"/>
                <w:highlight w:val="none"/>
              </w:rPr>
            </w:pPr>
            <w:r>
              <w:rPr>
                <w:rFonts w:hint="eastAsia" w:ascii="宋体" w:hAnsi="宋体" w:cs="宋体"/>
                <w:color w:val="auto"/>
                <w:sz w:val="24"/>
                <w:highlight w:val="none"/>
              </w:rPr>
              <w:t>合计金额大写：人民币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ascii="Arial" w:hAnsi="Arial" w:cs="Arial"/>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tc>
      </w:tr>
      <w:tr w14:paraId="05C3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right"/>
        </w:trPr>
        <w:tc>
          <w:tcPr>
            <w:tcW w:w="9095" w:type="dxa"/>
            <w:gridSpan w:val="6"/>
            <w:tcBorders>
              <w:top w:val="single" w:color="auto" w:sz="4" w:space="0"/>
              <w:left w:val="single" w:color="auto" w:sz="4" w:space="0"/>
              <w:bottom w:val="single" w:color="auto" w:sz="4" w:space="0"/>
              <w:right w:val="single" w:color="auto" w:sz="4" w:space="0"/>
            </w:tcBorders>
            <w:vAlign w:val="center"/>
          </w:tcPr>
          <w:p w14:paraId="299DC870">
            <w:pPr>
              <w:spacing w:line="360" w:lineRule="auto"/>
              <w:rPr>
                <w:rFonts w:ascii="宋体" w:hAnsi="宋体" w:cs="宋体"/>
                <w:color w:val="auto"/>
                <w:sz w:val="24"/>
                <w:highlight w:val="none"/>
              </w:rPr>
            </w:pPr>
            <w:r>
              <w:rPr>
                <w:rFonts w:hint="eastAsia" w:ascii="宋体" w:hAnsi="宋体" w:cs="宋体"/>
                <w:color w:val="auto"/>
                <w:sz w:val="24"/>
                <w:highlight w:val="none"/>
              </w:rPr>
              <w:t>合同履约期限：</w:t>
            </w:r>
          </w:p>
        </w:tc>
      </w:tr>
      <w:tr w14:paraId="3CF77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right"/>
        </w:trPr>
        <w:tc>
          <w:tcPr>
            <w:tcW w:w="9095" w:type="dxa"/>
            <w:gridSpan w:val="6"/>
            <w:tcBorders>
              <w:top w:val="single" w:color="auto" w:sz="4" w:space="0"/>
              <w:left w:val="single" w:color="auto" w:sz="4" w:space="0"/>
              <w:bottom w:val="single" w:color="auto" w:sz="4" w:space="0"/>
              <w:right w:val="single" w:color="auto" w:sz="4" w:space="0"/>
            </w:tcBorders>
            <w:vAlign w:val="center"/>
          </w:tcPr>
          <w:p w14:paraId="2D6E45FA">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以上报价包含但不限于①服务的价格；②必要的保险费用和各项税金；③供应商为完成本项目而支出的所有人员相关工资、社保、出差、工作经费、食宿、福利、安全责任等均由供应商负责。</w:t>
            </w:r>
          </w:p>
          <w:p w14:paraId="46A5175D">
            <w:pPr>
              <w:spacing w:line="360" w:lineRule="auto"/>
              <w:rPr>
                <w:rFonts w:hint="eastAsia" w:ascii="宋体" w:hAnsi="宋体" w:cs="宋体"/>
                <w:color w:val="auto"/>
                <w:sz w:val="24"/>
                <w:highlight w:val="none"/>
              </w:rPr>
            </w:pPr>
            <w:r>
              <w:rPr>
                <w:rFonts w:hint="eastAsia" w:ascii="宋体" w:hAnsi="宋体" w:cs="宋体"/>
                <w:color w:val="auto"/>
                <w:sz w:val="24"/>
                <w:highlight w:val="none"/>
                <w:lang w:val="en-US" w:eastAsia="zh-CN"/>
              </w:rPr>
              <w:t>备注：本项目采用固定总价包干合同。除非合同中另有规定，供应商所报的单价和合价，以及竞标报价表中的价格应包括完成本合同所需的成本、管理、福利、加班、交通、食宿、保险、利润、税金、政策性文件规定及合同包含的所有风险、责任等各项应有费用，应计未计部分视为已经计入。</w:t>
            </w:r>
          </w:p>
        </w:tc>
      </w:tr>
    </w:tbl>
    <w:p w14:paraId="2AE791B4">
      <w:pPr>
        <w:autoSpaceDE w:val="0"/>
        <w:spacing w:line="360" w:lineRule="auto"/>
        <w:jc w:val="left"/>
        <w:rPr>
          <w:rFonts w:ascii="宋体" w:hAnsi="宋体" w:cs="宋体"/>
          <w:color w:val="auto"/>
          <w:szCs w:val="21"/>
          <w:highlight w:val="none"/>
        </w:rPr>
      </w:pPr>
      <w:r>
        <w:rPr>
          <w:rFonts w:hint="eastAsia" w:ascii="宋体" w:hAnsi="宋体" w:cs="宋体"/>
          <w:color w:val="auto"/>
          <w:sz w:val="24"/>
          <w:highlight w:val="none"/>
          <w:lang w:bidi="ar"/>
        </w:rPr>
        <w:t>注：</w:t>
      </w:r>
    </w:p>
    <w:p w14:paraId="7CED2BDE">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1.供应商的报价表必须加盖供应商公章并由法定代表人或者委托代理人签字或者盖章，</w:t>
      </w:r>
      <w:r>
        <w:rPr>
          <w:rFonts w:hint="eastAsia" w:ascii="宋体" w:hAnsi="宋体" w:cs="宋体"/>
          <w:b/>
          <w:color w:val="auto"/>
          <w:sz w:val="24"/>
          <w:highlight w:val="none"/>
        </w:rPr>
        <w:t>否则其响应文件按无效响应处理</w:t>
      </w:r>
      <w:r>
        <w:rPr>
          <w:rFonts w:hint="eastAsia" w:ascii="宋体" w:hAnsi="宋体" w:cs="宋体"/>
          <w:color w:val="auto"/>
          <w:sz w:val="24"/>
          <w:highlight w:val="none"/>
        </w:rPr>
        <w:t>。</w:t>
      </w:r>
    </w:p>
    <w:p w14:paraId="1B12933F">
      <w:pPr>
        <w:snapToGrid w:val="0"/>
        <w:spacing w:line="360" w:lineRule="auto"/>
        <w:ind w:firstLine="480" w:firstLineChars="200"/>
        <w:jc w:val="left"/>
        <w:rPr>
          <w:rFonts w:ascii="宋体" w:hAnsi="宋体" w:cs="宋体"/>
          <w:b/>
          <w:color w:val="auto"/>
          <w:sz w:val="24"/>
          <w:highlight w:val="none"/>
        </w:rPr>
      </w:pPr>
      <w:r>
        <w:rPr>
          <w:rFonts w:hint="eastAsia" w:ascii="宋体" w:hAnsi="宋体" w:cs="宋体"/>
          <w:bCs/>
          <w:color w:val="auto"/>
          <w:sz w:val="24"/>
          <w:highlight w:val="none"/>
        </w:rPr>
        <w:t>2.</w:t>
      </w:r>
      <w:r>
        <w:rPr>
          <w:rFonts w:hint="eastAsia" w:ascii="宋体" w:hAnsi="宋体" w:cs="宋体"/>
          <w:color w:val="auto"/>
          <w:sz w:val="24"/>
          <w:highlight w:val="none"/>
        </w:rPr>
        <w:t>报价一经涂改，应在涂改处加盖供应商公章或者由法定代表人或者委托代理人签字或者盖章</w:t>
      </w:r>
      <w:r>
        <w:rPr>
          <w:rFonts w:hint="eastAsia" w:ascii="宋体" w:hAnsi="宋体" w:cs="宋体"/>
          <w:b/>
          <w:color w:val="auto"/>
          <w:sz w:val="24"/>
          <w:highlight w:val="none"/>
        </w:rPr>
        <w:t>，否则其响应文件按无效响应处理。</w:t>
      </w:r>
    </w:p>
    <w:p w14:paraId="57A3BDE1">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3.如为联合体竞标，“供应商名称”处必须列明联合体各方名称，标注联合体牵头人名称，</w:t>
      </w:r>
      <w:r>
        <w:rPr>
          <w:rFonts w:hint="eastAsia" w:ascii="宋体" w:hAnsi="宋体" w:cs="宋体"/>
          <w:b/>
          <w:color w:val="auto"/>
          <w:sz w:val="24"/>
          <w:highlight w:val="none"/>
        </w:rPr>
        <w:t>否则其响应文件按无效响应处理。</w:t>
      </w:r>
    </w:p>
    <w:p w14:paraId="7D28255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4.如为联合体竞标，盖章处须加盖联合体各方公章，</w:t>
      </w:r>
      <w:r>
        <w:rPr>
          <w:rFonts w:hint="eastAsia" w:ascii="宋体" w:hAnsi="宋体" w:cs="宋体"/>
          <w:b/>
          <w:color w:val="auto"/>
          <w:sz w:val="24"/>
          <w:highlight w:val="none"/>
        </w:rPr>
        <w:t>否则其响应文件按无效响应处理。</w:t>
      </w:r>
    </w:p>
    <w:p w14:paraId="61F24633">
      <w:pPr>
        <w:autoSpaceDE w:val="0"/>
        <w:spacing w:line="360" w:lineRule="auto"/>
        <w:ind w:firstLine="480" w:firstLineChars="200"/>
        <w:rPr>
          <w:rFonts w:ascii="宋体" w:hAnsi="宋体" w:cs="宋体"/>
          <w:b/>
          <w:color w:val="auto"/>
          <w:spacing w:val="-6"/>
          <w:sz w:val="24"/>
          <w:highlight w:val="none"/>
        </w:rPr>
      </w:pPr>
      <w:r>
        <w:rPr>
          <w:rFonts w:hint="eastAsia" w:ascii="宋体" w:hAnsi="宋体" w:cs="宋体"/>
          <w:color w:val="auto"/>
          <w:sz w:val="24"/>
          <w:highlight w:val="none"/>
        </w:rPr>
        <w:t>5.</w:t>
      </w:r>
      <w:r>
        <w:rPr>
          <w:rFonts w:hint="eastAsia" w:ascii="宋体" w:hAnsi="宋体" w:cs="宋体"/>
          <w:color w:val="auto"/>
          <w:spacing w:val="-6"/>
          <w:sz w:val="24"/>
          <w:highlight w:val="none"/>
        </w:rPr>
        <w:t>如有多分标，分别列明各分标的报价表，</w:t>
      </w:r>
      <w:r>
        <w:rPr>
          <w:rFonts w:hint="eastAsia" w:ascii="宋体" w:hAnsi="宋体" w:cs="宋体"/>
          <w:b/>
          <w:color w:val="auto"/>
          <w:spacing w:val="-6"/>
          <w:sz w:val="24"/>
          <w:highlight w:val="none"/>
        </w:rPr>
        <w:t>否则其响应文件按无效响应处理。</w:t>
      </w:r>
    </w:p>
    <w:p w14:paraId="4890050D">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1416AEB4">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法定代表人或者委托代理人（签字或签章）：</w:t>
      </w:r>
    </w:p>
    <w:p w14:paraId="790EBAFB">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供应商（电子签章）：</w:t>
      </w:r>
    </w:p>
    <w:p w14:paraId="5F4FF9B7">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日期：   年   月   日</w:t>
      </w:r>
    </w:p>
    <w:p w14:paraId="3CA6CD8B">
      <w:pPr>
        <w:autoSpaceDE w:val="0"/>
        <w:spacing w:before="340" w:after="330" w:line="360" w:lineRule="auto"/>
        <w:jc w:val="center"/>
        <w:rPr>
          <w:rFonts w:ascii="宋体" w:hAnsi="宋体" w:cs="宋体"/>
          <w:b/>
          <w:bCs/>
          <w:color w:val="auto"/>
          <w:sz w:val="44"/>
          <w:szCs w:val="44"/>
          <w:highlight w:val="none"/>
        </w:rPr>
      </w:pPr>
      <w:r>
        <w:rPr>
          <w:rFonts w:hint="eastAsia" w:ascii="宋体" w:hAnsi="宋体" w:cs="宋体"/>
          <w:color w:val="auto"/>
          <w:sz w:val="24"/>
          <w:highlight w:val="none"/>
          <w:lang w:bidi="ar"/>
        </w:rPr>
        <w:br w:type="page"/>
      </w:r>
      <w:r>
        <w:rPr>
          <w:rFonts w:hint="eastAsia" w:ascii="宋体" w:hAnsi="宋体" w:cs="宋体"/>
          <w:b/>
          <w:bCs/>
          <w:color w:val="auto"/>
          <w:sz w:val="44"/>
          <w:szCs w:val="44"/>
          <w:highlight w:val="none"/>
          <w:lang w:bidi="ar"/>
        </w:rPr>
        <w:t>商务条款偏离表格式</w:t>
      </w:r>
    </w:p>
    <w:p w14:paraId="488A6A72">
      <w:pPr>
        <w:spacing w:line="500" w:lineRule="exact"/>
        <w:jc w:val="center"/>
        <w:outlineLvl w:val="1"/>
        <w:rPr>
          <w:rFonts w:ascii="宋体" w:hAnsi="宋体" w:cs="宋体"/>
          <w:b/>
          <w:color w:val="auto"/>
          <w:sz w:val="32"/>
          <w:szCs w:val="32"/>
          <w:highlight w:val="none"/>
        </w:rPr>
      </w:pPr>
      <w:r>
        <w:rPr>
          <w:rFonts w:hint="eastAsia" w:ascii="宋体" w:hAnsi="宋体" w:cs="宋体"/>
          <w:bCs/>
          <w:color w:val="auto"/>
          <w:sz w:val="32"/>
          <w:szCs w:val="32"/>
          <w:highlight w:val="none"/>
          <w:lang w:bidi="ar"/>
        </w:rPr>
        <w:t>（注：按采购需求具体条款修改）</w:t>
      </w:r>
    </w:p>
    <w:p w14:paraId="7C693D35">
      <w:pPr>
        <w:snapToGrid w:val="0"/>
        <w:spacing w:before="50" w:line="360" w:lineRule="auto"/>
        <w:jc w:val="left"/>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16B0EC40">
      <w:pPr>
        <w:spacing w:line="360" w:lineRule="auto"/>
        <w:rPr>
          <w:rFonts w:ascii="宋体" w:hAnsi="宋体" w:cs="宋体"/>
          <w:color w:val="auto"/>
          <w:sz w:val="24"/>
          <w:highlight w:val="none"/>
          <w:u w:val="single"/>
        </w:rPr>
      </w:pPr>
      <w:r>
        <w:rPr>
          <w:rFonts w:hint="eastAsia" w:ascii="宋体" w:hAnsi="宋体" w:cs="宋体"/>
          <w:color w:val="auto"/>
          <w:sz w:val="24"/>
          <w:highlight w:val="none"/>
          <w:lang w:bidi="ar"/>
        </w:rPr>
        <w:t>项目名称：</w:t>
      </w:r>
      <w:r>
        <w:rPr>
          <w:rFonts w:hint="eastAsia" w:ascii="宋体" w:hAnsi="宋体" w:cs="宋体"/>
          <w:color w:val="auto"/>
          <w:sz w:val="24"/>
          <w:highlight w:val="none"/>
          <w:u w:val="single"/>
          <w:lang w:bidi="ar"/>
        </w:rPr>
        <w:t xml:space="preserve">                 </w:t>
      </w:r>
    </w:p>
    <w:p w14:paraId="465A716C">
      <w:pPr>
        <w:spacing w:line="360" w:lineRule="auto"/>
        <w:rPr>
          <w:rFonts w:ascii="宋体" w:hAnsi="宋体" w:cs="宋体"/>
          <w:color w:val="auto"/>
          <w:sz w:val="24"/>
          <w:highlight w:val="none"/>
          <w:u w:val="single"/>
        </w:rPr>
      </w:pPr>
      <w:r>
        <w:rPr>
          <w:rFonts w:hint="eastAsia" w:ascii="宋体" w:hAnsi="宋体" w:cs="宋体"/>
          <w:color w:val="auto"/>
          <w:sz w:val="24"/>
          <w:highlight w:val="none"/>
          <w:lang w:bidi="ar"/>
        </w:rPr>
        <w:t>项目编号：</w:t>
      </w:r>
      <w:r>
        <w:rPr>
          <w:rFonts w:hint="eastAsia" w:ascii="宋体" w:hAnsi="宋体" w:cs="宋体"/>
          <w:color w:val="auto"/>
          <w:sz w:val="24"/>
          <w:highlight w:val="none"/>
          <w:u w:val="single"/>
          <w:lang w:bidi="ar"/>
        </w:rPr>
        <w:t xml:space="preserve">                 </w:t>
      </w:r>
    </w:p>
    <w:p w14:paraId="640872CA">
      <w:pPr>
        <w:pStyle w:val="27"/>
        <w:spacing w:line="360" w:lineRule="auto"/>
        <w:rPr>
          <w:rFonts w:ascii="宋体" w:hAnsi="宋体" w:cs="宋体"/>
          <w:color w:val="auto"/>
          <w:highlight w:val="none"/>
        </w:rPr>
      </w:pPr>
      <w:r>
        <w:rPr>
          <w:rFonts w:hint="eastAsia" w:ascii="宋体" w:hAnsi="宋体" w:cs="宋体"/>
          <w:color w:val="auto"/>
          <w:highlight w:val="none"/>
          <w:lang w:bidi="ar"/>
        </w:rPr>
        <w:t>分标号：</w:t>
      </w:r>
      <w:r>
        <w:rPr>
          <w:rFonts w:hint="eastAsia" w:ascii="宋体" w:hAnsi="宋体" w:cs="宋体"/>
          <w:color w:val="auto"/>
          <w:highlight w:val="none"/>
          <w:u w:val="single"/>
          <w:lang w:bidi="ar"/>
        </w:rPr>
        <w:t xml:space="preserve">                 </w:t>
      </w:r>
    </w:p>
    <w:tbl>
      <w:tblPr>
        <w:tblStyle w:val="30"/>
        <w:tblW w:w="4997"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936"/>
        <w:gridCol w:w="3328"/>
        <w:gridCol w:w="3267"/>
        <w:gridCol w:w="1559"/>
      </w:tblGrid>
      <w:tr w14:paraId="1FED0E8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468E2DDA">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序号</w:t>
            </w:r>
          </w:p>
        </w:tc>
        <w:tc>
          <w:tcPr>
            <w:tcW w:w="1830" w:type="pct"/>
            <w:tcBorders>
              <w:top w:val="single" w:color="auto" w:sz="4" w:space="0"/>
              <w:left w:val="nil"/>
              <w:bottom w:val="single" w:color="auto" w:sz="4" w:space="0"/>
              <w:right w:val="single" w:color="auto" w:sz="4" w:space="0"/>
            </w:tcBorders>
            <w:shd w:val="clear" w:color="auto" w:fill="auto"/>
            <w:vAlign w:val="center"/>
          </w:tcPr>
          <w:p w14:paraId="52E65482">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采购文件商务条款要求</w:t>
            </w:r>
          </w:p>
        </w:tc>
        <w:tc>
          <w:tcPr>
            <w:tcW w:w="1796" w:type="pct"/>
            <w:tcBorders>
              <w:top w:val="single" w:color="auto" w:sz="4" w:space="0"/>
              <w:left w:val="nil"/>
              <w:bottom w:val="single" w:color="auto" w:sz="4" w:space="0"/>
              <w:right w:val="single" w:color="auto" w:sz="4" w:space="0"/>
            </w:tcBorders>
            <w:shd w:val="clear" w:color="auto" w:fill="auto"/>
            <w:vAlign w:val="center"/>
          </w:tcPr>
          <w:p w14:paraId="0D48C86D">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供应商的承诺</w:t>
            </w:r>
          </w:p>
        </w:tc>
        <w:tc>
          <w:tcPr>
            <w:tcW w:w="857" w:type="pct"/>
            <w:tcBorders>
              <w:top w:val="single" w:color="auto" w:sz="4" w:space="0"/>
              <w:left w:val="nil"/>
              <w:bottom w:val="single" w:color="auto" w:sz="4" w:space="0"/>
              <w:right w:val="single" w:color="auto" w:sz="4" w:space="0"/>
            </w:tcBorders>
            <w:shd w:val="clear" w:color="auto" w:fill="auto"/>
            <w:vAlign w:val="center"/>
          </w:tcPr>
          <w:p w14:paraId="7B353458">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偏离说明</w:t>
            </w:r>
          </w:p>
        </w:tc>
      </w:tr>
      <w:tr w14:paraId="3351361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34036A91">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1</w:t>
            </w:r>
          </w:p>
        </w:tc>
        <w:tc>
          <w:tcPr>
            <w:tcW w:w="1830" w:type="pct"/>
            <w:tcBorders>
              <w:top w:val="single" w:color="auto" w:sz="4" w:space="0"/>
              <w:left w:val="nil"/>
              <w:bottom w:val="single" w:color="auto" w:sz="4" w:space="0"/>
              <w:right w:val="single" w:color="auto" w:sz="4" w:space="0"/>
            </w:tcBorders>
            <w:shd w:val="clear" w:color="auto" w:fill="auto"/>
            <w:vAlign w:val="center"/>
          </w:tcPr>
          <w:p w14:paraId="0FE048F1">
            <w:pPr>
              <w:autoSpaceDE w:val="0"/>
              <w:spacing w:line="360" w:lineRule="auto"/>
              <w:jc w:val="center"/>
              <w:rPr>
                <w:rFonts w:ascii="宋体" w:hAnsi="宋体" w:cs="宋体"/>
                <w:color w:val="auto"/>
                <w:sz w:val="24"/>
                <w:highlight w:val="none"/>
              </w:rPr>
            </w:pPr>
          </w:p>
        </w:tc>
        <w:tc>
          <w:tcPr>
            <w:tcW w:w="1796" w:type="pct"/>
            <w:tcBorders>
              <w:top w:val="single" w:color="auto" w:sz="4" w:space="0"/>
              <w:left w:val="nil"/>
              <w:bottom w:val="single" w:color="auto" w:sz="4" w:space="0"/>
              <w:right w:val="single" w:color="auto" w:sz="4" w:space="0"/>
            </w:tcBorders>
            <w:shd w:val="clear" w:color="auto" w:fill="auto"/>
            <w:vAlign w:val="center"/>
          </w:tcPr>
          <w:p w14:paraId="0039DCDA">
            <w:pPr>
              <w:autoSpaceDE w:val="0"/>
              <w:spacing w:line="360" w:lineRule="auto"/>
              <w:jc w:val="center"/>
              <w:rPr>
                <w:rFonts w:ascii="宋体" w:hAnsi="宋体" w:cs="宋体"/>
                <w:color w:val="auto"/>
                <w:sz w:val="24"/>
                <w:highlight w:val="none"/>
              </w:rPr>
            </w:pPr>
          </w:p>
        </w:tc>
        <w:tc>
          <w:tcPr>
            <w:tcW w:w="857" w:type="pct"/>
            <w:tcBorders>
              <w:top w:val="single" w:color="auto" w:sz="4" w:space="0"/>
              <w:left w:val="nil"/>
              <w:bottom w:val="single" w:color="auto" w:sz="4" w:space="0"/>
              <w:right w:val="single" w:color="auto" w:sz="4" w:space="0"/>
            </w:tcBorders>
            <w:shd w:val="clear" w:color="auto" w:fill="auto"/>
            <w:vAlign w:val="center"/>
          </w:tcPr>
          <w:p w14:paraId="51A61B6A">
            <w:pPr>
              <w:autoSpaceDE w:val="0"/>
              <w:spacing w:line="360" w:lineRule="auto"/>
              <w:jc w:val="center"/>
              <w:rPr>
                <w:rFonts w:ascii="宋体" w:hAnsi="宋体" w:cs="宋体"/>
                <w:color w:val="auto"/>
                <w:sz w:val="24"/>
                <w:highlight w:val="none"/>
              </w:rPr>
            </w:pPr>
          </w:p>
        </w:tc>
      </w:tr>
      <w:tr w14:paraId="2C7BB6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608E3D0A">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2</w:t>
            </w:r>
          </w:p>
        </w:tc>
        <w:tc>
          <w:tcPr>
            <w:tcW w:w="1830" w:type="pct"/>
            <w:tcBorders>
              <w:top w:val="single" w:color="auto" w:sz="4" w:space="0"/>
              <w:left w:val="nil"/>
              <w:bottom w:val="single" w:color="auto" w:sz="4" w:space="0"/>
              <w:right w:val="single" w:color="auto" w:sz="4" w:space="0"/>
            </w:tcBorders>
            <w:shd w:val="clear" w:color="auto" w:fill="auto"/>
            <w:vAlign w:val="center"/>
          </w:tcPr>
          <w:p w14:paraId="5369CDD6">
            <w:pPr>
              <w:autoSpaceDE w:val="0"/>
              <w:spacing w:line="360" w:lineRule="auto"/>
              <w:jc w:val="center"/>
              <w:rPr>
                <w:rFonts w:ascii="宋体" w:hAnsi="宋体" w:cs="宋体"/>
                <w:color w:val="auto"/>
                <w:sz w:val="24"/>
                <w:highlight w:val="none"/>
              </w:rPr>
            </w:pPr>
          </w:p>
        </w:tc>
        <w:tc>
          <w:tcPr>
            <w:tcW w:w="1796" w:type="pct"/>
            <w:tcBorders>
              <w:top w:val="single" w:color="auto" w:sz="4" w:space="0"/>
              <w:left w:val="nil"/>
              <w:bottom w:val="single" w:color="auto" w:sz="4" w:space="0"/>
              <w:right w:val="single" w:color="auto" w:sz="4" w:space="0"/>
            </w:tcBorders>
            <w:shd w:val="clear" w:color="auto" w:fill="auto"/>
            <w:vAlign w:val="center"/>
          </w:tcPr>
          <w:p w14:paraId="1AB90822">
            <w:pPr>
              <w:autoSpaceDE w:val="0"/>
              <w:spacing w:line="360" w:lineRule="auto"/>
              <w:jc w:val="center"/>
              <w:rPr>
                <w:rFonts w:ascii="宋体" w:hAnsi="宋体" w:cs="宋体"/>
                <w:color w:val="auto"/>
                <w:sz w:val="24"/>
                <w:highlight w:val="none"/>
              </w:rPr>
            </w:pPr>
          </w:p>
        </w:tc>
        <w:tc>
          <w:tcPr>
            <w:tcW w:w="857" w:type="pct"/>
            <w:tcBorders>
              <w:top w:val="single" w:color="auto" w:sz="4" w:space="0"/>
              <w:left w:val="nil"/>
              <w:bottom w:val="single" w:color="auto" w:sz="4" w:space="0"/>
              <w:right w:val="single" w:color="auto" w:sz="4" w:space="0"/>
            </w:tcBorders>
            <w:shd w:val="clear" w:color="auto" w:fill="auto"/>
            <w:vAlign w:val="center"/>
          </w:tcPr>
          <w:p w14:paraId="58987D8F">
            <w:pPr>
              <w:autoSpaceDE w:val="0"/>
              <w:spacing w:line="360" w:lineRule="auto"/>
              <w:jc w:val="center"/>
              <w:rPr>
                <w:rFonts w:ascii="宋体" w:hAnsi="宋体" w:cs="宋体"/>
                <w:color w:val="auto"/>
                <w:sz w:val="24"/>
                <w:highlight w:val="none"/>
              </w:rPr>
            </w:pPr>
          </w:p>
        </w:tc>
      </w:tr>
      <w:tr w14:paraId="3B7BC9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31DE9EEC">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3</w:t>
            </w:r>
          </w:p>
        </w:tc>
        <w:tc>
          <w:tcPr>
            <w:tcW w:w="1830" w:type="pct"/>
            <w:tcBorders>
              <w:top w:val="single" w:color="auto" w:sz="4" w:space="0"/>
              <w:left w:val="nil"/>
              <w:bottom w:val="single" w:color="auto" w:sz="4" w:space="0"/>
              <w:right w:val="single" w:color="auto" w:sz="4" w:space="0"/>
            </w:tcBorders>
            <w:shd w:val="clear" w:color="auto" w:fill="auto"/>
            <w:vAlign w:val="center"/>
          </w:tcPr>
          <w:p w14:paraId="63BB42B5">
            <w:pPr>
              <w:autoSpaceDE w:val="0"/>
              <w:spacing w:line="360" w:lineRule="auto"/>
              <w:jc w:val="center"/>
              <w:rPr>
                <w:rFonts w:ascii="宋体" w:hAnsi="宋体" w:cs="宋体"/>
                <w:color w:val="auto"/>
                <w:sz w:val="24"/>
                <w:highlight w:val="none"/>
              </w:rPr>
            </w:pPr>
          </w:p>
        </w:tc>
        <w:tc>
          <w:tcPr>
            <w:tcW w:w="1796" w:type="pct"/>
            <w:tcBorders>
              <w:top w:val="single" w:color="auto" w:sz="4" w:space="0"/>
              <w:left w:val="nil"/>
              <w:bottom w:val="single" w:color="auto" w:sz="4" w:space="0"/>
              <w:right w:val="single" w:color="auto" w:sz="4" w:space="0"/>
            </w:tcBorders>
            <w:shd w:val="clear" w:color="auto" w:fill="auto"/>
            <w:vAlign w:val="center"/>
          </w:tcPr>
          <w:p w14:paraId="270FF06A">
            <w:pPr>
              <w:autoSpaceDE w:val="0"/>
              <w:spacing w:line="360" w:lineRule="auto"/>
              <w:jc w:val="center"/>
              <w:rPr>
                <w:rFonts w:ascii="宋体" w:hAnsi="宋体" w:cs="宋体"/>
                <w:color w:val="auto"/>
                <w:sz w:val="24"/>
                <w:highlight w:val="none"/>
              </w:rPr>
            </w:pPr>
          </w:p>
        </w:tc>
        <w:tc>
          <w:tcPr>
            <w:tcW w:w="857" w:type="pct"/>
            <w:tcBorders>
              <w:top w:val="single" w:color="auto" w:sz="4" w:space="0"/>
              <w:left w:val="nil"/>
              <w:bottom w:val="single" w:color="auto" w:sz="4" w:space="0"/>
              <w:right w:val="single" w:color="auto" w:sz="4" w:space="0"/>
            </w:tcBorders>
            <w:shd w:val="clear" w:color="auto" w:fill="auto"/>
            <w:vAlign w:val="center"/>
          </w:tcPr>
          <w:p w14:paraId="003CAB5B">
            <w:pPr>
              <w:autoSpaceDE w:val="0"/>
              <w:spacing w:line="360" w:lineRule="auto"/>
              <w:jc w:val="center"/>
              <w:rPr>
                <w:rFonts w:ascii="宋体" w:hAnsi="宋体" w:cs="宋体"/>
                <w:color w:val="auto"/>
                <w:sz w:val="24"/>
                <w:highlight w:val="none"/>
              </w:rPr>
            </w:pPr>
          </w:p>
        </w:tc>
      </w:tr>
      <w:tr w14:paraId="29A146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515" w:type="pct"/>
            <w:tcBorders>
              <w:top w:val="single" w:color="auto" w:sz="4" w:space="0"/>
              <w:left w:val="single" w:color="auto" w:sz="4" w:space="0"/>
              <w:bottom w:val="single" w:color="auto" w:sz="4" w:space="0"/>
              <w:right w:val="single" w:color="auto" w:sz="4" w:space="0"/>
            </w:tcBorders>
            <w:shd w:val="clear" w:color="auto" w:fill="auto"/>
            <w:vAlign w:val="center"/>
          </w:tcPr>
          <w:p w14:paraId="47F0C1BC">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w:t>
            </w:r>
          </w:p>
        </w:tc>
        <w:tc>
          <w:tcPr>
            <w:tcW w:w="1830" w:type="pct"/>
            <w:tcBorders>
              <w:top w:val="single" w:color="auto" w:sz="4" w:space="0"/>
              <w:left w:val="nil"/>
              <w:bottom w:val="single" w:color="auto" w:sz="4" w:space="0"/>
              <w:right w:val="single" w:color="auto" w:sz="4" w:space="0"/>
            </w:tcBorders>
            <w:shd w:val="clear" w:color="auto" w:fill="auto"/>
            <w:vAlign w:val="center"/>
          </w:tcPr>
          <w:p w14:paraId="046F8296">
            <w:pPr>
              <w:autoSpaceDE w:val="0"/>
              <w:spacing w:line="360" w:lineRule="auto"/>
              <w:jc w:val="center"/>
              <w:rPr>
                <w:rFonts w:ascii="宋体" w:hAnsi="宋体" w:cs="宋体"/>
                <w:color w:val="auto"/>
                <w:sz w:val="24"/>
                <w:highlight w:val="none"/>
              </w:rPr>
            </w:pPr>
          </w:p>
        </w:tc>
        <w:tc>
          <w:tcPr>
            <w:tcW w:w="1796" w:type="pct"/>
            <w:tcBorders>
              <w:top w:val="single" w:color="auto" w:sz="4" w:space="0"/>
              <w:left w:val="nil"/>
              <w:bottom w:val="single" w:color="auto" w:sz="4" w:space="0"/>
              <w:right w:val="single" w:color="auto" w:sz="4" w:space="0"/>
            </w:tcBorders>
            <w:shd w:val="clear" w:color="auto" w:fill="auto"/>
            <w:vAlign w:val="center"/>
          </w:tcPr>
          <w:p w14:paraId="4E4A0190">
            <w:pPr>
              <w:autoSpaceDE w:val="0"/>
              <w:spacing w:line="360" w:lineRule="auto"/>
              <w:jc w:val="center"/>
              <w:rPr>
                <w:rFonts w:ascii="宋体" w:hAnsi="宋体" w:cs="宋体"/>
                <w:color w:val="auto"/>
                <w:sz w:val="24"/>
                <w:highlight w:val="none"/>
              </w:rPr>
            </w:pPr>
          </w:p>
        </w:tc>
        <w:tc>
          <w:tcPr>
            <w:tcW w:w="857" w:type="pct"/>
            <w:tcBorders>
              <w:top w:val="single" w:color="auto" w:sz="4" w:space="0"/>
              <w:left w:val="nil"/>
              <w:bottom w:val="single" w:color="auto" w:sz="4" w:space="0"/>
              <w:right w:val="single" w:color="auto" w:sz="4" w:space="0"/>
            </w:tcBorders>
            <w:shd w:val="clear" w:color="auto" w:fill="auto"/>
            <w:vAlign w:val="center"/>
          </w:tcPr>
          <w:p w14:paraId="1A00C1D9">
            <w:pPr>
              <w:autoSpaceDE w:val="0"/>
              <w:spacing w:line="360" w:lineRule="auto"/>
              <w:jc w:val="center"/>
              <w:rPr>
                <w:rFonts w:ascii="宋体" w:hAnsi="宋体" w:cs="宋体"/>
                <w:color w:val="auto"/>
                <w:sz w:val="24"/>
                <w:highlight w:val="none"/>
              </w:rPr>
            </w:pPr>
          </w:p>
        </w:tc>
      </w:tr>
    </w:tbl>
    <w:p w14:paraId="358488BA">
      <w:pPr>
        <w:autoSpaceDE w:val="0"/>
        <w:spacing w:line="360" w:lineRule="auto"/>
        <w:jc w:val="left"/>
        <w:rPr>
          <w:rFonts w:ascii="宋体" w:hAnsi="宋体" w:cs="宋体"/>
          <w:color w:val="auto"/>
          <w:sz w:val="24"/>
          <w:highlight w:val="none"/>
        </w:rPr>
      </w:pPr>
      <w:r>
        <w:rPr>
          <w:rFonts w:hint="eastAsia" w:ascii="宋体" w:hAnsi="宋体" w:cs="宋体"/>
          <w:color w:val="auto"/>
          <w:sz w:val="24"/>
          <w:highlight w:val="none"/>
          <w:lang w:bidi="ar"/>
        </w:rPr>
        <w:t>注：</w:t>
      </w:r>
    </w:p>
    <w:p w14:paraId="39D0D84E">
      <w:pPr>
        <w:autoSpaceDE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1. 说明：应对照磋商文件“第三章 采购需求”中的商务条款逐条实质性响应，并作出偏离说明。</w:t>
      </w:r>
    </w:p>
    <w:p w14:paraId="2B4F3079">
      <w:pPr>
        <w:autoSpaceDE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2.供应商应根据自身的承诺，对照磋商文件要求，在“偏离说明”中注明“正偏离”、“负偏离”或者“无偏离”。既不属于“正偏离”也不属于“负偏离”即为“无偏离”。</w:t>
      </w:r>
    </w:p>
    <w:p w14:paraId="211F156C">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530EA67B">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法定代表人或者委托代理人（签字或签章）：</w:t>
      </w:r>
    </w:p>
    <w:p w14:paraId="7DA53A19">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供应商（电子签章）：</w:t>
      </w:r>
    </w:p>
    <w:p w14:paraId="760EB651">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日期：   年   月   日</w:t>
      </w:r>
    </w:p>
    <w:p w14:paraId="2E2E0DFC">
      <w:pPr>
        <w:autoSpaceDE w:val="0"/>
        <w:spacing w:before="340" w:after="330" w:line="520" w:lineRule="exact"/>
        <w:jc w:val="center"/>
        <w:rPr>
          <w:rFonts w:ascii="宋体" w:hAnsi="宋体" w:cs="宋体"/>
          <w:b/>
          <w:bCs/>
          <w:color w:val="auto"/>
          <w:sz w:val="44"/>
          <w:szCs w:val="44"/>
          <w:highlight w:val="none"/>
        </w:rPr>
      </w:pPr>
      <w:r>
        <w:rPr>
          <w:rFonts w:hint="eastAsia" w:ascii="宋体" w:hAnsi="宋体" w:cs="宋体"/>
          <w:color w:val="auto"/>
          <w:sz w:val="24"/>
          <w:highlight w:val="none"/>
          <w:lang w:bidi="ar"/>
        </w:rPr>
        <w:br w:type="page"/>
      </w:r>
      <w:r>
        <w:rPr>
          <w:rFonts w:hint="eastAsia" w:ascii="宋体" w:hAnsi="宋体" w:cs="宋体"/>
          <w:b/>
          <w:bCs/>
          <w:color w:val="auto"/>
          <w:sz w:val="44"/>
          <w:szCs w:val="44"/>
          <w:highlight w:val="none"/>
          <w:lang w:eastAsia="zh-CN" w:bidi="ar"/>
        </w:rPr>
        <w:t>服务需求</w:t>
      </w:r>
      <w:r>
        <w:rPr>
          <w:rFonts w:hint="eastAsia" w:ascii="宋体" w:hAnsi="宋体" w:cs="宋体"/>
          <w:b/>
          <w:bCs/>
          <w:color w:val="auto"/>
          <w:sz w:val="44"/>
          <w:szCs w:val="44"/>
          <w:highlight w:val="none"/>
          <w:lang w:bidi="ar"/>
        </w:rPr>
        <w:t>偏离表格式</w:t>
      </w:r>
    </w:p>
    <w:p w14:paraId="3F963D6A">
      <w:pPr>
        <w:spacing w:line="500" w:lineRule="exact"/>
        <w:jc w:val="center"/>
        <w:outlineLvl w:val="1"/>
        <w:rPr>
          <w:rFonts w:ascii="宋体" w:hAnsi="宋体" w:cs="宋体"/>
          <w:bCs/>
          <w:color w:val="auto"/>
          <w:sz w:val="32"/>
          <w:szCs w:val="32"/>
          <w:highlight w:val="none"/>
        </w:rPr>
      </w:pPr>
      <w:r>
        <w:rPr>
          <w:rFonts w:hint="eastAsia" w:ascii="宋体" w:hAnsi="宋体" w:cs="宋体"/>
          <w:bCs/>
          <w:color w:val="auto"/>
          <w:sz w:val="32"/>
          <w:szCs w:val="32"/>
          <w:highlight w:val="none"/>
          <w:lang w:bidi="ar"/>
        </w:rPr>
        <w:t>（注：按采购需求具体条款修改）</w:t>
      </w:r>
    </w:p>
    <w:p w14:paraId="12E79A1E">
      <w:pPr>
        <w:spacing w:line="360" w:lineRule="auto"/>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2A7AF4DB">
      <w:pPr>
        <w:spacing w:line="360" w:lineRule="auto"/>
        <w:rPr>
          <w:rFonts w:ascii="宋体" w:hAnsi="宋体" w:cs="宋体"/>
          <w:color w:val="auto"/>
          <w:sz w:val="24"/>
          <w:highlight w:val="none"/>
          <w:u w:val="single"/>
        </w:rPr>
      </w:pPr>
      <w:r>
        <w:rPr>
          <w:rFonts w:hint="eastAsia" w:ascii="宋体" w:hAnsi="宋体" w:cs="宋体"/>
          <w:color w:val="auto"/>
          <w:sz w:val="24"/>
          <w:highlight w:val="none"/>
          <w:lang w:bidi="ar"/>
        </w:rPr>
        <w:t>项目名称：</w:t>
      </w:r>
      <w:r>
        <w:rPr>
          <w:rFonts w:hint="eastAsia" w:ascii="宋体" w:hAnsi="宋体" w:cs="宋体"/>
          <w:color w:val="auto"/>
          <w:sz w:val="24"/>
          <w:highlight w:val="none"/>
          <w:u w:val="single"/>
          <w:lang w:bidi="ar"/>
        </w:rPr>
        <w:t xml:space="preserve">                 </w:t>
      </w:r>
    </w:p>
    <w:p w14:paraId="706DD2B4">
      <w:pPr>
        <w:spacing w:line="360" w:lineRule="auto"/>
        <w:rPr>
          <w:rFonts w:ascii="宋体" w:hAnsi="宋体" w:cs="宋体"/>
          <w:color w:val="auto"/>
          <w:sz w:val="24"/>
          <w:highlight w:val="none"/>
          <w:u w:val="single"/>
        </w:rPr>
      </w:pPr>
      <w:r>
        <w:rPr>
          <w:rFonts w:hint="eastAsia" w:ascii="宋体" w:hAnsi="宋体" w:cs="宋体"/>
          <w:color w:val="auto"/>
          <w:sz w:val="24"/>
          <w:highlight w:val="none"/>
          <w:lang w:bidi="ar"/>
        </w:rPr>
        <w:t>项目编号：</w:t>
      </w:r>
      <w:r>
        <w:rPr>
          <w:rFonts w:hint="eastAsia" w:ascii="宋体" w:hAnsi="宋体" w:cs="宋体"/>
          <w:color w:val="auto"/>
          <w:sz w:val="24"/>
          <w:highlight w:val="none"/>
          <w:u w:val="single"/>
          <w:lang w:bidi="ar"/>
        </w:rPr>
        <w:t xml:space="preserve">                 </w:t>
      </w:r>
    </w:p>
    <w:p w14:paraId="4EF8DFD7">
      <w:pPr>
        <w:spacing w:line="360" w:lineRule="auto"/>
        <w:rPr>
          <w:rFonts w:ascii="宋体" w:hAnsi="宋体" w:cs="宋体"/>
          <w:color w:val="auto"/>
          <w:sz w:val="24"/>
          <w:highlight w:val="none"/>
          <w:u w:val="single"/>
        </w:rPr>
      </w:pPr>
      <w:r>
        <w:rPr>
          <w:rFonts w:hint="eastAsia" w:ascii="宋体" w:hAnsi="宋体" w:cs="宋体"/>
          <w:color w:val="auto"/>
          <w:sz w:val="24"/>
          <w:highlight w:val="none"/>
          <w:lang w:bidi="ar"/>
        </w:rPr>
        <w:t>分标号：</w:t>
      </w:r>
      <w:r>
        <w:rPr>
          <w:rFonts w:hint="eastAsia" w:ascii="宋体" w:hAnsi="宋体" w:cs="宋体"/>
          <w:color w:val="auto"/>
          <w:sz w:val="24"/>
          <w:highlight w:val="none"/>
          <w:u w:val="single"/>
          <w:lang w:bidi="ar"/>
        </w:rPr>
        <w:t xml:space="preserve">                 </w:t>
      </w:r>
    </w:p>
    <w:tbl>
      <w:tblPr>
        <w:tblStyle w:val="30"/>
        <w:tblW w:w="4997"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73"/>
        <w:gridCol w:w="1601"/>
        <w:gridCol w:w="2790"/>
        <w:gridCol w:w="2641"/>
        <w:gridCol w:w="1285"/>
      </w:tblGrid>
      <w:tr w14:paraId="40682B0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10C9F588">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序号</w:t>
            </w:r>
          </w:p>
        </w:tc>
        <w:tc>
          <w:tcPr>
            <w:tcW w:w="880" w:type="pct"/>
            <w:tcBorders>
              <w:top w:val="single" w:color="auto" w:sz="4" w:space="0"/>
              <w:left w:val="nil"/>
              <w:bottom w:val="single" w:color="auto" w:sz="4" w:space="0"/>
              <w:right w:val="single" w:color="auto" w:sz="4" w:space="0"/>
            </w:tcBorders>
            <w:shd w:val="clear" w:color="auto" w:fill="auto"/>
            <w:vAlign w:val="center"/>
          </w:tcPr>
          <w:p w14:paraId="52F33C58">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名称</w:t>
            </w:r>
          </w:p>
        </w:tc>
        <w:tc>
          <w:tcPr>
            <w:tcW w:w="1534" w:type="pct"/>
            <w:tcBorders>
              <w:top w:val="single" w:color="auto" w:sz="4" w:space="0"/>
              <w:left w:val="nil"/>
              <w:bottom w:val="single" w:color="auto" w:sz="4" w:space="0"/>
              <w:right w:val="single" w:color="auto" w:sz="4" w:space="0"/>
            </w:tcBorders>
            <w:shd w:val="clear" w:color="auto" w:fill="auto"/>
            <w:vAlign w:val="center"/>
          </w:tcPr>
          <w:p w14:paraId="50A16818">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采购文件</w:t>
            </w:r>
            <w:r>
              <w:rPr>
                <w:rFonts w:hint="eastAsia" w:ascii="宋体" w:hAnsi="宋体" w:cs="宋体"/>
                <w:color w:val="auto"/>
                <w:sz w:val="24"/>
                <w:highlight w:val="none"/>
                <w:lang w:eastAsia="zh-CN" w:bidi="ar"/>
              </w:rPr>
              <w:t>服务需求</w:t>
            </w:r>
            <w:r>
              <w:rPr>
                <w:rFonts w:hint="eastAsia" w:ascii="宋体" w:hAnsi="宋体" w:cs="宋体"/>
                <w:color w:val="auto"/>
                <w:sz w:val="24"/>
                <w:highlight w:val="none"/>
                <w:lang w:bidi="ar"/>
              </w:rPr>
              <w:t>要求</w:t>
            </w:r>
          </w:p>
        </w:tc>
        <w:tc>
          <w:tcPr>
            <w:tcW w:w="1452" w:type="pct"/>
            <w:tcBorders>
              <w:top w:val="single" w:color="auto" w:sz="4" w:space="0"/>
              <w:left w:val="nil"/>
              <w:bottom w:val="single" w:color="auto" w:sz="4" w:space="0"/>
              <w:right w:val="single" w:color="auto" w:sz="4" w:space="0"/>
            </w:tcBorders>
            <w:shd w:val="clear" w:color="auto" w:fill="auto"/>
            <w:vAlign w:val="center"/>
          </w:tcPr>
          <w:p w14:paraId="4D3756B0">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供应商的承诺</w:t>
            </w:r>
          </w:p>
        </w:tc>
        <w:tc>
          <w:tcPr>
            <w:tcW w:w="706" w:type="pct"/>
            <w:tcBorders>
              <w:top w:val="single" w:color="auto" w:sz="4" w:space="0"/>
              <w:left w:val="nil"/>
              <w:bottom w:val="single" w:color="auto" w:sz="4" w:space="0"/>
              <w:right w:val="single" w:color="auto" w:sz="4" w:space="0"/>
            </w:tcBorders>
            <w:shd w:val="clear" w:color="auto" w:fill="auto"/>
            <w:vAlign w:val="center"/>
          </w:tcPr>
          <w:p w14:paraId="5541E9CC">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偏离说明</w:t>
            </w:r>
          </w:p>
        </w:tc>
      </w:tr>
      <w:tr w14:paraId="51106F9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10EB8D94">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1</w:t>
            </w:r>
          </w:p>
        </w:tc>
        <w:tc>
          <w:tcPr>
            <w:tcW w:w="880" w:type="pct"/>
            <w:tcBorders>
              <w:top w:val="single" w:color="auto" w:sz="4" w:space="0"/>
              <w:left w:val="nil"/>
              <w:bottom w:val="single" w:color="auto" w:sz="4" w:space="0"/>
              <w:right w:val="single" w:color="auto" w:sz="4" w:space="0"/>
            </w:tcBorders>
            <w:shd w:val="clear" w:color="auto" w:fill="auto"/>
            <w:vAlign w:val="center"/>
          </w:tcPr>
          <w:p w14:paraId="01738750">
            <w:pPr>
              <w:autoSpaceDE w:val="0"/>
              <w:spacing w:line="360" w:lineRule="auto"/>
              <w:jc w:val="center"/>
              <w:rPr>
                <w:rFonts w:ascii="宋体" w:hAnsi="宋体" w:cs="宋体"/>
                <w:color w:val="auto"/>
                <w:sz w:val="24"/>
                <w:highlight w:val="none"/>
              </w:rPr>
            </w:pPr>
          </w:p>
        </w:tc>
        <w:tc>
          <w:tcPr>
            <w:tcW w:w="1534" w:type="pct"/>
            <w:tcBorders>
              <w:top w:val="single" w:color="auto" w:sz="4" w:space="0"/>
              <w:left w:val="nil"/>
              <w:bottom w:val="single" w:color="auto" w:sz="4" w:space="0"/>
              <w:right w:val="single" w:color="auto" w:sz="4" w:space="0"/>
            </w:tcBorders>
            <w:shd w:val="clear" w:color="auto" w:fill="auto"/>
            <w:vAlign w:val="center"/>
          </w:tcPr>
          <w:p w14:paraId="3589CA02">
            <w:pPr>
              <w:autoSpaceDE w:val="0"/>
              <w:spacing w:line="360" w:lineRule="auto"/>
              <w:jc w:val="center"/>
              <w:rPr>
                <w:rFonts w:ascii="宋体" w:hAnsi="宋体" w:cs="宋体"/>
                <w:color w:val="auto"/>
                <w:sz w:val="24"/>
                <w:highlight w:val="none"/>
              </w:rPr>
            </w:pPr>
          </w:p>
        </w:tc>
        <w:tc>
          <w:tcPr>
            <w:tcW w:w="1452" w:type="pct"/>
            <w:tcBorders>
              <w:top w:val="single" w:color="auto" w:sz="4" w:space="0"/>
              <w:left w:val="nil"/>
              <w:bottom w:val="single" w:color="auto" w:sz="4" w:space="0"/>
              <w:right w:val="single" w:color="auto" w:sz="4" w:space="0"/>
            </w:tcBorders>
            <w:shd w:val="clear" w:color="auto" w:fill="auto"/>
            <w:vAlign w:val="center"/>
          </w:tcPr>
          <w:p w14:paraId="112E816C">
            <w:pPr>
              <w:autoSpaceDE w:val="0"/>
              <w:spacing w:line="360" w:lineRule="auto"/>
              <w:jc w:val="center"/>
              <w:rPr>
                <w:rFonts w:ascii="宋体" w:hAnsi="宋体" w:cs="宋体"/>
                <w:color w:val="auto"/>
                <w:sz w:val="24"/>
                <w:highlight w:val="none"/>
              </w:rPr>
            </w:pPr>
          </w:p>
        </w:tc>
        <w:tc>
          <w:tcPr>
            <w:tcW w:w="706" w:type="pct"/>
            <w:tcBorders>
              <w:top w:val="single" w:color="auto" w:sz="4" w:space="0"/>
              <w:left w:val="nil"/>
              <w:bottom w:val="single" w:color="auto" w:sz="4" w:space="0"/>
              <w:right w:val="single" w:color="auto" w:sz="4" w:space="0"/>
            </w:tcBorders>
            <w:shd w:val="clear" w:color="auto" w:fill="auto"/>
            <w:vAlign w:val="center"/>
          </w:tcPr>
          <w:p w14:paraId="239B0E1D">
            <w:pPr>
              <w:autoSpaceDE w:val="0"/>
              <w:spacing w:line="360" w:lineRule="auto"/>
              <w:jc w:val="center"/>
              <w:rPr>
                <w:rFonts w:ascii="宋体" w:hAnsi="宋体" w:cs="宋体"/>
                <w:color w:val="auto"/>
                <w:sz w:val="24"/>
                <w:highlight w:val="none"/>
              </w:rPr>
            </w:pPr>
          </w:p>
        </w:tc>
      </w:tr>
      <w:tr w14:paraId="2F9777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6D877679">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2</w:t>
            </w:r>
          </w:p>
        </w:tc>
        <w:tc>
          <w:tcPr>
            <w:tcW w:w="880" w:type="pct"/>
            <w:tcBorders>
              <w:top w:val="single" w:color="auto" w:sz="4" w:space="0"/>
              <w:left w:val="nil"/>
              <w:bottom w:val="single" w:color="auto" w:sz="4" w:space="0"/>
              <w:right w:val="single" w:color="auto" w:sz="4" w:space="0"/>
            </w:tcBorders>
            <w:shd w:val="clear" w:color="auto" w:fill="auto"/>
            <w:vAlign w:val="center"/>
          </w:tcPr>
          <w:p w14:paraId="7F8B02E8">
            <w:pPr>
              <w:autoSpaceDE w:val="0"/>
              <w:spacing w:line="360" w:lineRule="auto"/>
              <w:jc w:val="center"/>
              <w:rPr>
                <w:rFonts w:ascii="宋体" w:hAnsi="宋体" w:cs="宋体"/>
                <w:color w:val="auto"/>
                <w:sz w:val="24"/>
                <w:highlight w:val="none"/>
              </w:rPr>
            </w:pPr>
          </w:p>
        </w:tc>
        <w:tc>
          <w:tcPr>
            <w:tcW w:w="1534" w:type="pct"/>
            <w:tcBorders>
              <w:top w:val="single" w:color="auto" w:sz="4" w:space="0"/>
              <w:left w:val="nil"/>
              <w:bottom w:val="single" w:color="auto" w:sz="4" w:space="0"/>
              <w:right w:val="single" w:color="auto" w:sz="4" w:space="0"/>
            </w:tcBorders>
            <w:shd w:val="clear" w:color="auto" w:fill="auto"/>
            <w:vAlign w:val="center"/>
          </w:tcPr>
          <w:p w14:paraId="3C472157">
            <w:pPr>
              <w:autoSpaceDE w:val="0"/>
              <w:spacing w:line="360" w:lineRule="auto"/>
              <w:jc w:val="center"/>
              <w:rPr>
                <w:rFonts w:ascii="宋体" w:hAnsi="宋体" w:cs="宋体"/>
                <w:color w:val="auto"/>
                <w:sz w:val="24"/>
                <w:highlight w:val="none"/>
              </w:rPr>
            </w:pPr>
          </w:p>
        </w:tc>
        <w:tc>
          <w:tcPr>
            <w:tcW w:w="1452" w:type="pct"/>
            <w:tcBorders>
              <w:top w:val="single" w:color="auto" w:sz="4" w:space="0"/>
              <w:left w:val="nil"/>
              <w:bottom w:val="single" w:color="auto" w:sz="4" w:space="0"/>
              <w:right w:val="single" w:color="auto" w:sz="4" w:space="0"/>
            </w:tcBorders>
            <w:shd w:val="clear" w:color="auto" w:fill="auto"/>
            <w:vAlign w:val="center"/>
          </w:tcPr>
          <w:p w14:paraId="5CE0DF61">
            <w:pPr>
              <w:autoSpaceDE w:val="0"/>
              <w:spacing w:line="360" w:lineRule="auto"/>
              <w:jc w:val="center"/>
              <w:rPr>
                <w:rFonts w:ascii="宋体" w:hAnsi="宋体" w:cs="宋体"/>
                <w:color w:val="auto"/>
                <w:sz w:val="24"/>
                <w:highlight w:val="none"/>
              </w:rPr>
            </w:pPr>
          </w:p>
        </w:tc>
        <w:tc>
          <w:tcPr>
            <w:tcW w:w="706" w:type="pct"/>
            <w:tcBorders>
              <w:top w:val="single" w:color="auto" w:sz="4" w:space="0"/>
              <w:left w:val="nil"/>
              <w:bottom w:val="single" w:color="auto" w:sz="4" w:space="0"/>
              <w:right w:val="single" w:color="auto" w:sz="4" w:space="0"/>
            </w:tcBorders>
            <w:shd w:val="clear" w:color="auto" w:fill="auto"/>
            <w:vAlign w:val="center"/>
          </w:tcPr>
          <w:p w14:paraId="2B37B09F">
            <w:pPr>
              <w:autoSpaceDE w:val="0"/>
              <w:spacing w:line="360" w:lineRule="auto"/>
              <w:jc w:val="center"/>
              <w:rPr>
                <w:rFonts w:ascii="宋体" w:hAnsi="宋体" w:cs="宋体"/>
                <w:color w:val="auto"/>
                <w:sz w:val="24"/>
                <w:highlight w:val="none"/>
              </w:rPr>
            </w:pPr>
          </w:p>
        </w:tc>
      </w:tr>
      <w:tr w14:paraId="4732600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00B32948">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3</w:t>
            </w:r>
          </w:p>
        </w:tc>
        <w:tc>
          <w:tcPr>
            <w:tcW w:w="880" w:type="pct"/>
            <w:tcBorders>
              <w:top w:val="single" w:color="auto" w:sz="4" w:space="0"/>
              <w:left w:val="nil"/>
              <w:bottom w:val="single" w:color="auto" w:sz="4" w:space="0"/>
              <w:right w:val="single" w:color="auto" w:sz="4" w:space="0"/>
            </w:tcBorders>
            <w:shd w:val="clear" w:color="auto" w:fill="auto"/>
            <w:vAlign w:val="center"/>
          </w:tcPr>
          <w:p w14:paraId="0FB30AD7">
            <w:pPr>
              <w:autoSpaceDE w:val="0"/>
              <w:spacing w:line="360" w:lineRule="auto"/>
              <w:jc w:val="center"/>
              <w:rPr>
                <w:rFonts w:ascii="宋体" w:hAnsi="宋体" w:cs="宋体"/>
                <w:color w:val="auto"/>
                <w:sz w:val="24"/>
                <w:highlight w:val="none"/>
              </w:rPr>
            </w:pPr>
          </w:p>
        </w:tc>
        <w:tc>
          <w:tcPr>
            <w:tcW w:w="1534" w:type="pct"/>
            <w:tcBorders>
              <w:top w:val="single" w:color="auto" w:sz="4" w:space="0"/>
              <w:left w:val="nil"/>
              <w:bottom w:val="single" w:color="auto" w:sz="4" w:space="0"/>
              <w:right w:val="single" w:color="auto" w:sz="4" w:space="0"/>
            </w:tcBorders>
            <w:shd w:val="clear" w:color="auto" w:fill="auto"/>
            <w:vAlign w:val="center"/>
          </w:tcPr>
          <w:p w14:paraId="53189BEB">
            <w:pPr>
              <w:autoSpaceDE w:val="0"/>
              <w:spacing w:line="360" w:lineRule="auto"/>
              <w:jc w:val="center"/>
              <w:rPr>
                <w:rFonts w:ascii="宋体" w:hAnsi="宋体" w:cs="宋体"/>
                <w:color w:val="auto"/>
                <w:sz w:val="24"/>
                <w:highlight w:val="none"/>
              </w:rPr>
            </w:pPr>
          </w:p>
        </w:tc>
        <w:tc>
          <w:tcPr>
            <w:tcW w:w="1452" w:type="pct"/>
            <w:tcBorders>
              <w:top w:val="single" w:color="auto" w:sz="4" w:space="0"/>
              <w:left w:val="nil"/>
              <w:bottom w:val="single" w:color="auto" w:sz="4" w:space="0"/>
              <w:right w:val="single" w:color="auto" w:sz="4" w:space="0"/>
            </w:tcBorders>
            <w:shd w:val="clear" w:color="auto" w:fill="auto"/>
            <w:vAlign w:val="center"/>
          </w:tcPr>
          <w:p w14:paraId="61CC1214">
            <w:pPr>
              <w:autoSpaceDE w:val="0"/>
              <w:spacing w:line="360" w:lineRule="auto"/>
              <w:jc w:val="center"/>
              <w:rPr>
                <w:rFonts w:ascii="宋体" w:hAnsi="宋体" w:cs="宋体"/>
                <w:color w:val="auto"/>
                <w:sz w:val="24"/>
                <w:highlight w:val="none"/>
              </w:rPr>
            </w:pPr>
          </w:p>
        </w:tc>
        <w:tc>
          <w:tcPr>
            <w:tcW w:w="706" w:type="pct"/>
            <w:tcBorders>
              <w:top w:val="single" w:color="auto" w:sz="4" w:space="0"/>
              <w:left w:val="nil"/>
              <w:bottom w:val="single" w:color="auto" w:sz="4" w:space="0"/>
              <w:right w:val="single" w:color="auto" w:sz="4" w:space="0"/>
            </w:tcBorders>
            <w:shd w:val="clear" w:color="auto" w:fill="auto"/>
            <w:vAlign w:val="center"/>
          </w:tcPr>
          <w:p w14:paraId="0B2CA1B4">
            <w:pPr>
              <w:autoSpaceDE w:val="0"/>
              <w:spacing w:line="360" w:lineRule="auto"/>
              <w:jc w:val="center"/>
              <w:rPr>
                <w:rFonts w:ascii="宋体" w:hAnsi="宋体" w:cs="宋体"/>
                <w:color w:val="auto"/>
                <w:sz w:val="24"/>
                <w:highlight w:val="none"/>
              </w:rPr>
            </w:pPr>
          </w:p>
        </w:tc>
      </w:tr>
      <w:tr w14:paraId="598CA25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jc w:val="center"/>
        </w:trPr>
        <w:tc>
          <w:tcPr>
            <w:tcW w:w="425" w:type="pct"/>
            <w:tcBorders>
              <w:top w:val="single" w:color="auto" w:sz="4" w:space="0"/>
              <w:left w:val="single" w:color="auto" w:sz="4" w:space="0"/>
              <w:bottom w:val="single" w:color="auto" w:sz="4" w:space="0"/>
              <w:right w:val="single" w:color="auto" w:sz="4" w:space="0"/>
            </w:tcBorders>
            <w:shd w:val="clear" w:color="auto" w:fill="auto"/>
            <w:vAlign w:val="center"/>
          </w:tcPr>
          <w:p w14:paraId="24652751">
            <w:pPr>
              <w:autoSpaceDE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w:t>
            </w:r>
          </w:p>
        </w:tc>
        <w:tc>
          <w:tcPr>
            <w:tcW w:w="880" w:type="pct"/>
            <w:tcBorders>
              <w:top w:val="single" w:color="auto" w:sz="4" w:space="0"/>
              <w:left w:val="nil"/>
              <w:bottom w:val="single" w:color="auto" w:sz="4" w:space="0"/>
              <w:right w:val="single" w:color="auto" w:sz="4" w:space="0"/>
            </w:tcBorders>
            <w:shd w:val="clear" w:color="auto" w:fill="auto"/>
            <w:vAlign w:val="center"/>
          </w:tcPr>
          <w:p w14:paraId="752076A0">
            <w:pPr>
              <w:autoSpaceDE w:val="0"/>
              <w:spacing w:line="360" w:lineRule="auto"/>
              <w:jc w:val="center"/>
              <w:rPr>
                <w:rFonts w:ascii="宋体" w:hAnsi="宋体" w:cs="宋体"/>
                <w:color w:val="auto"/>
                <w:sz w:val="24"/>
                <w:highlight w:val="none"/>
              </w:rPr>
            </w:pPr>
          </w:p>
        </w:tc>
        <w:tc>
          <w:tcPr>
            <w:tcW w:w="1534" w:type="pct"/>
            <w:tcBorders>
              <w:top w:val="single" w:color="auto" w:sz="4" w:space="0"/>
              <w:left w:val="nil"/>
              <w:bottom w:val="single" w:color="auto" w:sz="4" w:space="0"/>
              <w:right w:val="single" w:color="auto" w:sz="4" w:space="0"/>
            </w:tcBorders>
            <w:shd w:val="clear" w:color="auto" w:fill="auto"/>
            <w:vAlign w:val="center"/>
          </w:tcPr>
          <w:p w14:paraId="0F11B18B">
            <w:pPr>
              <w:autoSpaceDE w:val="0"/>
              <w:spacing w:line="360" w:lineRule="auto"/>
              <w:jc w:val="center"/>
              <w:rPr>
                <w:rFonts w:ascii="宋体" w:hAnsi="宋体" w:cs="宋体"/>
                <w:color w:val="auto"/>
                <w:sz w:val="24"/>
                <w:highlight w:val="none"/>
              </w:rPr>
            </w:pPr>
          </w:p>
        </w:tc>
        <w:tc>
          <w:tcPr>
            <w:tcW w:w="1452" w:type="pct"/>
            <w:tcBorders>
              <w:top w:val="single" w:color="auto" w:sz="4" w:space="0"/>
              <w:left w:val="nil"/>
              <w:bottom w:val="single" w:color="auto" w:sz="4" w:space="0"/>
              <w:right w:val="single" w:color="auto" w:sz="4" w:space="0"/>
            </w:tcBorders>
            <w:shd w:val="clear" w:color="auto" w:fill="auto"/>
            <w:vAlign w:val="center"/>
          </w:tcPr>
          <w:p w14:paraId="23736E4A">
            <w:pPr>
              <w:autoSpaceDE w:val="0"/>
              <w:spacing w:line="360" w:lineRule="auto"/>
              <w:jc w:val="center"/>
              <w:rPr>
                <w:rFonts w:ascii="宋体" w:hAnsi="宋体" w:cs="宋体"/>
                <w:color w:val="auto"/>
                <w:sz w:val="24"/>
                <w:highlight w:val="none"/>
              </w:rPr>
            </w:pPr>
          </w:p>
        </w:tc>
        <w:tc>
          <w:tcPr>
            <w:tcW w:w="706" w:type="pct"/>
            <w:tcBorders>
              <w:top w:val="single" w:color="auto" w:sz="4" w:space="0"/>
              <w:left w:val="nil"/>
              <w:bottom w:val="single" w:color="auto" w:sz="4" w:space="0"/>
              <w:right w:val="single" w:color="auto" w:sz="4" w:space="0"/>
            </w:tcBorders>
            <w:shd w:val="clear" w:color="auto" w:fill="auto"/>
            <w:vAlign w:val="center"/>
          </w:tcPr>
          <w:p w14:paraId="3FFDB44C">
            <w:pPr>
              <w:autoSpaceDE w:val="0"/>
              <w:spacing w:line="360" w:lineRule="auto"/>
              <w:jc w:val="center"/>
              <w:rPr>
                <w:rFonts w:ascii="宋体" w:hAnsi="宋体" w:cs="宋体"/>
                <w:color w:val="auto"/>
                <w:sz w:val="24"/>
                <w:highlight w:val="none"/>
              </w:rPr>
            </w:pPr>
          </w:p>
        </w:tc>
      </w:tr>
    </w:tbl>
    <w:p w14:paraId="379779E4">
      <w:pPr>
        <w:autoSpaceDE w:val="0"/>
        <w:spacing w:line="360" w:lineRule="auto"/>
        <w:jc w:val="left"/>
        <w:rPr>
          <w:rFonts w:ascii="宋体" w:hAnsi="宋体" w:cs="宋体"/>
          <w:color w:val="auto"/>
          <w:sz w:val="24"/>
          <w:highlight w:val="none"/>
        </w:rPr>
      </w:pPr>
      <w:r>
        <w:rPr>
          <w:rFonts w:hint="eastAsia" w:ascii="宋体" w:hAnsi="宋体" w:cs="宋体"/>
          <w:color w:val="auto"/>
          <w:sz w:val="24"/>
          <w:highlight w:val="none"/>
          <w:lang w:bidi="ar"/>
        </w:rPr>
        <w:t>注：</w:t>
      </w:r>
    </w:p>
    <w:p w14:paraId="508616E0">
      <w:pPr>
        <w:autoSpaceDE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1. 说明：应对照磋商文件“第三章 采购需求”中的</w:t>
      </w:r>
      <w:r>
        <w:rPr>
          <w:rFonts w:hint="eastAsia" w:ascii="宋体" w:hAnsi="宋体" w:cs="宋体"/>
          <w:color w:val="auto"/>
          <w:sz w:val="24"/>
          <w:highlight w:val="none"/>
          <w:lang w:eastAsia="zh-CN" w:bidi="ar"/>
        </w:rPr>
        <w:t>服务需求</w:t>
      </w:r>
      <w:r>
        <w:rPr>
          <w:rFonts w:hint="eastAsia" w:ascii="宋体" w:hAnsi="宋体" w:cs="宋体"/>
          <w:color w:val="auto"/>
          <w:sz w:val="24"/>
          <w:highlight w:val="none"/>
          <w:lang w:bidi="ar"/>
        </w:rPr>
        <w:t>逐条实质性响应，并作出偏离说明。</w:t>
      </w:r>
    </w:p>
    <w:p w14:paraId="2971A3CB">
      <w:pPr>
        <w:autoSpaceDE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2.供应商应根据自身的承诺，对照磋商文件要求，在“偏离说明”中注明“正偏离”、“负偏离”或者“无偏离”。既不属于“正偏离”也不属于“负偏离”即为“无偏离”。</w:t>
      </w:r>
    </w:p>
    <w:p w14:paraId="27B80AFD">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25ED97E7">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法定代表人或者委托代理人（签字或签章）：</w:t>
      </w:r>
    </w:p>
    <w:p w14:paraId="6B98CB36">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供应商（电子签章）：</w:t>
      </w:r>
    </w:p>
    <w:p w14:paraId="5B569505">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日期：   年   月   日</w:t>
      </w:r>
    </w:p>
    <w:p w14:paraId="716995C8">
      <w:pPr>
        <w:autoSpaceDE w:val="0"/>
        <w:spacing w:before="340" w:after="330" w:line="520" w:lineRule="exact"/>
        <w:jc w:val="center"/>
        <w:rPr>
          <w:rFonts w:ascii="宋体" w:hAnsi="宋体" w:cs="宋体"/>
          <w:b/>
          <w:bCs/>
          <w:color w:val="auto"/>
          <w:sz w:val="44"/>
          <w:szCs w:val="44"/>
          <w:highlight w:val="none"/>
        </w:rPr>
      </w:pPr>
      <w:r>
        <w:rPr>
          <w:rFonts w:hint="eastAsia" w:ascii="宋体" w:hAnsi="宋体" w:cs="宋体"/>
          <w:color w:val="auto"/>
          <w:sz w:val="24"/>
          <w:highlight w:val="none"/>
          <w:lang w:bidi="ar"/>
        </w:rPr>
        <w:br w:type="page"/>
      </w:r>
      <w:r>
        <w:rPr>
          <w:rFonts w:hint="eastAsia" w:ascii="宋体" w:hAnsi="宋体" w:cs="宋体"/>
          <w:b/>
          <w:bCs/>
          <w:color w:val="auto"/>
          <w:sz w:val="44"/>
          <w:szCs w:val="44"/>
          <w:highlight w:val="none"/>
          <w:lang w:bidi="ar"/>
        </w:rPr>
        <w:t>无串通竞标行为的承诺函</w:t>
      </w:r>
    </w:p>
    <w:p w14:paraId="6F32C18D">
      <w:pPr>
        <w:autoSpaceDE w:val="0"/>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lang w:bidi="ar"/>
        </w:rPr>
        <w:t>一、我方承诺无下列相互串通竞标的情形：</w:t>
      </w:r>
    </w:p>
    <w:p w14:paraId="5FE00365">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1.不同供应商的响应文件由同一单位或者个人编制；或者不同供应商报名的IP地址一致的；</w:t>
      </w:r>
    </w:p>
    <w:p w14:paraId="54F6B9A9">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2.不同供应商委托同一单位或者个人办理竞标事宜；</w:t>
      </w:r>
    </w:p>
    <w:p w14:paraId="453F4EF7">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3.不同供应商的响应文件载明的项目管理员为同一个人；</w:t>
      </w:r>
    </w:p>
    <w:p w14:paraId="3A4413F2">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4.不</w:t>
      </w:r>
      <w:r>
        <w:rPr>
          <w:rFonts w:hint="eastAsia" w:ascii="宋体" w:hAnsi="宋体" w:cs="宋体"/>
          <w:color w:val="auto"/>
          <w:spacing w:val="-6"/>
          <w:sz w:val="24"/>
          <w:highlight w:val="none"/>
          <w:lang w:bidi="ar"/>
        </w:rPr>
        <w:t>同供应商的响应文件异常一致或者竞标报价呈规律性差异；</w:t>
      </w:r>
    </w:p>
    <w:p w14:paraId="27635828">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5.不同供应商的响应文件相互混装；</w:t>
      </w:r>
    </w:p>
    <w:p w14:paraId="029BEA89">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6.不同供应商的磋商保证金从同一单位或者个人账户转出。</w:t>
      </w:r>
    </w:p>
    <w:p w14:paraId="47D567C6">
      <w:pPr>
        <w:autoSpaceDE w:val="0"/>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lang w:bidi="ar"/>
        </w:rPr>
        <w:t>二、我方承诺无下列恶意串通的情形：</w:t>
      </w:r>
    </w:p>
    <w:p w14:paraId="1E3BAD35">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1.供应商直接或者间接从采购人或者采购代理机构处获得其他供应商的相关信息并修改其响应文件；</w:t>
      </w:r>
    </w:p>
    <w:p w14:paraId="41D35483">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2.供应商按照采购人或者采购代理机构的授意撤换、修改响应文件；</w:t>
      </w:r>
    </w:p>
    <w:p w14:paraId="69EE643B">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3.供</w:t>
      </w:r>
      <w:r>
        <w:rPr>
          <w:rFonts w:hint="eastAsia" w:ascii="宋体" w:hAnsi="宋体" w:cs="宋体"/>
          <w:color w:val="auto"/>
          <w:spacing w:val="-6"/>
          <w:sz w:val="24"/>
          <w:highlight w:val="none"/>
          <w:lang w:bidi="ar"/>
        </w:rPr>
        <w:t>应商之间协商报价、技术方案等响应文件的实质性内容；</w:t>
      </w:r>
    </w:p>
    <w:p w14:paraId="243A6394">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4.属于同一集团、协会、商会等组织成员的供应商按照该组织要求协同参加政府采购活动；</w:t>
      </w:r>
    </w:p>
    <w:p w14:paraId="0EC31FDF">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5.供应商之间事先约定一致抬高或者压低竞标报价，或者在竞争性磋商项目中事先约定轮流以高价位或者低价位成交，或者事先约定由某一特定供应商成交，然后再参加竞标；</w:t>
      </w:r>
    </w:p>
    <w:p w14:paraId="795543F2">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6.供应商之间商定部分供应商放弃参加政府采购活动或者放弃成交；</w:t>
      </w:r>
    </w:p>
    <w:p w14:paraId="40280916">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7.供应商与采购人或者采购代理机构之间、供应商相互之间，为</w:t>
      </w:r>
      <w:r>
        <w:rPr>
          <w:rFonts w:hint="eastAsia" w:ascii="宋体" w:hAnsi="宋体" w:cs="宋体"/>
          <w:color w:val="auto"/>
          <w:spacing w:val="-6"/>
          <w:sz w:val="24"/>
          <w:highlight w:val="none"/>
          <w:lang w:bidi="ar"/>
        </w:rPr>
        <w:t>谋求特定供应商成交或者排斥其他供应商的其他串通行为。</w:t>
      </w:r>
    </w:p>
    <w:p w14:paraId="077579FF">
      <w:pPr>
        <w:autoSpaceDE w:val="0"/>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lang w:bidi="ar"/>
        </w:rPr>
        <w:t>以上情形一经核查属实，我方愿意承担一切后果，并不再寻求任何旨在减轻或者免除法律责任的辩解。</w:t>
      </w:r>
    </w:p>
    <w:p w14:paraId="7CE46104">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40801102">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供应商（电子签章）：</w:t>
      </w:r>
    </w:p>
    <w:p w14:paraId="18BD8724">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日期：   年   月   日</w:t>
      </w:r>
    </w:p>
    <w:p w14:paraId="647905B8">
      <w:pPr>
        <w:autoSpaceDE w:val="0"/>
        <w:spacing w:before="340" w:after="330" w:line="360" w:lineRule="auto"/>
        <w:jc w:val="center"/>
        <w:rPr>
          <w:rFonts w:ascii="宋体" w:hAnsi="宋体" w:cs="宋体"/>
          <w:b/>
          <w:bCs/>
          <w:color w:val="auto"/>
          <w:sz w:val="44"/>
          <w:szCs w:val="44"/>
          <w:highlight w:val="none"/>
        </w:rPr>
      </w:pPr>
      <w:r>
        <w:rPr>
          <w:rFonts w:hint="eastAsia" w:ascii="宋体" w:hAnsi="宋体" w:cs="宋体"/>
          <w:color w:val="auto"/>
          <w:sz w:val="24"/>
          <w:highlight w:val="none"/>
          <w:lang w:bidi="ar"/>
        </w:rPr>
        <w:br w:type="page"/>
      </w:r>
      <w:r>
        <w:rPr>
          <w:rFonts w:hint="eastAsia" w:ascii="宋体" w:hAnsi="宋体" w:cs="宋体"/>
          <w:b/>
          <w:bCs/>
          <w:color w:val="auto"/>
          <w:sz w:val="44"/>
          <w:szCs w:val="44"/>
          <w:highlight w:val="none"/>
          <w:lang w:bidi="ar"/>
        </w:rPr>
        <w:t>法定代表人证明书</w:t>
      </w:r>
    </w:p>
    <w:p w14:paraId="56CEA364">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供应商名称：</w:t>
      </w:r>
      <w:r>
        <w:rPr>
          <w:rFonts w:hint="eastAsia" w:ascii="宋体" w:hAnsi="宋体" w:cs="宋体"/>
          <w:color w:val="auto"/>
          <w:sz w:val="24"/>
          <w:highlight w:val="none"/>
          <w:u w:val="single"/>
          <w:lang w:bidi="ar"/>
        </w:rPr>
        <w:t xml:space="preserve">                                         </w:t>
      </w:r>
    </w:p>
    <w:p w14:paraId="233F1C93">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地    址：</w:t>
      </w:r>
      <w:r>
        <w:rPr>
          <w:rFonts w:hint="eastAsia" w:ascii="宋体" w:hAnsi="宋体" w:cs="宋体"/>
          <w:color w:val="auto"/>
          <w:sz w:val="24"/>
          <w:highlight w:val="none"/>
          <w:u w:val="single"/>
          <w:lang w:bidi="ar"/>
        </w:rPr>
        <w:t xml:space="preserve">                                           </w:t>
      </w:r>
    </w:p>
    <w:p w14:paraId="49589183">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姓    名：</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性     别：</w:t>
      </w:r>
      <w:r>
        <w:rPr>
          <w:rFonts w:hint="eastAsia" w:ascii="宋体" w:hAnsi="宋体" w:cs="宋体"/>
          <w:color w:val="auto"/>
          <w:sz w:val="24"/>
          <w:highlight w:val="none"/>
          <w:u w:val="single"/>
          <w:lang w:bidi="ar"/>
        </w:rPr>
        <w:t xml:space="preserve">                </w:t>
      </w:r>
    </w:p>
    <w:p w14:paraId="0115AB66">
      <w:pPr>
        <w:autoSpaceDE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lang w:bidi="ar"/>
        </w:rPr>
        <w:t>年    龄：</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职     务：</w:t>
      </w:r>
      <w:r>
        <w:rPr>
          <w:rFonts w:hint="eastAsia" w:ascii="宋体" w:hAnsi="宋体" w:cs="宋体"/>
          <w:color w:val="auto"/>
          <w:sz w:val="24"/>
          <w:highlight w:val="none"/>
          <w:u w:val="single"/>
          <w:lang w:bidi="ar"/>
        </w:rPr>
        <w:t xml:space="preserve">                </w:t>
      </w:r>
    </w:p>
    <w:p w14:paraId="1F9C1632">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身份证号码：</w:t>
      </w:r>
      <w:r>
        <w:rPr>
          <w:rFonts w:hint="eastAsia" w:ascii="宋体" w:hAnsi="宋体" w:cs="宋体"/>
          <w:color w:val="auto"/>
          <w:sz w:val="24"/>
          <w:highlight w:val="none"/>
          <w:u w:val="single"/>
          <w:lang w:bidi="ar"/>
        </w:rPr>
        <w:t xml:space="preserve">                                         </w:t>
      </w:r>
    </w:p>
    <w:p w14:paraId="6F864803">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系</w:t>
      </w:r>
      <w:r>
        <w:rPr>
          <w:rFonts w:hint="eastAsia" w:ascii="宋体" w:hAnsi="宋体" w:cs="宋体"/>
          <w:color w:val="auto"/>
          <w:sz w:val="24"/>
          <w:highlight w:val="none"/>
          <w:u w:val="single"/>
          <w:lang w:bidi="ar"/>
        </w:rPr>
        <w:t>（供应商名称）</w:t>
      </w:r>
      <w:r>
        <w:rPr>
          <w:rFonts w:hint="eastAsia" w:ascii="宋体" w:hAnsi="宋体" w:cs="宋体"/>
          <w:color w:val="auto"/>
          <w:sz w:val="24"/>
          <w:highlight w:val="none"/>
          <w:lang w:bidi="ar"/>
        </w:rPr>
        <w:t>的法定代表人。</w:t>
      </w:r>
    </w:p>
    <w:p w14:paraId="05FC296C">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特此证明。</w:t>
      </w:r>
    </w:p>
    <w:p w14:paraId="4DF12BFD">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17DD1A0E">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附件：法定代表人有效身份证正反面扫描件</w:t>
      </w:r>
    </w:p>
    <w:p w14:paraId="3D1AC705">
      <w:pPr>
        <w:autoSpaceDE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53F8E549">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供应商（电子签章）：</w:t>
      </w:r>
    </w:p>
    <w:p w14:paraId="5AE45ACA">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日期：   年   月   日</w:t>
      </w:r>
    </w:p>
    <w:p w14:paraId="5D51EB83">
      <w:pPr>
        <w:autoSpaceDE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2AE87D60">
      <w:pPr>
        <w:autoSpaceDE w:val="0"/>
        <w:spacing w:line="360" w:lineRule="auto"/>
        <w:jc w:val="left"/>
        <w:rPr>
          <w:rFonts w:ascii="宋体" w:hAnsi="宋体" w:cs="宋体"/>
          <w:color w:val="auto"/>
          <w:sz w:val="24"/>
          <w:highlight w:val="none"/>
        </w:rPr>
      </w:pPr>
      <w:r>
        <w:rPr>
          <w:rFonts w:hint="eastAsia" w:ascii="宋体" w:hAnsi="宋体" w:cs="宋体"/>
          <w:color w:val="auto"/>
          <w:sz w:val="24"/>
          <w:highlight w:val="none"/>
          <w:lang w:bidi="ar"/>
        </w:rPr>
        <w:t>注：1.自然人竞标的无需提供，联合体竞标的只需牵头人出具。</w:t>
      </w:r>
    </w:p>
    <w:p w14:paraId="52D58E4D">
      <w:pPr>
        <w:autoSpaceDE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bidi="ar"/>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6B0BD75">
      <w:pPr>
        <w:autoSpaceDE w:val="0"/>
        <w:spacing w:before="340" w:after="330" w:line="360" w:lineRule="auto"/>
        <w:jc w:val="center"/>
        <w:rPr>
          <w:rFonts w:ascii="宋体" w:hAnsi="宋体" w:cs="宋体"/>
          <w:b/>
          <w:bCs/>
          <w:color w:val="auto"/>
          <w:sz w:val="44"/>
          <w:szCs w:val="44"/>
          <w:highlight w:val="none"/>
        </w:rPr>
      </w:pPr>
      <w:r>
        <w:rPr>
          <w:rFonts w:hint="eastAsia" w:ascii="宋体" w:hAnsi="宋体" w:cs="宋体"/>
          <w:color w:val="auto"/>
          <w:sz w:val="24"/>
          <w:highlight w:val="none"/>
          <w:lang w:bidi="ar"/>
        </w:rPr>
        <w:br w:type="page"/>
      </w:r>
      <w:r>
        <w:rPr>
          <w:rFonts w:hint="eastAsia" w:ascii="宋体" w:hAnsi="宋体" w:cs="宋体"/>
          <w:b/>
          <w:bCs/>
          <w:color w:val="auto"/>
          <w:sz w:val="44"/>
          <w:szCs w:val="44"/>
          <w:highlight w:val="none"/>
          <w:lang w:bidi="ar"/>
        </w:rPr>
        <w:t>法定代表人授权委托书（非联合体竞标格式）（如有委托时）</w:t>
      </w:r>
    </w:p>
    <w:p w14:paraId="601C40E3">
      <w:pPr>
        <w:spacing w:line="360" w:lineRule="auto"/>
        <w:rPr>
          <w:rFonts w:ascii="宋体" w:hAnsi="宋体" w:cs="宋体"/>
          <w:color w:val="auto"/>
          <w:sz w:val="24"/>
          <w:highlight w:val="none"/>
        </w:rPr>
      </w:pPr>
      <w:r>
        <w:rPr>
          <w:rFonts w:hint="eastAsia" w:ascii="宋体" w:hAnsi="宋体" w:cs="宋体"/>
          <w:color w:val="auto"/>
          <w:sz w:val="24"/>
          <w:highlight w:val="none"/>
          <w:lang w:bidi="ar"/>
        </w:rPr>
        <w:t>致：</w:t>
      </w:r>
      <w:r>
        <w:rPr>
          <w:rFonts w:hint="eastAsia" w:ascii="宋体" w:hAnsi="宋体" w:cs="宋体"/>
          <w:color w:val="auto"/>
          <w:sz w:val="24"/>
          <w:highlight w:val="none"/>
          <w:u w:val="single"/>
          <w:lang w:bidi="ar"/>
        </w:rPr>
        <w:t>（采购人名称）</w:t>
      </w:r>
      <w:r>
        <w:rPr>
          <w:rFonts w:hint="eastAsia" w:ascii="宋体" w:hAnsi="宋体" w:cs="宋体"/>
          <w:color w:val="auto"/>
          <w:sz w:val="24"/>
          <w:highlight w:val="none"/>
          <w:lang w:bidi="ar"/>
        </w:rPr>
        <w:t>：</w:t>
      </w:r>
    </w:p>
    <w:p w14:paraId="069542D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我</w:t>
      </w:r>
      <w:r>
        <w:rPr>
          <w:rFonts w:hint="eastAsia" w:ascii="宋体" w:hAnsi="宋体" w:cs="宋体"/>
          <w:color w:val="auto"/>
          <w:sz w:val="24"/>
          <w:highlight w:val="none"/>
          <w:u w:val="single"/>
          <w:lang w:bidi="ar"/>
        </w:rPr>
        <w:t>（姓名）</w:t>
      </w:r>
      <w:r>
        <w:rPr>
          <w:rFonts w:hint="eastAsia" w:ascii="宋体" w:hAnsi="宋体" w:cs="宋体"/>
          <w:color w:val="auto"/>
          <w:sz w:val="24"/>
          <w:highlight w:val="none"/>
          <w:lang w:bidi="ar"/>
        </w:rPr>
        <w:t>系</w:t>
      </w:r>
      <w:r>
        <w:rPr>
          <w:rFonts w:hint="eastAsia" w:ascii="宋体" w:hAnsi="宋体" w:cs="宋体"/>
          <w:color w:val="auto"/>
          <w:sz w:val="24"/>
          <w:highlight w:val="none"/>
          <w:u w:val="single"/>
          <w:lang w:bidi="ar"/>
        </w:rPr>
        <w:t>（供应商名称）</w:t>
      </w:r>
      <w:r>
        <w:rPr>
          <w:rFonts w:hint="eastAsia" w:ascii="宋体" w:hAnsi="宋体" w:cs="宋体"/>
          <w:color w:val="auto"/>
          <w:sz w:val="24"/>
          <w:highlight w:val="none"/>
          <w:lang w:bidi="ar"/>
        </w:rPr>
        <w:t>的（</w:t>
      </w:r>
      <w:r>
        <w:rPr>
          <w:rFonts w:hint="eastAsia" w:ascii="宋体" w:hAnsi="宋体" w:cs="宋体"/>
          <w:color w:val="auto"/>
          <w:sz w:val="24"/>
          <w:highlight w:val="none"/>
          <w:u w:val="single"/>
          <w:lang w:bidi="ar"/>
        </w:rPr>
        <w:t>£法定代表人/□负责人/□自然人本人</w:t>
      </w:r>
      <w:r>
        <w:rPr>
          <w:rFonts w:hint="eastAsia" w:ascii="宋体" w:hAnsi="宋体" w:cs="宋体"/>
          <w:color w:val="auto"/>
          <w:sz w:val="24"/>
          <w:highlight w:val="none"/>
          <w:lang w:bidi="ar"/>
        </w:rPr>
        <w:t>），现授权</w:t>
      </w:r>
      <w:r>
        <w:rPr>
          <w:rFonts w:hint="eastAsia" w:ascii="宋体" w:hAnsi="宋体" w:cs="宋体"/>
          <w:color w:val="auto"/>
          <w:sz w:val="24"/>
          <w:highlight w:val="none"/>
          <w:u w:val="single"/>
          <w:lang w:bidi="ar"/>
        </w:rPr>
        <w:t>（姓名）</w:t>
      </w:r>
      <w:r>
        <w:rPr>
          <w:rFonts w:hint="eastAsia" w:ascii="宋体" w:hAnsi="宋体" w:cs="宋体"/>
          <w:color w:val="auto"/>
          <w:sz w:val="24"/>
          <w:highlight w:val="none"/>
          <w:lang w:bidi="ar"/>
        </w:rPr>
        <w:t>以我方的名义参加</w:t>
      </w:r>
      <w:r>
        <w:rPr>
          <w:rFonts w:hint="eastAsia" w:ascii="宋体" w:hAnsi="宋体" w:cs="宋体"/>
          <w:color w:val="auto"/>
          <w:sz w:val="24"/>
          <w:highlight w:val="none"/>
          <w:u w:val="single"/>
          <w:lang w:bidi="ar"/>
        </w:rPr>
        <w:t xml:space="preserve">        </w:t>
      </w:r>
      <w:r>
        <w:rPr>
          <w:rFonts w:hint="eastAsia" w:ascii="宋体" w:hAnsi="宋体" w:cs="宋体"/>
          <w:color w:val="auto"/>
          <w:sz w:val="24"/>
          <w:highlight w:val="none"/>
          <w:lang w:bidi="ar"/>
        </w:rPr>
        <w:t>项目的竞标活动，并代表我方全权办理针对上述项目的所有采购程序和环节的具体事务和签署相关文件。</w:t>
      </w:r>
    </w:p>
    <w:p w14:paraId="0E040975">
      <w:pPr>
        <w:spacing w:line="360" w:lineRule="auto"/>
        <w:rPr>
          <w:rFonts w:ascii="宋体" w:hAnsi="宋体" w:cs="宋体"/>
          <w:color w:val="auto"/>
          <w:sz w:val="24"/>
          <w:highlight w:val="none"/>
        </w:rPr>
      </w:pPr>
      <w:r>
        <w:rPr>
          <w:rFonts w:hint="eastAsia" w:ascii="宋体" w:hAnsi="宋体" w:cs="宋体"/>
          <w:color w:val="auto"/>
          <w:sz w:val="24"/>
          <w:highlight w:val="none"/>
          <w:lang w:bidi="ar"/>
        </w:rPr>
        <w:t xml:space="preserve">    我方对委托代理人的签字事项负全部责任。</w:t>
      </w:r>
    </w:p>
    <w:p w14:paraId="59F908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本授权书自签署之日起生效，在撤销授权的书面通知以前，本授权书一直有效。委托代理人在授权书有效期内签署的所有文件不因授权的撤销而失效。</w:t>
      </w:r>
    </w:p>
    <w:p w14:paraId="19C2687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委托代理人无转委托权，特此委托。</w:t>
      </w:r>
    </w:p>
    <w:p w14:paraId="2B48EE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附：法定代表人身份证明书及委托代理人有效身份证正反面扫描件</w:t>
      </w:r>
    </w:p>
    <w:p w14:paraId="216DBEA4">
      <w:pPr>
        <w:spacing w:line="360" w:lineRule="auto"/>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619CDB09">
      <w:pPr>
        <w:spacing w:line="360" w:lineRule="auto"/>
        <w:rPr>
          <w:rFonts w:ascii="宋体" w:hAnsi="宋体" w:cs="宋体"/>
          <w:color w:val="auto"/>
          <w:sz w:val="24"/>
          <w:highlight w:val="none"/>
        </w:rPr>
      </w:pPr>
      <w:r>
        <w:rPr>
          <w:rFonts w:hint="eastAsia" w:ascii="宋体" w:hAnsi="宋体" w:cs="宋体"/>
          <w:color w:val="auto"/>
          <w:sz w:val="24"/>
          <w:highlight w:val="none"/>
          <w:lang w:bidi="ar"/>
        </w:rPr>
        <w:t>委托代理人（签字或签章）：         法定代表人（签字或签章）：</w:t>
      </w:r>
    </w:p>
    <w:p w14:paraId="4CC873CA">
      <w:pPr>
        <w:spacing w:line="360" w:lineRule="auto"/>
        <w:rPr>
          <w:rFonts w:ascii="宋体" w:hAnsi="宋体" w:cs="宋体"/>
          <w:color w:val="auto"/>
          <w:sz w:val="24"/>
          <w:highlight w:val="none"/>
        </w:rPr>
      </w:pPr>
      <w:r>
        <w:rPr>
          <w:rFonts w:hint="eastAsia" w:ascii="宋体" w:hAnsi="宋体" w:cs="宋体"/>
          <w:color w:val="auto"/>
          <w:sz w:val="24"/>
          <w:highlight w:val="none"/>
          <w:lang w:bidi="ar"/>
        </w:rPr>
        <w:t>委托代理人身份证号码：</w:t>
      </w:r>
    </w:p>
    <w:p w14:paraId="658C2787">
      <w:pPr>
        <w:spacing w:line="360" w:lineRule="auto"/>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2251D922">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供应商（电子签章）：</w:t>
      </w:r>
    </w:p>
    <w:p w14:paraId="4068E79C">
      <w:pPr>
        <w:autoSpaceDE w:val="0"/>
        <w:spacing w:line="360" w:lineRule="auto"/>
        <w:ind w:firstLine="4320" w:firstLineChars="1800"/>
        <w:rPr>
          <w:rFonts w:ascii="宋体" w:hAnsi="宋体" w:cs="宋体"/>
          <w:color w:val="auto"/>
          <w:sz w:val="24"/>
          <w:highlight w:val="none"/>
        </w:rPr>
      </w:pPr>
      <w:r>
        <w:rPr>
          <w:rFonts w:hint="eastAsia" w:ascii="宋体" w:hAnsi="宋体" w:cs="宋体"/>
          <w:color w:val="auto"/>
          <w:sz w:val="24"/>
          <w:highlight w:val="none"/>
          <w:lang w:bidi="ar"/>
        </w:rPr>
        <w:t>日期：   年   月   日</w:t>
      </w:r>
    </w:p>
    <w:p w14:paraId="4B6A7793">
      <w:pPr>
        <w:spacing w:line="360" w:lineRule="auto"/>
        <w:rPr>
          <w:rFonts w:ascii="宋体" w:hAnsi="宋体" w:cs="宋体"/>
          <w:color w:val="auto"/>
          <w:sz w:val="24"/>
          <w:highlight w:val="none"/>
        </w:rPr>
      </w:pPr>
      <w:r>
        <w:rPr>
          <w:rFonts w:hint="eastAsia" w:ascii="宋体" w:hAnsi="宋体" w:cs="宋体"/>
          <w:color w:val="auto"/>
          <w:sz w:val="24"/>
          <w:highlight w:val="none"/>
          <w:lang w:bidi="ar"/>
        </w:rPr>
        <w:t xml:space="preserve"> </w:t>
      </w:r>
    </w:p>
    <w:p w14:paraId="09B6D20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bidi="ar"/>
        </w:rPr>
        <w:t>注：供应商为其他组织或者自然人时，本磋商文件规定的法定代表人指负责人或者自然人。本磋商文件所称负责人是指参加竞标的其他组织营业执照上的负责人，本磋商文件所称自然人指参与竞标的自然人本人。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CF86A96">
      <w:pPr>
        <w:autoSpaceDE w:val="0"/>
        <w:spacing w:before="340" w:after="330" w:line="360" w:lineRule="auto"/>
        <w:jc w:val="center"/>
        <w:rPr>
          <w:b/>
          <w:bCs/>
          <w:color w:val="auto"/>
          <w:sz w:val="44"/>
          <w:szCs w:val="44"/>
          <w:highlight w:val="none"/>
        </w:rPr>
      </w:pPr>
      <w:r>
        <w:rPr>
          <w:rFonts w:hint="eastAsia" w:ascii="宋体" w:hAnsi="宋体" w:cs="宋体"/>
          <w:color w:val="auto"/>
          <w:sz w:val="24"/>
          <w:highlight w:val="none"/>
          <w:lang w:bidi="ar"/>
        </w:rPr>
        <w:br w:type="page"/>
      </w:r>
      <w:r>
        <w:rPr>
          <w:rFonts w:hint="eastAsia" w:ascii="宋体" w:hAnsi="宋体" w:cs="宋体"/>
          <w:b/>
          <w:bCs/>
          <w:color w:val="auto"/>
          <w:sz w:val="44"/>
          <w:szCs w:val="44"/>
          <w:highlight w:val="none"/>
          <w:lang w:bidi="ar"/>
        </w:rPr>
        <w:t>拟投入人员情况表</w:t>
      </w:r>
    </w:p>
    <w:tbl>
      <w:tblPr>
        <w:tblStyle w:val="3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530"/>
        <w:gridCol w:w="1461"/>
        <w:gridCol w:w="1661"/>
        <w:gridCol w:w="2505"/>
        <w:gridCol w:w="864"/>
      </w:tblGrid>
      <w:tr w14:paraId="590D8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106498DD">
            <w:pPr>
              <w:spacing w:line="360" w:lineRule="auto"/>
              <w:jc w:val="center"/>
              <w:rPr>
                <w:rFonts w:ascii="宋体" w:hAnsi="宋体" w:cs="宋体"/>
                <w:color w:val="auto"/>
                <w:sz w:val="24"/>
                <w:highlight w:val="none"/>
                <w:lang w:bidi="ar"/>
              </w:rPr>
            </w:pPr>
            <w:r>
              <w:rPr>
                <w:rFonts w:hint="eastAsia" w:ascii="宋体" w:hAnsi="宋体" w:cs="宋体"/>
                <w:color w:val="auto"/>
                <w:sz w:val="24"/>
                <w:highlight w:val="none"/>
                <w:lang w:bidi="ar"/>
              </w:rPr>
              <w:t>序号</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26581551">
            <w:pPr>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姓名</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6ED9FDC9">
            <w:pPr>
              <w:spacing w:line="360" w:lineRule="auto"/>
              <w:jc w:val="center"/>
              <w:rPr>
                <w:rFonts w:ascii="宋体" w:hAnsi="宋体" w:cs="宋体"/>
                <w:color w:val="auto"/>
                <w:sz w:val="24"/>
                <w:highlight w:val="none"/>
              </w:rPr>
            </w:pPr>
            <w:r>
              <w:rPr>
                <w:rFonts w:hint="eastAsia" w:ascii="宋体" w:hAnsi="宋体" w:cs="宋体"/>
                <w:color w:val="auto"/>
                <w:sz w:val="24"/>
                <w:highlight w:val="none"/>
              </w:rPr>
              <w:t>职务</w:t>
            </w:r>
          </w:p>
        </w:tc>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14:paraId="1AFB307C">
            <w:pPr>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职称</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64C63FC7">
            <w:pPr>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证书名称</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7883FD00">
            <w:pPr>
              <w:spacing w:line="360" w:lineRule="auto"/>
              <w:jc w:val="center"/>
              <w:rPr>
                <w:rFonts w:ascii="宋体" w:hAnsi="宋体" w:cs="宋体"/>
                <w:color w:val="auto"/>
                <w:sz w:val="24"/>
                <w:highlight w:val="none"/>
              </w:rPr>
            </w:pPr>
            <w:r>
              <w:rPr>
                <w:rFonts w:hint="eastAsia" w:ascii="宋体" w:hAnsi="宋体" w:cs="宋体"/>
                <w:color w:val="auto"/>
                <w:sz w:val="24"/>
                <w:highlight w:val="none"/>
                <w:lang w:bidi="ar"/>
              </w:rPr>
              <w:t>备注</w:t>
            </w:r>
          </w:p>
        </w:tc>
      </w:tr>
      <w:tr w14:paraId="271B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5C9BE4C2">
            <w:pPr>
              <w:spacing w:line="360" w:lineRule="auto"/>
              <w:jc w:val="center"/>
              <w:rPr>
                <w:rFonts w:ascii="宋体" w:hAnsi="宋体" w:cs="宋体"/>
                <w:color w:val="auto"/>
                <w:sz w:val="24"/>
                <w:highlight w:val="none"/>
              </w:rPr>
            </w:pP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571A7723">
            <w:pPr>
              <w:spacing w:line="360" w:lineRule="auto"/>
              <w:jc w:val="center"/>
              <w:rPr>
                <w:rFonts w:ascii="宋体" w:hAnsi="宋体" w:cs="宋体"/>
                <w:color w:val="auto"/>
                <w:sz w:val="24"/>
                <w:highlight w:val="none"/>
              </w:rPr>
            </w:pP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11034233">
            <w:pPr>
              <w:spacing w:line="360" w:lineRule="auto"/>
              <w:jc w:val="center"/>
              <w:rPr>
                <w:rFonts w:ascii="宋体" w:hAnsi="宋体" w:cs="宋体"/>
                <w:color w:val="auto"/>
                <w:sz w:val="24"/>
                <w:highlight w:val="none"/>
              </w:rPr>
            </w:pPr>
          </w:p>
        </w:tc>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14:paraId="29E71E4D">
            <w:pPr>
              <w:spacing w:line="360" w:lineRule="auto"/>
              <w:jc w:val="center"/>
              <w:rPr>
                <w:rFonts w:ascii="宋体" w:hAnsi="宋体" w:cs="宋体"/>
                <w:color w:val="auto"/>
                <w:sz w:val="24"/>
                <w:highlight w:val="none"/>
              </w:rPr>
            </w:pP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47774380">
            <w:pPr>
              <w:spacing w:line="360" w:lineRule="auto"/>
              <w:jc w:val="center"/>
              <w:rPr>
                <w:rFonts w:ascii="宋体" w:hAnsi="宋体" w:cs="宋体"/>
                <w:color w:val="auto"/>
                <w:sz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4AE8F69D">
            <w:pPr>
              <w:spacing w:line="360" w:lineRule="auto"/>
              <w:jc w:val="center"/>
              <w:rPr>
                <w:rFonts w:ascii="宋体" w:hAnsi="宋体" w:cs="宋体"/>
                <w:color w:val="auto"/>
                <w:sz w:val="24"/>
                <w:highlight w:val="none"/>
              </w:rPr>
            </w:pPr>
          </w:p>
        </w:tc>
      </w:tr>
      <w:tr w14:paraId="0F5F1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2C1BFF02">
            <w:pPr>
              <w:spacing w:line="360" w:lineRule="auto"/>
              <w:jc w:val="center"/>
              <w:rPr>
                <w:rFonts w:ascii="宋体" w:hAnsi="宋体" w:cs="宋体"/>
                <w:color w:val="auto"/>
                <w:sz w:val="24"/>
                <w:highlight w:val="none"/>
              </w:rPr>
            </w:pP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4CF05671">
            <w:pPr>
              <w:spacing w:line="360" w:lineRule="auto"/>
              <w:jc w:val="center"/>
              <w:rPr>
                <w:rFonts w:ascii="宋体" w:hAnsi="宋体" w:cs="宋体"/>
                <w:color w:val="auto"/>
                <w:sz w:val="24"/>
                <w:highlight w:val="none"/>
              </w:rPr>
            </w:pP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49D2537E">
            <w:pPr>
              <w:spacing w:line="360" w:lineRule="auto"/>
              <w:jc w:val="center"/>
              <w:rPr>
                <w:rFonts w:ascii="宋体" w:hAnsi="宋体" w:cs="宋体"/>
                <w:color w:val="auto"/>
                <w:sz w:val="24"/>
                <w:highlight w:val="none"/>
              </w:rPr>
            </w:pPr>
          </w:p>
        </w:tc>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14:paraId="68BD6A2F">
            <w:pPr>
              <w:spacing w:line="360" w:lineRule="auto"/>
              <w:jc w:val="center"/>
              <w:rPr>
                <w:rFonts w:ascii="宋体" w:hAnsi="宋体" w:cs="宋体"/>
                <w:color w:val="auto"/>
                <w:sz w:val="24"/>
                <w:highlight w:val="none"/>
              </w:rPr>
            </w:pP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64B26EE8">
            <w:pPr>
              <w:spacing w:line="360" w:lineRule="auto"/>
              <w:jc w:val="center"/>
              <w:rPr>
                <w:rFonts w:ascii="宋体" w:hAnsi="宋体" w:cs="宋体"/>
                <w:color w:val="auto"/>
                <w:sz w:val="24"/>
                <w:highlight w:val="none"/>
              </w:rPr>
            </w:pP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38788D95">
            <w:pPr>
              <w:spacing w:line="360" w:lineRule="auto"/>
              <w:jc w:val="center"/>
              <w:rPr>
                <w:rFonts w:ascii="宋体" w:hAnsi="宋体" w:cs="宋体"/>
                <w:color w:val="auto"/>
                <w:sz w:val="24"/>
                <w:highlight w:val="none"/>
              </w:rPr>
            </w:pPr>
          </w:p>
        </w:tc>
      </w:tr>
      <w:tr w14:paraId="64C1F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03A99AAE">
            <w:pPr>
              <w:spacing w:line="360" w:lineRule="auto"/>
              <w:jc w:val="center"/>
              <w:rPr>
                <w:rFonts w:ascii="宋体" w:hAnsi="宋体" w:cs="宋体"/>
                <w:color w:val="auto"/>
                <w:sz w:val="24"/>
                <w:highlight w:val="none"/>
                <w:lang w:bidi="ar"/>
              </w:rPr>
            </w:pPr>
            <w:r>
              <w:rPr>
                <w:rFonts w:hint="eastAsia" w:ascii="宋体" w:hAnsi="宋体" w:cs="宋体"/>
                <w:color w:val="auto"/>
                <w:sz w:val="24"/>
                <w:highlight w:val="none"/>
                <w:lang w:bidi="ar"/>
              </w:rPr>
              <w:t>…</w:t>
            </w:r>
          </w:p>
        </w:tc>
        <w:tc>
          <w:tcPr>
            <w:tcW w:w="841" w:type="pct"/>
            <w:tcBorders>
              <w:top w:val="single" w:color="auto" w:sz="4" w:space="0"/>
              <w:left w:val="single" w:color="auto" w:sz="4" w:space="0"/>
              <w:bottom w:val="single" w:color="auto" w:sz="4" w:space="0"/>
              <w:right w:val="single" w:color="auto" w:sz="4" w:space="0"/>
            </w:tcBorders>
            <w:shd w:val="clear" w:color="auto" w:fill="auto"/>
            <w:vAlign w:val="center"/>
          </w:tcPr>
          <w:p w14:paraId="3BB4BD00">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803" w:type="pct"/>
            <w:tcBorders>
              <w:top w:val="single" w:color="auto" w:sz="4" w:space="0"/>
              <w:left w:val="single" w:color="auto" w:sz="4" w:space="0"/>
              <w:bottom w:val="single" w:color="auto" w:sz="4" w:space="0"/>
              <w:right w:val="single" w:color="auto" w:sz="4" w:space="0"/>
            </w:tcBorders>
            <w:shd w:val="clear" w:color="auto" w:fill="auto"/>
            <w:vAlign w:val="center"/>
          </w:tcPr>
          <w:p w14:paraId="04D738E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13" w:type="pct"/>
            <w:tcBorders>
              <w:top w:val="single" w:color="auto" w:sz="4" w:space="0"/>
              <w:left w:val="single" w:color="auto" w:sz="4" w:space="0"/>
              <w:bottom w:val="single" w:color="auto" w:sz="4" w:space="0"/>
              <w:right w:val="single" w:color="auto" w:sz="4" w:space="0"/>
            </w:tcBorders>
            <w:shd w:val="clear" w:color="auto" w:fill="auto"/>
            <w:vAlign w:val="center"/>
          </w:tcPr>
          <w:p w14:paraId="4676F8D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77" w:type="pct"/>
            <w:tcBorders>
              <w:top w:val="single" w:color="auto" w:sz="4" w:space="0"/>
              <w:left w:val="single" w:color="auto" w:sz="4" w:space="0"/>
              <w:bottom w:val="single" w:color="auto" w:sz="4" w:space="0"/>
              <w:right w:val="single" w:color="auto" w:sz="4" w:space="0"/>
            </w:tcBorders>
            <w:shd w:val="clear" w:color="auto" w:fill="auto"/>
            <w:vAlign w:val="center"/>
          </w:tcPr>
          <w:p w14:paraId="154C4CB2">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475" w:type="pct"/>
            <w:tcBorders>
              <w:top w:val="single" w:color="auto" w:sz="4" w:space="0"/>
              <w:left w:val="single" w:color="auto" w:sz="4" w:space="0"/>
              <w:bottom w:val="single" w:color="auto" w:sz="4" w:space="0"/>
              <w:right w:val="single" w:color="auto" w:sz="4" w:space="0"/>
            </w:tcBorders>
            <w:shd w:val="clear" w:color="auto" w:fill="auto"/>
            <w:vAlign w:val="center"/>
          </w:tcPr>
          <w:p w14:paraId="11A52D0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r>
    </w:tbl>
    <w:p w14:paraId="135D10C8">
      <w:pPr>
        <w:spacing w:line="360" w:lineRule="auto"/>
        <w:ind w:firstLine="470" w:firstLineChars="196"/>
        <w:rPr>
          <w:rFonts w:ascii="宋体" w:hAnsi="宋体" w:cs="宋体"/>
          <w:color w:val="auto"/>
          <w:sz w:val="24"/>
          <w:highlight w:val="none"/>
        </w:rPr>
      </w:pPr>
      <w:r>
        <w:rPr>
          <w:rFonts w:hint="eastAsia" w:ascii="宋体" w:hAnsi="宋体" w:cs="宋体"/>
          <w:color w:val="auto"/>
          <w:sz w:val="24"/>
          <w:highlight w:val="none"/>
          <w:lang w:bidi="ar"/>
        </w:rPr>
        <w:t>注：提供相关证书扫描件。</w:t>
      </w:r>
    </w:p>
    <w:p w14:paraId="549ECBA0">
      <w:pPr>
        <w:pStyle w:val="4"/>
        <w:spacing w:line="460" w:lineRule="exact"/>
        <w:jc w:val="center"/>
        <w:rPr>
          <w:rFonts w:hint="eastAsia" w:cs="宋体"/>
          <w:color w:val="auto"/>
          <w:kern w:val="2"/>
          <w:sz w:val="21"/>
          <w:szCs w:val="21"/>
          <w:highlight w:val="none"/>
        </w:rPr>
      </w:pPr>
    </w:p>
    <w:p w14:paraId="64395DD0">
      <w:pPr>
        <w:pStyle w:val="4"/>
        <w:spacing w:line="460" w:lineRule="exact"/>
        <w:jc w:val="center"/>
        <w:rPr>
          <w:rFonts w:hint="eastAsia" w:cs="宋体"/>
          <w:color w:val="auto"/>
          <w:kern w:val="2"/>
          <w:sz w:val="21"/>
          <w:szCs w:val="21"/>
          <w:highlight w:val="none"/>
        </w:rPr>
      </w:pPr>
    </w:p>
    <w:p w14:paraId="3130E4A5">
      <w:pPr>
        <w:pStyle w:val="4"/>
        <w:spacing w:line="460" w:lineRule="exact"/>
        <w:jc w:val="center"/>
        <w:rPr>
          <w:rFonts w:hint="eastAsia" w:cs="宋体"/>
          <w:color w:val="auto"/>
          <w:kern w:val="2"/>
          <w:sz w:val="21"/>
          <w:szCs w:val="21"/>
          <w:highlight w:val="none"/>
        </w:rPr>
      </w:pPr>
    </w:p>
    <w:p w14:paraId="4E0C4E68">
      <w:pPr>
        <w:pStyle w:val="4"/>
        <w:spacing w:line="460" w:lineRule="exact"/>
        <w:jc w:val="center"/>
        <w:rPr>
          <w:rFonts w:hint="eastAsia" w:cs="宋体"/>
          <w:color w:val="auto"/>
          <w:kern w:val="2"/>
          <w:sz w:val="21"/>
          <w:szCs w:val="21"/>
          <w:highlight w:val="none"/>
        </w:rPr>
      </w:pPr>
    </w:p>
    <w:p w14:paraId="1D8F76F0">
      <w:pPr>
        <w:pStyle w:val="4"/>
        <w:spacing w:line="460" w:lineRule="exact"/>
        <w:jc w:val="center"/>
        <w:rPr>
          <w:rFonts w:hint="eastAsia" w:cs="宋体"/>
          <w:color w:val="auto"/>
          <w:kern w:val="2"/>
          <w:sz w:val="21"/>
          <w:szCs w:val="21"/>
          <w:highlight w:val="none"/>
        </w:rPr>
      </w:pPr>
    </w:p>
    <w:p w14:paraId="3573AB4C">
      <w:pPr>
        <w:pStyle w:val="4"/>
        <w:spacing w:line="460" w:lineRule="exact"/>
        <w:jc w:val="center"/>
        <w:rPr>
          <w:rFonts w:hint="eastAsia" w:cs="宋体"/>
          <w:color w:val="auto"/>
          <w:kern w:val="2"/>
          <w:sz w:val="21"/>
          <w:szCs w:val="21"/>
          <w:highlight w:val="none"/>
        </w:rPr>
      </w:pPr>
    </w:p>
    <w:p w14:paraId="56E49D30">
      <w:pPr>
        <w:pStyle w:val="4"/>
        <w:spacing w:line="460" w:lineRule="exact"/>
        <w:jc w:val="center"/>
        <w:rPr>
          <w:rFonts w:hint="eastAsia" w:cs="宋体"/>
          <w:color w:val="auto"/>
          <w:kern w:val="2"/>
          <w:sz w:val="21"/>
          <w:szCs w:val="21"/>
          <w:highlight w:val="none"/>
        </w:rPr>
      </w:pPr>
    </w:p>
    <w:p w14:paraId="00229F41">
      <w:pPr>
        <w:rPr>
          <w:rFonts w:hint="eastAsia" w:cs="宋体"/>
          <w:color w:val="auto"/>
          <w:kern w:val="2"/>
          <w:sz w:val="21"/>
          <w:szCs w:val="21"/>
          <w:highlight w:val="none"/>
        </w:rPr>
      </w:pPr>
    </w:p>
    <w:p w14:paraId="56251F70">
      <w:pPr>
        <w:pStyle w:val="2"/>
        <w:rPr>
          <w:rFonts w:hint="eastAsia" w:cs="宋体"/>
          <w:color w:val="auto"/>
          <w:kern w:val="2"/>
          <w:sz w:val="21"/>
          <w:szCs w:val="21"/>
          <w:highlight w:val="none"/>
        </w:rPr>
      </w:pPr>
    </w:p>
    <w:p w14:paraId="398FFC12">
      <w:pPr>
        <w:pStyle w:val="4"/>
        <w:spacing w:line="460" w:lineRule="exact"/>
        <w:jc w:val="center"/>
        <w:rPr>
          <w:rFonts w:hint="eastAsia" w:cs="宋体"/>
          <w:color w:val="auto"/>
          <w:kern w:val="2"/>
          <w:sz w:val="21"/>
          <w:szCs w:val="21"/>
          <w:highlight w:val="none"/>
        </w:rPr>
      </w:pPr>
    </w:p>
    <w:p w14:paraId="74489D8F">
      <w:pPr>
        <w:rPr>
          <w:rFonts w:hint="eastAsia"/>
          <w:color w:val="auto"/>
          <w:highlight w:val="none"/>
        </w:rPr>
      </w:pPr>
    </w:p>
    <w:p w14:paraId="27EB9908">
      <w:pPr>
        <w:autoSpaceDE w:val="0"/>
        <w:spacing w:before="340" w:after="330" w:line="300" w:lineRule="auto"/>
        <w:jc w:val="center"/>
        <w:rPr>
          <w:rFonts w:hint="eastAsia" w:ascii="宋体" w:hAnsi="宋体" w:cs="宋体"/>
          <w:b/>
          <w:bCs/>
          <w:color w:val="auto"/>
          <w:sz w:val="44"/>
          <w:szCs w:val="44"/>
          <w:highlight w:val="none"/>
          <w:lang w:bidi="ar"/>
        </w:rPr>
      </w:pPr>
    </w:p>
    <w:p w14:paraId="6544A0E8">
      <w:pPr>
        <w:pStyle w:val="4"/>
        <w:spacing w:line="460" w:lineRule="exact"/>
        <w:jc w:val="center"/>
        <w:rPr>
          <w:rFonts w:ascii="宋体" w:hAnsi="宋体" w:cs="宋体"/>
          <w:color w:val="auto"/>
          <w:highlight w:val="none"/>
        </w:rPr>
      </w:pPr>
      <w:r>
        <w:rPr>
          <w:rFonts w:hint="eastAsia" w:ascii="宋体" w:hAnsi="宋体" w:cs="宋体"/>
          <w:color w:val="auto"/>
          <w:szCs w:val="21"/>
          <w:highlight w:val="none"/>
          <w:lang w:bidi="ar"/>
        </w:rPr>
        <w:br w:type="page"/>
      </w:r>
      <w:r>
        <w:rPr>
          <w:rFonts w:hint="eastAsia" w:ascii="宋体" w:hAnsi="宋体" w:cs="宋体"/>
          <w:color w:val="auto"/>
          <w:highlight w:val="none"/>
        </w:rPr>
        <w:t>第六章 合同文本</w:t>
      </w:r>
      <w:bookmarkEnd w:id="57"/>
    </w:p>
    <w:p w14:paraId="76E0AAD4">
      <w:pPr>
        <w:spacing w:line="240" w:lineRule="auto"/>
        <w:jc w:val="center"/>
        <w:rPr>
          <w:rFonts w:hint="eastAsia" w:ascii="宋体" w:hAnsi="宋体" w:eastAsia="宋体" w:cs="宋体"/>
          <w:b/>
          <w:bCs/>
          <w:color w:val="auto"/>
          <w:sz w:val="96"/>
          <w:szCs w:val="96"/>
          <w:highlight w:val="none"/>
          <w:lang w:eastAsia="zh-CN"/>
        </w:rPr>
      </w:pPr>
    </w:p>
    <w:p w14:paraId="546E514D">
      <w:pPr>
        <w:spacing w:line="240" w:lineRule="auto"/>
        <w:jc w:val="center"/>
        <w:rPr>
          <w:rFonts w:hint="eastAsia" w:ascii="Times New Roman" w:hAnsi="Times New Roman" w:eastAsia="等线" w:cs="Times New Roman"/>
          <w:b/>
          <w:bCs/>
          <w:color w:val="auto"/>
          <w:sz w:val="112"/>
          <w:szCs w:val="112"/>
          <w:highlight w:val="none"/>
          <w:lang w:val="en-US" w:eastAsia="zh-CN"/>
        </w:rPr>
      </w:pPr>
      <w:r>
        <w:rPr>
          <w:rFonts w:hint="eastAsia" w:ascii="宋体" w:hAnsi="宋体" w:eastAsia="宋体" w:cs="宋体"/>
          <w:b/>
          <w:bCs/>
          <w:color w:val="auto"/>
          <w:sz w:val="96"/>
          <w:szCs w:val="96"/>
          <w:highlight w:val="none"/>
          <w:lang w:eastAsia="zh-CN"/>
        </w:rPr>
        <w:t>政府采购服务合同</w:t>
      </w:r>
      <w:r>
        <w:rPr>
          <w:rFonts w:hint="eastAsia" w:ascii="宋体" w:hAnsi="宋体" w:eastAsia="宋体" w:cs="宋体"/>
          <w:b/>
          <w:bCs/>
          <w:color w:val="auto"/>
          <w:sz w:val="144"/>
          <w:szCs w:val="144"/>
          <w:highlight w:val="none"/>
          <w:lang w:val="en-US" w:eastAsia="zh-CN"/>
        </w:rPr>
        <w:t xml:space="preserve"> </w:t>
      </w:r>
    </w:p>
    <w:p w14:paraId="3402CAD5">
      <w:pPr>
        <w:spacing w:line="240" w:lineRule="auto"/>
        <w:rPr>
          <w:rFonts w:ascii="Times New Roman" w:hAnsi="Times New Roman" w:eastAsia="宋体" w:cs="Times New Roman"/>
          <w:b/>
          <w:bCs/>
          <w:color w:val="auto"/>
          <w:sz w:val="32"/>
          <w:szCs w:val="40"/>
          <w:highlight w:val="none"/>
        </w:rPr>
      </w:pPr>
    </w:p>
    <w:p w14:paraId="65006B94">
      <w:pPr>
        <w:keepNext w:val="0"/>
        <w:keepLines w:val="0"/>
        <w:pageBreakBefore w:val="0"/>
        <w:widowControl w:val="0"/>
        <w:kinsoku/>
        <w:wordWrap/>
        <w:overflowPunct/>
        <w:topLinePunct w:val="0"/>
        <w:autoSpaceDE/>
        <w:autoSpaceDN/>
        <w:bidi w:val="0"/>
        <w:adjustRightInd/>
        <w:snapToGrid w:val="0"/>
        <w:spacing w:after="156" w:afterLines="50" w:line="240" w:lineRule="auto"/>
        <w:textAlignment w:val="auto"/>
        <w:rPr>
          <w:rFonts w:hint="eastAsia" w:ascii="宋体" w:hAnsi="宋体" w:eastAsia="宋体" w:cs="宋体"/>
          <w:color w:val="auto"/>
          <w:sz w:val="32"/>
          <w:szCs w:val="32"/>
          <w:highlight w:val="none"/>
        </w:rPr>
      </w:pPr>
    </w:p>
    <w:p w14:paraId="1D3A1B79">
      <w:pPr>
        <w:keepNext w:val="0"/>
        <w:keepLines w:val="0"/>
        <w:pageBreakBefore w:val="0"/>
        <w:widowControl w:val="0"/>
        <w:kinsoku/>
        <w:wordWrap/>
        <w:overflowPunct/>
        <w:topLinePunct w:val="0"/>
        <w:autoSpaceDE/>
        <w:autoSpaceDN/>
        <w:bidi w:val="0"/>
        <w:adjustRightInd/>
        <w:snapToGrid w:val="0"/>
        <w:spacing w:after="156" w:afterLines="50" w:line="240" w:lineRule="auto"/>
        <w:textAlignment w:val="auto"/>
        <w:rPr>
          <w:rFonts w:hint="eastAsia" w:ascii="宋体" w:hAnsi="宋体" w:eastAsia="宋体" w:cs="宋体"/>
          <w:color w:val="auto"/>
          <w:sz w:val="32"/>
          <w:szCs w:val="32"/>
          <w:highlight w:val="none"/>
        </w:rPr>
      </w:pPr>
    </w:p>
    <w:p w14:paraId="1A14FBB1">
      <w:pPr>
        <w:pStyle w:val="48"/>
        <w:rPr>
          <w:rFonts w:hint="eastAsia"/>
          <w:color w:val="auto"/>
          <w:highlight w:val="none"/>
        </w:rPr>
      </w:pPr>
    </w:p>
    <w:p w14:paraId="1851FEFD">
      <w:pPr>
        <w:keepNext w:val="0"/>
        <w:keepLines w:val="0"/>
        <w:pageBreakBefore w:val="0"/>
        <w:widowControl w:val="0"/>
        <w:kinsoku/>
        <w:wordWrap/>
        <w:overflowPunct/>
        <w:topLinePunct w:val="0"/>
        <w:autoSpaceDE/>
        <w:autoSpaceDN/>
        <w:bidi w:val="0"/>
        <w:adjustRightInd/>
        <w:snapToGrid w:val="0"/>
        <w:spacing w:after="156" w:afterLines="50" w:line="240" w:lineRule="auto"/>
        <w:ind w:firstLine="1285" w:firstLineChars="400"/>
        <w:textAlignment w:val="auto"/>
        <w:rPr>
          <w:rFonts w:hint="eastAsia" w:ascii="宋体" w:hAnsi="宋体" w:eastAsia="宋体" w:cs="宋体"/>
          <w:b/>
          <w:bCs/>
          <w:color w:val="auto"/>
          <w:sz w:val="32"/>
          <w:szCs w:val="32"/>
          <w:highlight w:val="none"/>
        </w:rPr>
      </w:pPr>
    </w:p>
    <w:p w14:paraId="2F567442">
      <w:pPr>
        <w:keepNext w:val="0"/>
        <w:keepLines w:val="0"/>
        <w:pageBreakBefore w:val="0"/>
        <w:widowControl w:val="0"/>
        <w:kinsoku/>
        <w:wordWrap/>
        <w:overflowPunct/>
        <w:topLinePunct w:val="0"/>
        <w:autoSpaceDE/>
        <w:autoSpaceDN/>
        <w:bidi w:val="0"/>
        <w:adjustRightInd/>
        <w:snapToGrid w:val="0"/>
        <w:spacing w:after="156" w:afterLines="50" w:line="240" w:lineRule="auto"/>
        <w:ind w:firstLine="1285" w:firstLineChars="400"/>
        <w:textAlignment w:val="auto"/>
        <w:rPr>
          <w:rFonts w:hint="eastAsia" w:ascii="宋体" w:hAnsi="宋体" w:eastAsia="宋体" w:cs="宋体"/>
          <w:b/>
          <w:bCs/>
          <w:color w:val="auto"/>
          <w:sz w:val="32"/>
          <w:szCs w:val="32"/>
          <w:highlight w:val="none"/>
        </w:rPr>
      </w:pPr>
    </w:p>
    <w:p w14:paraId="279CB88E">
      <w:pPr>
        <w:keepNext w:val="0"/>
        <w:keepLines w:val="0"/>
        <w:pageBreakBefore w:val="0"/>
        <w:widowControl w:val="0"/>
        <w:kinsoku/>
        <w:wordWrap/>
        <w:overflowPunct/>
        <w:topLinePunct w:val="0"/>
        <w:autoSpaceDE/>
        <w:autoSpaceDN/>
        <w:bidi w:val="0"/>
        <w:adjustRightInd/>
        <w:snapToGrid w:val="0"/>
        <w:spacing w:after="156" w:afterLines="50" w:line="240" w:lineRule="auto"/>
        <w:ind w:firstLine="0" w:firstLineChars="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合同名称：</w:t>
      </w:r>
      <w:r>
        <w:rPr>
          <w:rFonts w:hint="eastAsia" w:ascii="宋体" w:hAnsi="宋体" w:eastAsia="宋体" w:cs="宋体"/>
          <w:b/>
          <w:bCs/>
          <w:color w:val="auto"/>
          <w:sz w:val="32"/>
          <w:szCs w:val="32"/>
          <w:highlight w:val="none"/>
          <w:lang w:eastAsia="zh-CN"/>
        </w:rPr>
        <w:t>2026年度采购流浪乞讨人员救助服务项目</w:t>
      </w:r>
    </w:p>
    <w:p w14:paraId="14B11273">
      <w:pPr>
        <w:keepNext w:val="0"/>
        <w:keepLines w:val="0"/>
        <w:pageBreakBefore w:val="0"/>
        <w:widowControl w:val="0"/>
        <w:kinsoku/>
        <w:wordWrap/>
        <w:overflowPunct/>
        <w:topLinePunct w:val="0"/>
        <w:autoSpaceDE/>
        <w:autoSpaceDN/>
        <w:bidi w:val="0"/>
        <w:adjustRightInd/>
        <w:snapToGrid w:val="0"/>
        <w:spacing w:after="156" w:afterLines="50" w:line="240" w:lineRule="auto"/>
        <w:ind w:firstLine="0" w:firstLineChars="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项目</w:t>
      </w:r>
      <w:r>
        <w:rPr>
          <w:rFonts w:hint="eastAsia" w:ascii="宋体" w:hAnsi="宋体" w:eastAsia="宋体" w:cs="宋体"/>
          <w:b/>
          <w:bCs/>
          <w:color w:val="auto"/>
          <w:sz w:val="32"/>
          <w:szCs w:val="32"/>
          <w:highlight w:val="none"/>
        </w:rPr>
        <w:t>编号：</w:t>
      </w:r>
      <w:r>
        <w:rPr>
          <w:rFonts w:hint="eastAsia" w:ascii="宋体" w:hAnsi="宋体" w:eastAsia="宋体" w:cs="宋体"/>
          <w:b/>
          <w:bCs/>
          <w:color w:val="auto"/>
          <w:sz w:val="32"/>
          <w:szCs w:val="32"/>
          <w:highlight w:val="none"/>
          <w:lang w:val="en-US" w:eastAsia="zh-CN"/>
        </w:rPr>
        <w:t xml:space="preserve"> </w:t>
      </w:r>
    </w:p>
    <w:p w14:paraId="781F5306">
      <w:pPr>
        <w:keepNext w:val="0"/>
        <w:keepLines w:val="0"/>
        <w:pageBreakBefore w:val="0"/>
        <w:widowControl w:val="0"/>
        <w:kinsoku/>
        <w:wordWrap/>
        <w:overflowPunct/>
        <w:topLinePunct w:val="0"/>
        <w:autoSpaceDE/>
        <w:autoSpaceDN/>
        <w:bidi w:val="0"/>
        <w:adjustRightInd/>
        <w:snapToGrid w:val="0"/>
        <w:spacing w:after="156" w:afterLines="50" w:line="240" w:lineRule="auto"/>
        <w:ind w:firstLine="964" w:firstLineChars="300"/>
        <w:textAlignment w:val="auto"/>
        <w:rPr>
          <w:rFonts w:hint="eastAsia" w:ascii="宋体" w:hAnsi="宋体" w:eastAsia="宋体" w:cs="宋体"/>
          <w:b/>
          <w:bCs/>
          <w:color w:val="auto"/>
          <w:sz w:val="32"/>
          <w:szCs w:val="32"/>
          <w:highlight w:val="none"/>
        </w:rPr>
      </w:pPr>
    </w:p>
    <w:p w14:paraId="0A9E7405">
      <w:pPr>
        <w:keepNext w:val="0"/>
        <w:keepLines w:val="0"/>
        <w:pageBreakBefore w:val="0"/>
        <w:widowControl w:val="0"/>
        <w:kinsoku/>
        <w:wordWrap/>
        <w:overflowPunct/>
        <w:topLinePunct w:val="0"/>
        <w:autoSpaceDE/>
        <w:autoSpaceDN/>
        <w:bidi w:val="0"/>
        <w:adjustRightInd/>
        <w:snapToGrid w:val="0"/>
        <w:spacing w:after="156" w:afterLines="50" w:line="240" w:lineRule="auto"/>
        <w:ind w:firstLine="964" w:firstLineChars="300"/>
        <w:textAlignment w:val="auto"/>
        <w:rPr>
          <w:rFonts w:hint="eastAsia" w:ascii="宋体" w:hAnsi="宋体" w:eastAsia="宋体" w:cs="宋体"/>
          <w:b/>
          <w:bCs/>
          <w:color w:val="auto"/>
          <w:sz w:val="32"/>
          <w:szCs w:val="32"/>
          <w:highlight w:val="none"/>
        </w:rPr>
      </w:pPr>
    </w:p>
    <w:p w14:paraId="518D8D4F">
      <w:pPr>
        <w:keepNext w:val="0"/>
        <w:keepLines w:val="0"/>
        <w:pageBreakBefore w:val="0"/>
        <w:widowControl w:val="0"/>
        <w:kinsoku/>
        <w:wordWrap/>
        <w:overflowPunct/>
        <w:topLinePunct w:val="0"/>
        <w:autoSpaceDE/>
        <w:autoSpaceDN/>
        <w:bidi w:val="0"/>
        <w:adjustRightInd/>
        <w:snapToGrid w:val="0"/>
        <w:spacing w:after="156" w:afterLines="50" w:line="240" w:lineRule="auto"/>
        <w:ind w:firstLine="964" w:firstLineChars="300"/>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rPr>
        <w:t>采购</w:t>
      </w:r>
      <w:r>
        <w:rPr>
          <w:rFonts w:hint="eastAsia" w:ascii="宋体" w:hAnsi="宋体" w:cs="宋体"/>
          <w:b/>
          <w:bCs/>
          <w:color w:val="auto"/>
          <w:sz w:val="32"/>
          <w:szCs w:val="32"/>
          <w:highlight w:val="none"/>
          <w:lang w:eastAsia="zh-CN"/>
        </w:rPr>
        <w:t>人</w:t>
      </w:r>
      <w:r>
        <w:rPr>
          <w:rFonts w:hint="eastAsia" w:ascii="宋体" w:hAnsi="宋体" w:eastAsia="宋体" w:cs="宋体"/>
          <w:b/>
          <w:bCs/>
          <w:color w:val="auto"/>
          <w:sz w:val="32"/>
          <w:szCs w:val="32"/>
          <w:highlight w:val="none"/>
        </w:rPr>
        <w:t>（甲方）：</w:t>
      </w:r>
      <w:r>
        <w:rPr>
          <w:rFonts w:hint="eastAsia" w:ascii="宋体" w:hAnsi="宋体" w:eastAsia="宋体" w:cs="宋体"/>
          <w:b/>
          <w:bCs/>
          <w:color w:val="auto"/>
          <w:sz w:val="32"/>
          <w:szCs w:val="32"/>
          <w:highlight w:val="none"/>
          <w:lang w:eastAsia="zh-CN"/>
        </w:rPr>
        <w:t>钦州市救助管理站</w:t>
      </w:r>
    </w:p>
    <w:p w14:paraId="42D77805">
      <w:pPr>
        <w:keepNext w:val="0"/>
        <w:keepLines w:val="0"/>
        <w:pageBreakBefore w:val="0"/>
        <w:widowControl w:val="0"/>
        <w:kinsoku/>
        <w:wordWrap/>
        <w:overflowPunct/>
        <w:topLinePunct w:val="0"/>
        <w:autoSpaceDE/>
        <w:autoSpaceDN/>
        <w:bidi w:val="0"/>
        <w:adjustRightInd/>
        <w:snapToGrid w:val="0"/>
        <w:spacing w:after="156" w:afterLines="50" w:line="240" w:lineRule="auto"/>
        <w:ind w:firstLine="964" w:firstLineChars="3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供应商（乙方）：</w:t>
      </w:r>
      <w:r>
        <w:rPr>
          <w:rFonts w:hint="eastAsia" w:ascii="宋体" w:hAnsi="宋体" w:eastAsia="宋体" w:cs="宋体"/>
          <w:b/>
          <w:bCs/>
          <w:color w:val="auto"/>
          <w:sz w:val="32"/>
          <w:szCs w:val="32"/>
          <w:highlight w:val="none"/>
          <w:lang w:val="en-US" w:eastAsia="zh-CN"/>
        </w:rPr>
        <w:t xml:space="preserve"> </w:t>
      </w:r>
    </w:p>
    <w:p w14:paraId="1DAEB87B">
      <w:pPr>
        <w:widowControl w:val="0"/>
        <w:spacing w:before="240" w:line="240" w:lineRule="auto"/>
        <w:jc w:val="center"/>
        <w:outlineLvl w:val="0"/>
        <w:rPr>
          <w:rFonts w:hint="eastAsia" w:ascii="宋体" w:hAnsi="宋体" w:eastAsia="宋体" w:cs="宋体"/>
          <w:b/>
          <w:bCs/>
          <w:color w:val="auto"/>
          <w:kern w:val="0"/>
          <w:sz w:val="32"/>
          <w:szCs w:val="32"/>
          <w:highlight w:val="none"/>
          <w:lang w:val="en-US" w:eastAsia="zh-CN" w:bidi="ar-SA"/>
        </w:rPr>
      </w:pPr>
    </w:p>
    <w:p w14:paraId="53A4A686">
      <w:pPr>
        <w:keepNext w:val="0"/>
        <w:keepLines w:val="0"/>
        <w:pageBreakBefore w:val="0"/>
        <w:widowControl w:val="0"/>
        <w:kinsoku/>
        <w:wordWrap/>
        <w:overflowPunct/>
        <w:topLinePunct w:val="0"/>
        <w:autoSpaceDE/>
        <w:autoSpaceDN/>
        <w:bidi w:val="0"/>
        <w:adjustRightInd/>
        <w:snapToGrid w:val="0"/>
        <w:spacing w:after="156" w:afterLines="50" w:line="240" w:lineRule="auto"/>
        <w:ind w:firstLine="964" w:firstLineChars="300"/>
        <w:textAlignment w:val="auto"/>
        <w:rPr>
          <w:rFonts w:hint="eastAsia" w:ascii="宋体" w:hAnsi="宋体" w:eastAsia="宋体" w:cs="宋体"/>
          <w:b/>
          <w:bCs w:val="0"/>
          <w:color w:val="auto"/>
          <w:sz w:val="36"/>
          <w:szCs w:val="36"/>
          <w:highlight w:val="none"/>
          <w:lang w:val="en-US" w:eastAsia="zh-CN"/>
        </w:rPr>
      </w:pPr>
      <w:r>
        <w:rPr>
          <w:rFonts w:hint="eastAsia" w:ascii="宋体" w:hAnsi="宋体" w:eastAsia="宋体" w:cs="宋体"/>
          <w:b/>
          <w:bCs/>
          <w:color w:val="auto"/>
          <w:sz w:val="32"/>
          <w:szCs w:val="32"/>
          <w:highlight w:val="none"/>
        </w:rPr>
        <w:t>签订合同时间：</w:t>
      </w:r>
      <w:r>
        <w:rPr>
          <w:rFonts w:hint="eastAsia" w:ascii="Times New Roman" w:hAnsi="宋体" w:eastAsia="宋体" w:cs="宋体"/>
          <w:b/>
          <w:bCs/>
          <w:color w:val="auto"/>
          <w:sz w:val="32"/>
          <w:szCs w:val="32"/>
          <w:highlight w:val="none"/>
          <w:lang w:val="en-US" w:eastAsia="zh-CN"/>
        </w:rPr>
        <w:t xml:space="preserve">     年   月</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日</w:t>
      </w:r>
    </w:p>
    <w:p w14:paraId="53F1AC84">
      <w:pPr>
        <w:spacing w:line="240" w:lineRule="auto"/>
        <w:jc w:val="center"/>
        <w:rPr>
          <w:rFonts w:hint="eastAsia" w:ascii="宋体" w:hAnsi="宋体" w:eastAsia="宋体" w:cs="宋体"/>
          <w:b/>
          <w:bCs w:val="0"/>
          <w:color w:val="auto"/>
          <w:sz w:val="36"/>
          <w:szCs w:val="36"/>
          <w:highlight w:val="none"/>
          <w:lang w:val="en-US" w:eastAsia="zh-CN"/>
        </w:rPr>
      </w:pPr>
      <w:r>
        <w:rPr>
          <w:rFonts w:hint="eastAsia" w:ascii="宋体" w:hAnsi="宋体" w:eastAsia="宋体" w:cs="宋体"/>
          <w:b/>
          <w:bCs w:val="0"/>
          <w:color w:val="auto"/>
          <w:sz w:val="36"/>
          <w:szCs w:val="36"/>
          <w:highlight w:val="none"/>
          <w:lang w:val="en-US" w:eastAsia="zh-CN"/>
        </w:rPr>
        <w:br w:type="page"/>
      </w:r>
    </w:p>
    <w:p w14:paraId="3B1F6041">
      <w:pPr>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
          <w:bCs w:val="0"/>
          <w:color w:val="auto"/>
          <w:sz w:val="36"/>
          <w:szCs w:val="36"/>
          <w:highlight w:val="none"/>
          <w:lang w:val="en-US" w:eastAsia="zh-CN"/>
        </w:rPr>
        <w:t>政府采购服务合同</w:t>
      </w:r>
    </w:p>
    <w:p w14:paraId="5219308C">
      <w:pPr>
        <w:spacing w:line="240" w:lineRule="auto"/>
        <w:ind w:right="800"/>
        <w:rPr>
          <w:rFonts w:hint="eastAsia" w:ascii="宋体" w:hAnsi="宋体" w:eastAsia="宋体" w:cs="宋体"/>
          <w:bCs/>
          <w:color w:val="auto"/>
          <w:sz w:val="24"/>
          <w:szCs w:val="24"/>
          <w:highlight w:val="none"/>
        </w:rPr>
      </w:pPr>
    </w:p>
    <w:p w14:paraId="68B8F2BC">
      <w:pPr>
        <w:spacing w:line="460" w:lineRule="exact"/>
        <w:ind w:right="8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u w:val="none"/>
        </w:rPr>
        <w:t>合同编号：</w:t>
      </w:r>
    </w:p>
    <w:p w14:paraId="1ED98652">
      <w:pPr>
        <w:spacing w:line="460" w:lineRule="exact"/>
        <w:ind w:right="8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甲方（采购人）：</w:t>
      </w:r>
      <w:r>
        <w:rPr>
          <w:rFonts w:hint="eastAsia" w:ascii="宋体" w:hAnsi="宋体" w:eastAsia="宋体" w:cs="宋体"/>
          <w:bCs/>
          <w:color w:val="auto"/>
          <w:sz w:val="28"/>
          <w:szCs w:val="28"/>
          <w:highlight w:val="none"/>
          <w:lang w:eastAsia="zh-CN"/>
        </w:rPr>
        <w:t>钦州市救助管理站</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 xml:space="preserve">   </w:t>
      </w:r>
    </w:p>
    <w:p w14:paraId="5997B99A">
      <w:pPr>
        <w:spacing w:line="460" w:lineRule="exact"/>
        <w:ind w:right="8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乙方（供应商）：</w:t>
      </w:r>
      <w:r>
        <w:rPr>
          <w:rFonts w:hint="eastAsia" w:ascii="宋体" w:hAnsi="宋体" w:eastAsia="宋体" w:cs="宋体"/>
          <w:bCs/>
          <w:color w:val="auto"/>
          <w:sz w:val="28"/>
          <w:szCs w:val="28"/>
          <w:highlight w:val="none"/>
          <w:lang w:val="en-US" w:eastAsia="zh-CN"/>
        </w:rPr>
        <w:t xml:space="preserve"> </w:t>
      </w:r>
      <w:r>
        <w:rPr>
          <w:rFonts w:hint="eastAsia" w:ascii="宋体" w:hAnsi="宋体" w:eastAsia="宋体" w:cs="宋体"/>
          <w:bCs/>
          <w:color w:val="auto"/>
          <w:sz w:val="28"/>
          <w:szCs w:val="28"/>
          <w:highlight w:val="none"/>
        </w:rPr>
        <w:t xml:space="preserve">   </w:t>
      </w:r>
    </w:p>
    <w:p w14:paraId="57B584B3">
      <w:pPr>
        <w:spacing w:before="32" w:beforeLines="10" w:after="32" w:afterLines="10" w:line="460" w:lineRule="exact"/>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项目名称：</w:t>
      </w:r>
      <w:r>
        <w:rPr>
          <w:rFonts w:hint="eastAsia" w:ascii="宋体" w:hAnsi="宋体" w:eastAsia="宋体" w:cs="宋体"/>
          <w:bCs/>
          <w:color w:val="auto"/>
          <w:sz w:val="28"/>
          <w:szCs w:val="28"/>
          <w:highlight w:val="none"/>
          <w:lang w:val="en-US" w:eastAsia="zh-CN"/>
        </w:rPr>
        <w:t>2026年度</w:t>
      </w:r>
      <w:r>
        <w:rPr>
          <w:rFonts w:hint="eastAsia" w:ascii="宋体" w:hAnsi="宋体" w:eastAsia="宋体" w:cs="宋体"/>
          <w:bCs/>
          <w:color w:val="auto"/>
          <w:sz w:val="28"/>
          <w:szCs w:val="28"/>
          <w:highlight w:val="none"/>
          <w:lang w:eastAsia="zh-CN"/>
        </w:rPr>
        <w:t>采购流浪乞讨人员救助服务项目</w:t>
      </w:r>
    </w:p>
    <w:p w14:paraId="6DACB260">
      <w:pPr>
        <w:spacing w:before="32" w:beforeLines="10" w:after="32" w:afterLines="10" w:line="460" w:lineRule="exact"/>
        <w:ind w:right="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项目编号：</w:t>
      </w:r>
      <w:r>
        <w:rPr>
          <w:rFonts w:hint="eastAsia" w:ascii="宋体" w:hAnsi="宋体" w:eastAsia="宋体" w:cs="宋体"/>
          <w:b w:val="0"/>
          <w:bCs/>
          <w:color w:val="auto"/>
          <w:sz w:val="28"/>
          <w:szCs w:val="28"/>
          <w:highlight w:val="none"/>
          <w:lang w:val="en-US" w:eastAsia="zh-CN"/>
        </w:rPr>
        <w:t xml:space="preserve"> </w:t>
      </w:r>
    </w:p>
    <w:p w14:paraId="6C90F6A3">
      <w:pPr>
        <w:spacing w:line="460" w:lineRule="exact"/>
        <w:ind w:right="800"/>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rPr>
        <w:t>签订地点：</w:t>
      </w:r>
    </w:p>
    <w:p w14:paraId="56171463">
      <w:pPr>
        <w:spacing w:line="460" w:lineRule="exact"/>
        <w:ind w:right="800"/>
        <w:rPr>
          <w:rFonts w:hint="eastAsia"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签订时间：</w:t>
      </w:r>
      <w:r>
        <w:rPr>
          <w:rFonts w:hint="eastAsia" w:ascii="宋体" w:hAnsi="宋体" w:eastAsia="宋体" w:cs="宋体"/>
          <w:bCs/>
          <w:color w:val="auto"/>
          <w:sz w:val="28"/>
          <w:szCs w:val="28"/>
          <w:highlight w:val="none"/>
          <w:lang w:val="en-US" w:eastAsia="zh-CN"/>
        </w:rPr>
        <w:t xml:space="preserve">2026年   月   </w:t>
      </w:r>
      <w:r>
        <w:rPr>
          <w:rFonts w:hint="eastAsia" w:ascii="宋体" w:hAnsi="宋体" w:eastAsia="宋体" w:cs="宋体"/>
          <w:bCs/>
          <w:color w:val="auto"/>
          <w:sz w:val="28"/>
          <w:szCs w:val="28"/>
          <w:highlight w:val="none"/>
          <w:lang w:eastAsia="zh-CN"/>
        </w:rPr>
        <w:t>日</w:t>
      </w:r>
    </w:p>
    <w:p w14:paraId="1D681802">
      <w:pPr>
        <w:spacing w:line="460" w:lineRule="exact"/>
        <w:ind w:firstLine="420" w:firstLineChars="200"/>
        <w:rPr>
          <w:rFonts w:hint="eastAsia" w:ascii="宋体" w:hAnsi="宋体" w:eastAsia="宋体" w:cs="宋体"/>
          <w:color w:val="auto"/>
          <w:szCs w:val="21"/>
          <w:highlight w:val="none"/>
        </w:rPr>
      </w:pPr>
    </w:p>
    <w:p w14:paraId="265686EF">
      <w:pPr>
        <w:keepNext w:val="0"/>
        <w:keepLines w:val="0"/>
        <w:pageBreakBefore w:val="0"/>
        <w:kinsoku/>
        <w:wordWrap/>
        <w:overflowPunct/>
        <w:topLinePunct w:val="0"/>
        <w:autoSpaceDE/>
        <w:autoSpaceDN/>
        <w:bidi w:val="0"/>
        <w:adjustRightInd/>
        <w:snapToGrid/>
        <w:spacing w:before="32" w:beforeLines="10" w:after="32" w:afterLines="10" w:line="4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《中华人民共和国政府采购法》、</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中华人民共和国民法典</w:t>
      </w:r>
      <w:r>
        <w:rPr>
          <w:rFonts w:hint="eastAsia" w:ascii="宋体" w:hAnsi="宋体" w:eastAsia="宋体" w:cs="宋体"/>
          <w:color w:val="auto"/>
          <w:sz w:val="28"/>
          <w:szCs w:val="28"/>
          <w:highlight w:val="none"/>
        </w:rPr>
        <w:t>》等法律、法规规定，按照磋商文件规定条款和乙方响应文件及其承诺，甲乙双方签订本合同。</w:t>
      </w:r>
    </w:p>
    <w:p w14:paraId="7CD597AF">
      <w:pPr>
        <w:keepNext w:val="0"/>
        <w:keepLines w:val="0"/>
        <w:pageBreakBefore w:val="0"/>
        <w:widowControl w:val="0"/>
        <w:numPr>
          <w:ilvl w:val="0"/>
          <w:numId w:val="2"/>
        </w:numPr>
        <w:kinsoku/>
        <w:wordWrap/>
        <w:overflowPunct/>
        <w:topLinePunct w:val="0"/>
        <w:autoSpaceDE/>
        <w:autoSpaceDN/>
        <w:bidi w:val="0"/>
        <w:adjustRightInd/>
        <w:snapToGrid/>
        <w:spacing w:before="120" w:after="120" w:line="460" w:lineRule="exact"/>
        <w:ind w:left="562" w:leftChars="0" w:firstLine="0" w:firstLineChars="0"/>
        <w:jc w:val="left"/>
        <w:textAlignment w:val="auto"/>
        <w:outlineLvl w:val="9"/>
        <w:rPr>
          <w:rFonts w:hint="eastAsia" w:ascii="方正黑体_GBK" w:hAnsi="方正黑体_GBK" w:eastAsia="方正黑体_GBK" w:cs="方正黑体_GBK"/>
          <w:b w:val="0"/>
          <w:bCs w:val="0"/>
          <w:caps/>
          <w:color w:val="auto"/>
          <w:kern w:val="2"/>
          <w:sz w:val="32"/>
          <w:szCs w:val="32"/>
          <w:highlight w:val="none"/>
          <w:lang w:val="en-US" w:eastAsia="zh-CN" w:bidi="ar-SA"/>
        </w:rPr>
      </w:pPr>
      <w:r>
        <w:rPr>
          <w:rFonts w:hint="eastAsia" w:ascii="方正黑体_GBK" w:hAnsi="方正黑体_GBK" w:eastAsia="方正黑体_GBK" w:cs="方正黑体_GBK"/>
          <w:b w:val="0"/>
          <w:bCs w:val="0"/>
          <w:caps/>
          <w:color w:val="auto"/>
          <w:kern w:val="2"/>
          <w:sz w:val="32"/>
          <w:szCs w:val="32"/>
          <w:highlight w:val="none"/>
          <w:lang w:val="en-US" w:eastAsia="zh-CN" w:bidi="ar-SA"/>
        </w:rPr>
        <w:t xml:space="preserve"> 服务要求</w:t>
      </w:r>
    </w:p>
    <w:p w14:paraId="3D0C132C">
      <w:pPr>
        <w:keepNext w:val="0"/>
        <w:keepLines w:val="0"/>
        <w:pageBreakBefore w:val="0"/>
        <w:kinsoku/>
        <w:wordWrap/>
        <w:overflowPunct/>
        <w:topLinePunct w:val="0"/>
        <w:autoSpaceDE/>
        <w:autoSpaceDN/>
        <w:bidi w:val="0"/>
        <w:adjustRightInd/>
        <w:snapToGrid/>
        <w:spacing w:line="460" w:lineRule="exact"/>
        <w:ind w:firstLine="560" w:firstLineChars="200"/>
        <w:textAlignment w:val="auto"/>
        <w:outlineLvl w:val="9"/>
        <w:rPr>
          <w:rFonts w:hint="eastAsia" w:ascii="Times New Roman" w:hAnsi="Times New Roman" w:eastAsia="宋体" w:cs="Times New Roman"/>
          <w:color w:val="auto"/>
          <w:sz w:val="28"/>
          <w:szCs w:val="28"/>
          <w:highlight w:val="none"/>
          <w:lang w:val="en-US" w:eastAsia="zh-CN"/>
        </w:rPr>
      </w:pPr>
      <w:r>
        <w:rPr>
          <w:rFonts w:hint="eastAsia" w:ascii="宋体" w:hAnsi="宋体" w:eastAsia="宋体" w:cs="宋体"/>
          <w:color w:val="auto"/>
          <w:sz w:val="28"/>
          <w:szCs w:val="28"/>
          <w:highlight w:val="none"/>
          <w:lang w:val="en-US" w:eastAsia="zh-CN"/>
        </w:rPr>
        <w:t>乙方根据甲方的工作要求，认真执行《城市生活无着的流浪乞讨人员救助管理办法》和相关救助政策要求，安排专职服务人员派驻，参与救助管理工作，协助甲方为流浪乞讨等临时遇困人员提供协助救助、站内照料服务、甄别核查、接送返乡及源头治理服务。</w:t>
      </w:r>
    </w:p>
    <w:p w14:paraId="267D6347">
      <w:pPr>
        <w:keepNext w:val="0"/>
        <w:keepLines w:val="0"/>
        <w:pageBreakBefore w:val="0"/>
        <w:widowControl w:val="0"/>
        <w:numPr>
          <w:ilvl w:val="0"/>
          <w:numId w:val="2"/>
        </w:numPr>
        <w:kinsoku/>
        <w:wordWrap/>
        <w:overflowPunct/>
        <w:topLinePunct w:val="0"/>
        <w:autoSpaceDE/>
        <w:autoSpaceDN/>
        <w:bidi w:val="0"/>
        <w:adjustRightInd/>
        <w:snapToGrid/>
        <w:spacing w:before="120" w:after="120" w:line="460" w:lineRule="exact"/>
        <w:ind w:left="562" w:leftChars="0" w:firstLine="0" w:firstLineChars="0"/>
        <w:jc w:val="left"/>
        <w:textAlignment w:val="auto"/>
        <w:outlineLvl w:val="9"/>
        <w:rPr>
          <w:rFonts w:hint="eastAsia" w:ascii="方正黑体_GBK" w:hAnsi="方正黑体_GBK" w:eastAsia="方正黑体_GBK" w:cs="方正黑体_GBK"/>
          <w:b w:val="0"/>
          <w:bCs w:val="0"/>
          <w:caps/>
          <w:color w:val="auto"/>
          <w:kern w:val="2"/>
          <w:sz w:val="32"/>
          <w:szCs w:val="32"/>
          <w:highlight w:val="none"/>
          <w:lang w:val="en-US" w:eastAsia="zh-CN" w:bidi="ar-SA"/>
        </w:rPr>
      </w:pPr>
      <w:r>
        <w:rPr>
          <w:rFonts w:hint="eastAsia" w:ascii="方正黑体_GBK" w:hAnsi="方正黑体_GBK" w:eastAsia="方正黑体_GBK" w:cs="方正黑体_GBK"/>
          <w:b w:val="0"/>
          <w:bCs w:val="0"/>
          <w:caps/>
          <w:color w:val="auto"/>
          <w:kern w:val="2"/>
          <w:sz w:val="32"/>
          <w:szCs w:val="32"/>
          <w:highlight w:val="none"/>
          <w:lang w:val="en-US" w:eastAsia="zh-CN" w:bidi="ar-SA"/>
        </w:rPr>
        <w:t xml:space="preserve"> 服务对象</w:t>
      </w:r>
    </w:p>
    <w:p w14:paraId="5EE0DE78">
      <w:pPr>
        <w:keepNext w:val="0"/>
        <w:keepLines w:val="0"/>
        <w:pageBreakBefore w:val="0"/>
        <w:widowControl/>
        <w:kinsoku/>
        <w:wordWrap/>
        <w:overflowPunct/>
        <w:topLinePunct w:val="0"/>
        <w:autoSpaceDE/>
        <w:autoSpaceDN/>
        <w:bidi w:val="0"/>
        <w:adjustRightInd/>
        <w:snapToGrid/>
        <w:spacing w:before="32" w:beforeLines="10" w:after="32" w:afterLines="10" w:line="460" w:lineRule="exact"/>
        <w:ind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Cs w:val="0"/>
          <w:color w:val="auto"/>
          <w:sz w:val="28"/>
          <w:szCs w:val="28"/>
          <w:highlight w:val="none"/>
          <w:lang w:eastAsia="zh-CN"/>
        </w:rPr>
        <w:t>钦州市</w:t>
      </w:r>
      <w:r>
        <w:rPr>
          <w:rFonts w:hint="eastAsia" w:ascii="宋体" w:hAnsi="宋体" w:eastAsia="宋体" w:cs="宋体"/>
          <w:bCs w:val="0"/>
          <w:color w:val="auto"/>
          <w:sz w:val="28"/>
          <w:szCs w:val="28"/>
          <w:highlight w:val="none"/>
        </w:rPr>
        <w:t>生活无着的流浪乞讨人员</w:t>
      </w:r>
      <w:r>
        <w:rPr>
          <w:rFonts w:hint="eastAsia" w:ascii="宋体" w:hAnsi="宋体" w:eastAsia="宋体" w:cs="宋体"/>
          <w:bCs w:val="0"/>
          <w:color w:val="auto"/>
          <w:sz w:val="28"/>
          <w:szCs w:val="28"/>
          <w:highlight w:val="none"/>
          <w:lang w:eastAsia="zh-CN"/>
        </w:rPr>
        <w:t>，包括走失、务工不着、家暴受害者等临时遇困人员</w:t>
      </w:r>
      <w:r>
        <w:rPr>
          <w:rFonts w:hint="eastAsia" w:ascii="宋体" w:hAnsi="宋体" w:eastAsia="宋体" w:cs="宋体"/>
          <w:bCs w:val="0"/>
          <w:color w:val="auto"/>
          <w:sz w:val="28"/>
          <w:szCs w:val="28"/>
          <w:highlight w:val="none"/>
        </w:rPr>
        <w:t>。</w:t>
      </w:r>
    </w:p>
    <w:p w14:paraId="086064FA">
      <w:pPr>
        <w:keepNext w:val="0"/>
        <w:keepLines w:val="0"/>
        <w:pageBreakBefore w:val="0"/>
        <w:widowControl w:val="0"/>
        <w:numPr>
          <w:ilvl w:val="0"/>
          <w:numId w:val="2"/>
        </w:numPr>
        <w:kinsoku/>
        <w:wordWrap/>
        <w:overflowPunct/>
        <w:topLinePunct w:val="0"/>
        <w:autoSpaceDE/>
        <w:autoSpaceDN/>
        <w:bidi w:val="0"/>
        <w:adjustRightInd/>
        <w:snapToGrid/>
        <w:spacing w:before="120" w:after="120" w:line="460" w:lineRule="exact"/>
        <w:ind w:left="562" w:leftChars="0" w:firstLine="0" w:firstLineChars="0"/>
        <w:jc w:val="left"/>
        <w:textAlignment w:val="auto"/>
        <w:outlineLvl w:val="9"/>
        <w:rPr>
          <w:rFonts w:hint="eastAsia" w:ascii="方正黑体_GBK" w:hAnsi="方正黑体_GBK" w:eastAsia="方正黑体_GBK" w:cs="方正黑体_GBK"/>
          <w:b w:val="0"/>
          <w:bCs w:val="0"/>
          <w:caps/>
          <w:color w:val="auto"/>
          <w:kern w:val="2"/>
          <w:sz w:val="32"/>
          <w:szCs w:val="32"/>
          <w:highlight w:val="none"/>
          <w:lang w:val="en-US" w:eastAsia="zh-CN" w:bidi="ar-SA"/>
        </w:rPr>
      </w:pPr>
      <w:r>
        <w:rPr>
          <w:rFonts w:hint="eastAsia" w:ascii="方正黑体_GBK" w:hAnsi="方正黑体_GBK" w:eastAsia="方正黑体_GBK" w:cs="方正黑体_GBK"/>
          <w:b w:val="0"/>
          <w:bCs w:val="0"/>
          <w:caps/>
          <w:color w:val="auto"/>
          <w:kern w:val="2"/>
          <w:sz w:val="32"/>
          <w:szCs w:val="32"/>
          <w:highlight w:val="none"/>
          <w:lang w:val="en-US" w:eastAsia="zh-CN" w:bidi="ar-SA"/>
        </w:rPr>
        <w:t xml:space="preserve"> 服务内容</w:t>
      </w:r>
    </w:p>
    <w:p w14:paraId="2EDCF794">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562" w:firstLineChars="200"/>
        <w:jc w:val="left"/>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1.</w:t>
      </w:r>
      <w:r>
        <w:rPr>
          <w:rFonts w:hint="default" w:ascii="Times New Roman" w:hAnsi="Times New Roman" w:eastAsia="宋体" w:cs="Times New Roman"/>
          <w:b/>
          <w:bCs/>
          <w:color w:val="auto"/>
          <w:sz w:val="28"/>
          <w:szCs w:val="28"/>
          <w:highlight w:val="none"/>
          <w:lang w:eastAsia="zh-CN"/>
        </w:rPr>
        <w:t>协助</w:t>
      </w:r>
      <w:r>
        <w:rPr>
          <w:rFonts w:hint="default" w:ascii="Times New Roman" w:hAnsi="Times New Roman" w:eastAsia="宋体" w:cs="Times New Roman"/>
          <w:b/>
          <w:bCs/>
          <w:color w:val="auto"/>
          <w:sz w:val="28"/>
          <w:szCs w:val="28"/>
          <w:highlight w:val="none"/>
        </w:rPr>
        <w:t>救助服务</w:t>
      </w:r>
    </w:p>
    <w:p w14:paraId="6047D664">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560" w:firstLineChars="200"/>
        <w:jc w:val="left"/>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协助市救助站对城区实施街面巡查，及时发现流浪乞讨人员及流浪未成年人; 劝导、引导城区街面流浪乞讨人员到救助管理机构接受救助，并</w:t>
      </w:r>
      <w:r>
        <w:rPr>
          <w:rFonts w:hint="default" w:ascii="Times New Roman" w:hAnsi="Times New Roman" w:eastAsia="宋体" w:cs="Times New Roman"/>
          <w:b w:val="0"/>
          <w:bCs w:val="0"/>
          <w:color w:val="auto"/>
          <w:sz w:val="28"/>
          <w:szCs w:val="28"/>
          <w:highlight w:val="none"/>
          <w:lang w:eastAsia="zh-CN"/>
        </w:rPr>
        <w:t>动态更新</w:t>
      </w:r>
      <w:r>
        <w:rPr>
          <w:rFonts w:hint="default" w:ascii="Times New Roman" w:hAnsi="Times New Roman" w:eastAsia="宋体" w:cs="Times New Roman"/>
          <w:b w:val="0"/>
          <w:bCs w:val="0"/>
          <w:color w:val="auto"/>
          <w:sz w:val="28"/>
          <w:szCs w:val="28"/>
          <w:highlight w:val="none"/>
        </w:rPr>
        <w:t>城区街面流浪乞讨人员数据库；向市民群众宣传救助管理</w:t>
      </w:r>
      <w:r>
        <w:rPr>
          <w:rFonts w:hint="default" w:ascii="Times New Roman" w:hAnsi="Times New Roman" w:eastAsia="宋体" w:cs="Times New Roman"/>
          <w:b w:val="0"/>
          <w:bCs w:val="0"/>
          <w:color w:val="auto"/>
          <w:sz w:val="28"/>
          <w:szCs w:val="28"/>
          <w:highlight w:val="none"/>
          <w:lang w:eastAsia="zh-CN"/>
        </w:rPr>
        <w:t>政策</w:t>
      </w:r>
      <w:r>
        <w:rPr>
          <w:rFonts w:hint="default" w:ascii="Times New Roman" w:hAnsi="Times New Roman" w:eastAsia="宋体" w:cs="Times New Roman"/>
          <w:b w:val="0"/>
          <w:bCs w:val="0"/>
          <w:color w:val="auto"/>
          <w:sz w:val="28"/>
          <w:szCs w:val="28"/>
          <w:highlight w:val="none"/>
        </w:rPr>
        <w:t>；配合相关部门做好其他涉及流浪乞讨人员的相关工作。要求项目服务期间主动街面巡查服务次数，平均每周不少于3次或服务期间不少于150次。服务过程中需保存佐证材料，便于市救助站监管。</w:t>
      </w:r>
    </w:p>
    <w:p w14:paraId="464C7A02">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562" w:firstLineChars="200"/>
        <w:jc w:val="left"/>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rPr>
        <w:t>2.站内照料服务</w:t>
      </w:r>
    </w:p>
    <w:p w14:paraId="19EA7192">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560" w:firstLineChars="200"/>
        <w:jc w:val="left"/>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协助市救助站为受助人员中老弱病残、智力、精神障碍和未成年人等特殊困难救助对象提供日常生活起居等临时站内照料，以及</w:t>
      </w:r>
      <w:r>
        <w:rPr>
          <w:rFonts w:hint="default" w:ascii="Times New Roman" w:hAnsi="Times New Roman" w:eastAsia="宋体" w:cs="Times New Roman"/>
          <w:b w:val="0"/>
          <w:bCs w:val="0"/>
          <w:color w:val="auto"/>
          <w:sz w:val="28"/>
          <w:szCs w:val="28"/>
          <w:highlight w:val="none"/>
          <w:lang w:eastAsia="zh-CN"/>
        </w:rPr>
        <w:t>受</w:t>
      </w:r>
      <w:r>
        <w:rPr>
          <w:rFonts w:hint="default" w:ascii="Times New Roman" w:hAnsi="Times New Roman" w:eastAsia="宋体" w:cs="Times New Roman"/>
          <w:b w:val="0"/>
          <w:bCs w:val="0"/>
          <w:color w:val="auto"/>
          <w:sz w:val="28"/>
          <w:szCs w:val="28"/>
          <w:highlight w:val="none"/>
        </w:rPr>
        <w:t>助人员生活区域</w:t>
      </w:r>
      <w:r>
        <w:rPr>
          <w:rFonts w:hint="default" w:ascii="Times New Roman" w:hAnsi="Times New Roman" w:eastAsia="宋体" w:cs="Times New Roman"/>
          <w:b w:val="0"/>
          <w:bCs w:val="0"/>
          <w:color w:val="auto"/>
          <w:sz w:val="28"/>
          <w:szCs w:val="28"/>
          <w:highlight w:val="none"/>
          <w:lang w:eastAsia="zh-CN"/>
        </w:rPr>
        <w:t>消毒清洁</w:t>
      </w:r>
      <w:r>
        <w:rPr>
          <w:rFonts w:hint="default" w:ascii="Times New Roman" w:hAnsi="Times New Roman" w:eastAsia="宋体" w:cs="Times New Roman"/>
          <w:b w:val="0"/>
          <w:bCs w:val="0"/>
          <w:color w:val="auto"/>
          <w:sz w:val="28"/>
          <w:szCs w:val="28"/>
          <w:highlight w:val="none"/>
        </w:rPr>
        <w:t>工作。要求项目服务期间，每名受助人员站内照料服务不少于1次，站内照料人次以项目服务期间市救助站站内救助人次为准</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lang w:val="en-US" w:eastAsia="zh-CN"/>
        </w:rPr>
        <w:t>公安机关、其他单位、本站主动救助、医院接回等方式直接送医救治的；其他单位转入直接护送返乡或县区民政局、救助机构申请协助护送返乡等受助人员除外，结合工作实际提供相应服务</w:t>
      </w:r>
      <w:r>
        <w:rPr>
          <w:rFonts w:hint="default" w:ascii="Times New Roman" w:hAnsi="Times New Roman" w:eastAsia="宋体" w:cs="Times New Roman"/>
          <w:b w:val="0"/>
          <w:bCs w:val="0"/>
          <w:color w:val="auto"/>
          <w:sz w:val="28"/>
          <w:szCs w:val="28"/>
          <w:highlight w:val="none"/>
          <w:lang w:eastAsia="zh-CN"/>
        </w:rPr>
        <w:t>）</w:t>
      </w:r>
      <w:r>
        <w:rPr>
          <w:rFonts w:hint="default" w:ascii="Times New Roman" w:hAnsi="Times New Roman" w:eastAsia="宋体" w:cs="Times New Roman"/>
          <w:b w:val="0"/>
          <w:bCs w:val="0"/>
          <w:color w:val="auto"/>
          <w:sz w:val="28"/>
          <w:szCs w:val="28"/>
          <w:highlight w:val="none"/>
        </w:rPr>
        <w:t>。服务过程中需保存佐证材料，便于市救助站监管。</w:t>
      </w:r>
    </w:p>
    <w:p w14:paraId="7693DCDD">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562" w:firstLineChars="200"/>
        <w:jc w:val="left"/>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3</w:t>
      </w:r>
      <w:r>
        <w:rPr>
          <w:rFonts w:hint="default" w:ascii="Times New Roman" w:hAnsi="Times New Roman" w:eastAsia="宋体" w:cs="Times New Roman"/>
          <w:b/>
          <w:bCs/>
          <w:color w:val="auto"/>
          <w:sz w:val="28"/>
          <w:szCs w:val="28"/>
          <w:highlight w:val="none"/>
        </w:rPr>
        <w:t>.站内</w:t>
      </w:r>
      <w:r>
        <w:rPr>
          <w:rFonts w:hint="default" w:ascii="Times New Roman" w:hAnsi="Times New Roman" w:eastAsia="宋体" w:cs="Times New Roman"/>
          <w:b/>
          <w:bCs/>
          <w:color w:val="auto"/>
          <w:sz w:val="28"/>
          <w:szCs w:val="28"/>
          <w:highlight w:val="none"/>
          <w:lang w:eastAsia="zh-CN"/>
        </w:rPr>
        <w:t>人员安全管理</w:t>
      </w:r>
      <w:r>
        <w:rPr>
          <w:rFonts w:hint="default" w:ascii="Times New Roman" w:hAnsi="Times New Roman" w:eastAsia="宋体" w:cs="Times New Roman"/>
          <w:b/>
          <w:bCs/>
          <w:color w:val="auto"/>
          <w:sz w:val="28"/>
          <w:szCs w:val="28"/>
          <w:highlight w:val="none"/>
        </w:rPr>
        <w:t>服务</w:t>
      </w:r>
    </w:p>
    <w:p w14:paraId="54AE28F9">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560" w:firstLineChars="200"/>
        <w:jc w:val="left"/>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lang w:eastAsia="zh-CN"/>
        </w:rPr>
        <w:t>协助市救助站做好受助人员安全管理工作，对受助人员开展安全检查，保管受助人员寄存物品，做好值班、巡逻、守护</w:t>
      </w:r>
      <w:r>
        <w:rPr>
          <w:rFonts w:hint="default" w:ascii="Times New Roman" w:hAnsi="Times New Roman" w:eastAsia="宋体" w:cs="Times New Roman"/>
          <w:b w:val="0"/>
          <w:bCs w:val="0"/>
          <w:color w:val="auto"/>
          <w:sz w:val="28"/>
          <w:szCs w:val="28"/>
          <w:highlight w:val="none"/>
        </w:rPr>
        <w:t>等</w:t>
      </w:r>
      <w:r>
        <w:rPr>
          <w:rFonts w:hint="default" w:ascii="Times New Roman" w:hAnsi="Times New Roman" w:eastAsia="宋体" w:cs="Times New Roman"/>
          <w:b w:val="0"/>
          <w:bCs w:val="0"/>
          <w:color w:val="auto"/>
          <w:sz w:val="28"/>
          <w:szCs w:val="28"/>
          <w:highlight w:val="none"/>
          <w:lang w:eastAsia="zh-CN"/>
        </w:rPr>
        <w:t>工作。要求项目服务期间，严防无关人员随意进入救助区域，对老、弱、病、残、幼等需要特殊照顾的受助人员，以及情绪不稳定的人员，进行重点关注和看护，防止其发生自伤、走失或其他意外。</w:t>
      </w:r>
    </w:p>
    <w:p w14:paraId="2409D2F1">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562" w:firstLineChars="200"/>
        <w:jc w:val="left"/>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4</w:t>
      </w:r>
      <w:r>
        <w:rPr>
          <w:rFonts w:hint="default" w:ascii="Times New Roman" w:hAnsi="Times New Roman" w:eastAsia="宋体" w:cs="Times New Roman"/>
          <w:b/>
          <w:bCs/>
          <w:color w:val="auto"/>
          <w:sz w:val="28"/>
          <w:szCs w:val="28"/>
          <w:highlight w:val="none"/>
        </w:rPr>
        <w:t>.甄别核查服务</w:t>
      </w:r>
    </w:p>
    <w:p w14:paraId="3F734A00">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560" w:firstLineChars="200"/>
        <w:jc w:val="left"/>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协助市救助站为受助人员联系亲属，查找核实受助人员身份信息。要求项目服务期间，为身份信息不明确的受助人员甄别核查</w:t>
      </w:r>
      <w:r>
        <w:rPr>
          <w:rFonts w:hint="default" w:ascii="Times New Roman" w:hAnsi="Times New Roman" w:eastAsia="宋体" w:cs="Times New Roman"/>
          <w:b w:val="0"/>
          <w:bCs w:val="0"/>
          <w:color w:val="auto"/>
          <w:sz w:val="28"/>
          <w:szCs w:val="28"/>
          <w:highlight w:val="none"/>
          <w:lang w:eastAsia="zh-CN"/>
        </w:rPr>
        <w:t>至少</w:t>
      </w:r>
      <w:r>
        <w:rPr>
          <w:rFonts w:hint="default" w:ascii="Times New Roman" w:hAnsi="Times New Roman" w:eastAsia="宋体" w:cs="Times New Roman"/>
          <w:b w:val="0"/>
          <w:bCs w:val="0"/>
          <w:color w:val="auto"/>
          <w:sz w:val="28"/>
          <w:szCs w:val="28"/>
          <w:highlight w:val="none"/>
        </w:rPr>
        <w:t>一次。服务过程中需保存佐证材料，便于市救助站监管。</w:t>
      </w:r>
    </w:p>
    <w:p w14:paraId="5BEB50B4">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562" w:firstLineChars="200"/>
        <w:jc w:val="left"/>
        <w:textAlignment w:val="auto"/>
        <w:rPr>
          <w:rFonts w:hint="default" w:ascii="Times New Roman" w:hAnsi="Times New Roman" w:eastAsia="宋体" w:cs="Times New Roman"/>
          <w:b/>
          <w:bCs/>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5</w:t>
      </w:r>
      <w:r>
        <w:rPr>
          <w:rFonts w:hint="default" w:ascii="Times New Roman" w:hAnsi="Times New Roman" w:eastAsia="宋体" w:cs="Times New Roman"/>
          <w:b/>
          <w:bCs/>
          <w:color w:val="auto"/>
          <w:sz w:val="28"/>
          <w:szCs w:val="28"/>
          <w:highlight w:val="none"/>
        </w:rPr>
        <w:t>.接送返乡</w:t>
      </w:r>
      <w:r>
        <w:rPr>
          <w:rFonts w:hint="default" w:ascii="Times New Roman" w:hAnsi="Times New Roman" w:eastAsia="宋体" w:cs="Times New Roman"/>
          <w:b/>
          <w:bCs/>
          <w:color w:val="auto"/>
          <w:sz w:val="28"/>
          <w:szCs w:val="28"/>
          <w:highlight w:val="none"/>
          <w:lang w:eastAsia="zh-CN"/>
        </w:rPr>
        <w:t>及源头治理</w:t>
      </w:r>
      <w:r>
        <w:rPr>
          <w:rFonts w:hint="default" w:ascii="Times New Roman" w:hAnsi="Times New Roman" w:eastAsia="宋体" w:cs="Times New Roman"/>
          <w:b/>
          <w:bCs/>
          <w:color w:val="auto"/>
          <w:sz w:val="28"/>
          <w:szCs w:val="28"/>
          <w:highlight w:val="none"/>
        </w:rPr>
        <w:t>服务</w:t>
      </w:r>
    </w:p>
    <w:p w14:paraId="43B23ED3">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560" w:firstLineChars="200"/>
        <w:jc w:val="left"/>
        <w:textAlignment w:val="auto"/>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t>协助市救助站做好特殊困难救助对象接送返乡</w:t>
      </w:r>
      <w:r>
        <w:rPr>
          <w:rFonts w:hint="default" w:ascii="Times New Roman" w:hAnsi="Times New Roman" w:eastAsia="宋体" w:cs="Times New Roman"/>
          <w:b w:val="0"/>
          <w:bCs w:val="0"/>
          <w:color w:val="auto"/>
          <w:sz w:val="28"/>
          <w:szCs w:val="28"/>
          <w:highlight w:val="none"/>
          <w:lang w:eastAsia="zh-CN"/>
        </w:rPr>
        <w:t>及源头治理</w:t>
      </w:r>
      <w:r>
        <w:rPr>
          <w:rFonts w:hint="default" w:ascii="Times New Roman" w:hAnsi="Times New Roman" w:eastAsia="宋体" w:cs="Times New Roman"/>
          <w:b w:val="0"/>
          <w:bCs w:val="0"/>
          <w:color w:val="auto"/>
          <w:sz w:val="28"/>
          <w:szCs w:val="28"/>
          <w:highlight w:val="none"/>
        </w:rPr>
        <w:t>服务，</w:t>
      </w:r>
      <w:r>
        <w:rPr>
          <w:rFonts w:hint="default" w:ascii="Times New Roman" w:hAnsi="Times New Roman" w:eastAsia="宋体" w:cs="Times New Roman"/>
          <w:b w:val="0"/>
          <w:bCs w:val="0"/>
          <w:color w:val="auto"/>
          <w:sz w:val="28"/>
          <w:szCs w:val="28"/>
          <w:highlight w:val="none"/>
          <w:lang w:val="en-US" w:eastAsia="zh-CN"/>
        </w:rPr>
        <w:t>协调流出地政府落实属地管理和兜底保障职责，协助落实社会救助、社会福利和社会保险等相关政策，帮助其近亲属或其他监护人做好监护照料工作。</w:t>
      </w:r>
      <w:r>
        <w:rPr>
          <w:rFonts w:hint="default" w:ascii="Times New Roman" w:hAnsi="Times New Roman" w:eastAsia="宋体" w:cs="Times New Roman"/>
          <w:b w:val="0"/>
          <w:bCs w:val="0"/>
          <w:color w:val="auto"/>
          <w:sz w:val="28"/>
          <w:szCs w:val="28"/>
          <w:highlight w:val="none"/>
        </w:rPr>
        <w:t>服务人次以市救助站实际救助工作安排为准。在协助市救助站开展接送返乡</w:t>
      </w:r>
      <w:r>
        <w:rPr>
          <w:rFonts w:hint="default" w:ascii="Times New Roman" w:hAnsi="Times New Roman" w:eastAsia="宋体" w:cs="Times New Roman"/>
          <w:b w:val="0"/>
          <w:bCs w:val="0"/>
          <w:color w:val="auto"/>
          <w:sz w:val="28"/>
          <w:szCs w:val="28"/>
          <w:highlight w:val="none"/>
          <w:lang w:eastAsia="zh-CN"/>
        </w:rPr>
        <w:t>及源头治理</w:t>
      </w:r>
      <w:r>
        <w:rPr>
          <w:rFonts w:hint="default" w:ascii="Times New Roman" w:hAnsi="Times New Roman" w:eastAsia="宋体" w:cs="Times New Roman"/>
          <w:b w:val="0"/>
          <w:bCs w:val="0"/>
          <w:color w:val="auto"/>
          <w:sz w:val="28"/>
          <w:szCs w:val="28"/>
          <w:highlight w:val="none"/>
        </w:rPr>
        <w:t>服务前，需填写审批表，经市救助站审批同意后再开展服务，</w:t>
      </w:r>
      <w:r>
        <w:rPr>
          <w:rFonts w:hint="default" w:ascii="Times New Roman" w:hAnsi="Times New Roman" w:eastAsia="宋体" w:cs="Times New Roman"/>
          <w:b w:val="0"/>
          <w:bCs w:val="0"/>
          <w:color w:val="auto"/>
          <w:sz w:val="28"/>
          <w:szCs w:val="28"/>
          <w:highlight w:val="none"/>
          <w:lang w:eastAsia="zh-CN"/>
        </w:rPr>
        <w:t>开展</w:t>
      </w:r>
      <w:r>
        <w:rPr>
          <w:rFonts w:hint="default" w:ascii="Times New Roman" w:hAnsi="Times New Roman" w:eastAsia="宋体" w:cs="Times New Roman"/>
          <w:b w:val="0"/>
          <w:bCs w:val="0"/>
          <w:color w:val="auto"/>
          <w:sz w:val="28"/>
          <w:szCs w:val="28"/>
          <w:highlight w:val="none"/>
        </w:rPr>
        <w:t>服务产生的费用，由承接机构参照钦州市本级党政机关差旅费管理办法的相关标准，从服务经费列支。服务过程中需保存佐证材料，包含开展服务人员的往返车票、住宿发票、接送返乡交接表</w:t>
      </w:r>
      <w:r>
        <w:rPr>
          <w:rFonts w:hint="default" w:ascii="Times New Roman" w:hAnsi="Times New Roman" w:eastAsia="宋体" w:cs="Times New Roman"/>
          <w:b w:val="0"/>
          <w:bCs w:val="0"/>
          <w:color w:val="auto"/>
          <w:sz w:val="28"/>
          <w:szCs w:val="28"/>
          <w:highlight w:val="none"/>
          <w:lang w:eastAsia="zh-CN"/>
        </w:rPr>
        <w:t>、回访登记表</w:t>
      </w:r>
      <w:r>
        <w:rPr>
          <w:rFonts w:hint="default" w:ascii="Times New Roman" w:hAnsi="Times New Roman" w:eastAsia="宋体" w:cs="Times New Roman"/>
          <w:b w:val="0"/>
          <w:bCs w:val="0"/>
          <w:color w:val="auto"/>
          <w:sz w:val="28"/>
          <w:szCs w:val="28"/>
          <w:highlight w:val="none"/>
        </w:rPr>
        <w:t>等相关材料，便于市救助站监管，每个季度需向市救助站通报一次服务费用支出账目。</w:t>
      </w:r>
    </w:p>
    <w:p w14:paraId="57F42813">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640" w:firstLineChars="200"/>
        <w:jc w:val="left"/>
        <w:textAlignment w:val="auto"/>
        <w:rPr>
          <w:rFonts w:hint="eastAsia" w:ascii="宋体" w:hAnsi="宋体" w:eastAsia="宋体" w:cs="宋体"/>
          <w:b/>
          <w:color w:val="auto"/>
          <w:sz w:val="32"/>
          <w:szCs w:val="32"/>
          <w:highlight w:val="none"/>
        </w:rPr>
      </w:pPr>
      <w:r>
        <w:rPr>
          <w:rFonts w:hint="eastAsia" w:ascii="方正黑体_GBK" w:hAnsi="方正黑体_GBK" w:eastAsia="方正黑体_GBK" w:cs="方正黑体_GBK"/>
          <w:b w:val="0"/>
          <w:bCs w:val="0"/>
          <w:caps/>
          <w:color w:val="auto"/>
          <w:kern w:val="2"/>
          <w:sz w:val="32"/>
          <w:szCs w:val="32"/>
          <w:highlight w:val="none"/>
          <w:lang w:val="en-US" w:eastAsia="zh-CN" w:bidi="ar-SA"/>
        </w:rPr>
        <w:t>第四条  项目服务时间、评估安排</w:t>
      </w:r>
    </w:p>
    <w:p w14:paraId="64DAC9CB">
      <w:pPr>
        <w:keepNext w:val="0"/>
        <w:keepLines w:val="0"/>
        <w:pageBreakBefore w:val="0"/>
        <w:kinsoku/>
        <w:wordWrap/>
        <w:overflowPunct/>
        <w:topLinePunct w:val="0"/>
        <w:autoSpaceDE/>
        <w:autoSpaceDN/>
        <w:bidi w:val="0"/>
        <w:adjustRightInd/>
        <w:snapToGrid/>
        <w:spacing w:before="32" w:beforeLines="10" w:after="32" w:afterLines="10" w:line="460" w:lineRule="exact"/>
        <w:ind w:firstLine="560" w:firstLineChars="200"/>
        <w:textAlignment w:val="auto"/>
        <w:rPr>
          <w:rFonts w:hint="eastAsia" w:ascii="宋体" w:hAnsi="宋体" w:eastAsia="宋体" w:cs="宋体"/>
          <w:color w:val="auto"/>
          <w:sz w:val="28"/>
          <w:szCs w:val="28"/>
          <w:highlight w:val="none"/>
        </w:rPr>
      </w:pPr>
      <w:r>
        <w:rPr>
          <w:rFonts w:hint="eastAsia" w:ascii="Times New Roman" w:hAnsi="Times New Roman" w:eastAsia="宋体" w:cs="Times New Roman"/>
          <w:color w:val="auto"/>
          <w:sz w:val="28"/>
          <w:szCs w:val="28"/>
          <w:highlight w:val="none"/>
          <w:lang w:val="en-US" w:eastAsia="zh-CN"/>
        </w:rPr>
        <w:t>1</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合同履约期限</w:t>
      </w: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u w:val="single"/>
          <w:lang w:val="en-US" w:eastAsia="zh-CN"/>
        </w:rPr>
        <w:t>1年，从签订合同的时间起或双方约定的时间起12个月。</w:t>
      </w:r>
    </w:p>
    <w:p w14:paraId="5A04978A">
      <w:pPr>
        <w:keepNext w:val="0"/>
        <w:keepLines w:val="0"/>
        <w:pageBreakBefore w:val="0"/>
        <w:widowControl w:val="0"/>
        <w:kinsoku/>
        <w:wordWrap/>
        <w:overflowPunct/>
        <w:topLinePunct w:val="0"/>
        <w:autoSpaceDE/>
        <w:autoSpaceDN/>
        <w:bidi w:val="0"/>
        <w:adjustRightInd w:val="0"/>
        <w:snapToGrid w:val="0"/>
        <w:spacing w:before="32" w:beforeLines="10" w:after="32" w:afterLines="10" w:line="460" w:lineRule="exact"/>
        <w:ind w:firstLine="560" w:firstLineChars="200"/>
        <w:jc w:val="both"/>
        <w:textAlignment w:val="auto"/>
        <w:outlineLvl w:val="9"/>
        <w:rPr>
          <w:rFonts w:hint="eastAsia" w:ascii="宋体" w:hAnsi="宋体" w:eastAsia="宋体" w:cs="宋体"/>
          <w:color w:val="auto"/>
          <w:sz w:val="28"/>
          <w:szCs w:val="28"/>
          <w:highlight w:val="none"/>
          <w:lang w:eastAsia="zh-CN"/>
        </w:rPr>
      </w:pPr>
      <w:r>
        <w:rPr>
          <w:rFonts w:hint="eastAsia" w:ascii="Times New Roman" w:hAnsi="Times New Roman" w:eastAsia="宋体" w:cs="Times New Roman"/>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中期评估。</w:t>
      </w:r>
      <w:r>
        <w:rPr>
          <w:rFonts w:hint="eastAsia" w:ascii="宋体" w:hAnsi="宋体" w:eastAsia="宋体" w:cs="宋体"/>
          <w:color w:val="auto"/>
          <w:sz w:val="28"/>
          <w:szCs w:val="28"/>
          <w:highlight w:val="none"/>
          <w:lang w:val="en-US" w:eastAsia="zh-CN"/>
        </w:rPr>
        <w:t>项目实施6个月后，由甲方组织第三方开展中期评估（评估经费由乙方支付）。评估结果经甲方复核合格后，继续支持其开展服务项目；评估复核不合格，进行项目整改，整改合格，继续支持其开展服务项目；整改不合格，项目终止，不支付任何费用，</w:t>
      </w:r>
      <w:r>
        <w:rPr>
          <w:rFonts w:hint="eastAsia" w:ascii="宋体" w:hAnsi="宋体" w:eastAsia="宋体" w:cs="宋体"/>
          <w:color w:val="auto"/>
          <w:sz w:val="28"/>
          <w:szCs w:val="28"/>
          <w:highlight w:val="none"/>
          <w:lang w:bidi="ar"/>
        </w:rPr>
        <w:t>给</w:t>
      </w:r>
      <w:r>
        <w:rPr>
          <w:rFonts w:hint="eastAsia" w:ascii="宋体" w:hAnsi="宋体" w:eastAsia="宋体" w:cs="宋体"/>
          <w:color w:val="auto"/>
          <w:sz w:val="28"/>
          <w:szCs w:val="28"/>
          <w:highlight w:val="none"/>
          <w:lang w:val="en-US" w:eastAsia="zh-CN" w:bidi="ar"/>
        </w:rPr>
        <w:t>甲方</w:t>
      </w:r>
      <w:r>
        <w:rPr>
          <w:rFonts w:hint="eastAsia" w:ascii="宋体" w:hAnsi="宋体" w:eastAsia="宋体" w:cs="宋体"/>
          <w:color w:val="auto"/>
          <w:sz w:val="28"/>
          <w:szCs w:val="28"/>
          <w:highlight w:val="none"/>
          <w:lang w:bidi="ar"/>
        </w:rPr>
        <w:t>造成损失的，</w:t>
      </w:r>
      <w:r>
        <w:rPr>
          <w:rFonts w:hint="eastAsia" w:ascii="宋体" w:hAnsi="宋体" w:eastAsia="宋体" w:cs="宋体"/>
          <w:color w:val="auto"/>
          <w:sz w:val="28"/>
          <w:szCs w:val="28"/>
          <w:highlight w:val="none"/>
          <w:lang w:val="en-US" w:eastAsia="zh-CN" w:bidi="ar"/>
        </w:rPr>
        <w:t>乙方</w:t>
      </w:r>
      <w:r>
        <w:rPr>
          <w:rFonts w:hint="eastAsia" w:ascii="宋体" w:hAnsi="宋体" w:eastAsia="宋体" w:cs="宋体"/>
          <w:color w:val="auto"/>
          <w:sz w:val="28"/>
          <w:szCs w:val="28"/>
          <w:highlight w:val="none"/>
          <w:lang w:bidi="ar"/>
        </w:rPr>
        <w:t>应当予以赔偿</w:t>
      </w:r>
      <w:r>
        <w:rPr>
          <w:rFonts w:hint="eastAsia" w:ascii="宋体" w:hAnsi="宋体" w:eastAsia="宋体" w:cs="宋体"/>
          <w:color w:val="auto"/>
          <w:sz w:val="28"/>
          <w:szCs w:val="28"/>
          <w:highlight w:val="none"/>
          <w:lang w:eastAsia="zh-CN" w:bidi="ar"/>
        </w:rPr>
        <w:t>。</w:t>
      </w:r>
      <w:r>
        <w:rPr>
          <w:rFonts w:hint="eastAsia" w:ascii="宋体" w:hAnsi="宋体" w:eastAsia="宋体" w:cs="宋体"/>
          <w:b/>
          <w:bCs/>
          <w:color w:val="auto"/>
          <w:sz w:val="28"/>
          <w:szCs w:val="28"/>
          <w:highlight w:val="none"/>
          <w:lang w:bidi="ar"/>
        </w:rPr>
        <w:t>赔偿范围包括但不限于</w:t>
      </w:r>
      <w:r>
        <w:rPr>
          <w:rFonts w:hint="eastAsia" w:ascii="宋体" w:hAnsi="宋体" w:eastAsia="宋体" w:cs="宋体"/>
          <w:b/>
          <w:bCs/>
          <w:color w:val="auto"/>
          <w:sz w:val="28"/>
          <w:szCs w:val="28"/>
          <w:highlight w:val="none"/>
          <w:lang w:val="en-US" w:eastAsia="zh-CN" w:bidi="ar"/>
        </w:rPr>
        <w:t>甲方</w:t>
      </w:r>
      <w:r>
        <w:rPr>
          <w:rFonts w:hint="eastAsia" w:ascii="宋体" w:hAnsi="宋体" w:eastAsia="宋体" w:cs="宋体"/>
          <w:b/>
          <w:bCs/>
          <w:color w:val="auto"/>
          <w:sz w:val="28"/>
          <w:szCs w:val="28"/>
          <w:highlight w:val="none"/>
          <w:lang w:bidi="ar"/>
        </w:rPr>
        <w:t>为</w:t>
      </w:r>
      <w:r>
        <w:rPr>
          <w:rFonts w:hint="eastAsia" w:ascii="宋体" w:hAnsi="宋体" w:eastAsia="宋体" w:cs="宋体"/>
          <w:color w:val="auto"/>
          <w:sz w:val="28"/>
          <w:szCs w:val="28"/>
          <w:highlight w:val="none"/>
          <w:lang w:bidi="ar"/>
        </w:rPr>
        <w:t>主张合法权利支付的律师费、交通费、公告费、公证费等全部费用</w:t>
      </w:r>
      <w:r>
        <w:rPr>
          <w:rFonts w:hint="eastAsia" w:ascii="宋体" w:hAnsi="宋体" w:eastAsia="宋体" w:cs="宋体"/>
          <w:color w:val="auto"/>
          <w:sz w:val="28"/>
          <w:szCs w:val="28"/>
          <w:highlight w:val="none"/>
          <w:lang w:eastAsia="zh-CN"/>
        </w:rPr>
        <w:t>。</w:t>
      </w:r>
    </w:p>
    <w:p w14:paraId="01153417">
      <w:pPr>
        <w:keepNext w:val="0"/>
        <w:keepLines w:val="0"/>
        <w:pageBreakBefore w:val="0"/>
        <w:widowControl w:val="0"/>
        <w:kinsoku/>
        <w:wordWrap/>
        <w:overflowPunct/>
        <w:topLinePunct w:val="0"/>
        <w:autoSpaceDE/>
        <w:autoSpaceDN/>
        <w:bidi w:val="0"/>
        <w:adjustRightInd w:val="0"/>
        <w:snapToGrid w:val="0"/>
        <w:spacing w:before="32" w:beforeLines="10" w:after="32" w:afterLines="10" w:line="460" w:lineRule="exact"/>
        <w:ind w:firstLine="560" w:firstLineChars="200"/>
        <w:jc w:val="both"/>
        <w:textAlignment w:val="auto"/>
        <w:outlineLvl w:val="9"/>
        <w:rPr>
          <w:rFonts w:hint="eastAsia" w:ascii="宋体" w:hAnsi="宋体" w:eastAsia="宋体" w:cs="宋体"/>
          <w:color w:val="auto"/>
          <w:sz w:val="28"/>
          <w:szCs w:val="28"/>
          <w:highlight w:val="none"/>
        </w:rPr>
      </w:pPr>
      <w:r>
        <w:rPr>
          <w:rFonts w:hint="eastAsia" w:ascii="Times New Roman" w:hAnsi="Times New Roman" w:eastAsia="宋体" w:cs="Times New Roman"/>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w:t>
      </w:r>
      <w:r>
        <w:rPr>
          <w:rFonts w:hint="eastAsia" w:ascii="宋体" w:hAnsi="宋体" w:eastAsia="宋体" w:cs="宋体"/>
          <w:color w:val="auto"/>
          <w:sz w:val="28"/>
          <w:szCs w:val="28"/>
          <w:highlight w:val="none"/>
        </w:rPr>
        <w:t>结项</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0"/>
          <w:sz w:val="28"/>
          <w:szCs w:val="28"/>
          <w:highlight w:val="none"/>
          <w:lang w:val="en-US" w:eastAsia="zh-CN" w:bidi="ar-SA"/>
        </w:rPr>
        <w:t>末</w:t>
      </w:r>
      <w:r>
        <w:rPr>
          <w:rFonts w:hint="eastAsia" w:ascii="宋体" w:hAnsi="宋体" w:eastAsia="宋体" w:cs="宋体"/>
          <w:color w:val="auto"/>
          <w:sz w:val="28"/>
          <w:szCs w:val="28"/>
          <w:highlight w:val="none"/>
          <w:lang w:val="en-US" w:eastAsia="zh-CN"/>
        </w:rPr>
        <w:t>期</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评估。项目服务结束</w:t>
      </w:r>
      <w:r>
        <w:rPr>
          <w:rFonts w:hint="eastAsia" w:ascii="宋体" w:hAnsi="宋体" w:eastAsia="宋体" w:cs="宋体"/>
          <w:color w:val="auto"/>
          <w:sz w:val="28"/>
          <w:szCs w:val="28"/>
          <w:highlight w:val="none"/>
          <w:lang w:eastAsia="zh-CN"/>
        </w:rPr>
        <w:t>后</w:t>
      </w:r>
      <w:r>
        <w:rPr>
          <w:rFonts w:hint="eastAsia" w:ascii="宋体" w:hAnsi="宋体" w:eastAsia="宋体" w:cs="宋体"/>
          <w:color w:val="auto"/>
          <w:sz w:val="28"/>
          <w:szCs w:val="28"/>
          <w:highlight w:val="none"/>
        </w:rPr>
        <w:t>1个月内，由</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组织第三方开展末期考核评估（</w:t>
      </w:r>
      <w:r>
        <w:rPr>
          <w:rFonts w:hint="eastAsia" w:ascii="宋体" w:hAnsi="宋体" w:eastAsia="宋体" w:cs="宋体"/>
          <w:color w:val="auto"/>
          <w:sz w:val="28"/>
          <w:szCs w:val="28"/>
          <w:highlight w:val="none"/>
          <w:lang w:val="en-US" w:eastAsia="zh-CN"/>
        </w:rPr>
        <w:t>评估经费由乙方支付</w:t>
      </w:r>
      <w:r>
        <w:rPr>
          <w:rFonts w:hint="eastAsia" w:ascii="宋体" w:hAnsi="宋体" w:eastAsia="宋体" w:cs="宋体"/>
          <w:color w:val="auto"/>
          <w:sz w:val="28"/>
          <w:szCs w:val="28"/>
          <w:highlight w:val="none"/>
        </w:rPr>
        <w:t>）。评估结果经</w:t>
      </w:r>
      <w:r>
        <w:rPr>
          <w:rFonts w:hint="eastAsia" w:ascii="宋体" w:hAnsi="宋体" w:eastAsia="宋体" w:cs="宋体"/>
          <w:color w:val="auto"/>
          <w:sz w:val="28"/>
          <w:szCs w:val="28"/>
          <w:highlight w:val="none"/>
          <w:lang w:val="en-US" w:eastAsia="zh-CN"/>
        </w:rPr>
        <w:t>甲方</w:t>
      </w:r>
      <w:r>
        <w:rPr>
          <w:rFonts w:hint="eastAsia" w:ascii="宋体" w:hAnsi="宋体" w:eastAsia="宋体" w:cs="宋体"/>
          <w:color w:val="auto"/>
          <w:sz w:val="28"/>
          <w:szCs w:val="28"/>
          <w:highlight w:val="none"/>
        </w:rPr>
        <w:t>复核合格后，项目资金全额拨付；评估结果不合格，进行项目整改。整改合格，项目资金全额拨付</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整改不合格，项目终止，</w:t>
      </w:r>
      <w:r>
        <w:rPr>
          <w:rFonts w:hint="eastAsia" w:ascii="宋体" w:hAnsi="宋体" w:eastAsia="宋体" w:cs="宋体"/>
          <w:color w:val="auto"/>
          <w:sz w:val="28"/>
          <w:szCs w:val="28"/>
          <w:highlight w:val="none"/>
          <w:lang w:eastAsia="zh-CN"/>
        </w:rPr>
        <w:t>不支付任何费用</w:t>
      </w:r>
      <w:r>
        <w:rPr>
          <w:rFonts w:hint="eastAsia" w:ascii="宋体" w:hAnsi="宋体" w:eastAsia="宋体" w:cs="宋体"/>
          <w:color w:val="auto"/>
          <w:sz w:val="28"/>
          <w:szCs w:val="28"/>
          <w:highlight w:val="none"/>
          <w:u w:val="single"/>
          <w:lang w:bidi="ar"/>
        </w:rPr>
        <w:t>，给</w:t>
      </w:r>
      <w:r>
        <w:rPr>
          <w:rFonts w:hint="eastAsia" w:ascii="宋体" w:hAnsi="宋体" w:eastAsia="宋体" w:cs="宋体"/>
          <w:color w:val="auto"/>
          <w:sz w:val="28"/>
          <w:szCs w:val="28"/>
          <w:highlight w:val="none"/>
          <w:u w:val="single"/>
          <w:lang w:val="en-US" w:eastAsia="zh-CN" w:bidi="ar"/>
        </w:rPr>
        <w:t>甲方</w:t>
      </w:r>
      <w:r>
        <w:rPr>
          <w:rFonts w:hint="eastAsia" w:ascii="宋体" w:hAnsi="宋体" w:eastAsia="宋体" w:cs="宋体"/>
          <w:color w:val="auto"/>
          <w:sz w:val="28"/>
          <w:szCs w:val="28"/>
          <w:highlight w:val="none"/>
          <w:u w:val="single"/>
          <w:lang w:bidi="ar"/>
        </w:rPr>
        <w:t>造成损失的，</w:t>
      </w:r>
      <w:r>
        <w:rPr>
          <w:rFonts w:hint="eastAsia" w:ascii="宋体" w:hAnsi="宋体" w:eastAsia="宋体" w:cs="宋体"/>
          <w:color w:val="auto"/>
          <w:sz w:val="28"/>
          <w:szCs w:val="28"/>
          <w:highlight w:val="none"/>
          <w:u w:val="single"/>
          <w:lang w:val="en-US" w:eastAsia="zh-CN" w:bidi="ar"/>
        </w:rPr>
        <w:t>乙方</w:t>
      </w:r>
      <w:r>
        <w:rPr>
          <w:rFonts w:hint="eastAsia" w:ascii="宋体" w:hAnsi="宋体" w:eastAsia="宋体" w:cs="宋体"/>
          <w:color w:val="auto"/>
          <w:sz w:val="28"/>
          <w:szCs w:val="28"/>
          <w:highlight w:val="none"/>
          <w:u w:val="single"/>
          <w:lang w:bidi="ar"/>
        </w:rPr>
        <w:t>应当予以赔偿</w:t>
      </w:r>
      <w:r>
        <w:rPr>
          <w:rFonts w:hint="eastAsia" w:ascii="宋体" w:hAnsi="宋体" w:eastAsia="宋体" w:cs="宋体"/>
          <w:color w:val="auto"/>
          <w:sz w:val="28"/>
          <w:szCs w:val="28"/>
          <w:highlight w:val="none"/>
          <w:u w:val="single"/>
          <w:lang w:eastAsia="zh-CN" w:bidi="ar"/>
        </w:rPr>
        <w:t>。</w:t>
      </w:r>
      <w:r>
        <w:rPr>
          <w:rFonts w:hint="eastAsia" w:ascii="宋体" w:hAnsi="宋体" w:eastAsia="宋体" w:cs="宋体"/>
          <w:b/>
          <w:bCs/>
          <w:color w:val="auto"/>
          <w:sz w:val="28"/>
          <w:szCs w:val="28"/>
          <w:highlight w:val="none"/>
          <w:lang w:bidi="ar"/>
        </w:rPr>
        <w:t>赔偿范围包括但不限于</w:t>
      </w:r>
      <w:r>
        <w:rPr>
          <w:rFonts w:hint="eastAsia" w:ascii="宋体" w:hAnsi="宋体" w:eastAsia="宋体" w:cs="宋体"/>
          <w:b/>
          <w:bCs/>
          <w:color w:val="auto"/>
          <w:sz w:val="28"/>
          <w:szCs w:val="28"/>
          <w:highlight w:val="none"/>
          <w:lang w:val="en-US" w:eastAsia="zh-CN" w:bidi="ar"/>
        </w:rPr>
        <w:t>甲方</w:t>
      </w:r>
      <w:r>
        <w:rPr>
          <w:rFonts w:hint="eastAsia" w:ascii="宋体" w:hAnsi="宋体" w:eastAsia="宋体" w:cs="宋体"/>
          <w:b/>
          <w:bCs/>
          <w:color w:val="auto"/>
          <w:sz w:val="28"/>
          <w:szCs w:val="28"/>
          <w:highlight w:val="none"/>
          <w:lang w:bidi="ar"/>
        </w:rPr>
        <w:t>为主张合法权利</w:t>
      </w:r>
      <w:r>
        <w:rPr>
          <w:rFonts w:hint="eastAsia" w:ascii="宋体" w:hAnsi="宋体" w:eastAsia="宋体" w:cs="宋体"/>
          <w:color w:val="auto"/>
          <w:sz w:val="28"/>
          <w:szCs w:val="28"/>
          <w:highlight w:val="none"/>
          <w:lang w:bidi="ar"/>
        </w:rPr>
        <w:t>支付的律师费、交通费、公告费、公证费等全部费用</w:t>
      </w:r>
      <w:r>
        <w:rPr>
          <w:rFonts w:hint="eastAsia" w:ascii="宋体" w:hAnsi="宋体" w:eastAsia="宋体" w:cs="宋体"/>
          <w:color w:val="auto"/>
          <w:sz w:val="28"/>
          <w:szCs w:val="28"/>
          <w:highlight w:val="none"/>
        </w:rPr>
        <w:t>。</w:t>
      </w:r>
    </w:p>
    <w:p w14:paraId="4C8C8D20">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640" w:firstLineChars="200"/>
        <w:jc w:val="left"/>
        <w:textAlignment w:val="auto"/>
        <w:rPr>
          <w:rFonts w:hint="eastAsia" w:ascii="方正黑体_GBK" w:hAnsi="方正黑体_GBK" w:eastAsia="方正黑体_GBK" w:cs="方正黑体_GBK"/>
          <w:b w:val="0"/>
          <w:bCs w:val="0"/>
          <w:caps/>
          <w:color w:val="auto"/>
          <w:kern w:val="2"/>
          <w:sz w:val="32"/>
          <w:szCs w:val="32"/>
          <w:highlight w:val="none"/>
          <w:lang w:val="en-US" w:eastAsia="zh-CN" w:bidi="ar-SA"/>
        </w:rPr>
      </w:pPr>
      <w:r>
        <w:rPr>
          <w:rFonts w:hint="eastAsia" w:ascii="方正黑体_GBK" w:hAnsi="方正黑体_GBK" w:eastAsia="方正黑体_GBK" w:cs="方正黑体_GBK"/>
          <w:b w:val="0"/>
          <w:bCs w:val="0"/>
          <w:caps/>
          <w:color w:val="auto"/>
          <w:kern w:val="2"/>
          <w:sz w:val="32"/>
          <w:szCs w:val="32"/>
          <w:highlight w:val="none"/>
          <w:lang w:val="en-US" w:eastAsia="zh-CN" w:bidi="ar-SA"/>
        </w:rPr>
        <w:t>第五条  合同金额及付款方式</w:t>
      </w:r>
    </w:p>
    <w:p w14:paraId="26E77DA8">
      <w:pPr>
        <w:keepNext w:val="0"/>
        <w:keepLines w:val="0"/>
        <w:pageBreakBefore w:val="0"/>
        <w:widowControl/>
        <w:kinsoku/>
        <w:wordWrap/>
        <w:overflowPunct/>
        <w:topLinePunct w:val="0"/>
        <w:autoSpaceDE/>
        <w:autoSpaceDN/>
        <w:bidi w:val="0"/>
        <w:adjustRightInd/>
        <w:spacing w:before="0" w:beforeLines="-2147483648" w:after="0" w:afterLines="-2147483648" w:line="360" w:lineRule="auto"/>
        <w:ind w:firstLine="560" w:firstLineChars="200"/>
        <w:jc w:val="left"/>
        <w:textAlignment w:val="auto"/>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合同金额：人民币（大写）</w:t>
      </w:r>
      <w:r>
        <w:rPr>
          <w:rFonts w:hint="eastAsia" w:ascii="宋体" w:hAnsi="宋体" w:eastAsia="宋体" w:cs="宋体"/>
          <w:b/>
          <w:bCs/>
          <w:color w:val="auto"/>
          <w:kern w:val="0"/>
          <w:sz w:val="28"/>
          <w:szCs w:val="28"/>
          <w:highlight w:val="none"/>
          <w:u w:val="single"/>
          <w:lang w:val="en-US" w:eastAsia="zh-CN" w:bidi="ar-SA"/>
        </w:rPr>
        <w:t xml:space="preserve">     </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b/>
          <w:bCs/>
          <w:color w:val="auto"/>
          <w:kern w:val="0"/>
          <w:sz w:val="28"/>
          <w:szCs w:val="28"/>
          <w:highlight w:val="none"/>
          <w:u w:val="single"/>
          <w:lang w:val="en-US" w:eastAsia="zh-CN" w:bidi="ar-SA"/>
        </w:rPr>
        <w:t>￥</w:t>
      </w:r>
      <w:r>
        <w:rPr>
          <w:rFonts w:hint="eastAsia" w:ascii="Times New Roman" w:hAnsi="Times New Roman" w:eastAsia="宋体" w:cs="Times New Roman"/>
          <w:b/>
          <w:bCs/>
          <w:color w:val="auto"/>
          <w:kern w:val="0"/>
          <w:sz w:val="28"/>
          <w:szCs w:val="28"/>
          <w:highlight w:val="none"/>
          <w:u w:val="single"/>
          <w:lang w:val="en-US" w:eastAsia="zh-CN" w:bidi="ar-SA"/>
        </w:rPr>
        <w:t xml:space="preserve">     </w:t>
      </w:r>
      <w:r>
        <w:rPr>
          <w:rFonts w:hint="eastAsia" w:ascii="宋体" w:hAnsi="宋体" w:eastAsia="宋体" w:cs="宋体"/>
          <w:color w:val="auto"/>
          <w:kern w:val="0"/>
          <w:sz w:val="28"/>
          <w:szCs w:val="28"/>
          <w:highlight w:val="none"/>
          <w:lang w:val="en-US" w:eastAsia="zh-CN" w:bidi="ar-SA"/>
        </w:rPr>
        <w:t>）</w:t>
      </w:r>
    </w:p>
    <w:p w14:paraId="43FA350C">
      <w:pPr>
        <w:keepNext w:val="0"/>
        <w:keepLines w:val="0"/>
        <w:pageBreakBefore w:val="0"/>
        <w:widowControl w:val="0"/>
        <w:kinsoku/>
        <w:wordWrap/>
        <w:overflowPunct/>
        <w:topLinePunct w:val="0"/>
        <w:autoSpaceDE/>
        <w:autoSpaceDN/>
        <w:bidi w:val="0"/>
        <w:adjustRightInd/>
        <w:snapToGri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1</w:t>
      </w:r>
      <w:r>
        <w:rPr>
          <w:rFonts w:hint="eastAsia" w:ascii="宋体" w:hAnsi="宋体" w:eastAsia="宋体" w:cs="宋体"/>
          <w:color w:val="auto"/>
          <w:kern w:val="0"/>
          <w:sz w:val="28"/>
          <w:szCs w:val="28"/>
          <w:highlight w:val="none"/>
          <w:lang w:val="en-US" w:eastAsia="zh-CN" w:bidi="ar-SA"/>
        </w:rPr>
        <w:t>.合同签订后二十个工作日内，拨付合同</w:t>
      </w:r>
      <w:r>
        <w:rPr>
          <w:rFonts w:hint="eastAsia" w:ascii="宋体" w:hAnsi="宋体" w:cs="宋体"/>
          <w:color w:val="auto"/>
          <w:kern w:val="0"/>
          <w:sz w:val="28"/>
          <w:szCs w:val="28"/>
          <w:highlight w:val="none"/>
          <w:lang w:val="en-US" w:eastAsia="zh-CN" w:bidi="ar-SA"/>
        </w:rPr>
        <w:t>总</w:t>
      </w:r>
      <w:r>
        <w:rPr>
          <w:rFonts w:hint="eastAsia" w:ascii="宋体" w:hAnsi="宋体" w:eastAsia="宋体" w:cs="宋体"/>
          <w:color w:val="auto"/>
          <w:kern w:val="0"/>
          <w:sz w:val="28"/>
          <w:szCs w:val="28"/>
          <w:highlight w:val="none"/>
          <w:lang w:val="en-US" w:eastAsia="zh-CN" w:bidi="ar-SA"/>
        </w:rPr>
        <w:t>金额的</w:t>
      </w:r>
      <w:r>
        <w:rPr>
          <w:rFonts w:hint="eastAsia" w:ascii="Times New Roman" w:hAnsi="Times New Roman" w:eastAsia="宋体" w:cs="Times New Roman"/>
          <w:color w:val="auto"/>
          <w:kern w:val="0"/>
          <w:sz w:val="28"/>
          <w:szCs w:val="28"/>
          <w:highlight w:val="none"/>
          <w:lang w:val="en-US" w:eastAsia="zh-CN" w:bidi="ar-SA"/>
        </w:rPr>
        <w:t>40%</w:t>
      </w:r>
      <w:r>
        <w:rPr>
          <w:rFonts w:hint="eastAsia" w:ascii="宋体" w:hAnsi="宋体" w:eastAsia="宋体" w:cs="宋体"/>
          <w:color w:val="auto"/>
          <w:kern w:val="0"/>
          <w:sz w:val="28"/>
          <w:szCs w:val="28"/>
          <w:highlight w:val="none"/>
          <w:lang w:val="en-US" w:eastAsia="zh-CN" w:bidi="ar-SA"/>
        </w:rPr>
        <w:t>，即：人民币（大写）</w:t>
      </w:r>
      <w:r>
        <w:rPr>
          <w:rFonts w:hint="eastAsia" w:ascii="宋体" w:hAnsi="宋体" w:eastAsia="宋体" w:cs="宋体"/>
          <w:b/>
          <w:bCs/>
          <w:color w:val="auto"/>
          <w:kern w:val="0"/>
          <w:sz w:val="28"/>
          <w:szCs w:val="28"/>
          <w:highlight w:val="none"/>
          <w:u w:val="single"/>
          <w:lang w:val="en-US" w:eastAsia="zh-CN" w:bidi="ar-SA"/>
        </w:rPr>
        <w:t xml:space="preserve">               </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b/>
          <w:bCs/>
          <w:color w:val="auto"/>
          <w:kern w:val="0"/>
          <w:sz w:val="28"/>
          <w:szCs w:val="28"/>
          <w:highlight w:val="none"/>
          <w:u w:val="single"/>
          <w:lang w:val="en-US" w:eastAsia="zh-CN" w:bidi="ar-SA"/>
        </w:rPr>
        <w:t>￥</w:t>
      </w:r>
      <w:r>
        <w:rPr>
          <w:rFonts w:hint="eastAsia" w:ascii="Times New Roman" w:hAnsi="Times New Roman" w:eastAsia="宋体" w:cs="Times New Roman"/>
          <w:b/>
          <w:bCs/>
          <w:color w:val="auto"/>
          <w:kern w:val="0"/>
          <w:sz w:val="28"/>
          <w:szCs w:val="28"/>
          <w:highlight w:val="none"/>
          <w:u w:val="single"/>
          <w:lang w:val="en-US" w:eastAsia="zh-CN" w:bidi="ar-SA"/>
        </w:rPr>
        <w:t xml:space="preserve">          </w:t>
      </w:r>
      <w:r>
        <w:rPr>
          <w:rFonts w:hint="eastAsia" w:ascii="宋体" w:hAnsi="宋体" w:eastAsia="宋体" w:cs="宋体"/>
          <w:color w:val="auto"/>
          <w:kern w:val="0"/>
          <w:sz w:val="28"/>
          <w:szCs w:val="28"/>
          <w:highlight w:val="none"/>
          <w:lang w:val="en-US" w:eastAsia="zh-CN" w:bidi="ar-SA"/>
        </w:rPr>
        <w:t>）；</w:t>
      </w:r>
    </w:p>
    <w:p w14:paraId="57B9DAF0">
      <w:pPr>
        <w:keepNext w:val="0"/>
        <w:keepLines w:val="0"/>
        <w:pageBreakBefore w:val="0"/>
        <w:widowControl w:val="0"/>
        <w:kinsoku/>
        <w:wordWrap/>
        <w:overflowPunct/>
        <w:topLinePunct w:val="0"/>
        <w:autoSpaceDE/>
        <w:autoSpaceDN/>
        <w:bidi w:val="0"/>
        <w:adjustRightInd/>
        <w:snapToGri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2</w:t>
      </w:r>
      <w:r>
        <w:rPr>
          <w:rFonts w:hint="eastAsia" w:ascii="宋体" w:hAnsi="宋体" w:eastAsia="宋体" w:cs="宋体"/>
          <w:color w:val="auto"/>
          <w:kern w:val="0"/>
          <w:sz w:val="28"/>
          <w:szCs w:val="28"/>
          <w:highlight w:val="none"/>
          <w:lang w:val="en-US" w:eastAsia="zh-CN" w:bidi="ar-SA"/>
        </w:rPr>
        <w:t>.项目中期评估验收合格后十五个工作日内拨付合同</w:t>
      </w:r>
      <w:r>
        <w:rPr>
          <w:rFonts w:hint="eastAsia" w:ascii="宋体" w:hAnsi="宋体" w:cs="宋体"/>
          <w:color w:val="auto"/>
          <w:kern w:val="0"/>
          <w:sz w:val="28"/>
          <w:szCs w:val="28"/>
          <w:highlight w:val="none"/>
          <w:lang w:val="en-US" w:eastAsia="zh-CN" w:bidi="ar-SA"/>
        </w:rPr>
        <w:t>总</w:t>
      </w:r>
      <w:r>
        <w:rPr>
          <w:rFonts w:hint="eastAsia" w:ascii="宋体" w:hAnsi="宋体" w:eastAsia="宋体" w:cs="宋体"/>
          <w:color w:val="auto"/>
          <w:kern w:val="0"/>
          <w:sz w:val="28"/>
          <w:szCs w:val="28"/>
          <w:highlight w:val="none"/>
          <w:lang w:val="en-US" w:eastAsia="zh-CN" w:bidi="ar-SA"/>
        </w:rPr>
        <w:t>金额的</w:t>
      </w:r>
      <w:r>
        <w:rPr>
          <w:rFonts w:hint="eastAsia" w:ascii="Times New Roman" w:hAnsi="Times New Roman" w:eastAsia="宋体" w:cs="Times New Roman"/>
          <w:color w:val="auto"/>
          <w:kern w:val="2"/>
          <w:sz w:val="28"/>
          <w:szCs w:val="28"/>
          <w:highlight w:val="none"/>
          <w:lang w:val="en-US" w:eastAsia="zh-CN" w:bidi="ar-SA"/>
        </w:rPr>
        <w:t>40%</w:t>
      </w:r>
      <w:r>
        <w:rPr>
          <w:rFonts w:hint="eastAsia" w:ascii="宋体" w:hAnsi="宋体" w:eastAsia="宋体" w:cs="宋体"/>
          <w:color w:val="auto"/>
          <w:kern w:val="0"/>
          <w:sz w:val="28"/>
          <w:szCs w:val="28"/>
          <w:highlight w:val="none"/>
          <w:lang w:val="en-US" w:eastAsia="zh-CN" w:bidi="ar-SA"/>
        </w:rPr>
        <w:t>，即：人民币（大写）</w:t>
      </w:r>
      <w:r>
        <w:rPr>
          <w:rFonts w:hint="eastAsia" w:ascii="宋体" w:hAnsi="宋体" w:eastAsia="宋体" w:cs="宋体"/>
          <w:b/>
          <w:bCs/>
          <w:color w:val="auto"/>
          <w:kern w:val="0"/>
          <w:sz w:val="28"/>
          <w:szCs w:val="28"/>
          <w:highlight w:val="none"/>
          <w:u w:val="single"/>
          <w:lang w:val="en-US" w:eastAsia="zh-CN" w:bidi="ar-SA"/>
        </w:rPr>
        <w:t xml:space="preserve">         </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b/>
          <w:bCs/>
          <w:color w:val="auto"/>
          <w:kern w:val="0"/>
          <w:sz w:val="28"/>
          <w:szCs w:val="28"/>
          <w:highlight w:val="none"/>
          <w:u w:val="single"/>
          <w:lang w:val="en-US" w:eastAsia="zh-CN" w:bidi="ar-SA"/>
        </w:rPr>
        <w:t>￥</w:t>
      </w:r>
      <w:r>
        <w:rPr>
          <w:rFonts w:hint="eastAsia" w:ascii="Times New Roman" w:hAnsi="Times New Roman" w:eastAsia="宋体" w:cs="Times New Roman"/>
          <w:b/>
          <w:bCs/>
          <w:color w:val="auto"/>
          <w:kern w:val="0"/>
          <w:sz w:val="28"/>
          <w:szCs w:val="28"/>
          <w:highlight w:val="none"/>
          <w:u w:val="single"/>
          <w:lang w:val="en-US" w:eastAsia="zh-CN" w:bidi="ar-SA"/>
        </w:rPr>
        <w:t xml:space="preserve">         </w:t>
      </w:r>
      <w:r>
        <w:rPr>
          <w:rFonts w:hint="eastAsia" w:ascii="宋体" w:hAnsi="宋体" w:eastAsia="宋体" w:cs="宋体"/>
          <w:color w:val="auto"/>
          <w:kern w:val="0"/>
          <w:sz w:val="28"/>
          <w:szCs w:val="28"/>
          <w:highlight w:val="none"/>
          <w:lang w:val="en-US" w:eastAsia="zh-CN" w:bidi="ar-SA"/>
        </w:rPr>
        <w:t>）；</w:t>
      </w:r>
    </w:p>
    <w:p w14:paraId="0140439F">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b/>
          <w:bCs/>
          <w:color w:val="auto"/>
          <w:kern w:val="0"/>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3</w:t>
      </w:r>
      <w:r>
        <w:rPr>
          <w:rFonts w:hint="eastAsia" w:ascii="宋体" w:hAnsi="宋体" w:eastAsia="宋体" w:cs="宋体"/>
          <w:color w:val="auto"/>
          <w:kern w:val="0"/>
          <w:sz w:val="28"/>
          <w:szCs w:val="28"/>
          <w:highlight w:val="none"/>
          <w:lang w:val="en-US" w:eastAsia="zh-CN" w:bidi="ar-SA"/>
        </w:rPr>
        <w:t>.项目末期评估验收合格后十五个工作日内拨付</w:t>
      </w:r>
      <w:r>
        <w:rPr>
          <w:rFonts w:hint="eastAsia" w:ascii="宋体" w:hAnsi="宋体" w:cs="宋体"/>
          <w:color w:val="auto"/>
          <w:kern w:val="0"/>
          <w:sz w:val="28"/>
          <w:szCs w:val="28"/>
          <w:highlight w:val="none"/>
          <w:lang w:val="en-US" w:eastAsia="zh-CN" w:bidi="ar-SA"/>
        </w:rPr>
        <w:t>至</w:t>
      </w:r>
      <w:r>
        <w:rPr>
          <w:rFonts w:hint="eastAsia" w:ascii="宋体" w:hAnsi="宋体" w:eastAsia="宋体" w:cs="宋体"/>
          <w:color w:val="auto"/>
          <w:kern w:val="0"/>
          <w:sz w:val="28"/>
          <w:szCs w:val="28"/>
          <w:highlight w:val="none"/>
          <w:lang w:val="en-US" w:eastAsia="zh-CN" w:bidi="ar-SA"/>
        </w:rPr>
        <w:t>合同</w:t>
      </w:r>
      <w:r>
        <w:rPr>
          <w:rFonts w:hint="eastAsia" w:ascii="宋体" w:hAnsi="宋体" w:cs="宋体"/>
          <w:color w:val="auto"/>
          <w:kern w:val="0"/>
          <w:sz w:val="28"/>
          <w:szCs w:val="28"/>
          <w:highlight w:val="none"/>
          <w:lang w:val="en-US" w:eastAsia="zh-CN" w:bidi="ar-SA"/>
        </w:rPr>
        <w:t>总</w:t>
      </w:r>
      <w:r>
        <w:rPr>
          <w:rFonts w:hint="eastAsia" w:ascii="宋体" w:hAnsi="宋体" w:eastAsia="宋体" w:cs="宋体"/>
          <w:color w:val="auto"/>
          <w:kern w:val="0"/>
          <w:sz w:val="28"/>
          <w:szCs w:val="28"/>
          <w:highlight w:val="none"/>
          <w:lang w:val="en-US" w:eastAsia="zh-CN" w:bidi="ar-SA"/>
        </w:rPr>
        <w:t>金额的</w:t>
      </w:r>
      <w:r>
        <w:rPr>
          <w:rFonts w:hint="eastAsia" w:cs="Times New Roman"/>
          <w:color w:val="auto"/>
          <w:kern w:val="2"/>
          <w:sz w:val="28"/>
          <w:szCs w:val="28"/>
          <w:highlight w:val="none"/>
          <w:lang w:val="en-US" w:eastAsia="zh-CN" w:bidi="ar-SA"/>
        </w:rPr>
        <w:t>100</w:t>
      </w:r>
      <w:r>
        <w:rPr>
          <w:rFonts w:hint="eastAsia" w:ascii="Times New Roman" w:hAnsi="Times New Roman" w:eastAsia="宋体" w:cs="Times New Roman"/>
          <w:color w:val="auto"/>
          <w:kern w:val="2"/>
          <w:sz w:val="28"/>
          <w:szCs w:val="28"/>
          <w:highlight w:val="none"/>
          <w:lang w:val="en-US" w:eastAsia="zh-CN" w:bidi="ar-SA"/>
        </w:rPr>
        <w:t>%</w:t>
      </w:r>
      <w:r>
        <w:rPr>
          <w:rFonts w:hint="eastAsia" w:ascii="宋体" w:hAnsi="宋体" w:eastAsia="宋体" w:cs="宋体"/>
          <w:color w:val="auto"/>
          <w:kern w:val="0"/>
          <w:sz w:val="28"/>
          <w:szCs w:val="28"/>
          <w:highlight w:val="none"/>
          <w:lang w:val="en-US" w:eastAsia="zh-CN" w:bidi="ar-SA"/>
        </w:rPr>
        <w:t>，即：人民币（大写）</w:t>
      </w:r>
      <w:r>
        <w:rPr>
          <w:rFonts w:hint="eastAsia" w:ascii="宋体" w:hAnsi="宋体" w:eastAsia="宋体" w:cs="宋体"/>
          <w:b/>
          <w:bCs/>
          <w:color w:val="auto"/>
          <w:kern w:val="0"/>
          <w:sz w:val="28"/>
          <w:szCs w:val="28"/>
          <w:highlight w:val="none"/>
          <w:u w:val="single"/>
          <w:lang w:val="en-US" w:eastAsia="zh-CN" w:bidi="ar-SA"/>
        </w:rPr>
        <w:t xml:space="preserve">          </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b/>
          <w:bCs/>
          <w:color w:val="auto"/>
          <w:kern w:val="0"/>
          <w:sz w:val="28"/>
          <w:szCs w:val="28"/>
          <w:highlight w:val="none"/>
          <w:u w:val="single"/>
          <w:lang w:val="en-US" w:eastAsia="zh-CN" w:bidi="ar-SA"/>
        </w:rPr>
        <w:t>￥</w:t>
      </w:r>
      <w:r>
        <w:rPr>
          <w:rFonts w:hint="eastAsia" w:ascii="Times New Roman" w:hAnsi="Times New Roman" w:eastAsia="宋体" w:cs="Times New Roman"/>
          <w:b/>
          <w:bCs/>
          <w:color w:val="auto"/>
          <w:kern w:val="0"/>
          <w:sz w:val="28"/>
          <w:szCs w:val="28"/>
          <w:highlight w:val="none"/>
          <w:u w:val="single"/>
          <w:lang w:val="en-US" w:eastAsia="zh-CN" w:bidi="ar-SA"/>
        </w:rPr>
        <w:t xml:space="preserve">         </w:t>
      </w:r>
      <w:r>
        <w:rPr>
          <w:rFonts w:hint="eastAsia" w:ascii="宋体" w:hAnsi="宋体" w:eastAsia="宋体" w:cs="宋体"/>
          <w:color w:val="auto"/>
          <w:kern w:val="0"/>
          <w:sz w:val="28"/>
          <w:szCs w:val="28"/>
          <w:highlight w:val="none"/>
          <w:lang w:val="en-US" w:eastAsia="zh-CN" w:bidi="ar-SA"/>
        </w:rPr>
        <w:t>）。</w:t>
      </w:r>
    </w:p>
    <w:p w14:paraId="79591633">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2" w:firstLineChars="200"/>
        <w:jc w:val="left"/>
        <w:textAlignment w:val="auto"/>
        <w:rPr>
          <w:rFonts w:hint="default"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注：乙方需在每次付款</w:t>
      </w:r>
      <w:r>
        <w:rPr>
          <w:rFonts w:hint="eastAsia" w:ascii="宋体" w:hAnsi="宋体" w:eastAsia="宋体" w:cs="宋体"/>
          <w:b/>
          <w:bCs/>
          <w:color w:val="auto"/>
          <w:kern w:val="0"/>
          <w:sz w:val="28"/>
          <w:szCs w:val="28"/>
          <w:highlight w:val="none"/>
          <w:u w:val="single"/>
          <w:lang w:val="en-US" w:eastAsia="zh-CN" w:bidi="ar-SA"/>
        </w:rPr>
        <w:t>前</w:t>
      </w:r>
      <w:r>
        <w:rPr>
          <w:rFonts w:hint="eastAsia" w:ascii="Times New Roman" w:hAnsi="Times New Roman" w:eastAsia="宋体" w:cs="Times New Roman"/>
          <w:color w:val="auto"/>
          <w:kern w:val="2"/>
          <w:sz w:val="28"/>
          <w:szCs w:val="28"/>
          <w:highlight w:val="none"/>
          <w:u w:val="single"/>
          <w:lang w:val="en-US" w:eastAsia="zh-CN" w:bidi="ar-SA"/>
        </w:rPr>
        <w:t>5</w:t>
      </w:r>
      <w:r>
        <w:rPr>
          <w:rFonts w:hint="eastAsia" w:ascii="宋体" w:hAnsi="宋体" w:eastAsia="宋体" w:cs="宋体"/>
          <w:b/>
          <w:bCs/>
          <w:color w:val="auto"/>
          <w:kern w:val="0"/>
          <w:sz w:val="28"/>
          <w:szCs w:val="28"/>
          <w:highlight w:val="none"/>
          <w:u w:val="single"/>
          <w:lang w:val="en-US" w:eastAsia="zh-CN" w:bidi="ar-SA"/>
        </w:rPr>
        <w:t>个工作日内</w:t>
      </w:r>
      <w:r>
        <w:rPr>
          <w:rFonts w:hint="eastAsia" w:ascii="宋体" w:hAnsi="宋体" w:eastAsia="宋体" w:cs="宋体"/>
          <w:b/>
          <w:bCs/>
          <w:color w:val="auto"/>
          <w:kern w:val="0"/>
          <w:sz w:val="28"/>
          <w:szCs w:val="28"/>
          <w:highlight w:val="none"/>
          <w:lang w:val="en-US" w:eastAsia="zh-CN" w:bidi="ar-SA"/>
        </w:rPr>
        <w:t>向甲方提供该部分费用的合法税票。特别约定：支付款项的起始日以甲方收到该项目资金之日起。</w:t>
      </w:r>
    </w:p>
    <w:p w14:paraId="721487C2">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640" w:firstLineChars="200"/>
        <w:jc w:val="left"/>
        <w:textAlignment w:val="auto"/>
        <w:rPr>
          <w:rFonts w:hint="eastAsia" w:ascii="方正黑体_GBK" w:hAnsi="方正黑体_GBK" w:eastAsia="方正黑体_GBK" w:cs="方正黑体_GBK"/>
          <w:b w:val="0"/>
          <w:bCs w:val="0"/>
          <w:caps/>
          <w:color w:val="auto"/>
          <w:kern w:val="2"/>
          <w:sz w:val="32"/>
          <w:szCs w:val="32"/>
          <w:highlight w:val="none"/>
          <w:lang w:val="en-US" w:eastAsia="zh-CN" w:bidi="ar-SA"/>
        </w:rPr>
      </w:pPr>
      <w:r>
        <w:rPr>
          <w:rFonts w:hint="eastAsia" w:ascii="方正黑体_GBK" w:hAnsi="方正黑体_GBK" w:eastAsia="方正黑体_GBK" w:cs="方正黑体_GBK"/>
          <w:b w:val="0"/>
          <w:bCs w:val="0"/>
          <w:caps/>
          <w:color w:val="auto"/>
          <w:kern w:val="2"/>
          <w:sz w:val="32"/>
          <w:szCs w:val="32"/>
          <w:highlight w:val="none"/>
          <w:lang w:val="en-US" w:eastAsia="zh-CN" w:bidi="ar-SA"/>
        </w:rPr>
        <w:t>第六条  甲乙双方应履行的权利、义务</w:t>
      </w:r>
    </w:p>
    <w:p w14:paraId="76402BC0">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（一）甲方的权利、义务</w:t>
      </w:r>
    </w:p>
    <w:p w14:paraId="674A62DC">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default" w:ascii="Times New Roman" w:hAnsi="Times New Roman" w:eastAsia="宋体" w:cs="Times New Roman"/>
          <w:color w:val="auto"/>
          <w:kern w:val="0"/>
          <w:sz w:val="28"/>
          <w:szCs w:val="28"/>
          <w:highlight w:val="none"/>
          <w:lang w:val="en-US" w:eastAsia="zh-CN" w:bidi="ar-SA"/>
        </w:rPr>
        <w:t>1</w:t>
      </w:r>
      <w:r>
        <w:rPr>
          <w:rFonts w:hint="eastAsia" w:ascii="宋体" w:hAnsi="宋体" w:eastAsia="宋体" w:cs="宋体"/>
          <w:color w:val="auto"/>
          <w:kern w:val="0"/>
          <w:sz w:val="28"/>
          <w:szCs w:val="28"/>
          <w:highlight w:val="none"/>
          <w:lang w:val="en-US" w:eastAsia="zh-CN" w:bidi="ar-SA"/>
        </w:rPr>
        <w:t>.负责本项目的评估工作，不得向乙方提出除本项目以外的服务要求（发生突发性事件除外）；</w:t>
      </w:r>
    </w:p>
    <w:p w14:paraId="2700AC31">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2"/>
          <w:sz w:val="28"/>
          <w:szCs w:val="28"/>
          <w:highlight w:val="none"/>
          <w:u w:val="none"/>
          <w:lang w:val="en-US" w:eastAsia="zh-CN" w:bidi="ar-SA"/>
        </w:rPr>
        <w:t>2</w:t>
      </w:r>
      <w:r>
        <w:rPr>
          <w:rFonts w:hint="eastAsia" w:ascii="宋体" w:hAnsi="宋体" w:eastAsia="宋体" w:cs="宋体"/>
          <w:color w:val="auto"/>
          <w:kern w:val="0"/>
          <w:sz w:val="28"/>
          <w:szCs w:val="28"/>
          <w:highlight w:val="none"/>
          <w:lang w:val="en-US" w:eastAsia="zh-CN" w:bidi="ar-SA"/>
        </w:rPr>
        <w:t>.按照约定条件及时足额支付费用；</w:t>
      </w:r>
    </w:p>
    <w:p w14:paraId="37E57936">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2"/>
          <w:sz w:val="28"/>
          <w:szCs w:val="28"/>
          <w:highlight w:val="none"/>
          <w:u w:val="none"/>
          <w:lang w:val="en-US" w:eastAsia="zh-CN" w:bidi="ar-SA"/>
        </w:rPr>
        <w:t>3</w:t>
      </w:r>
      <w:r>
        <w:rPr>
          <w:rFonts w:hint="eastAsia" w:ascii="宋体" w:hAnsi="宋体" w:eastAsia="宋体" w:cs="宋体"/>
          <w:color w:val="auto"/>
          <w:kern w:val="0"/>
          <w:sz w:val="28"/>
          <w:szCs w:val="28"/>
          <w:highlight w:val="none"/>
          <w:lang w:val="en-US" w:eastAsia="zh-CN" w:bidi="ar-SA"/>
        </w:rPr>
        <w:t>.对项目经费使用情况享有知情权和审查权，有权在项目实施过程中对项目实施情况进行检查；</w:t>
      </w:r>
    </w:p>
    <w:p w14:paraId="05B367DD">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4</w:t>
      </w:r>
      <w:r>
        <w:rPr>
          <w:rFonts w:hint="eastAsia" w:ascii="宋体" w:hAnsi="宋体" w:eastAsia="宋体" w:cs="宋体"/>
          <w:color w:val="auto"/>
          <w:kern w:val="0"/>
          <w:sz w:val="28"/>
          <w:szCs w:val="28"/>
          <w:highlight w:val="none"/>
          <w:lang w:val="en-US" w:eastAsia="zh-CN" w:bidi="ar-SA"/>
        </w:rPr>
        <w:t>.有权对乙方进行指导、监督和审计工作。具体包括财务监督、服务指导、服务监督及综合评估工作。乙方须配合甲方的工作。如因乙方服务人员故意或重大过失给甲方造成损失，甲方有权追究乙方相关责任，甲方的实际损失由乙方全额赔偿，</w:t>
      </w:r>
      <w:r>
        <w:rPr>
          <w:rFonts w:hint="eastAsia" w:ascii="宋体" w:hAnsi="宋体" w:eastAsia="宋体" w:cs="宋体"/>
          <w:b/>
          <w:bCs/>
          <w:color w:val="auto"/>
          <w:kern w:val="0"/>
          <w:sz w:val="28"/>
          <w:szCs w:val="28"/>
          <w:highlight w:val="none"/>
          <w:lang w:val="en-US" w:eastAsia="zh-CN" w:bidi="ar"/>
        </w:rPr>
        <w:t>赔偿范围包括但不限于甲方为主张合法权利支付</w:t>
      </w:r>
      <w:r>
        <w:rPr>
          <w:rFonts w:hint="eastAsia" w:ascii="宋体" w:hAnsi="宋体" w:eastAsia="宋体" w:cs="宋体"/>
          <w:color w:val="auto"/>
          <w:kern w:val="0"/>
          <w:sz w:val="28"/>
          <w:szCs w:val="28"/>
          <w:highlight w:val="none"/>
          <w:lang w:val="en-US" w:eastAsia="zh-CN" w:bidi="ar"/>
        </w:rPr>
        <w:t>的律师费、交通费、公告费、公证费等全部费用</w:t>
      </w:r>
      <w:r>
        <w:rPr>
          <w:rFonts w:hint="eastAsia" w:ascii="宋体" w:hAnsi="宋体" w:eastAsia="宋体" w:cs="宋体"/>
          <w:color w:val="auto"/>
          <w:kern w:val="0"/>
          <w:sz w:val="28"/>
          <w:szCs w:val="28"/>
          <w:highlight w:val="none"/>
          <w:lang w:val="en-US" w:eastAsia="zh-CN" w:bidi="ar-SA"/>
        </w:rPr>
        <w:t>。</w:t>
      </w:r>
    </w:p>
    <w:p w14:paraId="165E1EBC">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5</w:t>
      </w:r>
      <w:r>
        <w:rPr>
          <w:rFonts w:hint="eastAsia" w:ascii="宋体" w:hAnsi="宋体" w:eastAsia="宋体" w:cs="宋体"/>
          <w:color w:val="auto"/>
          <w:kern w:val="0"/>
          <w:sz w:val="28"/>
          <w:szCs w:val="28"/>
          <w:highlight w:val="none"/>
          <w:lang w:val="en-US" w:eastAsia="zh-CN" w:bidi="ar-SA"/>
        </w:rPr>
        <w:t>.若乙方未按合同约定将款项全部用于该服务开展，包括挪用、转借、另作他用等，则乙方须承担违约责任，甲方有权停止拨款。甲方终止本合同时，乙方应返还甲方关于</w:t>
      </w:r>
      <w:r>
        <w:rPr>
          <w:rFonts w:hint="eastAsia" w:ascii="宋体" w:hAnsi="宋体" w:eastAsia="宋体" w:cs="宋体"/>
          <w:color w:val="auto"/>
          <w:kern w:val="0"/>
          <w:sz w:val="28"/>
          <w:szCs w:val="28"/>
          <w:highlight w:val="none"/>
          <w:lang w:val="en-US" w:eastAsia="zh-CN" w:bidi="ar"/>
        </w:rPr>
        <w:t>本项目合同项下已支付的服务费用</w:t>
      </w:r>
      <w:r>
        <w:rPr>
          <w:rFonts w:hint="eastAsia" w:ascii="宋体" w:hAnsi="宋体" w:eastAsia="宋体" w:cs="宋体"/>
          <w:color w:val="auto"/>
          <w:kern w:val="0"/>
          <w:sz w:val="28"/>
          <w:szCs w:val="28"/>
          <w:highlight w:val="none"/>
          <w:lang w:val="en-US" w:eastAsia="zh-CN" w:bidi="ar-SA"/>
        </w:rPr>
        <w:t>；构成犯罪的，由司法机关依法追究乙方的刑事责任。</w:t>
      </w:r>
    </w:p>
    <w:p w14:paraId="6E6C1F6D">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6</w:t>
      </w:r>
      <w:r>
        <w:rPr>
          <w:rFonts w:hint="eastAsia" w:ascii="宋体" w:hAnsi="宋体" w:eastAsia="宋体" w:cs="宋体"/>
          <w:color w:val="auto"/>
          <w:kern w:val="0"/>
          <w:sz w:val="28"/>
          <w:szCs w:val="28"/>
          <w:highlight w:val="none"/>
          <w:lang w:val="en-US" w:eastAsia="zh-CN" w:bidi="ar-SA"/>
        </w:rPr>
        <w:t>.拥有本项目相关的文字资料、照片、音视频等资料以及手册、服务案例等收集的无偿使用权；</w:t>
      </w:r>
    </w:p>
    <w:p w14:paraId="5EC58297">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7</w:t>
      </w:r>
      <w:r>
        <w:rPr>
          <w:rFonts w:hint="eastAsia" w:ascii="宋体" w:hAnsi="宋体" w:eastAsia="宋体" w:cs="宋体"/>
          <w:color w:val="auto"/>
          <w:kern w:val="0"/>
          <w:sz w:val="28"/>
          <w:szCs w:val="28"/>
          <w:highlight w:val="none"/>
          <w:lang w:val="en-US" w:eastAsia="zh-CN" w:bidi="ar-SA"/>
        </w:rPr>
        <w:t>.乙方未按进度要求结项的，甲方可根据合同约定直接予以终止或撤项，并不再继续拨付资金；被撤项的项目，甲方有权收回全部拨付资金。</w:t>
      </w:r>
    </w:p>
    <w:p w14:paraId="423EC1F5">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2" w:firstLineChars="200"/>
        <w:jc w:val="left"/>
        <w:textAlignment w:val="auto"/>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bCs/>
          <w:color w:val="auto"/>
          <w:kern w:val="0"/>
          <w:sz w:val="28"/>
          <w:szCs w:val="28"/>
          <w:highlight w:val="none"/>
          <w:lang w:val="en-US" w:eastAsia="zh-CN" w:bidi="ar-SA"/>
        </w:rPr>
        <w:t>（二）乙方的权利、义务</w:t>
      </w:r>
    </w:p>
    <w:p w14:paraId="1030E052">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1</w:t>
      </w:r>
      <w:r>
        <w:rPr>
          <w:rFonts w:hint="eastAsia" w:ascii="宋体" w:hAnsi="宋体" w:eastAsia="宋体" w:cs="宋体"/>
          <w:color w:val="auto"/>
          <w:kern w:val="0"/>
          <w:sz w:val="28"/>
          <w:szCs w:val="28"/>
          <w:highlight w:val="none"/>
          <w:lang w:val="en-US" w:eastAsia="zh-CN" w:bidi="ar-SA"/>
        </w:rPr>
        <w:t>.根据有关法律法规及本合同的约定，在遵守甲方有关规章制度的前提下，制定服务制度和工作制度，</w:t>
      </w:r>
      <w:r>
        <w:rPr>
          <w:rFonts w:hint="eastAsia" w:ascii="宋体" w:hAnsi="宋体" w:eastAsia="宋体" w:cs="宋体"/>
          <w:color w:val="auto"/>
          <w:kern w:val="0"/>
          <w:sz w:val="28"/>
          <w:szCs w:val="28"/>
          <w:highlight w:val="none"/>
          <w:u w:val="none"/>
          <w:lang w:val="en-US" w:eastAsia="zh-CN" w:bidi="ar-SA"/>
        </w:rPr>
        <w:t>对外公布相关咨询电话；</w:t>
      </w:r>
    </w:p>
    <w:p w14:paraId="7A72B2BE">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u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2</w:t>
      </w:r>
      <w:r>
        <w:rPr>
          <w:rFonts w:hint="eastAsia" w:ascii="宋体" w:hAnsi="宋体" w:eastAsia="宋体" w:cs="宋体"/>
          <w:color w:val="auto"/>
          <w:kern w:val="0"/>
          <w:sz w:val="28"/>
          <w:szCs w:val="28"/>
          <w:highlight w:val="none"/>
          <w:lang w:val="en-US" w:eastAsia="zh-CN" w:bidi="ar-SA"/>
        </w:rPr>
        <w:t>.按国家和地方政府的有关规定，合法用工。由乙方与派驻服务人员签定劳动合同，为派驻服务人员向保险部门缴纳各种保险费用。</w:t>
      </w:r>
      <w:r>
        <w:rPr>
          <w:rFonts w:hint="eastAsia" w:ascii="宋体" w:hAnsi="宋体" w:eastAsia="宋体" w:cs="宋体"/>
          <w:color w:val="auto"/>
          <w:kern w:val="0"/>
          <w:sz w:val="28"/>
          <w:szCs w:val="28"/>
          <w:highlight w:val="none"/>
          <w:u w:val="none"/>
          <w:lang w:val="en-US" w:eastAsia="zh-CN" w:bidi="ar-SA"/>
        </w:rPr>
        <w:t>合同期限内乙方人员所发生的一切事故由乙方自行承担责任；</w:t>
      </w:r>
      <w:r>
        <w:rPr>
          <w:rFonts w:hint="eastAsia" w:ascii="宋体" w:hAnsi="宋体" w:eastAsia="宋体" w:cs="宋体"/>
          <w:color w:val="auto"/>
          <w:kern w:val="2"/>
          <w:sz w:val="28"/>
          <w:szCs w:val="28"/>
          <w:highlight w:val="none"/>
          <w:u w:val="none"/>
          <w:lang w:val="en-US" w:eastAsia="zh-CN" w:bidi="ar"/>
        </w:rPr>
        <w:t>乙方应组织做好服务过程中安全工作，如乙方工作人员在提供服务过程中出现人身伤害或财产损失，由乙方承担一切责任</w:t>
      </w:r>
      <w:r>
        <w:rPr>
          <w:rFonts w:hint="eastAsia" w:ascii="宋体" w:hAnsi="宋体" w:eastAsia="宋体" w:cs="宋体"/>
          <w:color w:val="auto"/>
          <w:kern w:val="0"/>
          <w:sz w:val="28"/>
          <w:szCs w:val="28"/>
          <w:highlight w:val="none"/>
          <w:u w:val="none"/>
          <w:lang w:val="en-US" w:eastAsia="zh-CN" w:bidi="ar"/>
        </w:rPr>
        <w:t>。</w:t>
      </w:r>
      <w:r>
        <w:rPr>
          <w:rFonts w:hint="eastAsia" w:ascii="宋体" w:hAnsi="宋体" w:eastAsia="宋体" w:cs="宋体"/>
          <w:color w:val="auto"/>
          <w:kern w:val="0"/>
          <w:sz w:val="28"/>
          <w:szCs w:val="28"/>
          <w:highlight w:val="none"/>
          <w:u w:val="single"/>
          <w:lang w:val="en-US" w:eastAsia="zh-CN" w:bidi="ar-SA"/>
        </w:rPr>
        <w:t>乙方须提供派驻服务人员的劳动合同及名册交由甲方备查，乙方中途更换派驻服务人员的须经得甲方批准。</w:t>
      </w:r>
    </w:p>
    <w:p w14:paraId="04CB292A">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3</w:t>
      </w:r>
      <w:r>
        <w:rPr>
          <w:rFonts w:hint="eastAsia" w:ascii="宋体" w:hAnsi="宋体" w:eastAsia="宋体" w:cs="宋体"/>
          <w:color w:val="auto"/>
          <w:kern w:val="0"/>
          <w:sz w:val="28"/>
          <w:szCs w:val="28"/>
          <w:highlight w:val="none"/>
          <w:lang w:val="en-US" w:eastAsia="zh-CN" w:bidi="ar-SA"/>
        </w:rPr>
        <w:t>.负责编写服务方案、管理制度、管理月度及年度工作计划。</w:t>
      </w:r>
    </w:p>
    <w:p w14:paraId="1516513F">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4</w:t>
      </w:r>
      <w:r>
        <w:rPr>
          <w:rFonts w:hint="eastAsia" w:ascii="宋体" w:hAnsi="宋体" w:eastAsia="宋体" w:cs="宋体"/>
          <w:color w:val="auto"/>
          <w:kern w:val="0"/>
          <w:sz w:val="28"/>
          <w:szCs w:val="28"/>
          <w:highlight w:val="none"/>
          <w:lang w:val="en-US" w:eastAsia="zh-CN" w:bidi="ar-SA"/>
        </w:rPr>
        <w:t>.服务期限内按照项目需求开展工作，因地制宜，针对性强，受益面广，内容丰富。</w:t>
      </w:r>
    </w:p>
    <w:p w14:paraId="69C69C0C">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5</w:t>
      </w:r>
      <w:r>
        <w:rPr>
          <w:rFonts w:hint="eastAsia" w:ascii="宋体" w:hAnsi="宋体" w:eastAsia="宋体" w:cs="宋体"/>
          <w:color w:val="auto"/>
          <w:kern w:val="0"/>
          <w:sz w:val="28"/>
          <w:szCs w:val="28"/>
          <w:highlight w:val="none"/>
          <w:lang w:val="en-US" w:eastAsia="zh-CN" w:bidi="ar-SA"/>
        </w:rPr>
        <w:t>.每季度书面向甲方通报一次服务费用支出帐目。</w:t>
      </w:r>
    </w:p>
    <w:p w14:paraId="07C8D49D">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6</w:t>
      </w:r>
      <w:r>
        <w:rPr>
          <w:rFonts w:hint="eastAsia" w:ascii="宋体" w:hAnsi="宋体" w:eastAsia="宋体" w:cs="宋体"/>
          <w:color w:val="auto"/>
          <w:kern w:val="0"/>
          <w:sz w:val="28"/>
          <w:szCs w:val="28"/>
          <w:highlight w:val="none"/>
          <w:lang w:val="en-US" w:eastAsia="zh-CN" w:bidi="ar-SA"/>
        </w:rPr>
        <w:t>.乙方须派驻</w:t>
      </w:r>
      <w:r>
        <w:rPr>
          <w:rFonts w:hint="eastAsia" w:ascii="宋体" w:hAnsi="宋体" w:eastAsia="宋体" w:cs="宋体"/>
          <w:color w:val="auto"/>
          <w:kern w:val="0"/>
          <w:sz w:val="28"/>
          <w:szCs w:val="28"/>
          <w:highlight w:val="none"/>
          <w:u w:val="single"/>
          <w:lang w:val="en-US" w:eastAsia="zh-CN" w:bidi="ar-SA"/>
        </w:rPr>
        <w:t xml:space="preserve">   </w:t>
      </w:r>
      <w:r>
        <w:rPr>
          <w:rFonts w:hint="eastAsia" w:ascii="宋体" w:hAnsi="宋体" w:eastAsia="宋体" w:cs="宋体"/>
          <w:color w:val="auto"/>
          <w:kern w:val="0"/>
          <w:sz w:val="28"/>
          <w:szCs w:val="28"/>
          <w:highlight w:val="none"/>
          <w:lang w:val="en-US" w:eastAsia="zh-CN" w:bidi="ar-SA"/>
        </w:rPr>
        <w:t>名专职服务人员在甲方指定位置开展服务，并接受甲方对选派人员的资格审查。</w:t>
      </w:r>
    </w:p>
    <w:p w14:paraId="4B822903">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Times New Roman" w:hAnsi="Times New Roman" w:eastAsia="宋体" w:cs="Times New Roman"/>
          <w:color w:val="auto"/>
          <w:kern w:val="0"/>
          <w:sz w:val="28"/>
          <w:szCs w:val="28"/>
          <w:highlight w:val="none"/>
          <w:lang w:val="en-US" w:eastAsia="zh-CN" w:bidi="ar-SA"/>
        </w:rPr>
        <w:t>7</w:t>
      </w:r>
      <w:r>
        <w:rPr>
          <w:rFonts w:hint="eastAsia" w:ascii="宋体" w:hAnsi="宋体" w:eastAsia="宋体" w:cs="宋体"/>
          <w:color w:val="auto"/>
          <w:sz w:val="28"/>
          <w:szCs w:val="28"/>
          <w:highlight w:val="none"/>
          <w:lang w:val="en-US" w:eastAsia="zh-CN"/>
        </w:rPr>
        <w:t>.</w:t>
      </w:r>
      <w:r>
        <w:rPr>
          <w:rFonts w:hint="eastAsia" w:ascii="宋体" w:hAnsi="宋体" w:eastAsia="宋体" w:cs="宋体"/>
          <w:bCs/>
          <w:color w:val="auto"/>
          <w:sz w:val="28"/>
          <w:szCs w:val="28"/>
          <w:highlight w:val="none"/>
        </w:rPr>
        <w:t>乙方</w:t>
      </w:r>
      <w:r>
        <w:rPr>
          <w:rFonts w:hint="eastAsia" w:ascii="宋体" w:hAnsi="宋体" w:eastAsia="宋体" w:cs="宋体"/>
          <w:bCs/>
          <w:color w:val="auto"/>
          <w:sz w:val="28"/>
          <w:szCs w:val="28"/>
          <w:highlight w:val="none"/>
          <w:lang w:val="en-US" w:eastAsia="zh-CN"/>
        </w:rPr>
        <w:t>按甲方要求</w:t>
      </w:r>
      <w:r>
        <w:rPr>
          <w:rFonts w:hint="eastAsia" w:ascii="宋体" w:hAnsi="宋体" w:eastAsia="宋体" w:cs="宋体"/>
          <w:bCs/>
          <w:color w:val="auto"/>
          <w:sz w:val="28"/>
          <w:szCs w:val="28"/>
          <w:highlight w:val="none"/>
        </w:rPr>
        <w:t>简要汇报本周工作基本情况及下周工作计划</w:t>
      </w:r>
      <w:r>
        <w:rPr>
          <w:rFonts w:hint="eastAsia" w:ascii="宋体" w:hAnsi="宋体" w:eastAsia="宋体" w:cs="宋体"/>
          <w:bCs/>
          <w:color w:val="auto"/>
          <w:sz w:val="28"/>
          <w:szCs w:val="28"/>
          <w:highlight w:val="none"/>
          <w:lang w:eastAsia="zh-CN"/>
        </w:rPr>
        <w:t>。</w:t>
      </w:r>
    </w:p>
    <w:p w14:paraId="1916447C">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8</w:t>
      </w:r>
      <w:r>
        <w:rPr>
          <w:rFonts w:hint="eastAsia" w:ascii="宋体" w:hAnsi="宋体" w:eastAsia="宋体" w:cs="宋体"/>
          <w:color w:val="auto"/>
          <w:kern w:val="0"/>
          <w:sz w:val="28"/>
          <w:szCs w:val="28"/>
          <w:highlight w:val="none"/>
          <w:lang w:val="en-US" w:eastAsia="zh-CN" w:bidi="ar-SA"/>
        </w:rPr>
        <w:t>.除不可抗力因素外，乙方应于</w:t>
      </w:r>
      <w:r>
        <w:rPr>
          <w:rFonts w:hint="eastAsia" w:ascii="Times New Roman" w:hAnsi="Times New Roman" w:eastAsia="宋体" w:cs="Times New Roman"/>
          <w:color w:val="auto"/>
          <w:kern w:val="0"/>
          <w:sz w:val="28"/>
          <w:szCs w:val="28"/>
          <w:highlight w:val="none"/>
          <w:lang w:val="en-US" w:eastAsia="zh-CN" w:bidi="ar-SA"/>
        </w:rPr>
        <w:t>202</w:t>
      </w:r>
      <w:r>
        <w:rPr>
          <w:rFonts w:hint="eastAsia" w:ascii="宋体" w:hAnsi="宋体" w:eastAsia="宋体" w:cs="宋体"/>
          <w:color w:val="auto"/>
          <w:kern w:val="0"/>
          <w:sz w:val="28"/>
          <w:szCs w:val="28"/>
          <w:highlight w:val="none"/>
          <w:u w:val="single"/>
          <w:lang w:val="en-US" w:eastAsia="zh-CN" w:bidi="ar-SA"/>
        </w:rPr>
        <w:t xml:space="preserve">  年  月  日</w:t>
      </w:r>
      <w:r>
        <w:rPr>
          <w:rFonts w:hint="eastAsia" w:ascii="宋体" w:hAnsi="宋体" w:eastAsia="宋体" w:cs="宋体"/>
          <w:color w:val="auto"/>
          <w:kern w:val="0"/>
          <w:sz w:val="28"/>
          <w:szCs w:val="28"/>
          <w:highlight w:val="none"/>
          <w:lang w:val="en-US" w:eastAsia="zh-CN" w:bidi="ar-SA"/>
        </w:rPr>
        <w:t>前，完成的项目资金和社会工作服务项目执行率不低于</w:t>
      </w:r>
      <w:r>
        <w:rPr>
          <w:rFonts w:hint="eastAsia" w:ascii="Times New Roman" w:hAnsi="Times New Roman" w:eastAsia="宋体" w:cs="Times New Roman"/>
          <w:color w:val="auto"/>
          <w:kern w:val="0"/>
          <w:sz w:val="28"/>
          <w:szCs w:val="28"/>
          <w:highlight w:val="none"/>
          <w:lang w:val="en-US" w:eastAsia="zh-CN" w:bidi="ar-SA"/>
        </w:rPr>
        <w:t>50%</w:t>
      </w:r>
      <w:r>
        <w:rPr>
          <w:rFonts w:hint="eastAsia" w:ascii="宋体" w:hAnsi="宋体" w:eastAsia="宋体" w:cs="宋体"/>
          <w:color w:val="auto"/>
          <w:kern w:val="0"/>
          <w:sz w:val="28"/>
          <w:szCs w:val="28"/>
          <w:highlight w:val="none"/>
          <w:lang w:val="en-US" w:eastAsia="zh-CN" w:bidi="ar-SA"/>
        </w:rPr>
        <w:t>，于</w:t>
      </w:r>
      <w:r>
        <w:rPr>
          <w:rFonts w:hint="eastAsia" w:ascii="宋体" w:hAnsi="宋体" w:eastAsia="宋体" w:cs="宋体"/>
          <w:color w:val="auto"/>
          <w:kern w:val="0"/>
          <w:sz w:val="28"/>
          <w:szCs w:val="28"/>
          <w:highlight w:val="none"/>
          <w:u w:val="single"/>
          <w:lang w:val="en-US" w:eastAsia="zh-CN" w:bidi="ar-SA"/>
        </w:rPr>
        <w:t xml:space="preserve"> </w:t>
      </w:r>
      <w:r>
        <w:rPr>
          <w:rFonts w:hint="eastAsia" w:ascii="Times New Roman" w:hAnsi="Times New Roman" w:eastAsia="宋体" w:cs="Times New Roman"/>
          <w:color w:val="auto"/>
          <w:kern w:val="0"/>
          <w:sz w:val="28"/>
          <w:szCs w:val="28"/>
          <w:highlight w:val="none"/>
          <w:lang w:val="en-US" w:eastAsia="zh-CN" w:bidi="ar-SA"/>
        </w:rPr>
        <w:t>202</w:t>
      </w:r>
      <w:r>
        <w:rPr>
          <w:rFonts w:hint="eastAsia" w:ascii="宋体" w:hAnsi="宋体" w:eastAsia="宋体" w:cs="宋体"/>
          <w:color w:val="auto"/>
          <w:kern w:val="0"/>
          <w:sz w:val="28"/>
          <w:szCs w:val="28"/>
          <w:highlight w:val="none"/>
          <w:u w:val="single"/>
          <w:lang w:val="en-US" w:eastAsia="zh-CN" w:bidi="ar-SA"/>
        </w:rPr>
        <w:t xml:space="preserve">  年  月  日</w:t>
      </w:r>
      <w:r>
        <w:rPr>
          <w:rFonts w:hint="eastAsia" w:ascii="宋体" w:hAnsi="宋体" w:eastAsia="宋体" w:cs="宋体"/>
          <w:color w:val="auto"/>
          <w:kern w:val="0"/>
          <w:sz w:val="28"/>
          <w:szCs w:val="28"/>
          <w:highlight w:val="none"/>
          <w:lang w:val="en-US" w:eastAsia="zh-CN" w:bidi="ar-SA"/>
        </w:rPr>
        <w:t>前，完成项目资金和社会服务活动执行率达到</w:t>
      </w:r>
      <w:r>
        <w:rPr>
          <w:rFonts w:hint="eastAsia" w:ascii="Times New Roman" w:hAnsi="Times New Roman" w:eastAsia="宋体" w:cs="Times New Roman"/>
          <w:color w:val="auto"/>
          <w:kern w:val="0"/>
          <w:sz w:val="28"/>
          <w:szCs w:val="28"/>
          <w:highlight w:val="none"/>
          <w:lang w:val="en-US" w:eastAsia="zh-CN" w:bidi="ar-SA"/>
        </w:rPr>
        <w:t>100%</w:t>
      </w:r>
      <w:r>
        <w:rPr>
          <w:rFonts w:hint="eastAsia" w:ascii="宋体" w:hAnsi="宋体" w:eastAsia="宋体" w:cs="宋体"/>
          <w:color w:val="auto"/>
          <w:kern w:val="0"/>
          <w:sz w:val="28"/>
          <w:szCs w:val="28"/>
          <w:highlight w:val="none"/>
          <w:lang w:val="en-US" w:eastAsia="zh-CN" w:bidi="ar-SA"/>
        </w:rPr>
        <w:t>.</w:t>
      </w:r>
    </w:p>
    <w:p w14:paraId="60B83C8B">
      <w:pPr>
        <w:keepNext w:val="0"/>
        <w:keepLines w:val="0"/>
        <w:pageBreakBefore w:val="0"/>
        <w:widowControl w:val="0"/>
        <w:kinsoku/>
        <w:wordWrap/>
        <w:overflowPunct/>
        <w:topLinePunct w:val="0"/>
        <w:autoSpaceDE/>
        <w:autoSpaceDN/>
        <w:bidi w:val="0"/>
        <w:adjustRightIn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9</w:t>
      </w:r>
      <w:r>
        <w:rPr>
          <w:rFonts w:hint="eastAsia" w:ascii="宋体" w:hAnsi="宋体" w:eastAsia="宋体" w:cs="宋体"/>
          <w:color w:val="auto"/>
          <w:kern w:val="0"/>
          <w:sz w:val="28"/>
          <w:szCs w:val="28"/>
          <w:highlight w:val="none"/>
          <w:lang w:val="en-US" w:eastAsia="zh-CN" w:bidi="ar-SA"/>
        </w:rPr>
        <w:t>.乙方不得将项目进行分包、转包，执行过程中由于特殊原因需要终止、撤销、变更的，须书面报请甲方批准。</w:t>
      </w:r>
    </w:p>
    <w:p w14:paraId="171AB353">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640" w:firstLineChars="200"/>
        <w:jc w:val="left"/>
        <w:textAlignment w:val="auto"/>
        <w:rPr>
          <w:rFonts w:hint="eastAsia" w:ascii="方正黑体_GBK" w:hAnsi="方正黑体_GBK" w:eastAsia="方正黑体_GBK" w:cs="方正黑体_GBK"/>
          <w:b w:val="0"/>
          <w:bCs w:val="0"/>
          <w:caps/>
          <w:color w:val="auto"/>
          <w:kern w:val="2"/>
          <w:sz w:val="32"/>
          <w:szCs w:val="32"/>
          <w:highlight w:val="none"/>
          <w:lang w:val="en-US" w:eastAsia="zh-CN" w:bidi="ar-SA"/>
        </w:rPr>
      </w:pPr>
      <w:r>
        <w:rPr>
          <w:rFonts w:hint="eastAsia" w:ascii="方正黑体_GBK" w:hAnsi="方正黑体_GBK" w:eastAsia="方正黑体_GBK" w:cs="方正黑体_GBK"/>
          <w:b w:val="0"/>
          <w:bCs w:val="0"/>
          <w:caps/>
          <w:color w:val="auto"/>
          <w:kern w:val="2"/>
          <w:sz w:val="32"/>
          <w:szCs w:val="32"/>
          <w:highlight w:val="none"/>
          <w:lang w:val="en-US" w:eastAsia="zh-CN" w:bidi="ar-SA"/>
        </w:rPr>
        <w:t>第七条  合同款（项目经费）的使用原则</w:t>
      </w:r>
    </w:p>
    <w:p w14:paraId="39F74B82">
      <w:pPr>
        <w:keepNext w:val="0"/>
        <w:keepLines w:val="0"/>
        <w:pageBreakBefore w:val="0"/>
        <w:widowControl w:val="0"/>
        <w:kinsoku/>
        <w:wordWrap/>
        <w:overflowPunct/>
        <w:topLinePunct w:val="0"/>
        <w:autoSpaceDE/>
        <w:autoSpaceDN/>
        <w:bidi w:val="0"/>
        <w:adjustRightInd/>
        <w:snapToGrid/>
        <w:spacing w:before="32" w:beforeLines="10" w:after="32" w:afterLines="10" w:line="460" w:lineRule="exact"/>
        <w:ind w:firstLine="56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项目资金使用遵循“专款专用、单独核算、注重绩效”的原则，不得用于缴纳罚款罚金、偿还债务、对外投资、购买汽车等支出，不得以任何形式挤占、截留、挪用项目资金。</w:t>
      </w:r>
    </w:p>
    <w:p w14:paraId="51BD7E78">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640" w:firstLineChars="200"/>
        <w:jc w:val="left"/>
        <w:textAlignment w:val="auto"/>
        <w:rPr>
          <w:rFonts w:hint="eastAsia" w:ascii="方正黑体_GBK" w:hAnsi="方正黑体_GBK" w:eastAsia="方正黑体_GBK" w:cs="方正黑体_GBK"/>
          <w:b w:val="0"/>
          <w:bCs w:val="0"/>
          <w:caps/>
          <w:color w:val="auto"/>
          <w:kern w:val="2"/>
          <w:sz w:val="32"/>
          <w:szCs w:val="32"/>
          <w:highlight w:val="none"/>
          <w:lang w:val="en-US" w:eastAsia="zh-CN" w:bidi="ar-SA"/>
        </w:rPr>
      </w:pPr>
      <w:r>
        <w:rPr>
          <w:rFonts w:hint="eastAsia" w:ascii="方正黑体_GBK" w:hAnsi="方正黑体_GBK" w:eastAsia="方正黑体_GBK" w:cs="方正黑体_GBK"/>
          <w:b w:val="0"/>
          <w:bCs w:val="0"/>
          <w:caps/>
          <w:color w:val="auto"/>
          <w:kern w:val="2"/>
          <w:sz w:val="32"/>
          <w:szCs w:val="32"/>
          <w:highlight w:val="none"/>
          <w:lang w:val="en-US" w:eastAsia="zh-CN" w:bidi="ar-SA"/>
        </w:rPr>
        <w:t>第八条  项目人员要求</w:t>
      </w:r>
    </w:p>
    <w:p w14:paraId="479E7ADC">
      <w:pPr>
        <w:keepNext w:val="0"/>
        <w:keepLines w:val="0"/>
        <w:pageBreakBefore w:val="0"/>
        <w:widowControl w:val="0"/>
        <w:kinsoku/>
        <w:wordWrap/>
        <w:overflowPunct/>
        <w:topLinePunct w:val="0"/>
        <w:autoSpaceDE/>
        <w:autoSpaceDN/>
        <w:bidi w:val="0"/>
        <w:adjustRightInd/>
        <w:snapToGri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（一）具体人员要求（如下）</w:t>
      </w:r>
      <w:r>
        <w:rPr>
          <w:rFonts w:hint="eastAsia" w:ascii="宋体" w:hAnsi="宋体" w:cs="宋体"/>
          <w:color w:val="auto"/>
          <w:kern w:val="0"/>
          <w:sz w:val="28"/>
          <w:szCs w:val="28"/>
          <w:highlight w:val="none"/>
          <w:lang w:val="en-US" w:eastAsia="zh-CN" w:bidi="ar-SA"/>
        </w:rPr>
        <w:t>：</w:t>
      </w:r>
    </w:p>
    <w:p w14:paraId="778CAB50">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1</w:t>
      </w:r>
      <w:r>
        <w:rPr>
          <w:rFonts w:hint="eastAsia" w:ascii="宋体" w:hAnsi="宋体" w:eastAsia="宋体" w:cs="宋体"/>
          <w:color w:val="auto"/>
          <w:kern w:val="0"/>
          <w:sz w:val="28"/>
          <w:szCs w:val="28"/>
          <w:highlight w:val="none"/>
          <w:lang w:val="en-US" w:eastAsia="zh-CN" w:bidi="ar-SA"/>
        </w:rPr>
        <w:t>.要求承接机构要有服务团队，且不少于</w:t>
      </w:r>
      <w:r>
        <w:rPr>
          <w:rFonts w:hint="eastAsia" w:ascii="宋体" w:hAnsi="宋体" w:cs="宋体"/>
          <w:color w:val="auto"/>
          <w:kern w:val="0"/>
          <w:sz w:val="28"/>
          <w:szCs w:val="28"/>
          <w:highlight w:val="none"/>
          <w:lang w:val="en-US" w:eastAsia="zh-CN" w:bidi="ar-SA"/>
        </w:rPr>
        <w:t>8</w:t>
      </w:r>
      <w:r>
        <w:rPr>
          <w:rFonts w:hint="eastAsia" w:ascii="宋体" w:hAnsi="宋体" w:eastAsia="宋体" w:cs="宋体"/>
          <w:color w:val="auto"/>
          <w:kern w:val="0"/>
          <w:sz w:val="28"/>
          <w:szCs w:val="28"/>
          <w:highlight w:val="none"/>
          <w:lang w:val="en-US" w:eastAsia="zh-CN" w:bidi="ar-SA"/>
        </w:rPr>
        <w:t>名人员。</w:t>
      </w:r>
    </w:p>
    <w:p w14:paraId="2CEE80E5">
      <w:pPr>
        <w:keepNext w:val="0"/>
        <w:keepLines w:val="0"/>
        <w:pageBreakBefore w:val="0"/>
        <w:widowControl w:val="0"/>
        <w:kinsoku/>
        <w:wordWrap/>
        <w:overflowPunct/>
        <w:topLinePunct w:val="0"/>
        <w:autoSpaceDE/>
        <w:autoSpaceDN/>
        <w:bidi w:val="0"/>
        <w:spacing w:before="120" w:after="120" w:line="460" w:lineRule="exact"/>
        <w:ind w:firstLine="562"/>
        <w:jc w:val="left"/>
        <w:textAlignment w:val="auto"/>
        <w:rPr>
          <w:rFonts w:hint="eastAsia" w:ascii="宋体" w:hAnsi="宋体" w:eastAsia="宋体" w:cs="宋体"/>
          <w:b w:val="0"/>
          <w:bCs w:val="0"/>
          <w:caps w:val="0"/>
          <w:color w:val="auto"/>
          <w:kern w:val="0"/>
          <w:sz w:val="28"/>
          <w:szCs w:val="28"/>
          <w:highlight w:val="none"/>
          <w:lang w:val="en-US" w:eastAsia="zh-CN" w:bidi="ar-SA"/>
        </w:rPr>
      </w:pPr>
      <w:r>
        <w:rPr>
          <w:rFonts w:hint="eastAsia" w:ascii="Times New Roman" w:hAnsi="Times New Roman" w:eastAsia="宋体" w:cs="Times New Roman"/>
          <w:b w:val="0"/>
          <w:bCs w:val="0"/>
          <w:caps w:val="0"/>
          <w:color w:val="auto"/>
          <w:kern w:val="0"/>
          <w:sz w:val="28"/>
          <w:szCs w:val="28"/>
          <w:highlight w:val="none"/>
          <w:lang w:val="en-US" w:eastAsia="zh-CN" w:bidi="ar-SA"/>
        </w:rPr>
        <w:t>2</w:t>
      </w:r>
      <w:r>
        <w:rPr>
          <w:rFonts w:hint="eastAsia" w:ascii="宋体" w:hAnsi="宋体" w:eastAsia="宋体" w:cs="宋体"/>
          <w:b w:val="0"/>
          <w:bCs w:val="0"/>
          <w:caps w:val="0"/>
          <w:color w:val="auto"/>
          <w:kern w:val="0"/>
          <w:sz w:val="28"/>
          <w:szCs w:val="28"/>
          <w:highlight w:val="none"/>
          <w:lang w:val="en-US" w:eastAsia="zh-CN" w:bidi="ar-SA"/>
        </w:rPr>
        <w:t>.服务地点：</w:t>
      </w:r>
      <w:r>
        <w:rPr>
          <w:rFonts w:hint="eastAsia" w:ascii="宋体" w:hAnsi="宋体" w:cs="宋体"/>
          <w:b w:val="0"/>
          <w:bCs w:val="0"/>
          <w:caps w:val="0"/>
          <w:color w:val="auto"/>
          <w:kern w:val="0"/>
          <w:sz w:val="28"/>
          <w:szCs w:val="28"/>
          <w:highlight w:val="none"/>
          <w:lang w:val="en-US" w:eastAsia="zh-CN" w:bidi="ar-SA"/>
        </w:rPr>
        <w:t>甲方指定地点</w:t>
      </w:r>
      <w:r>
        <w:rPr>
          <w:rFonts w:hint="eastAsia" w:ascii="宋体" w:hAnsi="宋体" w:eastAsia="宋体" w:cs="宋体"/>
          <w:b w:val="0"/>
          <w:bCs w:val="0"/>
          <w:caps w:val="0"/>
          <w:color w:val="auto"/>
          <w:kern w:val="0"/>
          <w:sz w:val="28"/>
          <w:szCs w:val="28"/>
          <w:highlight w:val="none"/>
          <w:lang w:val="en-US" w:eastAsia="zh-CN" w:bidi="ar-SA"/>
        </w:rPr>
        <w:t>。</w:t>
      </w:r>
    </w:p>
    <w:p w14:paraId="6846A70A">
      <w:pPr>
        <w:keepNext w:val="0"/>
        <w:keepLines w:val="0"/>
        <w:pageBreakBefore w:val="0"/>
        <w:widowControl w:val="0"/>
        <w:kinsoku/>
        <w:wordWrap/>
        <w:overflowPunct/>
        <w:topLinePunct w:val="0"/>
        <w:autoSpaceDE/>
        <w:autoSpaceDN/>
        <w:bidi w:val="0"/>
        <w:spacing w:before="120" w:after="120" w:line="460" w:lineRule="exact"/>
        <w:ind w:firstLine="562"/>
        <w:jc w:val="left"/>
        <w:textAlignment w:val="auto"/>
        <w:rPr>
          <w:rFonts w:hint="eastAsia" w:ascii="宋体" w:hAnsi="宋体" w:eastAsia="宋体" w:cs="宋体"/>
          <w:b w:val="0"/>
          <w:bCs w:val="0"/>
          <w:caps/>
          <w:color w:val="auto"/>
          <w:kern w:val="0"/>
          <w:sz w:val="28"/>
          <w:szCs w:val="28"/>
          <w:highlight w:val="none"/>
          <w:lang w:val="en-US" w:eastAsia="zh-CN" w:bidi="ar-SA"/>
        </w:rPr>
      </w:pPr>
      <w:r>
        <w:rPr>
          <w:rFonts w:hint="eastAsia" w:ascii="宋体" w:hAnsi="宋体" w:eastAsia="宋体" w:cs="宋体"/>
          <w:b w:val="0"/>
          <w:bCs w:val="0"/>
          <w:caps/>
          <w:color w:val="auto"/>
          <w:kern w:val="0"/>
          <w:sz w:val="28"/>
          <w:szCs w:val="28"/>
          <w:highlight w:val="none"/>
          <w:lang w:val="en-US" w:eastAsia="zh-CN" w:bidi="ar-SA"/>
        </w:rPr>
        <w:t>（二）派驻服务人员考核</w:t>
      </w:r>
    </w:p>
    <w:p w14:paraId="419B2C61">
      <w:pPr>
        <w:keepNext w:val="0"/>
        <w:keepLines w:val="0"/>
        <w:pageBreakBefore w:val="0"/>
        <w:kinsoku/>
        <w:wordWrap/>
        <w:overflowPunct/>
        <w:topLinePunct w:val="0"/>
        <w:autoSpaceDE/>
        <w:autoSpaceDN/>
        <w:bidi w:val="0"/>
        <w:spacing w:line="460" w:lineRule="exact"/>
        <w:ind w:firstLine="562"/>
        <w:textAlignment w:val="auto"/>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u w:val="single"/>
          <w:lang w:val="en-US" w:eastAsia="zh-CN" w:bidi="ar-SA"/>
        </w:rPr>
        <w:t>开展项目中期、末期评估前</w:t>
      </w:r>
      <w:r>
        <w:rPr>
          <w:rFonts w:hint="eastAsia" w:ascii="Times New Roman" w:hAnsi="Times New Roman" w:eastAsia="宋体" w:cs="Times New Roman"/>
          <w:color w:val="auto"/>
          <w:kern w:val="0"/>
          <w:sz w:val="28"/>
          <w:szCs w:val="28"/>
          <w:highlight w:val="none"/>
          <w:lang w:val="en-US" w:eastAsia="zh-CN" w:bidi="ar-SA"/>
        </w:rPr>
        <w:t>1</w:t>
      </w:r>
      <w:r>
        <w:rPr>
          <w:rFonts w:hint="eastAsia" w:ascii="宋体" w:hAnsi="宋体" w:eastAsia="宋体" w:cs="宋体"/>
          <w:color w:val="auto"/>
          <w:kern w:val="0"/>
          <w:sz w:val="28"/>
          <w:szCs w:val="28"/>
          <w:highlight w:val="none"/>
          <w:u w:val="single"/>
          <w:lang w:val="en-US" w:eastAsia="zh-CN" w:bidi="ar-SA"/>
        </w:rPr>
        <w:t>个月，乙方需对派驻工作人员进行考核，考核结果按要求提交给</w:t>
      </w:r>
      <w:r>
        <w:rPr>
          <w:rFonts w:hint="eastAsia" w:ascii="宋体" w:hAnsi="宋体" w:cs="宋体"/>
          <w:color w:val="auto"/>
          <w:kern w:val="0"/>
          <w:sz w:val="28"/>
          <w:szCs w:val="28"/>
          <w:highlight w:val="none"/>
          <w:u w:val="single"/>
          <w:lang w:val="en-US" w:eastAsia="zh-CN" w:bidi="ar-SA"/>
        </w:rPr>
        <w:t>甲方</w:t>
      </w:r>
      <w:r>
        <w:rPr>
          <w:rFonts w:hint="eastAsia" w:ascii="宋体" w:hAnsi="宋体" w:eastAsia="宋体" w:cs="宋体"/>
          <w:color w:val="auto"/>
          <w:kern w:val="0"/>
          <w:sz w:val="28"/>
          <w:szCs w:val="28"/>
          <w:highlight w:val="none"/>
          <w:u w:val="single"/>
          <w:lang w:val="en-US" w:eastAsia="zh-CN" w:bidi="ar-SA"/>
        </w:rPr>
        <w:t>备案。</w:t>
      </w:r>
      <w:r>
        <w:rPr>
          <w:rFonts w:hint="eastAsia" w:ascii="宋体" w:hAnsi="宋体" w:eastAsia="宋体" w:cs="宋体"/>
          <w:color w:val="auto"/>
          <w:kern w:val="0"/>
          <w:sz w:val="28"/>
          <w:szCs w:val="28"/>
          <w:highlight w:val="none"/>
          <w:lang w:val="en-US" w:eastAsia="zh-CN" w:bidi="ar-SA"/>
        </w:rPr>
        <w:t>考核时获评为</w:t>
      </w:r>
      <w:r>
        <w:rPr>
          <w:rFonts w:hint="eastAsia" w:ascii="宋体" w:hAnsi="宋体" w:eastAsia="宋体" w:cs="宋体"/>
          <w:b/>
          <w:bCs/>
          <w:color w:val="auto"/>
          <w:kern w:val="0"/>
          <w:sz w:val="28"/>
          <w:szCs w:val="28"/>
          <w:highlight w:val="none"/>
          <w:lang w:val="en-US" w:eastAsia="zh-CN" w:bidi="ar-SA"/>
        </w:rPr>
        <w:t>基本合格</w:t>
      </w:r>
      <w:r>
        <w:rPr>
          <w:rFonts w:hint="eastAsia" w:ascii="宋体" w:hAnsi="宋体" w:eastAsia="宋体" w:cs="宋体"/>
          <w:color w:val="auto"/>
          <w:kern w:val="0"/>
          <w:sz w:val="28"/>
          <w:szCs w:val="28"/>
          <w:highlight w:val="none"/>
          <w:lang w:val="en-US" w:eastAsia="zh-CN" w:bidi="ar-SA"/>
        </w:rPr>
        <w:t>或者</w:t>
      </w:r>
      <w:r>
        <w:rPr>
          <w:rFonts w:hint="eastAsia" w:ascii="宋体" w:hAnsi="宋体" w:eastAsia="宋体" w:cs="宋体"/>
          <w:b/>
          <w:bCs/>
          <w:color w:val="auto"/>
          <w:kern w:val="0"/>
          <w:sz w:val="28"/>
          <w:szCs w:val="28"/>
          <w:highlight w:val="none"/>
          <w:lang w:val="en-US" w:eastAsia="zh-CN" w:bidi="ar-SA"/>
        </w:rPr>
        <w:t>不合格</w:t>
      </w:r>
      <w:r>
        <w:rPr>
          <w:rFonts w:hint="eastAsia" w:ascii="宋体" w:hAnsi="宋体" w:eastAsia="宋体" w:cs="宋体"/>
          <w:color w:val="auto"/>
          <w:kern w:val="0"/>
          <w:sz w:val="28"/>
          <w:szCs w:val="28"/>
          <w:highlight w:val="none"/>
          <w:lang w:val="en-US" w:eastAsia="zh-CN" w:bidi="ar-SA"/>
        </w:rPr>
        <w:t>的服务人员，乙方需更换并重新派驻符合条件的人员。同时，对乙方开展末期评估时，如不按约定派驻服务人员，末期评估时将此项列入项目整改事项。整改不合格的，将扣回项目成交金额的</w:t>
      </w:r>
      <w:r>
        <w:rPr>
          <w:rFonts w:hint="eastAsia" w:ascii="Times New Roman" w:hAnsi="Times New Roman" w:eastAsia="宋体" w:cs="Times New Roman"/>
          <w:color w:val="auto"/>
          <w:kern w:val="0"/>
          <w:sz w:val="28"/>
          <w:szCs w:val="28"/>
          <w:highlight w:val="none"/>
          <w:lang w:val="en-US" w:eastAsia="zh-CN" w:bidi="ar-SA"/>
        </w:rPr>
        <w:t>10%</w:t>
      </w:r>
      <w:r>
        <w:rPr>
          <w:rFonts w:hint="eastAsia" w:ascii="宋体" w:hAnsi="宋体" w:eastAsia="宋体" w:cs="宋体"/>
          <w:color w:val="auto"/>
          <w:kern w:val="0"/>
          <w:sz w:val="28"/>
          <w:szCs w:val="28"/>
          <w:highlight w:val="none"/>
          <w:lang w:val="en-US" w:eastAsia="zh-CN" w:bidi="ar-SA"/>
        </w:rPr>
        <w:t>。</w:t>
      </w:r>
    </w:p>
    <w:p w14:paraId="6565BEB4">
      <w:pPr>
        <w:keepNext w:val="0"/>
        <w:keepLines w:val="0"/>
        <w:pageBreakBefore w:val="0"/>
        <w:kinsoku/>
        <w:wordWrap/>
        <w:overflowPunct/>
        <w:topLinePunct w:val="0"/>
        <w:autoSpaceDE/>
        <w:autoSpaceDN/>
        <w:bidi w:val="0"/>
        <w:adjustRightInd/>
        <w:snapToGrid w:val="0"/>
        <w:spacing w:before="32" w:beforeLines="10" w:after="32" w:afterLines="10" w:line="460" w:lineRule="exact"/>
        <w:ind w:firstLine="640" w:firstLineChars="200"/>
        <w:jc w:val="left"/>
        <w:textAlignment w:val="auto"/>
        <w:rPr>
          <w:rFonts w:hint="eastAsia" w:ascii="方正黑体_GBK" w:hAnsi="方正黑体_GBK" w:eastAsia="方正黑体_GBK" w:cs="方正黑体_GBK"/>
          <w:b w:val="0"/>
          <w:bCs w:val="0"/>
          <w:caps/>
          <w:color w:val="auto"/>
          <w:kern w:val="2"/>
          <w:sz w:val="32"/>
          <w:szCs w:val="32"/>
          <w:highlight w:val="none"/>
          <w:lang w:val="en-US" w:eastAsia="zh-CN" w:bidi="ar-SA"/>
        </w:rPr>
      </w:pPr>
      <w:r>
        <w:rPr>
          <w:rFonts w:hint="eastAsia" w:ascii="方正黑体_GBK" w:hAnsi="方正黑体_GBK" w:eastAsia="方正黑体_GBK" w:cs="方正黑体_GBK"/>
          <w:b w:val="0"/>
          <w:bCs w:val="0"/>
          <w:caps/>
          <w:color w:val="auto"/>
          <w:kern w:val="2"/>
          <w:sz w:val="32"/>
          <w:szCs w:val="32"/>
          <w:highlight w:val="none"/>
          <w:lang w:val="en-US" w:eastAsia="zh-CN" w:bidi="ar-SA"/>
        </w:rPr>
        <w:t>第九条  违约责任及保密条款</w:t>
      </w:r>
    </w:p>
    <w:p w14:paraId="446B1018">
      <w:pPr>
        <w:keepNext w:val="0"/>
        <w:keepLines w:val="0"/>
        <w:pageBreakBefore w:val="0"/>
        <w:widowControl w:val="0"/>
        <w:kinsoku/>
        <w:wordWrap/>
        <w:overflowPunct/>
        <w:topLinePunct w:val="0"/>
        <w:autoSpaceDE/>
        <w:autoSpaceDN/>
        <w:bidi w:val="0"/>
        <w:adjustRightInd/>
        <w:snapToGri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1</w:t>
      </w:r>
      <w:r>
        <w:rPr>
          <w:rFonts w:hint="eastAsia" w:ascii="宋体" w:hAnsi="宋体" w:eastAsia="宋体" w:cs="宋体"/>
          <w:color w:val="auto"/>
          <w:kern w:val="0"/>
          <w:sz w:val="28"/>
          <w:szCs w:val="28"/>
          <w:highlight w:val="none"/>
          <w:lang w:val="en-US" w:eastAsia="zh-CN" w:bidi="ar-SA"/>
        </w:rPr>
        <w:t>.本合同受中华人民共和国有关法律的管辖和保护；除不可抗力因素外，甲、乙双方违约均应承担相应责任。甲方如果发生违约行为，乙方有权要求甲方支付相应的经费补偿。乙方应严格履行合同约定，绝对不能挤占、挪用项目资金。乙方如果发生违约行为，</w:t>
      </w:r>
      <w:r>
        <w:rPr>
          <w:rFonts w:hint="eastAsia" w:ascii="宋体" w:hAnsi="宋体" w:eastAsia="宋体" w:cs="宋体"/>
          <w:color w:val="auto"/>
          <w:kern w:val="0"/>
          <w:sz w:val="28"/>
          <w:szCs w:val="28"/>
          <w:highlight w:val="none"/>
          <w:u w:val="single"/>
          <w:lang w:val="en-US" w:eastAsia="zh-CN" w:bidi="ar-SA"/>
        </w:rPr>
        <w:t>须支付违约金（成交金额的</w:t>
      </w:r>
      <w:r>
        <w:rPr>
          <w:rFonts w:hint="eastAsia" w:ascii="Times New Roman" w:hAnsi="Times New Roman" w:eastAsia="宋体" w:cs="Times New Roman"/>
          <w:color w:val="auto"/>
          <w:kern w:val="0"/>
          <w:sz w:val="28"/>
          <w:szCs w:val="28"/>
          <w:highlight w:val="none"/>
          <w:lang w:val="en-US" w:eastAsia="zh-CN" w:bidi="ar-SA"/>
        </w:rPr>
        <w:t>5%</w:t>
      </w:r>
      <w:r>
        <w:rPr>
          <w:rFonts w:hint="eastAsia" w:ascii="宋体" w:hAnsi="宋体" w:eastAsia="宋体" w:cs="宋体"/>
          <w:color w:val="auto"/>
          <w:kern w:val="0"/>
          <w:sz w:val="28"/>
          <w:szCs w:val="28"/>
          <w:highlight w:val="none"/>
          <w:u w:val="single"/>
          <w:lang w:val="en-US" w:eastAsia="zh-CN" w:bidi="ar-SA"/>
        </w:rPr>
        <w:t>）给甲方，并按甲方所拨付的资金数额为标准赔偿甲方的损失，乙方责任人员出现违法行为构成犯罪的，提交司法机关处理。</w:t>
      </w:r>
    </w:p>
    <w:p w14:paraId="6517E17E">
      <w:pPr>
        <w:keepNext w:val="0"/>
        <w:keepLines w:val="0"/>
        <w:pageBreakBefore w:val="0"/>
        <w:widowControl w:val="0"/>
        <w:kinsoku/>
        <w:wordWrap/>
        <w:overflowPunct/>
        <w:topLinePunct w:val="0"/>
        <w:autoSpaceDE/>
        <w:autoSpaceDN/>
        <w:bidi w:val="0"/>
        <w:adjustRightInd/>
        <w:snapToGrid/>
        <w:spacing w:before="32" w:beforeLines="10" w:after="32" w:afterLines="10" w:line="460" w:lineRule="exact"/>
        <w:ind w:firstLine="560" w:firstLineChars="200"/>
        <w:jc w:val="both"/>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2</w:t>
      </w:r>
      <w:r>
        <w:rPr>
          <w:rFonts w:hint="eastAsia" w:ascii="宋体" w:hAnsi="宋体" w:eastAsia="宋体" w:cs="宋体"/>
          <w:color w:val="auto"/>
          <w:kern w:val="0"/>
          <w:sz w:val="28"/>
          <w:szCs w:val="28"/>
          <w:highlight w:val="none"/>
          <w:lang w:val="en-US" w:eastAsia="zh-CN" w:bidi="ar-SA"/>
        </w:rPr>
        <w:t>.项目涉及受助人员隐私，乙方在项目开展过程中及项目结束后，均不能泄露项目服务对象的相关信息，不得侵害项目服务对象的合法权益。</w:t>
      </w:r>
      <w:r>
        <w:rPr>
          <w:rFonts w:hint="eastAsia" w:ascii="宋体" w:hAnsi="宋体" w:eastAsia="宋体" w:cs="宋体"/>
          <w:color w:val="auto"/>
          <w:kern w:val="0"/>
          <w:sz w:val="28"/>
          <w:szCs w:val="28"/>
          <w:highlight w:val="none"/>
          <w:u w:val="single"/>
          <w:lang w:val="en-US" w:eastAsia="zh-CN" w:bidi="ar-SA"/>
        </w:rPr>
        <w:t>乙方需与派驻工作人员签订保密协议，落实责任</w:t>
      </w:r>
      <w:r>
        <w:rPr>
          <w:rFonts w:hint="eastAsia" w:ascii="宋体" w:hAnsi="宋体" w:eastAsia="宋体" w:cs="宋体"/>
          <w:color w:val="auto"/>
          <w:kern w:val="0"/>
          <w:sz w:val="28"/>
          <w:szCs w:val="28"/>
          <w:highlight w:val="none"/>
          <w:lang w:val="en-US" w:eastAsia="zh-CN" w:bidi="ar-SA"/>
        </w:rPr>
        <w:t>。如有违反保密协议，造成不良后果的，由乙方负全部责任，且</w:t>
      </w:r>
      <w:r>
        <w:rPr>
          <w:rFonts w:hint="eastAsia" w:ascii="宋体" w:hAnsi="宋体" w:eastAsia="宋体" w:cs="宋体"/>
          <w:color w:val="auto"/>
          <w:kern w:val="0"/>
          <w:sz w:val="28"/>
          <w:szCs w:val="28"/>
          <w:highlight w:val="none"/>
          <w:u w:val="single"/>
          <w:lang w:val="en-US" w:eastAsia="zh-CN" w:bidi="ar-SA"/>
        </w:rPr>
        <w:t>甲方有权追扣除成交金额的</w:t>
      </w:r>
      <w:r>
        <w:rPr>
          <w:rFonts w:hint="eastAsia" w:ascii="Times New Roman" w:hAnsi="Times New Roman" w:eastAsia="宋体" w:cs="Times New Roman"/>
          <w:color w:val="auto"/>
          <w:kern w:val="0"/>
          <w:sz w:val="28"/>
          <w:szCs w:val="28"/>
          <w:highlight w:val="none"/>
          <w:lang w:val="en-US" w:eastAsia="zh-CN" w:bidi="ar-SA"/>
        </w:rPr>
        <w:t>10%</w:t>
      </w:r>
      <w:r>
        <w:rPr>
          <w:rFonts w:hint="eastAsia" w:ascii="宋体" w:hAnsi="宋体" w:eastAsia="宋体" w:cs="宋体"/>
          <w:color w:val="auto"/>
          <w:kern w:val="0"/>
          <w:sz w:val="28"/>
          <w:szCs w:val="28"/>
          <w:highlight w:val="none"/>
          <w:u w:val="single"/>
          <w:lang w:val="en-US" w:eastAsia="zh-CN" w:bidi="ar-SA"/>
        </w:rPr>
        <w:t>（用于被泄露对象的精神损失赔偿或事件善后等费用）</w:t>
      </w:r>
      <w:r>
        <w:rPr>
          <w:rFonts w:hint="eastAsia" w:ascii="宋体" w:hAnsi="宋体" w:eastAsia="宋体" w:cs="宋体"/>
          <w:color w:val="auto"/>
          <w:kern w:val="0"/>
          <w:sz w:val="28"/>
          <w:szCs w:val="28"/>
          <w:highlight w:val="none"/>
          <w:lang w:val="en-US" w:eastAsia="zh-CN" w:bidi="ar-SA"/>
        </w:rPr>
        <w:t>，乙方责任人员出现违法行为构成犯罪的，依法提交司法机关处理。</w:t>
      </w:r>
    </w:p>
    <w:p w14:paraId="5E7D0FFA">
      <w:pPr>
        <w:keepNext w:val="0"/>
        <w:keepLines w:val="0"/>
        <w:pageBreakBefore w:val="0"/>
        <w:widowControl w:val="0"/>
        <w:kinsoku/>
        <w:wordWrap/>
        <w:overflowPunct/>
        <w:topLinePunct w:val="0"/>
        <w:autoSpaceDE/>
        <w:autoSpaceDN/>
        <w:bidi w:val="0"/>
        <w:adjustRightInd/>
        <w:snapToGrid/>
        <w:spacing w:before="32" w:beforeLines="10" w:after="32" w:afterLines="10" w:line="460" w:lineRule="exact"/>
        <w:ind w:firstLine="640" w:firstLineChars="200"/>
        <w:jc w:val="left"/>
        <w:textAlignment w:val="auto"/>
        <w:rPr>
          <w:rFonts w:hint="default" w:ascii="宋体" w:hAnsi="Courier New" w:eastAsia="宋体" w:cs="Times New Roman"/>
          <w:color w:val="auto"/>
          <w:kern w:val="0"/>
          <w:sz w:val="20"/>
          <w:szCs w:val="21"/>
          <w:highlight w:val="none"/>
          <w:lang w:val="en-US" w:eastAsia="zh-CN" w:bidi="ar-SA"/>
        </w:rPr>
      </w:pPr>
      <w:r>
        <w:rPr>
          <w:rFonts w:hint="eastAsia" w:ascii="方正黑体_GBK" w:hAnsi="方正黑体_GBK" w:eastAsia="方正黑体_GBK" w:cs="方正黑体_GBK"/>
          <w:b w:val="0"/>
          <w:bCs w:val="0"/>
          <w:caps/>
          <w:color w:val="auto"/>
          <w:kern w:val="2"/>
          <w:sz w:val="32"/>
          <w:szCs w:val="32"/>
          <w:highlight w:val="none"/>
          <w:lang w:val="en-US" w:eastAsia="zh-CN" w:bidi="ar-SA"/>
        </w:rPr>
        <w:t>第十条  合同争议解决</w:t>
      </w:r>
    </w:p>
    <w:p w14:paraId="4C36D26B">
      <w:pPr>
        <w:keepNext w:val="0"/>
        <w:keepLines w:val="0"/>
        <w:pageBreakBefore w:val="0"/>
        <w:widowControl w:val="0"/>
        <w:kinsoku/>
        <w:wordWrap/>
        <w:overflowPunct/>
        <w:topLinePunct w:val="0"/>
        <w:autoSpaceDE/>
        <w:autoSpaceDN/>
        <w:bidi w:val="0"/>
        <w:adjustRightInd/>
        <w:snapToGrid/>
        <w:spacing w:before="32" w:beforeLines="10" w:after="32" w:afterLines="10" w:line="460" w:lineRule="exact"/>
        <w:ind w:firstLine="560" w:firstLineChars="200"/>
        <w:jc w:val="left"/>
        <w:textAlignment w:val="auto"/>
        <w:rPr>
          <w:rFonts w:hint="eastAsia"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1</w:t>
      </w:r>
      <w:r>
        <w:rPr>
          <w:rFonts w:hint="eastAsia" w:ascii="宋体" w:hAnsi="宋体" w:eastAsia="宋体" w:cs="宋体"/>
          <w:color w:val="auto"/>
          <w:kern w:val="0"/>
          <w:sz w:val="28"/>
          <w:szCs w:val="28"/>
          <w:highlight w:val="none"/>
          <w:lang w:val="en-US" w:eastAsia="zh-CN" w:bidi="ar-SA"/>
        </w:rPr>
        <w:t>.因服务成果质量问题发生争执的，应邀请国家认可的质量检测机构对服务成果</w:t>
      </w:r>
      <w:r>
        <w:rPr>
          <w:rFonts w:hint="eastAsia" w:ascii="宋体" w:hAnsi="宋体" w:eastAsia="宋体" w:cs="宋体"/>
          <w:b/>
          <w:bCs/>
          <w:color w:val="auto"/>
          <w:kern w:val="0"/>
          <w:sz w:val="28"/>
          <w:szCs w:val="28"/>
          <w:highlight w:val="none"/>
          <w:lang w:val="en-US" w:eastAsia="zh-CN" w:bidi="ar-SA"/>
        </w:rPr>
        <w:t>质审进行鉴定</w:t>
      </w:r>
      <w:r>
        <w:rPr>
          <w:rFonts w:hint="eastAsia" w:ascii="宋体" w:hAnsi="宋体" w:eastAsia="宋体" w:cs="宋体"/>
          <w:color w:val="auto"/>
          <w:kern w:val="0"/>
          <w:sz w:val="28"/>
          <w:szCs w:val="28"/>
          <w:highlight w:val="none"/>
          <w:lang w:val="en-US" w:eastAsia="zh-CN" w:bidi="ar-SA"/>
        </w:rPr>
        <w:t>。服务成果符合标准的，鉴定费由甲方承担；服务成果不符合标准的，鉴定费由乙方承担。</w:t>
      </w:r>
    </w:p>
    <w:p w14:paraId="7C0B4F10">
      <w:pPr>
        <w:keepNext w:val="0"/>
        <w:keepLines w:val="0"/>
        <w:pageBreakBefore w:val="0"/>
        <w:widowControl w:val="0"/>
        <w:kinsoku/>
        <w:wordWrap/>
        <w:overflowPunct/>
        <w:topLinePunct w:val="0"/>
        <w:autoSpaceDE/>
        <w:autoSpaceDN/>
        <w:bidi w:val="0"/>
        <w:adjustRightInd/>
        <w:snapToGrid/>
        <w:spacing w:before="32" w:beforeLines="10" w:after="32" w:afterLines="10" w:line="460" w:lineRule="exact"/>
        <w:ind w:firstLine="560" w:firstLineChars="200"/>
        <w:jc w:val="left"/>
        <w:textAlignment w:val="auto"/>
        <w:rPr>
          <w:rFonts w:hint="default" w:ascii="宋体" w:hAnsi="宋体" w:eastAsia="宋体" w:cs="宋体"/>
          <w:color w:val="auto"/>
          <w:kern w:val="0"/>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2</w:t>
      </w:r>
      <w:r>
        <w:rPr>
          <w:rFonts w:hint="eastAsia" w:ascii="宋体" w:hAnsi="宋体" w:eastAsia="宋体" w:cs="宋体"/>
          <w:color w:val="auto"/>
          <w:kern w:val="0"/>
          <w:sz w:val="28"/>
          <w:szCs w:val="28"/>
          <w:highlight w:val="none"/>
          <w:lang w:val="en-US" w:eastAsia="zh-CN" w:bidi="ar-SA"/>
        </w:rPr>
        <w:t>.因履行本合同引起的或与本合同有关的争议，甲乙双方应先通过友好协商解决，如果协商不能解决的，可向仲裁委员会申请仲裁或向甲方所在地人民法院提起诉讼。</w:t>
      </w:r>
    </w:p>
    <w:p w14:paraId="3EC606AA">
      <w:pPr>
        <w:keepNext w:val="0"/>
        <w:keepLines w:val="0"/>
        <w:pageBreakBefore w:val="0"/>
        <w:widowControl w:val="0"/>
        <w:kinsoku/>
        <w:wordWrap/>
        <w:overflowPunct/>
        <w:topLinePunct w:val="0"/>
        <w:autoSpaceDE/>
        <w:autoSpaceDN/>
        <w:bidi w:val="0"/>
        <w:adjustRightInd/>
        <w:snapToGrid/>
        <w:spacing w:before="32" w:beforeLines="10" w:after="32" w:afterLines="10" w:line="460" w:lineRule="exact"/>
        <w:ind w:firstLine="560" w:firstLineChars="200"/>
        <w:jc w:val="left"/>
        <w:textAlignment w:val="auto"/>
        <w:rPr>
          <w:rFonts w:hint="default" w:ascii="宋体" w:hAnsi="Courier New" w:eastAsia="宋体" w:cs="Times New Roman"/>
          <w:color w:val="auto"/>
          <w:kern w:val="0"/>
          <w:sz w:val="20"/>
          <w:szCs w:val="21"/>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3</w:t>
      </w:r>
      <w:r>
        <w:rPr>
          <w:rFonts w:hint="eastAsia" w:ascii="宋体" w:hAnsi="宋体" w:eastAsia="宋体" w:cs="宋体"/>
          <w:color w:val="auto"/>
          <w:kern w:val="0"/>
          <w:sz w:val="28"/>
          <w:szCs w:val="28"/>
          <w:highlight w:val="none"/>
          <w:lang w:val="en-US" w:eastAsia="zh-CN" w:bidi="ar-SA"/>
        </w:rPr>
        <w:t>.仲裁或诉讼期间，本合同继续履行。</w:t>
      </w:r>
    </w:p>
    <w:p w14:paraId="670E8B89">
      <w:pPr>
        <w:keepNext w:val="0"/>
        <w:keepLines w:val="0"/>
        <w:pageBreakBefore w:val="0"/>
        <w:widowControl w:val="0"/>
        <w:kinsoku/>
        <w:wordWrap/>
        <w:overflowPunct/>
        <w:topLinePunct w:val="0"/>
        <w:autoSpaceDE/>
        <w:autoSpaceDN/>
        <w:bidi w:val="0"/>
        <w:adjustRightInd/>
        <w:snapToGrid/>
        <w:spacing w:before="32" w:beforeLines="10" w:after="32" w:afterLines="10" w:line="460" w:lineRule="exact"/>
        <w:ind w:firstLine="560" w:firstLineChars="200"/>
        <w:jc w:val="both"/>
        <w:textAlignment w:val="auto"/>
        <w:rPr>
          <w:rFonts w:hint="eastAsia" w:ascii="宋体" w:hAnsi="宋体" w:eastAsia="宋体" w:cs="宋体"/>
          <w:b w:val="0"/>
          <w:bCs w:val="0"/>
          <w:caps/>
          <w:color w:val="auto"/>
          <w:kern w:val="2"/>
          <w:sz w:val="28"/>
          <w:szCs w:val="28"/>
          <w:highlight w:val="none"/>
          <w:lang w:val="en-US" w:eastAsia="zh-CN" w:bidi="ar-SA"/>
        </w:rPr>
      </w:pPr>
      <w:r>
        <w:rPr>
          <w:rFonts w:hint="eastAsia" w:ascii="Times New Roman" w:hAnsi="Times New Roman" w:eastAsia="宋体" w:cs="Times New Roman"/>
          <w:color w:val="auto"/>
          <w:kern w:val="0"/>
          <w:sz w:val="28"/>
          <w:szCs w:val="28"/>
          <w:highlight w:val="none"/>
          <w:lang w:val="en-US" w:eastAsia="zh-CN" w:bidi="ar-SA"/>
        </w:rPr>
        <w:t>4</w:t>
      </w:r>
      <w:r>
        <w:rPr>
          <w:rFonts w:hint="eastAsia" w:ascii="宋体" w:hAnsi="宋体" w:eastAsia="宋体" w:cs="宋体"/>
          <w:b w:val="0"/>
          <w:bCs w:val="0"/>
          <w:caps/>
          <w:color w:val="auto"/>
          <w:kern w:val="2"/>
          <w:sz w:val="28"/>
          <w:szCs w:val="28"/>
          <w:highlight w:val="none"/>
          <w:lang w:val="en-US" w:eastAsia="zh-CN" w:bidi="ar-SA"/>
        </w:rPr>
        <w:t>.在合同有效期内，任何一方因不可抗力事件导致不能履行合同，</w:t>
      </w:r>
      <w:r>
        <w:rPr>
          <w:rFonts w:hint="eastAsia" w:ascii="宋体" w:hAnsi="宋体" w:eastAsia="宋体" w:cs="宋体"/>
          <w:b/>
          <w:bCs/>
          <w:caps/>
          <w:color w:val="auto"/>
          <w:kern w:val="2"/>
          <w:sz w:val="28"/>
          <w:szCs w:val="28"/>
          <w:highlight w:val="none"/>
          <w:u w:val="single"/>
          <w:lang w:val="en-US" w:eastAsia="zh-CN" w:bidi="ar-SA"/>
        </w:rPr>
        <w:t>则合同履行期可延长其延长期与不可抗力影响期相同</w:t>
      </w:r>
      <w:r>
        <w:rPr>
          <w:rFonts w:hint="eastAsia" w:ascii="宋体" w:hAnsi="宋体" w:eastAsia="宋体" w:cs="宋体"/>
          <w:b w:val="0"/>
          <w:bCs w:val="0"/>
          <w:caps/>
          <w:color w:val="auto"/>
          <w:kern w:val="2"/>
          <w:sz w:val="28"/>
          <w:szCs w:val="28"/>
          <w:highlight w:val="none"/>
          <w:lang w:val="en-US" w:eastAsia="zh-CN" w:bidi="ar-SA"/>
        </w:rPr>
        <w:t>。</w:t>
      </w:r>
      <w:r>
        <w:rPr>
          <w:rFonts w:hint="eastAsia" w:ascii="宋体" w:hAnsi="宋体" w:eastAsia="宋体" w:cs="宋体"/>
          <w:b w:val="0"/>
          <w:bCs w:val="0"/>
          <w:caps/>
          <w:color w:val="auto"/>
          <w:kern w:val="2"/>
          <w:sz w:val="28"/>
          <w:szCs w:val="28"/>
          <w:highlight w:val="none"/>
          <w:u w:val="single"/>
          <w:lang w:val="en-US" w:eastAsia="zh-CN" w:bidi="ar-SA"/>
        </w:rPr>
        <w:t>不可抗力事件发生后，应立即通知对方，并寄送有关权威机构出具的证明。不可抗力事件延续一百二十天以上的，双方应通过友好协商，确定是否继续履行合同。</w:t>
      </w:r>
    </w:p>
    <w:p w14:paraId="3A855F11">
      <w:pPr>
        <w:keepNext w:val="0"/>
        <w:keepLines w:val="0"/>
        <w:pageBreakBefore w:val="0"/>
        <w:widowControl w:val="0"/>
        <w:kinsoku/>
        <w:wordWrap/>
        <w:overflowPunct/>
        <w:topLinePunct w:val="0"/>
        <w:autoSpaceDE/>
        <w:autoSpaceDN/>
        <w:bidi w:val="0"/>
        <w:adjustRightInd/>
        <w:snapToGrid/>
        <w:spacing w:before="32" w:beforeLines="10" w:after="32" w:afterLines="10" w:line="460" w:lineRule="exact"/>
        <w:ind w:firstLine="640" w:firstLineChars="200"/>
        <w:jc w:val="left"/>
        <w:textAlignment w:val="auto"/>
        <w:rPr>
          <w:rFonts w:hint="eastAsia" w:ascii="方正黑体_GBK" w:hAnsi="方正黑体_GBK" w:eastAsia="方正黑体_GBK" w:cs="方正黑体_GBK"/>
          <w:b w:val="0"/>
          <w:bCs w:val="0"/>
          <w:caps/>
          <w:color w:val="auto"/>
          <w:kern w:val="2"/>
          <w:sz w:val="32"/>
          <w:szCs w:val="32"/>
          <w:highlight w:val="none"/>
          <w:lang w:val="en-US" w:eastAsia="zh-CN" w:bidi="ar-SA"/>
        </w:rPr>
      </w:pPr>
      <w:r>
        <w:rPr>
          <w:rFonts w:hint="eastAsia" w:ascii="方正黑体_GBK" w:hAnsi="方正黑体_GBK" w:eastAsia="方正黑体_GBK" w:cs="方正黑体_GBK"/>
          <w:b w:val="0"/>
          <w:bCs w:val="0"/>
          <w:caps/>
          <w:color w:val="auto"/>
          <w:kern w:val="2"/>
          <w:sz w:val="32"/>
          <w:szCs w:val="32"/>
          <w:highlight w:val="none"/>
          <w:lang w:val="en-US" w:eastAsia="zh-CN" w:bidi="ar-SA"/>
        </w:rPr>
        <w:t>第十一条  合同签订</w:t>
      </w:r>
    </w:p>
    <w:p w14:paraId="3D9B4BD6">
      <w:pPr>
        <w:keepNext w:val="0"/>
        <w:keepLines w:val="0"/>
        <w:pageBreakBefore w:val="0"/>
        <w:widowControl w:val="0"/>
        <w:kinsoku/>
        <w:wordWrap/>
        <w:overflowPunct/>
        <w:topLinePunct w:val="0"/>
        <w:autoSpaceDE/>
        <w:autoSpaceDN/>
        <w:bidi w:val="0"/>
        <w:adjustRightInd/>
        <w:snapToGrid/>
        <w:spacing w:before="32" w:beforeLines="10" w:after="32" w:afterLines="10" w:line="460" w:lineRule="exact"/>
        <w:ind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本合同一式</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lang w:val="en-US" w:eastAsia="zh-CN"/>
        </w:rPr>
        <w:t xml:space="preserve">伍 </w:t>
      </w:r>
      <w:r>
        <w:rPr>
          <w:rFonts w:hint="eastAsia" w:ascii="宋体" w:hAnsi="宋体" w:eastAsia="宋体" w:cs="宋体"/>
          <w:color w:val="auto"/>
          <w:sz w:val="28"/>
          <w:szCs w:val="28"/>
          <w:highlight w:val="none"/>
        </w:rPr>
        <w:t>份，具有同等法律效力，甲方执</w:t>
      </w:r>
      <w:r>
        <w:rPr>
          <w:rFonts w:hint="eastAsia" w:ascii="宋体" w:hAnsi="宋体" w:eastAsia="宋体" w:cs="宋体"/>
          <w:b/>
          <w:bCs/>
          <w:color w:val="auto"/>
          <w:sz w:val="28"/>
          <w:szCs w:val="28"/>
          <w:highlight w:val="none"/>
          <w:u w:val="single"/>
          <w:lang w:val="en-US" w:eastAsia="zh-CN"/>
        </w:rPr>
        <w:t xml:space="preserve"> 贰 </w:t>
      </w:r>
      <w:r>
        <w:rPr>
          <w:rFonts w:hint="eastAsia" w:ascii="宋体" w:hAnsi="宋体" w:eastAsia="宋体" w:cs="宋体"/>
          <w:color w:val="auto"/>
          <w:sz w:val="28"/>
          <w:szCs w:val="28"/>
          <w:highlight w:val="none"/>
        </w:rPr>
        <w:t>份、乙方执</w:t>
      </w:r>
      <w:r>
        <w:rPr>
          <w:rFonts w:hint="eastAsia" w:ascii="宋体" w:hAnsi="宋体" w:eastAsia="宋体" w:cs="宋体"/>
          <w:b/>
          <w:bCs/>
          <w:color w:val="auto"/>
          <w:sz w:val="28"/>
          <w:szCs w:val="28"/>
          <w:highlight w:val="none"/>
          <w:u w:val="single"/>
          <w:lang w:val="en-US" w:eastAsia="zh-CN"/>
        </w:rPr>
        <w:t xml:space="preserve"> 贰 </w:t>
      </w:r>
      <w:r>
        <w:rPr>
          <w:rFonts w:hint="eastAsia" w:ascii="宋体" w:hAnsi="宋体" w:eastAsia="宋体" w:cs="宋体"/>
          <w:color w:val="auto"/>
          <w:sz w:val="28"/>
          <w:szCs w:val="28"/>
          <w:highlight w:val="none"/>
        </w:rPr>
        <w:t>份、</w:t>
      </w:r>
      <w:r>
        <w:rPr>
          <w:rFonts w:hint="eastAsia" w:ascii="宋体" w:hAnsi="宋体" w:eastAsia="宋体" w:cs="宋体"/>
          <w:color w:val="auto"/>
          <w:sz w:val="28"/>
          <w:szCs w:val="28"/>
          <w:highlight w:val="none"/>
          <w:lang w:val="en-US" w:eastAsia="zh-CN"/>
        </w:rPr>
        <w:t>采购代理机构</w:t>
      </w:r>
      <w:r>
        <w:rPr>
          <w:rFonts w:hint="eastAsia" w:ascii="宋体" w:hAnsi="宋体" w:eastAsia="宋体" w:cs="宋体"/>
          <w:color w:val="auto"/>
          <w:sz w:val="28"/>
          <w:szCs w:val="28"/>
          <w:highlight w:val="none"/>
        </w:rPr>
        <w:t>执</w:t>
      </w:r>
      <w:r>
        <w:rPr>
          <w:rFonts w:hint="eastAsia" w:ascii="宋体" w:hAnsi="宋体" w:eastAsia="宋体" w:cs="宋体"/>
          <w:b/>
          <w:bCs/>
          <w:color w:val="auto"/>
          <w:sz w:val="28"/>
          <w:szCs w:val="28"/>
          <w:highlight w:val="none"/>
          <w:u w:val="single"/>
          <w:lang w:val="en-US" w:eastAsia="zh-CN"/>
        </w:rPr>
        <w:t xml:space="preserve"> 壹 </w:t>
      </w:r>
      <w:r>
        <w:rPr>
          <w:rFonts w:hint="eastAsia" w:ascii="宋体" w:hAnsi="宋体" w:eastAsia="宋体" w:cs="宋体"/>
          <w:color w:val="auto"/>
          <w:sz w:val="28"/>
          <w:szCs w:val="28"/>
          <w:highlight w:val="none"/>
        </w:rPr>
        <w:t>份</w:t>
      </w:r>
      <w:r>
        <w:rPr>
          <w:rFonts w:hint="eastAsia" w:ascii="宋体" w:hAnsi="宋体" w:eastAsia="宋体" w:cs="宋体"/>
          <w:color w:val="auto"/>
          <w:sz w:val="28"/>
          <w:szCs w:val="28"/>
          <w:highlight w:val="none"/>
          <w:lang w:eastAsia="zh-CN"/>
        </w:rPr>
        <w:t>。</w:t>
      </w:r>
    </w:p>
    <w:p w14:paraId="1A9250CD">
      <w:pPr>
        <w:keepNext w:val="0"/>
        <w:keepLines w:val="0"/>
        <w:pageBreakBefore w:val="0"/>
        <w:widowControl w:val="0"/>
        <w:kinsoku/>
        <w:wordWrap/>
        <w:overflowPunct/>
        <w:topLinePunct w:val="0"/>
        <w:autoSpaceDE/>
        <w:autoSpaceDN/>
        <w:bidi w:val="0"/>
        <w:adjustRightInd/>
        <w:snapToGrid/>
        <w:spacing w:before="32" w:beforeLines="10" w:after="32" w:afterLines="10" w:line="46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本合同</w:t>
      </w:r>
      <w:r>
        <w:rPr>
          <w:rFonts w:hint="eastAsia" w:ascii="宋体" w:hAnsi="宋体" w:eastAsia="宋体" w:cs="宋体"/>
          <w:color w:val="auto"/>
          <w:sz w:val="28"/>
          <w:szCs w:val="28"/>
          <w:highlight w:val="none"/>
          <w:lang w:eastAsia="zh-CN"/>
        </w:rPr>
        <w:t>经双方法定代表人或授权代表签字并加盖单位公章后生效。</w:t>
      </w:r>
      <w:r>
        <w:rPr>
          <w:rFonts w:hint="eastAsia" w:ascii="宋体" w:hAnsi="宋体" w:eastAsia="宋体" w:cs="宋体"/>
          <w:color w:val="auto"/>
          <w:sz w:val="28"/>
          <w:szCs w:val="28"/>
          <w:highlight w:val="none"/>
        </w:rPr>
        <w:t>未尽事宜，遵照</w:t>
      </w:r>
      <w:r>
        <w:rPr>
          <w:rFonts w:hint="eastAsia" w:ascii="宋体" w:hAnsi="宋体" w:eastAsia="宋体" w:cs="宋体"/>
          <w:color w:val="auto"/>
          <w:sz w:val="28"/>
          <w:szCs w:val="28"/>
          <w:highlight w:val="none"/>
          <w:lang w:eastAsia="zh-CN"/>
        </w:rPr>
        <w:t>有关法律法规及政策规定</w:t>
      </w:r>
      <w:r>
        <w:rPr>
          <w:rFonts w:hint="eastAsia" w:ascii="宋体" w:hAnsi="宋体" w:eastAsia="宋体" w:cs="宋体"/>
          <w:color w:val="auto"/>
          <w:sz w:val="28"/>
          <w:szCs w:val="28"/>
          <w:highlight w:val="none"/>
        </w:rPr>
        <w:t>有关条文执行或甲、乙双方协商解决。</w:t>
      </w:r>
    </w:p>
    <w:p w14:paraId="1E10286F">
      <w:pPr>
        <w:widowControl w:val="0"/>
        <w:spacing w:before="120" w:after="120"/>
        <w:jc w:val="left"/>
        <w:rPr>
          <w:rFonts w:hint="eastAsia" w:ascii="Calibri" w:hAnsi="Calibri" w:eastAsia="宋体" w:cs="Calibri"/>
          <w:b/>
          <w:bCs/>
          <w:caps/>
          <w:color w:val="auto"/>
          <w:kern w:val="2"/>
          <w:sz w:val="20"/>
          <w:szCs w:val="20"/>
          <w:highlight w:val="none"/>
          <w:lang w:val="en-US" w:eastAsia="zh-CN" w:bidi="ar-SA"/>
        </w:rPr>
      </w:pPr>
    </w:p>
    <w:p w14:paraId="55E029C9">
      <w:pPr>
        <w:rPr>
          <w:rFonts w:hint="eastAsia" w:ascii="Times New Roman" w:hAnsi="Times New Roman" w:eastAsia="宋体" w:cs="Times New Roman"/>
          <w:color w:val="auto"/>
          <w:highlight w:val="none"/>
        </w:rPr>
      </w:pPr>
    </w:p>
    <w:p w14:paraId="750D649C">
      <w:pPr>
        <w:pStyle w:val="48"/>
        <w:rPr>
          <w:rFonts w:hint="eastAsia" w:ascii="Times New Roman" w:hAnsi="Times New Roman" w:eastAsia="宋体" w:cs="Times New Roman"/>
          <w:color w:val="auto"/>
          <w:highlight w:val="none"/>
        </w:rPr>
      </w:pPr>
    </w:p>
    <w:p w14:paraId="2938186C">
      <w:pPr>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sz w:val="28"/>
          <w:szCs w:val="28"/>
          <w:highlight w:val="none"/>
          <w:lang w:eastAsia="zh-CN"/>
        </w:rPr>
        <w:t>（此页无正文）</w:t>
      </w:r>
    </w:p>
    <w:tbl>
      <w:tblPr>
        <w:tblStyle w:val="30"/>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9"/>
        <w:gridCol w:w="4591"/>
      </w:tblGrid>
      <w:tr w14:paraId="5558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trPr>
        <w:tc>
          <w:tcPr>
            <w:tcW w:w="4589" w:type="dxa"/>
            <w:tcBorders>
              <w:top w:val="single" w:color="auto" w:sz="4" w:space="0"/>
              <w:left w:val="single" w:color="auto" w:sz="4" w:space="0"/>
              <w:bottom w:val="single" w:color="auto" w:sz="4" w:space="0"/>
              <w:right w:val="single" w:color="auto" w:sz="4" w:space="0"/>
            </w:tcBorders>
            <w:noWrap w:val="0"/>
            <w:vAlign w:val="center"/>
          </w:tcPr>
          <w:p w14:paraId="49F993AB">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lang w:val="en-US" w:eastAsia="zh-CN"/>
              </w:rPr>
              <w:t>盖章</w:t>
            </w:r>
            <w:r>
              <w:rPr>
                <w:rFonts w:hint="eastAsia" w:ascii="宋体" w:hAnsi="宋体" w:eastAsia="宋体" w:cs="宋体"/>
                <w:color w:val="auto"/>
                <w:sz w:val="28"/>
                <w:szCs w:val="28"/>
                <w:highlight w:val="none"/>
              </w:rPr>
              <w:t>）：</w:t>
            </w:r>
          </w:p>
          <w:p w14:paraId="65C8448E">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lang w:eastAsia="zh-CN"/>
              </w:rPr>
            </w:pPr>
          </w:p>
          <w:p w14:paraId="1D82D78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钦州市救助管理站</w:t>
            </w:r>
          </w:p>
          <w:p w14:paraId="04570646">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rPr>
            </w:pPr>
          </w:p>
          <w:p w14:paraId="22DA66ED">
            <w:pPr>
              <w:keepNext w:val="0"/>
              <w:keepLines w:val="0"/>
              <w:pageBreakBefore w:val="0"/>
              <w:kinsoku/>
              <w:wordWrap/>
              <w:overflowPunct/>
              <w:topLinePunct w:val="0"/>
              <w:autoSpaceDE/>
              <w:autoSpaceDN/>
              <w:bidi w:val="0"/>
              <w:snapToGrid w:val="0"/>
              <w:spacing w:line="240" w:lineRule="auto"/>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年   月   日</w:t>
            </w:r>
          </w:p>
        </w:tc>
        <w:tc>
          <w:tcPr>
            <w:tcW w:w="4591" w:type="dxa"/>
            <w:tcBorders>
              <w:top w:val="single" w:color="auto" w:sz="4" w:space="0"/>
              <w:left w:val="single" w:color="auto" w:sz="4" w:space="0"/>
              <w:bottom w:val="single" w:color="auto" w:sz="4" w:space="0"/>
              <w:right w:val="single" w:color="auto" w:sz="4" w:space="0"/>
            </w:tcBorders>
            <w:noWrap w:val="0"/>
            <w:vAlign w:val="center"/>
          </w:tcPr>
          <w:p w14:paraId="75CC3C6F">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lang w:val="en-US" w:eastAsia="zh-CN"/>
              </w:rPr>
              <w:t>盖章</w:t>
            </w:r>
            <w:r>
              <w:rPr>
                <w:rFonts w:hint="eastAsia" w:ascii="宋体" w:hAnsi="宋体" w:eastAsia="宋体" w:cs="宋体"/>
                <w:color w:val="auto"/>
                <w:sz w:val="28"/>
                <w:szCs w:val="28"/>
                <w:highlight w:val="none"/>
              </w:rPr>
              <w:t>）：</w:t>
            </w:r>
          </w:p>
          <w:p w14:paraId="182E5697">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rPr>
            </w:pPr>
          </w:p>
          <w:p w14:paraId="27259660">
            <w:pPr>
              <w:keepNext w:val="0"/>
              <w:keepLines w:val="0"/>
              <w:pageBreakBefore w:val="0"/>
              <w:kinsoku/>
              <w:wordWrap/>
              <w:overflowPunct/>
              <w:topLinePunct w:val="0"/>
              <w:autoSpaceDE/>
              <w:autoSpaceDN/>
              <w:bidi w:val="0"/>
              <w:snapToGrid w:val="0"/>
              <w:spacing w:line="24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5A0F346F">
            <w:pPr>
              <w:keepNext w:val="0"/>
              <w:keepLines w:val="0"/>
              <w:pageBreakBefore w:val="0"/>
              <w:kinsoku/>
              <w:wordWrap/>
              <w:overflowPunct/>
              <w:topLinePunct w:val="0"/>
              <w:autoSpaceDE/>
              <w:autoSpaceDN/>
              <w:bidi w:val="0"/>
              <w:snapToGrid w:val="0"/>
              <w:spacing w:line="240" w:lineRule="auto"/>
              <w:jc w:val="right"/>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月   日</w:t>
            </w:r>
          </w:p>
        </w:tc>
      </w:tr>
      <w:tr w14:paraId="4CCB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trPr>
        <w:tc>
          <w:tcPr>
            <w:tcW w:w="4589" w:type="dxa"/>
            <w:tcBorders>
              <w:top w:val="single" w:color="auto" w:sz="4" w:space="0"/>
              <w:left w:val="single" w:color="auto" w:sz="4" w:space="0"/>
              <w:bottom w:val="single" w:color="auto" w:sz="4" w:space="0"/>
              <w:right w:val="single" w:color="auto" w:sz="4" w:space="0"/>
            </w:tcBorders>
            <w:noWrap w:val="0"/>
            <w:vAlign w:val="center"/>
          </w:tcPr>
          <w:p w14:paraId="6B5CCE8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单位地址：钦州市金华路</w:t>
            </w:r>
            <w:r>
              <w:rPr>
                <w:rFonts w:hint="eastAsia" w:ascii="Times New Roman" w:hAnsi="Times New Roman" w:eastAsia="宋体" w:cs="Times New Roman"/>
                <w:color w:val="auto"/>
                <w:kern w:val="0"/>
                <w:sz w:val="28"/>
                <w:szCs w:val="28"/>
                <w:highlight w:val="none"/>
                <w:lang w:val="en-US" w:eastAsia="zh-CN" w:bidi="ar-SA"/>
              </w:rPr>
              <w:t>8</w:t>
            </w:r>
            <w:r>
              <w:rPr>
                <w:rFonts w:hint="eastAsia" w:ascii="宋体" w:hAnsi="宋体" w:eastAsia="宋体" w:cs="宋体"/>
                <w:color w:val="auto"/>
                <w:sz w:val="28"/>
                <w:szCs w:val="28"/>
                <w:highlight w:val="none"/>
                <w:lang w:val="en-US" w:eastAsia="zh-CN"/>
              </w:rPr>
              <w:t>号</w:t>
            </w:r>
          </w:p>
        </w:tc>
        <w:tc>
          <w:tcPr>
            <w:tcW w:w="4591" w:type="dxa"/>
            <w:tcBorders>
              <w:top w:val="single" w:color="auto" w:sz="4" w:space="0"/>
              <w:left w:val="single" w:color="auto" w:sz="4" w:space="0"/>
              <w:bottom w:val="single" w:color="auto" w:sz="4" w:space="0"/>
              <w:right w:val="single" w:color="auto" w:sz="4" w:space="0"/>
            </w:tcBorders>
            <w:noWrap w:val="0"/>
            <w:vAlign w:val="center"/>
          </w:tcPr>
          <w:p w14:paraId="290EAD1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单位地址： </w:t>
            </w:r>
          </w:p>
        </w:tc>
      </w:tr>
      <w:tr w14:paraId="6B49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trPr>
        <w:tc>
          <w:tcPr>
            <w:tcW w:w="4589" w:type="dxa"/>
            <w:tcBorders>
              <w:top w:val="single" w:color="auto" w:sz="4" w:space="0"/>
              <w:left w:val="single" w:color="auto" w:sz="4" w:space="0"/>
              <w:right w:val="single" w:color="auto" w:sz="4" w:space="0"/>
            </w:tcBorders>
            <w:noWrap w:val="0"/>
            <w:vAlign w:val="center"/>
          </w:tcPr>
          <w:p w14:paraId="76B4BD2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法定代表人（负责人）</w:t>
            </w:r>
          </w:p>
          <w:p w14:paraId="00B8452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或委托代理人</w:t>
            </w:r>
          </w:p>
          <w:p w14:paraId="4C7D2CB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（签字或盖章）：</w:t>
            </w:r>
          </w:p>
        </w:tc>
        <w:tc>
          <w:tcPr>
            <w:tcW w:w="4591" w:type="dxa"/>
            <w:tcBorders>
              <w:top w:val="single" w:color="auto" w:sz="4" w:space="0"/>
              <w:left w:val="single" w:color="auto" w:sz="4" w:space="0"/>
              <w:bottom w:val="single" w:color="auto" w:sz="4" w:space="0"/>
              <w:right w:val="single" w:color="auto" w:sz="4" w:space="0"/>
            </w:tcBorders>
            <w:noWrap w:val="0"/>
            <w:vAlign w:val="center"/>
          </w:tcPr>
          <w:p w14:paraId="4CD175F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法定代表人（负责人）</w:t>
            </w:r>
          </w:p>
          <w:p w14:paraId="50A4534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或委托代理人</w:t>
            </w:r>
          </w:p>
          <w:p w14:paraId="1944F13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（签字或盖章）：</w:t>
            </w:r>
          </w:p>
        </w:tc>
      </w:tr>
      <w:tr w14:paraId="60E9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4589" w:type="dxa"/>
            <w:tcBorders>
              <w:top w:val="single" w:color="auto" w:sz="4" w:space="0"/>
              <w:left w:val="single" w:color="auto" w:sz="4" w:space="0"/>
              <w:bottom w:val="single" w:color="auto" w:sz="4" w:space="0"/>
              <w:right w:val="single" w:color="auto" w:sz="4" w:space="0"/>
            </w:tcBorders>
            <w:noWrap w:val="0"/>
            <w:vAlign w:val="center"/>
          </w:tcPr>
          <w:p w14:paraId="0FD3E8F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电话：</w:t>
            </w:r>
          </w:p>
        </w:tc>
        <w:tc>
          <w:tcPr>
            <w:tcW w:w="4591" w:type="dxa"/>
            <w:tcBorders>
              <w:top w:val="single" w:color="auto" w:sz="4" w:space="0"/>
              <w:left w:val="single" w:color="auto" w:sz="4" w:space="0"/>
              <w:bottom w:val="single" w:color="auto" w:sz="4" w:space="0"/>
              <w:right w:val="single" w:color="auto" w:sz="4" w:space="0"/>
            </w:tcBorders>
            <w:noWrap w:val="0"/>
            <w:vAlign w:val="center"/>
          </w:tcPr>
          <w:p w14:paraId="74BC78E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电话：</w:t>
            </w:r>
          </w:p>
        </w:tc>
      </w:tr>
      <w:tr w14:paraId="5B2F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trPr>
        <w:tc>
          <w:tcPr>
            <w:tcW w:w="4589" w:type="dxa"/>
            <w:tcBorders>
              <w:top w:val="single" w:color="auto" w:sz="4" w:space="0"/>
              <w:left w:val="single" w:color="auto" w:sz="4" w:space="0"/>
              <w:bottom w:val="single" w:color="auto" w:sz="4" w:space="0"/>
              <w:right w:val="single" w:color="auto" w:sz="4" w:space="0"/>
            </w:tcBorders>
            <w:noWrap w:val="0"/>
            <w:vAlign w:val="center"/>
          </w:tcPr>
          <w:p w14:paraId="055DAF5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开户银行： </w:t>
            </w:r>
          </w:p>
        </w:tc>
        <w:tc>
          <w:tcPr>
            <w:tcW w:w="4591" w:type="dxa"/>
            <w:tcBorders>
              <w:top w:val="single" w:color="auto" w:sz="4" w:space="0"/>
              <w:left w:val="single" w:color="auto" w:sz="4" w:space="0"/>
              <w:bottom w:val="single" w:color="auto" w:sz="4" w:space="0"/>
              <w:right w:val="single" w:color="auto" w:sz="4" w:space="0"/>
            </w:tcBorders>
            <w:noWrap w:val="0"/>
            <w:vAlign w:val="center"/>
          </w:tcPr>
          <w:p w14:paraId="0E9526B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开户银行： </w:t>
            </w:r>
          </w:p>
        </w:tc>
      </w:tr>
      <w:tr w14:paraId="4738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trPr>
        <w:tc>
          <w:tcPr>
            <w:tcW w:w="4589" w:type="dxa"/>
            <w:tcBorders>
              <w:top w:val="single" w:color="auto" w:sz="4" w:space="0"/>
              <w:left w:val="single" w:color="auto" w:sz="4" w:space="0"/>
              <w:bottom w:val="single" w:color="auto" w:sz="4" w:space="0"/>
              <w:right w:val="single" w:color="auto" w:sz="4" w:space="0"/>
            </w:tcBorders>
            <w:noWrap w:val="0"/>
            <w:vAlign w:val="center"/>
          </w:tcPr>
          <w:p w14:paraId="38BD68C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账号：</w:t>
            </w:r>
          </w:p>
        </w:tc>
        <w:tc>
          <w:tcPr>
            <w:tcW w:w="4591" w:type="dxa"/>
            <w:tcBorders>
              <w:top w:val="single" w:color="auto" w:sz="4" w:space="0"/>
              <w:left w:val="single" w:color="auto" w:sz="4" w:space="0"/>
              <w:bottom w:val="single" w:color="auto" w:sz="4" w:space="0"/>
              <w:right w:val="single" w:color="auto" w:sz="4" w:space="0"/>
            </w:tcBorders>
            <w:noWrap w:val="0"/>
            <w:vAlign w:val="center"/>
          </w:tcPr>
          <w:p w14:paraId="5A9F9C1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账号：</w:t>
            </w:r>
          </w:p>
        </w:tc>
      </w:tr>
      <w:tr w14:paraId="172BD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4589" w:type="dxa"/>
            <w:tcBorders>
              <w:top w:val="single" w:color="auto" w:sz="4" w:space="0"/>
              <w:left w:val="single" w:color="auto" w:sz="4" w:space="0"/>
              <w:bottom w:val="single" w:color="auto" w:sz="4" w:space="0"/>
              <w:right w:val="single" w:color="auto" w:sz="4" w:space="0"/>
            </w:tcBorders>
            <w:noWrap w:val="0"/>
            <w:vAlign w:val="center"/>
          </w:tcPr>
          <w:p w14:paraId="63CAC90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邮政编码：</w:t>
            </w:r>
            <w:r>
              <w:rPr>
                <w:rFonts w:hint="eastAsia" w:ascii="Times New Roman" w:hAnsi="Times New Roman" w:eastAsia="宋体" w:cs="Times New Roman"/>
                <w:color w:val="auto"/>
                <w:kern w:val="0"/>
                <w:sz w:val="28"/>
                <w:szCs w:val="28"/>
                <w:highlight w:val="none"/>
                <w:lang w:val="en-US" w:eastAsia="zh-CN" w:bidi="ar-SA"/>
              </w:rPr>
              <w:t>535099</w:t>
            </w:r>
          </w:p>
        </w:tc>
        <w:tc>
          <w:tcPr>
            <w:tcW w:w="4591" w:type="dxa"/>
            <w:tcBorders>
              <w:top w:val="single" w:color="auto" w:sz="4" w:space="0"/>
              <w:left w:val="single" w:color="auto" w:sz="4" w:space="0"/>
              <w:bottom w:val="single" w:color="auto" w:sz="4" w:space="0"/>
              <w:right w:val="single" w:color="auto" w:sz="4" w:space="0"/>
            </w:tcBorders>
            <w:noWrap w:val="0"/>
            <w:vAlign w:val="center"/>
          </w:tcPr>
          <w:p w14:paraId="563C779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邮政编码：</w:t>
            </w:r>
          </w:p>
        </w:tc>
      </w:tr>
    </w:tbl>
    <w:p w14:paraId="3F27BEAB">
      <w:pPr>
        <w:spacing w:before="0" w:beforeLines="-2147483648" w:after="0" w:afterLines="-2147483648" w:line="240" w:lineRule="auto"/>
        <w:jc w:val="left"/>
        <w:rPr>
          <w:rFonts w:hint="eastAsia" w:hAnsi="宋体"/>
          <w:color w:val="auto"/>
          <w:sz w:val="28"/>
          <w:szCs w:val="28"/>
          <w:highlight w:val="none"/>
        </w:rPr>
      </w:pPr>
      <w:r>
        <w:rPr>
          <w:rFonts w:hint="eastAsia" w:hAnsi="宋体"/>
          <w:color w:val="auto"/>
          <w:sz w:val="28"/>
          <w:szCs w:val="28"/>
          <w:highlight w:val="none"/>
        </w:rPr>
        <w:br w:type="page"/>
      </w:r>
    </w:p>
    <w:p w14:paraId="42BD8F00">
      <w:pPr>
        <w:spacing w:before="156" w:beforeLines="50" w:after="624" w:afterLines="200" w:line="340" w:lineRule="exact"/>
        <w:jc w:val="left"/>
        <w:rPr>
          <w:rFonts w:hAnsi="宋体"/>
          <w:color w:val="auto"/>
          <w:sz w:val="28"/>
          <w:szCs w:val="28"/>
          <w:highlight w:val="none"/>
        </w:rPr>
      </w:pPr>
      <w:r>
        <w:rPr>
          <w:rFonts w:hint="eastAsia" w:hAnsi="宋体"/>
          <w:color w:val="auto"/>
          <w:sz w:val="28"/>
          <w:szCs w:val="28"/>
          <w:highlight w:val="none"/>
        </w:rPr>
        <w:t>附表1：</w:t>
      </w:r>
    </w:p>
    <w:p w14:paraId="64A2B2E0">
      <w:pPr>
        <w:spacing w:before="156" w:beforeLines="50" w:after="624" w:afterLines="200" w:line="340" w:lineRule="exact"/>
        <w:jc w:val="center"/>
        <w:rPr>
          <w:rFonts w:ascii="宋体" w:hAnsi="宋体" w:cs="宋体"/>
          <w:b/>
          <w:color w:val="auto"/>
          <w:sz w:val="32"/>
          <w:szCs w:val="32"/>
          <w:highlight w:val="none"/>
        </w:rPr>
      </w:pPr>
      <w:r>
        <w:rPr>
          <w:rFonts w:hint="eastAsia" w:ascii="宋体" w:hAnsi="宋体" w:cs="宋体"/>
          <w:b/>
          <w:color w:val="auto"/>
          <w:kern w:val="0"/>
          <w:sz w:val="32"/>
          <w:szCs w:val="32"/>
          <w:highlight w:val="none"/>
        </w:rPr>
        <w:t>广西壮族自治区政府采购项目合同验收书（格式）</w:t>
      </w:r>
    </w:p>
    <w:p w14:paraId="5331C36F">
      <w:pPr>
        <w:spacing w:line="34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根据政府采购项目（采购合同编号：</w:t>
      </w:r>
      <w:r>
        <w:rPr>
          <w:rFonts w:hint="eastAsia" w:ascii="宋体" w:hAnsi="宋体" w:cs="宋体"/>
          <w:color w:val="auto"/>
          <w:kern w:val="0"/>
          <w:szCs w:val="21"/>
          <w:highlight w:val="none"/>
        </w:rPr>
        <w:softHyphen/>
      </w:r>
      <w:r>
        <w:rPr>
          <w:rFonts w:hint="eastAsia" w:ascii="宋体" w:hAnsi="宋体" w:cs="宋体"/>
          <w:color w:val="auto"/>
          <w:kern w:val="0"/>
          <w:szCs w:val="21"/>
          <w:highlight w:val="none"/>
        </w:rPr>
        <w:t>）的约定，我单位对（项目名称）政府采购项目中标（或成交）供应商（公司名称）提供的货物（或工程、服务）进行了验收，验收情况如下：</w:t>
      </w:r>
    </w:p>
    <w:tbl>
      <w:tblPr>
        <w:tblStyle w:val="3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9"/>
        <w:gridCol w:w="1873"/>
        <w:gridCol w:w="402"/>
        <w:gridCol w:w="2408"/>
        <w:gridCol w:w="95"/>
        <w:gridCol w:w="1468"/>
        <w:gridCol w:w="1408"/>
      </w:tblGrid>
      <w:tr w14:paraId="1916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2" w:type="pct"/>
            <w:gridSpan w:val="2"/>
            <w:tcBorders>
              <w:top w:val="single" w:color="auto" w:sz="4" w:space="0"/>
              <w:left w:val="single" w:color="auto" w:sz="4" w:space="0"/>
              <w:bottom w:val="single" w:color="auto" w:sz="4" w:space="0"/>
              <w:right w:val="single" w:color="auto" w:sz="4" w:space="0"/>
            </w:tcBorders>
          </w:tcPr>
          <w:p w14:paraId="5715F448">
            <w:pPr>
              <w:spacing w:line="340" w:lineRule="exact"/>
              <w:jc w:val="center"/>
              <w:rPr>
                <w:rFonts w:ascii="宋体" w:hAnsi="宋体" w:cs="宋体"/>
                <w:b/>
                <w:color w:val="auto"/>
                <w:szCs w:val="21"/>
                <w:highlight w:val="none"/>
              </w:rPr>
            </w:pPr>
            <w:r>
              <w:rPr>
                <w:rFonts w:hint="eastAsia" w:ascii="宋体" w:hAnsi="宋体" w:cs="宋体"/>
                <w:color w:val="auto"/>
                <w:kern w:val="0"/>
                <w:szCs w:val="21"/>
                <w:highlight w:val="none"/>
              </w:rPr>
              <w:t>验收方式：</w:t>
            </w:r>
          </w:p>
        </w:tc>
        <w:tc>
          <w:tcPr>
            <w:tcW w:w="3177" w:type="pct"/>
            <w:gridSpan w:val="5"/>
            <w:tcBorders>
              <w:top w:val="single" w:color="auto" w:sz="4" w:space="0"/>
              <w:left w:val="single" w:color="auto" w:sz="4" w:space="0"/>
              <w:bottom w:val="single" w:color="auto" w:sz="4" w:space="0"/>
              <w:right w:val="single" w:color="auto" w:sz="4" w:space="0"/>
            </w:tcBorders>
          </w:tcPr>
          <w:p w14:paraId="613BFB86">
            <w:pPr>
              <w:spacing w:line="340" w:lineRule="exact"/>
              <w:jc w:val="center"/>
              <w:rPr>
                <w:rFonts w:ascii="宋体" w:hAnsi="宋体" w:cs="宋体"/>
                <w:b/>
                <w:color w:val="auto"/>
                <w:szCs w:val="21"/>
                <w:highlight w:val="none"/>
              </w:rPr>
            </w:pPr>
            <w:r>
              <w:rPr>
                <w:rFonts w:hint="eastAsia" w:ascii="宋体" w:hAnsi="宋体" w:cs="宋体"/>
                <w:color w:val="auto"/>
                <w:kern w:val="0"/>
                <w:szCs w:val="21"/>
                <w:highlight w:val="none"/>
              </w:rPr>
              <w:t>□自行验收□委托验收</w:t>
            </w:r>
          </w:p>
        </w:tc>
      </w:tr>
      <w:tr w14:paraId="346D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pct"/>
            <w:tcBorders>
              <w:top w:val="single" w:color="auto" w:sz="4" w:space="0"/>
              <w:left w:val="single" w:color="auto" w:sz="4" w:space="0"/>
              <w:bottom w:val="single" w:color="auto" w:sz="4" w:space="0"/>
              <w:right w:val="single" w:color="auto" w:sz="4" w:space="0"/>
            </w:tcBorders>
            <w:vAlign w:val="center"/>
          </w:tcPr>
          <w:p w14:paraId="552209AE">
            <w:pPr>
              <w:widowControl/>
              <w:snapToGrid w:val="0"/>
              <w:spacing w:beforeAutospacing="1"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30" w:type="pct"/>
            <w:tcBorders>
              <w:top w:val="single" w:color="auto" w:sz="4" w:space="0"/>
              <w:left w:val="single" w:color="auto" w:sz="4" w:space="0"/>
              <w:bottom w:val="single" w:color="auto" w:sz="4" w:space="0"/>
              <w:right w:val="single" w:color="auto" w:sz="4" w:space="0"/>
            </w:tcBorders>
            <w:vAlign w:val="center"/>
          </w:tcPr>
          <w:p w14:paraId="7AD0CBA4">
            <w:pPr>
              <w:widowControl/>
              <w:snapToGrid w:val="0"/>
              <w:spacing w:beforeAutospacing="1"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名称</w:t>
            </w:r>
          </w:p>
        </w:tc>
        <w:tc>
          <w:tcPr>
            <w:tcW w:w="1596" w:type="pct"/>
            <w:gridSpan w:val="3"/>
            <w:tcBorders>
              <w:top w:val="single" w:color="auto" w:sz="4" w:space="0"/>
              <w:left w:val="single" w:color="auto" w:sz="4" w:space="0"/>
              <w:bottom w:val="single" w:color="auto" w:sz="4" w:space="0"/>
              <w:right w:val="single" w:color="auto" w:sz="4" w:space="0"/>
            </w:tcBorders>
            <w:vAlign w:val="center"/>
          </w:tcPr>
          <w:p w14:paraId="23BF5B65">
            <w:pPr>
              <w:widowControl/>
              <w:snapToGrid w:val="0"/>
              <w:spacing w:beforeAutospacing="1"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货物型号规格、标准及配置等（或服务内容、标准）</w:t>
            </w:r>
          </w:p>
        </w:tc>
        <w:tc>
          <w:tcPr>
            <w:tcW w:w="807" w:type="pct"/>
            <w:tcBorders>
              <w:top w:val="single" w:color="auto" w:sz="4" w:space="0"/>
              <w:left w:val="single" w:color="auto" w:sz="4" w:space="0"/>
              <w:bottom w:val="single" w:color="auto" w:sz="4" w:space="0"/>
              <w:right w:val="single" w:color="auto" w:sz="4" w:space="0"/>
            </w:tcBorders>
            <w:vAlign w:val="center"/>
          </w:tcPr>
          <w:p w14:paraId="6584C73A">
            <w:pPr>
              <w:widowControl/>
              <w:snapToGrid w:val="0"/>
              <w:spacing w:beforeAutospacing="1" w:afterAutospacing="1" w:line="32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773" w:type="pct"/>
            <w:tcBorders>
              <w:top w:val="single" w:color="auto" w:sz="4" w:space="0"/>
              <w:left w:val="single" w:color="auto" w:sz="4" w:space="0"/>
              <w:bottom w:val="single" w:color="auto" w:sz="4" w:space="0"/>
              <w:right w:val="single" w:color="auto" w:sz="4" w:space="0"/>
            </w:tcBorders>
            <w:vAlign w:val="center"/>
          </w:tcPr>
          <w:p w14:paraId="30001F76">
            <w:pPr>
              <w:widowControl/>
              <w:snapToGrid w:val="0"/>
              <w:spacing w:beforeAutospacing="1"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金额</w:t>
            </w:r>
          </w:p>
        </w:tc>
      </w:tr>
      <w:tr w14:paraId="1F62C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pct"/>
            <w:tcBorders>
              <w:top w:val="single" w:color="auto" w:sz="4" w:space="0"/>
              <w:left w:val="single" w:color="auto" w:sz="4" w:space="0"/>
              <w:bottom w:val="single" w:color="auto" w:sz="4" w:space="0"/>
              <w:right w:val="single" w:color="auto" w:sz="4" w:space="0"/>
            </w:tcBorders>
            <w:vAlign w:val="center"/>
          </w:tcPr>
          <w:p w14:paraId="11AC96FA">
            <w:pPr>
              <w:widowControl/>
              <w:snapToGrid w:val="0"/>
              <w:spacing w:beforeAutospacing="1" w:afterAutospacing="1" w:line="320" w:lineRule="atLeast"/>
              <w:ind w:firstLine="2"/>
              <w:jc w:val="center"/>
              <w:rPr>
                <w:rFonts w:ascii="宋体" w:hAnsi="宋体" w:cs="宋体"/>
                <w:color w:val="auto"/>
                <w:kern w:val="0"/>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14:paraId="1693F2A2">
            <w:pPr>
              <w:widowControl/>
              <w:snapToGrid w:val="0"/>
              <w:spacing w:beforeAutospacing="1" w:afterAutospacing="1" w:line="320" w:lineRule="atLeast"/>
              <w:ind w:firstLine="2"/>
              <w:jc w:val="center"/>
              <w:rPr>
                <w:rFonts w:ascii="宋体" w:hAnsi="宋体" w:cs="宋体"/>
                <w:color w:val="auto"/>
                <w:kern w:val="0"/>
                <w:szCs w:val="21"/>
                <w:highlight w:val="none"/>
              </w:rPr>
            </w:pPr>
          </w:p>
        </w:tc>
        <w:tc>
          <w:tcPr>
            <w:tcW w:w="1596" w:type="pct"/>
            <w:gridSpan w:val="3"/>
            <w:tcBorders>
              <w:top w:val="single" w:color="auto" w:sz="4" w:space="0"/>
              <w:left w:val="single" w:color="auto" w:sz="4" w:space="0"/>
              <w:bottom w:val="single" w:color="auto" w:sz="4" w:space="0"/>
              <w:right w:val="single" w:color="auto" w:sz="4" w:space="0"/>
            </w:tcBorders>
            <w:vAlign w:val="center"/>
          </w:tcPr>
          <w:p w14:paraId="1F5CB3C7">
            <w:pPr>
              <w:widowControl/>
              <w:snapToGrid w:val="0"/>
              <w:spacing w:beforeAutospacing="1" w:afterAutospacing="1" w:line="320" w:lineRule="atLeast"/>
              <w:ind w:firstLine="2"/>
              <w:jc w:val="center"/>
              <w:rPr>
                <w:rFonts w:ascii="宋体" w:hAnsi="宋体" w:cs="宋体"/>
                <w:color w:val="auto"/>
                <w:kern w:val="0"/>
                <w:szCs w:val="21"/>
                <w:highlight w:val="none"/>
              </w:rPr>
            </w:pPr>
          </w:p>
        </w:tc>
        <w:tc>
          <w:tcPr>
            <w:tcW w:w="807" w:type="pct"/>
            <w:tcBorders>
              <w:top w:val="single" w:color="auto" w:sz="4" w:space="0"/>
              <w:left w:val="single" w:color="auto" w:sz="4" w:space="0"/>
              <w:bottom w:val="single" w:color="auto" w:sz="4" w:space="0"/>
              <w:right w:val="single" w:color="auto" w:sz="4" w:space="0"/>
            </w:tcBorders>
            <w:vAlign w:val="center"/>
          </w:tcPr>
          <w:p w14:paraId="1F11D085">
            <w:pPr>
              <w:widowControl/>
              <w:snapToGrid w:val="0"/>
              <w:spacing w:beforeAutospacing="1" w:afterAutospacing="1" w:line="320" w:lineRule="atLeast"/>
              <w:jc w:val="center"/>
              <w:rPr>
                <w:rFonts w:ascii="宋体" w:hAnsi="宋体" w:cs="宋体"/>
                <w:color w:val="auto"/>
                <w:kern w:val="0"/>
                <w:szCs w:val="21"/>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006B890B">
            <w:pPr>
              <w:widowControl/>
              <w:snapToGrid w:val="0"/>
              <w:spacing w:beforeAutospacing="1" w:afterAutospacing="1" w:line="320" w:lineRule="atLeast"/>
              <w:ind w:firstLine="2"/>
              <w:jc w:val="center"/>
              <w:rPr>
                <w:rFonts w:ascii="宋体" w:hAnsi="宋体" w:cs="宋体"/>
                <w:color w:val="auto"/>
                <w:kern w:val="0"/>
                <w:szCs w:val="21"/>
                <w:highlight w:val="none"/>
              </w:rPr>
            </w:pPr>
          </w:p>
        </w:tc>
      </w:tr>
      <w:tr w14:paraId="6412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pct"/>
            <w:tcBorders>
              <w:top w:val="single" w:color="auto" w:sz="4" w:space="0"/>
              <w:left w:val="single" w:color="auto" w:sz="4" w:space="0"/>
              <w:bottom w:val="single" w:color="auto" w:sz="4" w:space="0"/>
              <w:right w:val="single" w:color="auto" w:sz="4" w:space="0"/>
            </w:tcBorders>
            <w:vAlign w:val="center"/>
          </w:tcPr>
          <w:p w14:paraId="15970939">
            <w:pPr>
              <w:widowControl/>
              <w:snapToGrid w:val="0"/>
              <w:spacing w:beforeAutospacing="1" w:afterAutospacing="1" w:line="320" w:lineRule="atLeast"/>
              <w:ind w:firstLine="2"/>
              <w:jc w:val="center"/>
              <w:rPr>
                <w:rFonts w:ascii="宋体" w:hAnsi="宋体" w:cs="宋体"/>
                <w:color w:val="auto"/>
                <w:kern w:val="0"/>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14:paraId="24342E54">
            <w:pPr>
              <w:widowControl/>
              <w:snapToGrid w:val="0"/>
              <w:spacing w:beforeAutospacing="1" w:afterAutospacing="1" w:line="320" w:lineRule="atLeast"/>
              <w:ind w:firstLine="2"/>
              <w:jc w:val="center"/>
              <w:rPr>
                <w:rFonts w:ascii="宋体" w:hAnsi="宋体" w:cs="宋体"/>
                <w:color w:val="auto"/>
                <w:kern w:val="0"/>
                <w:szCs w:val="21"/>
                <w:highlight w:val="none"/>
              </w:rPr>
            </w:pPr>
          </w:p>
        </w:tc>
        <w:tc>
          <w:tcPr>
            <w:tcW w:w="1596" w:type="pct"/>
            <w:gridSpan w:val="3"/>
            <w:tcBorders>
              <w:top w:val="single" w:color="auto" w:sz="4" w:space="0"/>
              <w:left w:val="single" w:color="auto" w:sz="4" w:space="0"/>
              <w:bottom w:val="single" w:color="auto" w:sz="4" w:space="0"/>
              <w:right w:val="single" w:color="auto" w:sz="4" w:space="0"/>
            </w:tcBorders>
            <w:vAlign w:val="center"/>
          </w:tcPr>
          <w:p w14:paraId="164A346B">
            <w:pPr>
              <w:widowControl/>
              <w:snapToGrid w:val="0"/>
              <w:spacing w:beforeAutospacing="1" w:afterAutospacing="1" w:line="320" w:lineRule="atLeast"/>
              <w:ind w:firstLine="2"/>
              <w:jc w:val="center"/>
              <w:rPr>
                <w:rFonts w:ascii="宋体" w:hAnsi="宋体" w:cs="宋体"/>
                <w:color w:val="auto"/>
                <w:kern w:val="0"/>
                <w:szCs w:val="21"/>
                <w:highlight w:val="none"/>
              </w:rPr>
            </w:pPr>
          </w:p>
        </w:tc>
        <w:tc>
          <w:tcPr>
            <w:tcW w:w="807" w:type="pct"/>
            <w:tcBorders>
              <w:top w:val="single" w:color="auto" w:sz="4" w:space="0"/>
              <w:left w:val="single" w:color="auto" w:sz="4" w:space="0"/>
              <w:bottom w:val="single" w:color="auto" w:sz="4" w:space="0"/>
              <w:right w:val="single" w:color="auto" w:sz="4" w:space="0"/>
            </w:tcBorders>
            <w:vAlign w:val="center"/>
          </w:tcPr>
          <w:p w14:paraId="188AA73F">
            <w:pPr>
              <w:widowControl/>
              <w:snapToGrid w:val="0"/>
              <w:spacing w:beforeAutospacing="1" w:afterAutospacing="1" w:line="320" w:lineRule="atLeast"/>
              <w:jc w:val="center"/>
              <w:rPr>
                <w:rFonts w:ascii="宋体" w:hAnsi="宋体" w:cs="宋体"/>
                <w:color w:val="auto"/>
                <w:kern w:val="0"/>
                <w:szCs w:val="21"/>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6AB160BE">
            <w:pPr>
              <w:widowControl/>
              <w:snapToGrid w:val="0"/>
              <w:spacing w:beforeAutospacing="1" w:afterAutospacing="1" w:line="320" w:lineRule="atLeast"/>
              <w:ind w:firstLine="2"/>
              <w:jc w:val="center"/>
              <w:rPr>
                <w:rFonts w:ascii="宋体" w:hAnsi="宋体" w:cs="宋体"/>
                <w:color w:val="auto"/>
                <w:kern w:val="0"/>
                <w:szCs w:val="21"/>
                <w:highlight w:val="none"/>
              </w:rPr>
            </w:pPr>
          </w:p>
        </w:tc>
      </w:tr>
      <w:tr w14:paraId="7A26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pct"/>
            <w:tcBorders>
              <w:top w:val="single" w:color="auto" w:sz="4" w:space="0"/>
              <w:left w:val="single" w:color="auto" w:sz="4" w:space="0"/>
              <w:bottom w:val="single" w:color="auto" w:sz="4" w:space="0"/>
              <w:right w:val="single" w:color="auto" w:sz="4" w:space="0"/>
            </w:tcBorders>
            <w:vAlign w:val="center"/>
          </w:tcPr>
          <w:p w14:paraId="2B463D65">
            <w:pPr>
              <w:widowControl/>
              <w:snapToGrid w:val="0"/>
              <w:spacing w:beforeAutospacing="1" w:afterAutospacing="1" w:line="320" w:lineRule="atLeast"/>
              <w:ind w:firstLine="2"/>
              <w:jc w:val="center"/>
              <w:rPr>
                <w:rFonts w:ascii="宋体" w:hAnsi="宋体" w:cs="宋体"/>
                <w:color w:val="auto"/>
                <w:kern w:val="0"/>
                <w:szCs w:val="21"/>
                <w:highlight w:val="none"/>
              </w:rPr>
            </w:pPr>
          </w:p>
        </w:tc>
        <w:tc>
          <w:tcPr>
            <w:tcW w:w="1030" w:type="pct"/>
            <w:tcBorders>
              <w:top w:val="single" w:color="auto" w:sz="4" w:space="0"/>
              <w:left w:val="single" w:color="auto" w:sz="4" w:space="0"/>
              <w:bottom w:val="single" w:color="auto" w:sz="4" w:space="0"/>
              <w:right w:val="single" w:color="auto" w:sz="4" w:space="0"/>
            </w:tcBorders>
            <w:vAlign w:val="center"/>
          </w:tcPr>
          <w:p w14:paraId="670980C7">
            <w:pPr>
              <w:widowControl/>
              <w:snapToGrid w:val="0"/>
              <w:spacing w:beforeAutospacing="1" w:afterAutospacing="1" w:line="320" w:lineRule="atLeast"/>
              <w:ind w:firstLine="2"/>
              <w:jc w:val="center"/>
              <w:rPr>
                <w:rFonts w:ascii="宋体" w:hAnsi="宋体" w:cs="宋体"/>
                <w:color w:val="auto"/>
                <w:kern w:val="0"/>
                <w:szCs w:val="21"/>
                <w:highlight w:val="none"/>
              </w:rPr>
            </w:pPr>
          </w:p>
        </w:tc>
        <w:tc>
          <w:tcPr>
            <w:tcW w:w="1596" w:type="pct"/>
            <w:gridSpan w:val="3"/>
            <w:tcBorders>
              <w:top w:val="single" w:color="auto" w:sz="4" w:space="0"/>
              <w:left w:val="single" w:color="auto" w:sz="4" w:space="0"/>
              <w:bottom w:val="single" w:color="auto" w:sz="4" w:space="0"/>
              <w:right w:val="single" w:color="auto" w:sz="4" w:space="0"/>
            </w:tcBorders>
            <w:vAlign w:val="center"/>
          </w:tcPr>
          <w:p w14:paraId="4B3ECA18">
            <w:pPr>
              <w:widowControl/>
              <w:snapToGrid w:val="0"/>
              <w:spacing w:beforeAutospacing="1" w:afterAutospacing="1" w:line="320" w:lineRule="atLeast"/>
              <w:ind w:firstLine="2"/>
              <w:jc w:val="center"/>
              <w:rPr>
                <w:rFonts w:ascii="宋体" w:hAnsi="宋体" w:cs="宋体"/>
                <w:color w:val="auto"/>
                <w:kern w:val="0"/>
                <w:szCs w:val="21"/>
                <w:highlight w:val="none"/>
              </w:rPr>
            </w:pPr>
          </w:p>
        </w:tc>
        <w:tc>
          <w:tcPr>
            <w:tcW w:w="807" w:type="pct"/>
            <w:tcBorders>
              <w:top w:val="single" w:color="auto" w:sz="4" w:space="0"/>
              <w:left w:val="single" w:color="auto" w:sz="4" w:space="0"/>
              <w:bottom w:val="single" w:color="auto" w:sz="4" w:space="0"/>
              <w:right w:val="single" w:color="auto" w:sz="4" w:space="0"/>
            </w:tcBorders>
            <w:vAlign w:val="center"/>
          </w:tcPr>
          <w:p w14:paraId="7B5C8AA0">
            <w:pPr>
              <w:widowControl/>
              <w:snapToGrid w:val="0"/>
              <w:spacing w:beforeAutospacing="1" w:afterAutospacing="1" w:line="320" w:lineRule="atLeast"/>
              <w:jc w:val="center"/>
              <w:rPr>
                <w:rFonts w:ascii="宋体" w:hAnsi="宋体" w:cs="宋体"/>
                <w:color w:val="auto"/>
                <w:kern w:val="0"/>
                <w:szCs w:val="21"/>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67191BE7">
            <w:pPr>
              <w:widowControl/>
              <w:snapToGrid w:val="0"/>
              <w:spacing w:beforeAutospacing="1" w:afterAutospacing="1" w:line="320" w:lineRule="atLeast"/>
              <w:ind w:firstLine="2"/>
              <w:jc w:val="center"/>
              <w:rPr>
                <w:rFonts w:ascii="宋体" w:hAnsi="宋体" w:cs="宋体"/>
                <w:color w:val="auto"/>
                <w:kern w:val="0"/>
                <w:szCs w:val="21"/>
                <w:highlight w:val="none"/>
              </w:rPr>
            </w:pPr>
          </w:p>
        </w:tc>
      </w:tr>
      <w:tr w14:paraId="1D117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9" w:type="pct"/>
            <w:gridSpan w:val="5"/>
            <w:tcBorders>
              <w:top w:val="single" w:color="auto" w:sz="4" w:space="0"/>
              <w:left w:val="single" w:color="auto" w:sz="4" w:space="0"/>
              <w:bottom w:val="single" w:color="auto" w:sz="4" w:space="0"/>
              <w:right w:val="single" w:color="auto" w:sz="4" w:space="0"/>
            </w:tcBorders>
            <w:vAlign w:val="center"/>
          </w:tcPr>
          <w:p w14:paraId="6366BD06">
            <w:pPr>
              <w:widowControl/>
              <w:snapToGrid w:val="0"/>
              <w:spacing w:beforeAutospacing="1"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w:t>
            </w:r>
          </w:p>
        </w:tc>
        <w:tc>
          <w:tcPr>
            <w:tcW w:w="807" w:type="pct"/>
            <w:tcBorders>
              <w:top w:val="single" w:color="auto" w:sz="4" w:space="0"/>
              <w:left w:val="single" w:color="auto" w:sz="4" w:space="0"/>
              <w:bottom w:val="single" w:color="auto" w:sz="4" w:space="0"/>
              <w:right w:val="single" w:color="auto" w:sz="4" w:space="0"/>
            </w:tcBorders>
            <w:vAlign w:val="center"/>
          </w:tcPr>
          <w:p w14:paraId="36A6B888">
            <w:pPr>
              <w:widowControl/>
              <w:snapToGrid w:val="0"/>
              <w:spacing w:beforeAutospacing="1" w:afterAutospacing="1" w:line="320" w:lineRule="atLeast"/>
              <w:jc w:val="center"/>
              <w:rPr>
                <w:rFonts w:ascii="宋体" w:hAnsi="宋体" w:cs="宋体"/>
                <w:color w:val="auto"/>
                <w:kern w:val="0"/>
                <w:szCs w:val="21"/>
                <w:highlight w:val="none"/>
              </w:rPr>
            </w:pPr>
          </w:p>
        </w:tc>
        <w:tc>
          <w:tcPr>
            <w:tcW w:w="773" w:type="pct"/>
            <w:tcBorders>
              <w:top w:val="single" w:color="auto" w:sz="4" w:space="0"/>
              <w:left w:val="single" w:color="auto" w:sz="4" w:space="0"/>
              <w:bottom w:val="single" w:color="auto" w:sz="4" w:space="0"/>
              <w:right w:val="single" w:color="auto" w:sz="4" w:space="0"/>
            </w:tcBorders>
            <w:vAlign w:val="center"/>
          </w:tcPr>
          <w:p w14:paraId="1A1C9255">
            <w:pPr>
              <w:widowControl/>
              <w:snapToGrid w:val="0"/>
              <w:spacing w:beforeAutospacing="1" w:afterAutospacing="1" w:line="320" w:lineRule="atLeast"/>
              <w:ind w:firstLine="2"/>
              <w:jc w:val="center"/>
              <w:rPr>
                <w:rFonts w:ascii="宋体" w:hAnsi="宋体" w:cs="宋体"/>
                <w:color w:val="auto"/>
                <w:kern w:val="0"/>
                <w:szCs w:val="21"/>
                <w:highlight w:val="none"/>
              </w:rPr>
            </w:pPr>
          </w:p>
        </w:tc>
      </w:tr>
      <w:tr w14:paraId="3A83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45B50040">
            <w:pPr>
              <w:widowControl/>
              <w:snapToGrid w:val="0"/>
              <w:spacing w:beforeAutospacing="1"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合计大写金额：仟佰拾万仟佰拾元</w:t>
            </w:r>
          </w:p>
        </w:tc>
      </w:tr>
      <w:tr w14:paraId="1B989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92" w:type="pct"/>
            <w:tcBorders>
              <w:top w:val="single" w:color="auto" w:sz="4" w:space="0"/>
              <w:left w:val="single" w:color="auto" w:sz="4" w:space="0"/>
              <w:bottom w:val="single" w:color="auto" w:sz="4" w:space="0"/>
              <w:right w:val="single" w:color="auto" w:sz="4" w:space="0"/>
            </w:tcBorders>
            <w:vAlign w:val="center"/>
          </w:tcPr>
          <w:p w14:paraId="2A72632A">
            <w:pPr>
              <w:widowControl/>
              <w:snapToGrid w:val="0"/>
              <w:spacing w:beforeAutospacing="1"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实际供货日期</w:t>
            </w:r>
          </w:p>
        </w:tc>
        <w:tc>
          <w:tcPr>
            <w:tcW w:w="1251" w:type="pct"/>
            <w:gridSpan w:val="2"/>
            <w:tcBorders>
              <w:top w:val="single" w:color="auto" w:sz="4" w:space="0"/>
              <w:left w:val="single" w:color="auto" w:sz="4" w:space="0"/>
              <w:bottom w:val="single" w:color="auto" w:sz="4" w:space="0"/>
              <w:right w:val="single" w:color="auto" w:sz="4" w:space="0"/>
            </w:tcBorders>
            <w:vAlign w:val="center"/>
          </w:tcPr>
          <w:p w14:paraId="431976D5">
            <w:pPr>
              <w:widowControl/>
              <w:snapToGrid w:val="0"/>
              <w:spacing w:beforeAutospacing="1" w:afterAutospacing="1" w:line="320" w:lineRule="atLeast"/>
              <w:ind w:firstLine="2"/>
              <w:jc w:val="center"/>
              <w:rPr>
                <w:rFonts w:ascii="宋体" w:hAnsi="宋体" w:cs="宋体"/>
                <w:color w:val="auto"/>
                <w:kern w:val="0"/>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70AFF8CE">
            <w:pPr>
              <w:widowControl/>
              <w:snapToGrid w:val="0"/>
              <w:spacing w:beforeAutospacing="1" w:afterAutospacing="1" w:line="320" w:lineRule="atLeast"/>
              <w:ind w:firstLine="2"/>
              <w:jc w:val="center"/>
              <w:rPr>
                <w:rFonts w:ascii="宋体" w:hAnsi="宋体" w:cs="宋体"/>
                <w:color w:val="auto"/>
                <w:kern w:val="0"/>
                <w:szCs w:val="21"/>
                <w:highlight w:val="none"/>
              </w:rPr>
            </w:pPr>
            <w:r>
              <w:rPr>
                <w:rFonts w:hint="eastAsia" w:ascii="宋体" w:hAnsi="宋体" w:cs="宋体"/>
                <w:color w:val="auto"/>
                <w:kern w:val="0"/>
                <w:szCs w:val="21"/>
                <w:highlight w:val="none"/>
              </w:rPr>
              <w:t>合同交货验收日期</w:t>
            </w:r>
          </w:p>
        </w:tc>
        <w:tc>
          <w:tcPr>
            <w:tcW w:w="1631" w:type="pct"/>
            <w:gridSpan w:val="3"/>
            <w:tcBorders>
              <w:top w:val="single" w:color="auto" w:sz="4" w:space="0"/>
              <w:left w:val="single" w:color="auto" w:sz="4" w:space="0"/>
              <w:bottom w:val="single" w:color="auto" w:sz="4" w:space="0"/>
              <w:right w:val="single" w:color="auto" w:sz="4" w:space="0"/>
            </w:tcBorders>
            <w:vAlign w:val="center"/>
          </w:tcPr>
          <w:p w14:paraId="54B8DAC0">
            <w:pPr>
              <w:widowControl/>
              <w:snapToGrid w:val="0"/>
              <w:spacing w:beforeAutospacing="1" w:afterAutospacing="1" w:line="320" w:lineRule="atLeast"/>
              <w:ind w:firstLine="2"/>
              <w:jc w:val="center"/>
              <w:rPr>
                <w:rFonts w:ascii="宋体" w:hAnsi="宋体" w:cs="宋体"/>
                <w:color w:val="auto"/>
                <w:kern w:val="0"/>
                <w:szCs w:val="21"/>
                <w:highlight w:val="none"/>
              </w:rPr>
            </w:pPr>
          </w:p>
        </w:tc>
      </w:tr>
      <w:tr w14:paraId="5BB5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92" w:type="pct"/>
            <w:tcBorders>
              <w:top w:val="single" w:color="auto" w:sz="4" w:space="0"/>
              <w:left w:val="single" w:color="auto" w:sz="4" w:space="0"/>
              <w:bottom w:val="single" w:color="auto" w:sz="4" w:space="0"/>
              <w:right w:val="single" w:color="auto" w:sz="4" w:space="0"/>
            </w:tcBorders>
            <w:vAlign w:val="center"/>
          </w:tcPr>
          <w:p w14:paraId="08F43F52">
            <w:pPr>
              <w:widowControl/>
              <w:snapToGrid w:val="0"/>
              <w:spacing w:beforeAutospacing="1" w:afterAutospacing="1" w:line="320" w:lineRule="atLeast"/>
              <w:ind w:firstLine="2"/>
              <w:jc w:val="left"/>
              <w:rPr>
                <w:rFonts w:ascii="宋体" w:hAnsi="宋体" w:cs="宋体"/>
                <w:color w:val="auto"/>
                <w:kern w:val="0"/>
                <w:szCs w:val="21"/>
                <w:highlight w:val="none"/>
              </w:rPr>
            </w:pPr>
          </w:p>
        </w:tc>
        <w:tc>
          <w:tcPr>
            <w:tcW w:w="1251" w:type="pct"/>
            <w:gridSpan w:val="2"/>
            <w:tcBorders>
              <w:top w:val="single" w:color="auto" w:sz="4" w:space="0"/>
              <w:left w:val="single" w:color="auto" w:sz="4" w:space="0"/>
              <w:bottom w:val="single" w:color="auto" w:sz="4" w:space="0"/>
              <w:right w:val="single" w:color="auto" w:sz="4" w:space="0"/>
            </w:tcBorders>
            <w:vAlign w:val="center"/>
          </w:tcPr>
          <w:p w14:paraId="464A89F1">
            <w:pPr>
              <w:widowControl/>
              <w:snapToGrid w:val="0"/>
              <w:spacing w:beforeAutospacing="1" w:afterAutospacing="1" w:line="320" w:lineRule="atLeast"/>
              <w:ind w:firstLine="2"/>
              <w:jc w:val="left"/>
              <w:rPr>
                <w:rFonts w:ascii="宋体" w:hAnsi="宋体" w:cs="宋体"/>
                <w:color w:val="auto"/>
                <w:kern w:val="0"/>
                <w:szCs w:val="21"/>
                <w:highlight w:val="none"/>
              </w:rPr>
            </w:pPr>
          </w:p>
        </w:tc>
        <w:tc>
          <w:tcPr>
            <w:tcW w:w="1324" w:type="pct"/>
            <w:tcBorders>
              <w:top w:val="single" w:color="auto" w:sz="4" w:space="0"/>
              <w:left w:val="single" w:color="auto" w:sz="4" w:space="0"/>
              <w:bottom w:val="single" w:color="auto" w:sz="4" w:space="0"/>
              <w:right w:val="single" w:color="auto" w:sz="4" w:space="0"/>
            </w:tcBorders>
            <w:vAlign w:val="center"/>
          </w:tcPr>
          <w:p w14:paraId="7B0FFD7C">
            <w:pPr>
              <w:widowControl/>
              <w:snapToGrid w:val="0"/>
              <w:spacing w:beforeAutospacing="1" w:afterAutospacing="1" w:line="320" w:lineRule="atLeast"/>
              <w:ind w:firstLine="2"/>
              <w:jc w:val="left"/>
              <w:rPr>
                <w:rFonts w:ascii="宋体" w:hAnsi="宋体" w:cs="宋体"/>
                <w:color w:val="auto"/>
                <w:kern w:val="0"/>
                <w:szCs w:val="21"/>
                <w:highlight w:val="none"/>
              </w:rPr>
            </w:pPr>
          </w:p>
        </w:tc>
        <w:tc>
          <w:tcPr>
            <w:tcW w:w="1631" w:type="pct"/>
            <w:gridSpan w:val="3"/>
            <w:tcBorders>
              <w:top w:val="single" w:color="auto" w:sz="4" w:space="0"/>
              <w:left w:val="single" w:color="auto" w:sz="4" w:space="0"/>
              <w:bottom w:val="single" w:color="auto" w:sz="4" w:space="0"/>
              <w:right w:val="single" w:color="auto" w:sz="4" w:space="0"/>
            </w:tcBorders>
            <w:vAlign w:val="center"/>
          </w:tcPr>
          <w:p w14:paraId="68CF43D9">
            <w:pPr>
              <w:widowControl/>
              <w:snapToGrid w:val="0"/>
              <w:spacing w:beforeAutospacing="1" w:afterAutospacing="1" w:line="320" w:lineRule="atLeast"/>
              <w:ind w:firstLine="2"/>
              <w:jc w:val="left"/>
              <w:rPr>
                <w:rFonts w:ascii="宋体" w:hAnsi="宋体" w:cs="宋体"/>
                <w:color w:val="auto"/>
                <w:kern w:val="0"/>
                <w:szCs w:val="21"/>
                <w:highlight w:val="none"/>
              </w:rPr>
            </w:pPr>
          </w:p>
        </w:tc>
      </w:tr>
      <w:tr w14:paraId="6ACBC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792" w:type="pct"/>
            <w:tcBorders>
              <w:top w:val="single" w:color="auto" w:sz="4" w:space="0"/>
              <w:left w:val="single" w:color="auto" w:sz="4" w:space="0"/>
              <w:bottom w:val="single" w:color="auto" w:sz="4" w:space="0"/>
              <w:right w:val="single" w:color="auto" w:sz="4" w:space="0"/>
            </w:tcBorders>
            <w:vAlign w:val="center"/>
          </w:tcPr>
          <w:p w14:paraId="04C9E329">
            <w:pPr>
              <w:widowControl/>
              <w:snapToGrid w:val="0"/>
              <w:spacing w:beforeAutospacing="1"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验收具体内容</w:t>
            </w:r>
          </w:p>
        </w:tc>
        <w:tc>
          <w:tcPr>
            <w:tcW w:w="4207" w:type="pct"/>
            <w:gridSpan w:val="6"/>
            <w:tcBorders>
              <w:top w:val="single" w:color="auto" w:sz="4" w:space="0"/>
              <w:left w:val="single" w:color="auto" w:sz="4" w:space="0"/>
              <w:bottom w:val="single" w:color="auto" w:sz="4" w:space="0"/>
              <w:right w:val="single" w:color="auto" w:sz="4" w:space="0"/>
            </w:tcBorders>
            <w:vAlign w:val="center"/>
          </w:tcPr>
          <w:p w14:paraId="36568B5C">
            <w:pPr>
              <w:widowControl/>
              <w:snapToGrid w:val="0"/>
              <w:spacing w:beforeAutospacing="1"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7BA66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792" w:type="pct"/>
            <w:vMerge w:val="restart"/>
            <w:tcBorders>
              <w:top w:val="single" w:color="auto" w:sz="4" w:space="0"/>
              <w:left w:val="single" w:color="auto" w:sz="4" w:space="0"/>
              <w:bottom w:val="single" w:color="auto" w:sz="4" w:space="0"/>
              <w:right w:val="single" w:color="auto" w:sz="4" w:space="0"/>
            </w:tcBorders>
            <w:vAlign w:val="center"/>
          </w:tcPr>
          <w:p w14:paraId="744E99AB">
            <w:pPr>
              <w:widowControl/>
              <w:snapToGrid w:val="0"/>
              <w:spacing w:beforeAutospacing="1" w:afterAutospacing="1" w:line="320" w:lineRule="atLeast"/>
              <w:ind w:firstLine="2"/>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验收小组意见</w:t>
            </w:r>
          </w:p>
        </w:tc>
        <w:tc>
          <w:tcPr>
            <w:tcW w:w="4207" w:type="pct"/>
            <w:gridSpan w:val="6"/>
            <w:tcBorders>
              <w:top w:val="single" w:color="auto" w:sz="4" w:space="0"/>
              <w:left w:val="single" w:color="auto" w:sz="4" w:space="0"/>
              <w:bottom w:val="single" w:color="auto" w:sz="4" w:space="0"/>
              <w:right w:val="single" w:color="auto" w:sz="4" w:space="0"/>
            </w:tcBorders>
            <w:vAlign w:val="center"/>
          </w:tcPr>
          <w:p w14:paraId="18F1FCB8">
            <w:pPr>
              <w:widowControl/>
              <w:snapToGrid w:val="0"/>
              <w:spacing w:beforeAutospacing="1"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验收结论性意见：</w:t>
            </w:r>
          </w:p>
          <w:p w14:paraId="394C8CED">
            <w:pPr>
              <w:widowControl/>
              <w:snapToGrid w:val="0"/>
              <w:spacing w:beforeAutospacing="1" w:afterAutospacing="1" w:line="320" w:lineRule="atLeast"/>
              <w:jc w:val="left"/>
              <w:rPr>
                <w:rFonts w:ascii="宋体" w:hAnsi="宋体" w:cs="宋体"/>
                <w:color w:val="auto"/>
                <w:kern w:val="0"/>
                <w:szCs w:val="21"/>
                <w:highlight w:val="none"/>
              </w:rPr>
            </w:pPr>
          </w:p>
        </w:tc>
      </w:tr>
      <w:tr w14:paraId="52F7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2" w:type="pct"/>
            <w:vMerge w:val="continue"/>
            <w:tcBorders>
              <w:top w:val="single" w:color="auto" w:sz="4" w:space="0"/>
              <w:left w:val="single" w:color="auto" w:sz="4" w:space="0"/>
              <w:bottom w:val="single" w:color="auto" w:sz="4" w:space="0"/>
              <w:right w:val="single" w:color="auto" w:sz="4" w:space="0"/>
            </w:tcBorders>
            <w:vAlign w:val="center"/>
          </w:tcPr>
          <w:p w14:paraId="5478DBA2">
            <w:pPr>
              <w:rPr>
                <w:color w:val="auto"/>
                <w:sz w:val="20"/>
                <w:szCs w:val="20"/>
                <w:highlight w:val="none"/>
              </w:rPr>
            </w:pPr>
          </w:p>
        </w:tc>
        <w:tc>
          <w:tcPr>
            <w:tcW w:w="4207" w:type="pct"/>
            <w:gridSpan w:val="6"/>
            <w:tcBorders>
              <w:top w:val="single" w:color="auto" w:sz="4" w:space="0"/>
              <w:left w:val="single" w:color="auto" w:sz="4" w:space="0"/>
              <w:bottom w:val="single" w:color="auto" w:sz="4" w:space="0"/>
              <w:right w:val="single" w:color="auto" w:sz="4" w:space="0"/>
            </w:tcBorders>
            <w:vAlign w:val="center"/>
          </w:tcPr>
          <w:p w14:paraId="07EB4C42">
            <w:pPr>
              <w:widowControl/>
              <w:spacing w:beforeAutospacing="1"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有异议的意见和说明理由：</w:t>
            </w:r>
          </w:p>
          <w:p w14:paraId="6E477AFA">
            <w:pPr>
              <w:widowControl/>
              <w:snapToGrid w:val="0"/>
              <w:spacing w:beforeAutospacing="1"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签字：</w:t>
            </w:r>
          </w:p>
        </w:tc>
      </w:tr>
      <w:tr w14:paraId="591EF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5A8398C5">
            <w:pPr>
              <w:widowControl/>
              <w:snapToGrid w:val="0"/>
              <w:spacing w:beforeAutospacing="1"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验收小组成员签字：</w:t>
            </w:r>
          </w:p>
        </w:tc>
      </w:tr>
      <w:tr w14:paraId="2162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1A82D68A">
            <w:pPr>
              <w:widowControl/>
              <w:spacing w:beforeAutospacing="1"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监督人员或其他相关人员签字：</w:t>
            </w:r>
          </w:p>
          <w:p w14:paraId="78EEC3AB">
            <w:pPr>
              <w:widowControl/>
              <w:spacing w:beforeAutospacing="1"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或受邀机构的意见（盖章）：</w:t>
            </w:r>
          </w:p>
        </w:tc>
      </w:tr>
      <w:tr w14:paraId="5E6F8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5000" w:type="pct"/>
            <w:gridSpan w:val="7"/>
            <w:tcBorders>
              <w:top w:val="single" w:color="auto" w:sz="4" w:space="0"/>
              <w:left w:val="single" w:color="auto" w:sz="4" w:space="0"/>
              <w:bottom w:val="single" w:color="auto" w:sz="4" w:space="0"/>
              <w:right w:val="single" w:color="auto" w:sz="4" w:space="0"/>
            </w:tcBorders>
            <w:vAlign w:val="center"/>
          </w:tcPr>
          <w:p w14:paraId="280FAD3C">
            <w:pPr>
              <w:widowControl/>
              <w:spacing w:beforeAutospacing="1"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中标或者成交供应商负责人签字或盖章：采购人或受托机构的意见（盖章）：</w:t>
            </w:r>
          </w:p>
          <w:p w14:paraId="35D1DFEA">
            <w:pPr>
              <w:widowControl/>
              <w:spacing w:beforeAutospacing="1" w:afterAutospacing="1" w:line="320" w:lineRule="atLeast"/>
              <w:jc w:val="left"/>
              <w:rPr>
                <w:rFonts w:ascii="宋体" w:hAnsi="宋体" w:cs="宋体"/>
                <w:color w:val="auto"/>
                <w:kern w:val="0"/>
                <w:szCs w:val="21"/>
                <w:highlight w:val="none"/>
              </w:rPr>
            </w:pPr>
            <w:r>
              <w:rPr>
                <w:rFonts w:hint="eastAsia" w:ascii="宋体" w:hAnsi="宋体" w:cs="宋体"/>
                <w:color w:val="auto"/>
                <w:kern w:val="0"/>
                <w:szCs w:val="21"/>
                <w:highlight w:val="none"/>
              </w:rPr>
              <w:t>联系电话：   年   月   日     联系电话：   年   月   日</w:t>
            </w:r>
          </w:p>
        </w:tc>
      </w:tr>
    </w:tbl>
    <w:p w14:paraId="62353DB2">
      <w:pPr>
        <w:rPr>
          <w:color w:val="auto"/>
          <w:highlight w:val="none"/>
        </w:rPr>
      </w:pPr>
    </w:p>
    <w:p w14:paraId="25447FF4">
      <w:pPr>
        <w:jc w:val="left"/>
        <w:rPr>
          <w:rFonts w:hAnsi="宋体"/>
          <w:color w:val="auto"/>
          <w:sz w:val="28"/>
          <w:szCs w:val="28"/>
          <w:highlight w:val="none"/>
        </w:rPr>
      </w:pPr>
      <w:r>
        <w:rPr>
          <w:rFonts w:hint="eastAsia"/>
          <w:color w:val="auto"/>
          <w:highlight w:val="none"/>
        </w:rPr>
        <w:br w:type="page"/>
      </w:r>
      <w:r>
        <w:rPr>
          <w:rFonts w:hint="eastAsia" w:hAnsi="宋体"/>
          <w:color w:val="auto"/>
          <w:sz w:val="28"/>
          <w:szCs w:val="28"/>
          <w:highlight w:val="none"/>
        </w:rPr>
        <w:t>附表2：</w:t>
      </w:r>
    </w:p>
    <w:p w14:paraId="7488C775">
      <w:pPr>
        <w:jc w:val="center"/>
        <w:rPr>
          <w:rFonts w:ascii="黑体" w:hAnsi="黑体" w:eastAsia="黑体"/>
          <w:color w:val="auto"/>
          <w:sz w:val="32"/>
          <w:szCs w:val="32"/>
          <w:highlight w:val="none"/>
        </w:rPr>
      </w:pPr>
    </w:p>
    <w:p w14:paraId="6131E9D4">
      <w:pPr>
        <w:jc w:val="center"/>
        <w:rPr>
          <w:rFonts w:ascii="黑体" w:hAnsi="黑体" w:eastAsia="黑体"/>
          <w:color w:val="auto"/>
          <w:sz w:val="32"/>
          <w:szCs w:val="32"/>
          <w:highlight w:val="none"/>
        </w:rPr>
      </w:pPr>
      <w:r>
        <w:rPr>
          <w:rFonts w:hint="eastAsia" w:ascii="黑体" w:hAnsi="黑体" w:eastAsia="黑体"/>
          <w:color w:val="auto"/>
          <w:sz w:val="32"/>
          <w:szCs w:val="32"/>
          <w:highlight w:val="none"/>
        </w:rPr>
        <w:t>政府采购项目履约保证金退付意见书（参考）</w:t>
      </w:r>
    </w:p>
    <w:p w14:paraId="529408A1">
      <w:pPr>
        <w:jc w:val="center"/>
        <w:rPr>
          <w:rFonts w:ascii="黑体" w:hAnsi="黑体" w:eastAsia="黑体"/>
          <w:color w:val="auto"/>
          <w:sz w:val="36"/>
          <w:szCs w:val="36"/>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1BE9A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1008" w:type="dxa"/>
            <w:vMerge w:val="restart"/>
            <w:vAlign w:val="center"/>
          </w:tcPr>
          <w:p w14:paraId="0CA3F9A4">
            <w:pPr>
              <w:jc w:val="center"/>
              <w:rPr>
                <w:color w:val="auto"/>
                <w:sz w:val="24"/>
                <w:highlight w:val="none"/>
              </w:rPr>
            </w:pPr>
            <w:r>
              <w:rPr>
                <w:rFonts w:hint="eastAsia"/>
                <w:color w:val="auto"/>
                <w:sz w:val="24"/>
                <w:highlight w:val="none"/>
              </w:rPr>
              <w:t>供</w:t>
            </w:r>
          </w:p>
          <w:p w14:paraId="6127A129">
            <w:pPr>
              <w:jc w:val="center"/>
              <w:rPr>
                <w:color w:val="auto"/>
                <w:sz w:val="24"/>
                <w:highlight w:val="none"/>
              </w:rPr>
            </w:pPr>
            <w:r>
              <w:rPr>
                <w:rFonts w:hint="eastAsia"/>
                <w:color w:val="auto"/>
                <w:sz w:val="24"/>
                <w:highlight w:val="none"/>
              </w:rPr>
              <w:t>应</w:t>
            </w:r>
          </w:p>
          <w:p w14:paraId="173315D8">
            <w:pPr>
              <w:jc w:val="center"/>
              <w:rPr>
                <w:color w:val="auto"/>
                <w:sz w:val="24"/>
                <w:highlight w:val="none"/>
              </w:rPr>
            </w:pPr>
            <w:r>
              <w:rPr>
                <w:rFonts w:hint="eastAsia"/>
                <w:color w:val="auto"/>
                <w:sz w:val="24"/>
                <w:highlight w:val="none"/>
              </w:rPr>
              <w:t>商</w:t>
            </w:r>
          </w:p>
          <w:p w14:paraId="7ED0E660">
            <w:pPr>
              <w:jc w:val="center"/>
              <w:rPr>
                <w:color w:val="auto"/>
                <w:sz w:val="24"/>
                <w:highlight w:val="none"/>
              </w:rPr>
            </w:pPr>
            <w:r>
              <w:rPr>
                <w:rFonts w:hint="eastAsia"/>
                <w:color w:val="auto"/>
                <w:sz w:val="24"/>
                <w:highlight w:val="none"/>
              </w:rPr>
              <w:t>申</w:t>
            </w:r>
          </w:p>
          <w:p w14:paraId="36441438">
            <w:pPr>
              <w:jc w:val="center"/>
              <w:rPr>
                <w:color w:val="auto"/>
                <w:sz w:val="24"/>
                <w:highlight w:val="none"/>
              </w:rPr>
            </w:pPr>
            <w:r>
              <w:rPr>
                <w:rFonts w:hint="eastAsia"/>
                <w:color w:val="auto"/>
                <w:sz w:val="24"/>
                <w:highlight w:val="none"/>
              </w:rPr>
              <w:t>请</w:t>
            </w:r>
          </w:p>
        </w:tc>
        <w:tc>
          <w:tcPr>
            <w:tcW w:w="8456" w:type="dxa"/>
            <w:vAlign w:val="center"/>
          </w:tcPr>
          <w:p w14:paraId="3C4C337D">
            <w:pPr>
              <w:rPr>
                <w:color w:val="auto"/>
                <w:sz w:val="24"/>
                <w:highlight w:val="none"/>
              </w:rPr>
            </w:pPr>
            <w:r>
              <w:rPr>
                <w:rFonts w:hint="eastAsia"/>
                <w:color w:val="auto"/>
                <w:sz w:val="24"/>
                <w:highlight w:val="none"/>
              </w:rPr>
              <w:t>项目编号：</w:t>
            </w:r>
          </w:p>
        </w:tc>
      </w:tr>
      <w:tr w14:paraId="3648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08" w:type="dxa"/>
            <w:vMerge w:val="continue"/>
            <w:vAlign w:val="center"/>
          </w:tcPr>
          <w:p w14:paraId="5887FF15">
            <w:pPr>
              <w:rPr>
                <w:color w:val="auto"/>
                <w:sz w:val="24"/>
                <w:highlight w:val="none"/>
              </w:rPr>
            </w:pPr>
          </w:p>
        </w:tc>
        <w:tc>
          <w:tcPr>
            <w:tcW w:w="8456" w:type="dxa"/>
            <w:vAlign w:val="center"/>
          </w:tcPr>
          <w:p w14:paraId="1A01EBB7">
            <w:pPr>
              <w:rPr>
                <w:color w:val="auto"/>
                <w:sz w:val="24"/>
                <w:highlight w:val="none"/>
              </w:rPr>
            </w:pPr>
            <w:r>
              <w:rPr>
                <w:rFonts w:hint="eastAsia"/>
                <w:color w:val="auto"/>
                <w:sz w:val="24"/>
                <w:highlight w:val="none"/>
              </w:rPr>
              <w:t>项目名称：</w:t>
            </w:r>
          </w:p>
        </w:tc>
      </w:tr>
      <w:tr w14:paraId="57A4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tcPr>
          <w:p w14:paraId="76D96B44">
            <w:pPr>
              <w:rPr>
                <w:color w:val="auto"/>
                <w:sz w:val="24"/>
                <w:highlight w:val="none"/>
              </w:rPr>
            </w:pPr>
          </w:p>
        </w:tc>
        <w:tc>
          <w:tcPr>
            <w:tcW w:w="8456" w:type="dxa"/>
          </w:tcPr>
          <w:p w14:paraId="1B9D5ACC">
            <w:pPr>
              <w:rPr>
                <w:color w:val="auto"/>
                <w:sz w:val="24"/>
                <w:highlight w:val="none"/>
              </w:rPr>
            </w:pPr>
            <w:r>
              <w:rPr>
                <w:rFonts w:hint="eastAsia"/>
                <w:color w:val="auto"/>
                <w:sz w:val="24"/>
                <w:highlight w:val="none"/>
              </w:rPr>
              <w:t xml:space="preserve">  </w:t>
            </w:r>
          </w:p>
          <w:p w14:paraId="3B53D165">
            <w:pPr>
              <w:spacing w:line="400" w:lineRule="exact"/>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5C881AA3">
            <w:pPr>
              <w:spacing w:line="400" w:lineRule="exact"/>
              <w:rPr>
                <w:color w:val="auto"/>
                <w:sz w:val="24"/>
                <w:highlight w:val="none"/>
              </w:rPr>
            </w:pP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（小写）退付到达以下帐户。</w:t>
            </w:r>
          </w:p>
          <w:p w14:paraId="351A4B73">
            <w:pPr>
              <w:spacing w:line="400" w:lineRule="exact"/>
              <w:ind w:firstLine="705"/>
              <w:rPr>
                <w:color w:val="auto"/>
                <w:sz w:val="24"/>
                <w:highlight w:val="none"/>
              </w:rPr>
            </w:pPr>
            <w:r>
              <w:rPr>
                <w:rFonts w:hint="eastAsia"/>
                <w:color w:val="auto"/>
                <w:sz w:val="24"/>
                <w:highlight w:val="none"/>
              </w:rPr>
              <w:t>单位名称：</w:t>
            </w:r>
          </w:p>
          <w:p w14:paraId="11875786">
            <w:pPr>
              <w:spacing w:line="400" w:lineRule="exact"/>
              <w:ind w:firstLine="705"/>
              <w:rPr>
                <w:color w:val="auto"/>
                <w:sz w:val="24"/>
                <w:highlight w:val="none"/>
              </w:rPr>
            </w:pPr>
            <w:r>
              <w:rPr>
                <w:rFonts w:hint="eastAsia"/>
                <w:color w:val="auto"/>
                <w:sz w:val="24"/>
                <w:highlight w:val="none"/>
              </w:rPr>
              <w:t>开户银行：</w:t>
            </w:r>
          </w:p>
          <w:p w14:paraId="523B0D84">
            <w:pPr>
              <w:spacing w:line="400" w:lineRule="exact"/>
              <w:ind w:firstLine="705"/>
              <w:rPr>
                <w:color w:val="auto"/>
                <w:sz w:val="24"/>
                <w:highlight w:val="none"/>
              </w:rPr>
            </w:pPr>
            <w:r>
              <w:rPr>
                <w:rFonts w:hint="eastAsia"/>
                <w:color w:val="auto"/>
                <w:sz w:val="24"/>
                <w:highlight w:val="none"/>
              </w:rPr>
              <w:t>帐   号：</w:t>
            </w:r>
          </w:p>
          <w:p w14:paraId="6CBD3E5F">
            <w:pPr>
              <w:spacing w:line="400" w:lineRule="exact"/>
              <w:rPr>
                <w:color w:val="auto"/>
                <w:sz w:val="24"/>
                <w:highlight w:val="none"/>
              </w:rPr>
            </w:pPr>
            <w:r>
              <w:rPr>
                <w:rFonts w:hint="eastAsia"/>
                <w:color w:val="auto"/>
                <w:sz w:val="24"/>
                <w:highlight w:val="none"/>
              </w:rPr>
              <w:t>联系人及电话：</w:t>
            </w:r>
          </w:p>
          <w:p w14:paraId="1E272C7F">
            <w:pPr>
              <w:spacing w:line="400" w:lineRule="exact"/>
              <w:rPr>
                <w:color w:val="auto"/>
                <w:sz w:val="24"/>
                <w:highlight w:val="none"/>
              </w:rPr>
            </w:pPr>
          </w:p>
          <w:p w14:paraId="797167D9">
            <w:pPr>
              <w:spacing w:line="520" w:lineRule="exact"/>
              <w:jc w:val="center"/>
              <w:rPr>
                <w:color w:val="auto"/>
                <w:sz w:val="24"/>
                <w:highlight w:val="none"/>
              </w:rPr>
            </w:pPr>
            <w:r>
              <w:rPr>
                <w:rFonts w:hint="eastAsia"/>
                <w:color w:val="auto"/>
                <w:sz w:val="24"/>
                <w:highlight w:val="none"/>
              </w:rPr>
              <w:t xml:space="preserve">         供应商签章：</w:t>
            </w:r>
          </w:p>
          <w:p w14:paraId="490A1583">
            <w:pPr>
              <w:spacing w:line="520" w:lineRule="exact"/>
              <w:jc w:val="center"/>
              <w:rPr>
                <w:color w:val="auto"/>
                <w:sz w:val="24"/>
                <w:highlight w:val="none"/>
              </w:rPr>
            </w:pPr>
            <w:r>
              <w:rPr>
                <w:rFonts w:hint="eastAsia"/>
                <w:color w:val="auto"/>
                <w:sz w:val="24"/>
                <w:highlight w:val="none"/>
              </w:rPr>
              <w:t xml:space="preserve">                           年    月     日</w:t>
            </w:r>
          </w:p>
        </w:tc>
      </w:tr>
      <w:tr w14:paraId="2C440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1008" w:type="dxa"/>
            <w:vAlign w:val="center"/>
          </w:tcPr>
          <w:p w14:paraId="2D9F0326">
            <w:pPr>
              <w:jc w:val="center"/>
              <w:rPr>
                <w:color w:val="auto"/>
                <w:sz w:val="24"/>
                <w:highlight w:val="none"/>
              </w:rPr>
            </w:pPr>
            <w:r>
              <w:rPr>
                <w:rFonts w:hint="eastAsia"/>
                <w:color w:val="auto"/>
                <w:sz w:val="24"/>
                <w:highlight w:val="none"/>
              </w:rPr>
              <w:t>采</w:t>
            </w:r>
          </w:p>
          <w:p w14:paraId="7CE58B03">
            <w:pPr>
              <w:jc w:val="center"/>
              <w:rPr>
                <w:color w:val="auto"/>
                <w:sz w:val="24"/>
                <w:highlight w:val="none"/>
              </w:rPr>
            </w:pPr>
            <w:r>
              <w:rPr>
                <w:rFonts w:hint="eastAsia"/>
                <w:color w:val="auto"/>
                <w:sz w:val="24"/>
                <w:highlight w:val="none"/>
              </w:rPr>
              <w:t>购</w:t>
            </w:r>
          </w:p>
          <w:p w14:paraId="6A49B08D">
            <w:pPr>
              <w:jc w:val="center"/>
              <w:rPr>
                <w:color w:val="auto"/>
                <w:sz w:val="24"/>
                <w:highlight w:val="none"/>
              </w:rPr>
            </w:pPr>
            <w:r>
              <w:rPr>
                <w:rFonts w:hint="eastAsia"/>
                <w:color w:val="auto"/>
                <w:sz w:val="24"/>
                <w:highlight w:val="none"/>
              </w:rPr>
              <w:t>人</w:t>
            </w:r>
          </w:p>
          <w:p w14:paraId="0C919D87">
            <w:pPr>
              <w:jc w:val="center"/>
              <w:rPr>
                <w:color w:val="auto"/>
                <w:sz w:val="24"/>
                <w:highlight w:val="none"/>
              </w:rPr>
            </w:pPr>
            <w:r>
              <w:rPr>
                <w:rFonts w:hint="eastAsia"/>
                <w:color w:val="auto"/>
                <w:sz w:val="24"/>
                <w:highlight w:val="none"/>
              </w:rPr>
              <w:t>意</w:t>
            </w:r>
          </w:p>
          <w:p w14:paraId="1165F73C">
            <w:pPr>
              <w:jc w:val="center"/>
              <w:rPr>
                <w:color w:val="auto"/>
                <w:sz w:val="24"/>
                <w:highlight w:val="none"/>
              </w:rPr>
            </w:pPr>
            <w:r>
              <w:rPr>
                <w:rFonts w:hint="eastAsia"/>
                <w:color w:val="auto"/>
                <w:sz w:val="24"/>
                <w:highlight w:val="none"/>
              </w:rPr>
              <w:t>见</w:t>
            </w:r>
          </w:p>
        </w:tc>
        <w:tc>
          <w:tcPr>
            <w:tcW w:w="8456" w:type="dxa"/>
          </w:tcPr>
          <w:p w14:paraId="62A3EB16">
            <w:pPr>
              <w:rPr>
                <w:color w:val="auto"/>
                <w:sz w:val="24"/>
                <w:highlight w:val="none"/>
              </w:rPr>
            </w:pPr>
          </w:p>
          <w:p w14:paraId="150E7C27">
            <w:pPr>
              <w:rPr>
                <w:color w:val="auto"/>
                <w:sz w:val="24"/>
                <w:highlight w:val="none"/>
              </w:rPr>
            </w:pPr>
            <w:r>
              <w:rPr>
                <w:rFonts w:hint="eastAsia"/>
                <w:color w:val="auto"/>
                <w:sz w:val="24"/>
                <w:highlight w:val="none"/>
              </w:rPr>
              <w:t>退付意见：（是否同意退付履约保证金及退付金额）</w:t>
            </w:r>
          </w:p>
          <w:p w14:paraId="7A943E85">
            <w:pPr>
              <w:rPr>
                <w:color w:val="auto"/>
                <w:sz w:val="24"/>
                <w:highlight w:val="none"/>
              </w:rPr>
            </w:pPr>
          </w:p>
          <w:p w14:paraId="052663CB">
            <w:pPr>
              <w:rPr>
                <w:color w:val="auto"/>
                <w:sz w:val="24"/>
                <w:highlight w:val="none"/>
              </w:rPr>
            </w:pPr>
          </w:p>
          <w:p w14:paraId="5B292163">
            <w:pPr>
              <w:rPr>
                <w:color w:val="auto"/>
                <w:sz w:val="24"/>
                <w:highlight w:val="none"/>
              </w:rPr>
            </w:pPr>
          </w:p>
          <w:p w14:paraId="5CA9E28E">
            <w:pPr>
              <w:rPr>
                <w:color w:val="auto"/>
                <w:sz w:val="24"/>
                <w:highlight w:val="none"/>
              </w:rPr>
            </w:pPr>
          </w:p>
          <w:p w14:paraId="1191323E">
            <w:pPr>
              <w:rPr>
                <w:color w:val="auto"/>
                <w:sz w:val="24"/>
                <w:highlight w:val="none"/>
              </w:rPr>
            </w:pPr>
          </w:p>
          <w:p w14:paraId="47F9EDCE">
            <w:pPr>
              <w:spacing w:line="520" w:lineRule="exact"/>
              <w:rPr>
                <w:color w:val="auto"/>
                <w:sz w:val="24"/>
                <w:highlight w:val="none"/>
              </w:rPr>
            </w:pPr>
            <w:r>
              <w:rPr>
                <w:rFonts w:hint="eastAsia"/>
                <w:color w:val="auto"/>
                <w:sz w:val="24"/>
                <w:highlight w:val="none"/>
              </w:rPr>
              <w:t>联系人及电话：                         采购人签章</w:t>
            </w:r>
          </w:p>
          <w:p w14:paraId="6B95A8D2">
            <w:pPr>
              <w:spacing w:line="520" w:lineRule="exact"/>
              <w:jc w:val="center"/>
              <w:rPr>
                <w:color w:val="auto"/>
                <w:sz w:val="24"/>
                <w:highlight w:val="none"/>
              </w:rPr>
            </w:pPr>
            <w:r>
              <w:rPr>
                <w:rFonts w:hint="eastAsia"/>
                <w:color w:val="auto"/>
                <w:sz w:val="24"/>
                <w:highlight w:val="none"/>
              </w:rPr>
              <w:t xml:space="preserve">                                        年    月     日</w:t>
            </w:r>
          </w:p>
          <w:p w14:paraId="21A82584">
            <w:pPr>
              <w:spacing w:line="520" w:lineRule="exact"/>
              <w:jc w:val="center"/>
              <w:rPr>
                <w:color w:val="auto"/>
                <w:sz w:val="24"/>
                <w:highlight w:val="none"/>
              </w:rPr>
            </w:pPr>
          </w:p>
        </w:tc>
      </w:tr>
    </w:tbl>
    <w:p w14:paraId="54929E14">
      <w:pPr>
        <w:snapToGrid w:val="0"/>
        <w:spacing w:before="120" w:after="120"/>
        <w:rPr>
          <w:rFonts w:ascii="宋体" w:hAnsi="宋体"/>
          <w:color w:val="auto"/>
          <w:kern w:val="0"/>
          <w:szCs w:val="21"/>
          <w:highlight w:val="none"/>
        </w:rPr>
      </w:pPr>
      <w:r>
        <w:rPr>
          <w:rFonts w:hint="eastAsia" w:ascii="宋体" w:hAnsi="Courier New"/>
          <w:b/>
          <w:bCs/>
          <w:color w:val="auto"/>
          <w:kern w:val="0"/>
          <w:szCs w:val="21"/>
          <w:highlight w:val="none"/>
        </w:rPr>
        <w:t>注：供应商凭经采购人审批的退付意见书到保证金收取单位办理履约保证金退付事宜。</w:t>
      </w:r>
    </w:p>
    <w:p w14:paraId="293DED0A">
      <w:pPr>
        <w:snapToGrid w:val="0"/>
        <w:spacing w:line="360" w:lineRule="auto"/>
        <w:rPr>
          <w:rFonts w:ascii="宋体" w:hAnsi="宋体" w:cs="宋体"/>
          <w:b/>
          <w:color w:val="auto"/>
          <w:szCs w:val="21"/>
          <w:highlight w:val="none"/>
        </w:rPr>
      </w:pPr>
    </w:p>
    <w:sectPr>
      <w:footerReference r:id="rId8" w:type="first"/>
      <w:headerReference r:id="rId6" w:type="default"/>
      <w:footerReference r:id="rId7" w:type="default"/>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D57237F-8DD5-4F90-9025-D0D8D3362E0B}"/>
  </w:font>
  <w:font w:name="黑体">
    <w:panose1 w:val="02010609060101010101"/>
    <w:charset w:val="86"/>
    <w:family w:val="auto"/>
    <w:pitch w:val="default"/>
    <w:sig w:usb0="800002BF" w:usb1="38CF7CFA" w:usb2="00000016" w:usb3="00000000" w:csb0="00040001" w:csb1="00000000"/>
    <w:embedRegular r:id="rId2" w:fontKey="{0ED6081E-7E40-46A5-A28B-A6A3798000E5}"/>
  </w:font>
  <w:font w:name="Courier New">
    <w:panose1 w:val="02070309020205020404"/>
    <w:charset w:val="01"/>
    <w:family w:val="modern"/>
    <w:pitch w:val="default"/>
    <w:sig w:usb0="E0002EFF" w:usb1="C0007843" w:usb2="00000009" w:usb3="00000000" w:csb0="400001FF" w:csb1="FFFF0000"/>
    <w:embedRegular r:id="rId3" w:fontKey="{09A62523-39F8-491B-A05A-4E223F97A8A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4" w:fontKey="{69D68EDC-982C-4C54-ABB9-1DC4F616C0F7}"/>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2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embedRegular r:id="rId5" w:fontKey="{3ACC91CE-E8BE-487D-A014-DCB45F857761}"/>
  </w:font>
  <w:font w:name="等线">
    <w:panose1 w:val="02010600030101010101"/>
    <w:charset w:val="86"/>
    <w:family w:val="auto"/>
    <w:pitch w:val="default"/>
    <w:sig w:usb0="A00002BF" w:usb1="38CF7CFA" w:usb2="00000016" w:usb3="00000000" w:csb0="0004000F" w:csb1="00000000"/>
    <w:embedRegular r:id="rId6" w:fontKey="{1A2753B1-D742-4B5D-994A-651DB2DB432D}"/>
  </w:font>
  <w:font w:name="方正黑体_GBK">
    <w:panose1 w:val="02000000000000000000"/>
    <w:charset w:val="86"/>
    <w:family w:val="auto"/>
    <w:pitch w:val="default"/>
    <w:sig w:usb0="A00002BF" w:usb1="38CF7CFA" w:usb2="00082016" w:usb3="00000000" w:csb0="00040001" w:csb1="00000000"/>
    <w:embedRegular r:id="rId7" w:fontKey="{01E2E97B-278E-40A6-AF40-D4C4E94BAC11}"/>
  </w:font>
  <w:font w:name="WPSEMBED1">
    <w:panose1 w:val="05020102010507070707"/>
    <w:charset w:val="00"/>
    <w:family w:val="auto"/>
    <w:pitch w:val="default"/>
    <w:sig w:usb0="00000000" w:usb1="00000000" w:usb2="00000000" w:usb3="00000000" w:csb0="80000000" w:csb1="00000000"/>
  </w:font>
  <w:font w:name="WPSEMBED2">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32C62">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7666AB">
                          <w:pPr>
                            <w:pStyle w:val="2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A7666AB">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97EFD">
    <w:pPr>
      <w:pStyle w:val="2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2406F">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02406F">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B2C4F">
    <w:pPr>
      <w:pStyle w:val="23"/>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E8C043">
                          <w:pPr>
                            <w:pStyle w:val="23"/>
                          </w:pPr>
                          <w:r>
                            <w:fldChar w:fldCharType="begin"/>
                          </w:r>
                          <w:r>
                            <w:instrText xml:space="preserve"> PAGE  \* MERGEFORMAT </w:instrText>
                          </w:r>
                          <w:r>
                            <w:fldChar w:fldCharType="separate"/>
                          </w:r>
                          <w:r>
                            <w:t>2</w:t>
                          </w:r>
                          <w:r>
                            <w:fldChar w:fldCharType="end"/>
                          </w:r>
                        </w:p>
                      </w:txbxContent>
                    </wps:txbx>
                    <wps:bodyPr vert="horz" wrap="none" lIns="0" tIns="0" rIns="0" bIns="0" anchor="t" anchorCtr="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DyCxWB2AEAALUDAAAOAAAAAAAAAAEAIAAA&#10;AB4BAABkcnMvZTJvRG9jLnhtbFBLBQYAAAAABgAGAFkBAABoBQAAAAA=&#10;">
              <v:fill on="f" focussize="0,0"/>
              <v:stroke on="f"/>
              <v:imagedata o:title=""/>
              <o:lock v:ext="edit" aspectratio="f"/>
              <v:textbox inset="0mm,0mm,0mm,0mm" style="mso-fit-shape-to-text:t;">
                <w:txbxContent>
                  <w:p w14:paraId="79E8C043">
                    <w:pPr>
                      <w:pStyle w:val="2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03B30">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22273E">
                          <w:pPr>
                            <w:pStyle w:val="23"/>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513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BGeMCraAQAAtQMAAA4AAAAAAAAAAQAg&#10;AAAAHgEAAGRycy9lMm9Eb2MueG1sUEsFBgAAAAAGAAYAWQEAAGoFAAAAAA==&#10;">
              <v:fill on="f" focussize="0,0"/>
              <v:stroke on="f"/>
              <v:imagedata o:title=""/>
              <o:lock v:ext="edit" aspectratio="f"/>
              <v:textbox inset="0mm,0mm,0mm,0mm" style="mso-fit-shape-to-text:t;">
                <w:txbxContent>
                  <w:p w14:paraId="4322273E">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DD254">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903FA">
    <w:pPr>
      <w:pStyle w:val="24"/>
      <w:pBdr>
        <w:bottom w:val="none" w:color="auto" w:sz="0" w:space="1"/>
      </w:pBdr>
    </w:pPr>
    <w:bookmarkStart w:id="58" w:name="PO_header"/>
    <w:bookmarkEnd w:id="58"/>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EFB6C"/>
    <w:multiLevelType w:val="singleLevel"/>
    <w:tmpl w:val="EACEFB6C"/>
    <w:lvl w:ilvl="0" w:tentative="0">
      <w:start w:val="1"/>
      <w:numFmt w:val="decimal"/>
      <w:lvlText w:val="%1."/>
      <w:lvlJc w:val="left"/>
      <w:pPr>
        <w:tabs>
          <w:tab w:val="left" w:pos="0"/>
        </w:tabs>
        <w:ind w:left="0" w:firstLine="0"/>
      </w:pPr>
      <w:rPr>
        <w:rFonts w:hint="default"/>
      </w:rPr>
    </w:lvl>
  </w:abstractNum>
  <w:abstractNum w:abstractNumId="1">
    <w:nsid w:val="1BAE70FF"/>
    <w:multiLevelType w:val="singleLevel"/>
    <w:tmpl w:val="1BAE70FF"/>
    <w:lvl w:ilvl="0" w:tentative="0">
      <w:start w:val="1"/>
      <w:numFmt w:val="chineseCounting"/>
      <w:suff w:val="space"/>
      <w:lvlText w:val="第%1条"/>
      <w:lvlJc w:val="left"/>
      <w:pPr>
        <w:ind w:left="562"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ZmFjZjZkZjQ5MTA1ZTRmMmJkMDM4OGQ1ZDI1YTMifQ=="/>
  </w:docVars>
  <w:rsids>
    <w:rsidRoot w:val="00F34B14"/>
    <w:rsid w:val="00000672"/>
    <w:rsid w:val="00001013"/>
    <w:rsid w:val="00001799"/>
    <w:rsid w:val="00001AF2"/>
    <w:rsid w:val="00001ECA"/>
    <w:rsid w:val="00002D29"/>
    <w:rsid w:val="00003B93"/>
    <w:rsid w:val="0000474D"/>
    <w:rsid w:val="00005FDF"/>
    <w:rsid w:val="000070B3"/>
    <w:rsid w:val="000076B8"/>
    <w:rsid w:val="000109DC"/>
    <w:rsid w:val="00010D39"/>
    <w:rsid w:val="0001172C"/>
    <w:rsid w:val="00012854"/>
    <w:rsid w:val="00012EA6"/>
    <w:rsid w:val="000139CF"/>
    <w:rsid w:val="00013AA4"/>
    <w:rsid w:val="00013DFE"/>
    <w:rsid w:val="000141EA"/>
    <w:rsid w:val="00016ABC"/>
    <w:rsid w:val="000177DB"/>
    <w:rsid w:val="000179C9"/>
    <w:rsid w:val="00017CCC"/>
    <w:rsid w:val="00020227"/>
    <w:rsid w:val="00020455"/>
    <w:rsid w:val="00020813"/>
    <w:rsid w:val="000220B2"/>
    <w:rsid w:val="0002264C"/>
    <w:rsid w:val="00022731"/>
    <w:rsid w:val="00022792"/>
    <w:rsid w:val="00024463"/>
    <w:rsid w:val="00025461"/>
    <w:rsid w:val="00025636"/>
    <w:rsid w:val="00025E36"/>
    <w:rsid w:val="00026855"/>
    <w:rsid w:val="00026886"/>
    <w:rsid w:val="000329E0"/>
    <w:rsid w:val="000352E9"/>
    <w:rsid w:val="00035494"/>
    <w:rsid w:val="00036125"/>
    <w:rsid w:val="00036A07"/>
    <w:rsid w:val="0003780B"/>
    <w:rsid w:val="00040571"/>
    <w:rsid w:val="00040973"/>
    <w:rsid w:val="0004156E"/>
    <w:rsid w:val="00041713"/>
    <w:rsid w:val="0004440C"/>
    <w:rsid w:val="00046B5E"/>
    <w:rsid w:val="000470CB"/>
    <w:rsid w:val="000509D9"/>
    <w:rsid w:val="00051ACB"/>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FD"/>
    <w:rsid w:val="00070949"/>
    <w:rsid w:val="000711E4"/>
    <w:rsid w:val="00072AED"/>
    <w:rsid w:val="00073F47"/>
    <w:rsid w:val="0007492F"/>
    <w:rsid w:val="00074ED8"/>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560F"/>
    <w:rsid w:val="0009588E"/>
    <w:rsid w:val="000959EE"/>
    <w:rsid w:val="00097183"/>
    <w:rsid w:val="000972CB"/>
    <w:rsid w:val="00097608"/>
    <w:rsid w:val="000A13F3"/>
    <w:rsid w:val="000A23B1"/>
    <w:rsid w:val="000A2B0E"/>
    <w:rsid w:val="000A398F"/>
    <w:rsid w:val="000A448C"/>
    <w:rsid w:val="000A509C"/>
    <w:rsid w:val="000A6007"/>
    <w:rsid w:val="000A65A6"/>
    <w:rsid w:val="000A70E3"/>
    <w:rsid w:val="000A7275"/>
    <w:rsid w:val="000A7A12"/>
    <w:rsid w:val="000A7A72"/>
    <w:rsid w:val="000B1202"/>
    <w:rsid w:val="000B1801"/>
    <w:rsid w:val="000B1D0C"/>
    <w:rsid w:val="000B2273"/>
    <w:rsid w:val="000B2BC6"/>
    <w:rsid w:val="000B2D03"/>
    <w:rsid w:val="000B3815"/>
    <w:rsid w:val="000B3C7B"/>
    <w:rsid w:val="000B6A6B"/>
    <w:rsid w:val="000B6C95"/>
    <w:rsid w:val="000B79FC"/>
    <w:rsid w:val="000C1679"/>
    <w:rsid w:val="000C1EE3"/>
    <w:rsid w:val="000C3AE7"/>
    <w:rsid w:val="000C3CC9"/>
    <w:rsid w:val="000C6DE4"/>
    <w:rsid w:val="000C7202"/>
    <w:rsid w:val="000D0A89"/>
    <w:rsid w:val="000D1389"/>
    <w:rsid w:val="000D1798"/>
    <w:rsid w:val="000D2626"/>
    <w:rsid w:val="000D411D"/>
    <w:rsid w:val="000D4589"/>
    <w:rsid w:val="000D73DD"/>
    <w:rsid w:val="000E1C51"/>
    <w:rsid w:val="000E28AB"/>
    <w:rsid w:val="000E2E3E"/>
    <w:rsid w:val="000E3583"/>
    <w:rsid w:val="000E3AF0"/>
    <w:rsid w:val="000E4E04"/>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30217"/>
    <w:rsid w:val="00130783"/>
    <w:rsid w:val="00130A47"/>
    <w:rsid w:val="00132B47"/>
    <w:rsid w:val="001337F8"/>
    <w:rsid w:val="001348B4"/>
    <w:rsid w:val="001351CB"/>
    <w:rsid w:val="00135530"/>
    <w:rsid w:val="00135947"/>
    <w:rsid w:val="001359A2"/>
    <w:rsid w:val="00136020"/>
    <w:rsid w:val="00136445"/>
    <w:rsid w:val="00140132"/>
    <w:rsid w:val="00141C9C"/>
    <w:rsid w:val="0014277F"/>
    <w:rsid w:val="001434BE"/>
    <w:rsid w:val="00144050"/>
    <w:rsid w:val="0014479F"/>
    <w:rsid w:val="001452B4"/>
    <w:rsid w:val="00145320"/>
    <w:rsid w:val="001476D3"/>
    <w:rsid w:val="001509CF"/>
    <w:rsid w:val="00150D1D"/>
    <w:rsid w:val="00151D6C"/>
    <w:rsid w:val="001525AA"/>
    <w:rsid w:val="00152A87"/>
    <w:rsid w:val="00153BB5"/>
    <w:rsid w:val="00154518"/>
    <w:rsid w:val="00156359"/>
    <w:rsid w:val="00156DD6"/>
    <w:rsid w:val="0016086E"/>
    <w:rsid w:val="00160D0C"/>
    <w:rsid w:val="00161172"/>
    <w:rsid w:val="00161998"/>
    <w:rsid w:val="00161E65"/>
    <w:rsid w:val="00162597"/>
    <w:rsid w:val="001629AF"/>
    <w:rsid w:val="001629FD"/>
    <w:rsid w:val="0016428A"/>
    <w:rsid w:val="001647C9"/>
    <w:rsid w:val="00165627"/>
    <w:rsid w:val="001661A3"/>
    <w:rsid w:val="00167226"/>
    <w:rsid w:val="0016782B"/>
    <w:rsid w:val="0016784D"/>
    <w:rsid w:val="00173256"/>
    <w:rsid w:val="00173B0E"/>
    <w:rsid w:val="00173E03"/>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59FF"/>
    <w:rsid w:val="001B6512"/>
    <w:rsid w:val="001B65D7"/>
    <w:rsid w:val="001B6752"/>
    <w:rsid w:val="001B6768"/>
    <w:rsid w:val="001B6F1F"/>
    <w:rsid w:val="001B7ECC"/>
    <w:rsid w:val="001C025B"/>
    <w:rsid w:val="001C115F"/>
    <w:rsid w:val="001C25A7"/>
    <w:rsid w:val="001C318C"/>
    <w:rsid w:val="001C35C4"/>
    <w:rsid w:val="001C4287"/>
    <w:rsid w:val="001C4479"/>
    <w:rsid w:val="001C5190"/>
    <w:rsid w:val="001C6081"/>
    <w:rsid w:val="001C7B48"/>
    <w:rsid w:val="001D0CFB"/>
    <w:rsid w:val="001D1A0D"/>
    <w:rsid w:val="001D343C"/>
    <w:rsid w:val="001D58A1"/>
    <w:rsid w:val="001D58C2"/>
    <w:rsid w:val="001D5A8A"/>
    <w:rsid w:val="001D735E"/>
    <w:rsid w:val="001D73C8"/>
    <w:rsid w:val="001D7BC6"/>
    <w:rsid w:val="001E129E"/>
    <w:rsid w:val="001E175C"/>
    <w:rsid w:val="001E1B0E"/>
    <w:rsid w:val="001E5A94"/>
    <w:rsid w:val="001F2A2E"/>
    <w:rsid w:val="001F3356"/>
    <w:rsid w:val="001F3C63"/>
    <w:rsid w:val="001F4460"/>
    <w:rsid w:val="001F711A"/>
    <w:rsid w:val="001F75B0"/>
    <w:rsid w:val="00200CE5"/>
    <w:rsid w:val="00200F7C"/>
    <w:rsid w:val="002014DB"/>
    <w:rsid w:val="00201E12"/>
    <w:rsid w:val="002033B5"/>
    <w:rsid w:val="0020382C"/>
    <w:rsid w:val="0020437A"/>
    <w:rsid w:val="0020454C"/>
    <w:rsid w:val="0020521F"/>
    <w:rsid w:val="0020532C"/>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5587"/>
    <w:rsid w:val="00245F2B"/>
    <w:rsid w:val="00247F3A"/>
    <w:rsid w:val="00250122"/>
    <w:rsid w:val="00250755"/>
    <w:rsid w:val="00251043"/>
    <w:rsid w:val="00251C4A"/>
    <w:rsid w:val="0025271C"/>
    <w:rsid w:val="002533CD"/>
    <w:rsid w:val="00254EAB"/>
    <w:rsid w:val="002557AF"/>
    <w:rsid w:val="0025589C"/>
    <w:rsid w:val="00255B62"/>
    <w:rsid w:val="002566B1"/>
    <w:rsid w:val="002575E3"/>
    <w:rsid w:val="00257A74"/>
    <w:rsid w:val="002603C1"/>
    <w:rsid w:val="002609A1"/>
    <w:rsid w:val="002612B1"/>
    <w:rsid w:val="00266165"/>
    <w:rsid w:val="00266F2C"/>
    <w:rsid w:val="0027125E"/>
    <w:rsid w:val="00271767"/>
    <w:rsid w:val="00272293"/>
    <w:rsid w:val="002723C8"/>
    <w:rsid w:val="00273C2A"/>
    <w:rsid w:val="00273CBE"/>
    <w:rsid w:val="002746B1"/>
    <w:rsid w:val="0027556D"/>
    <w:rsid w:val="00282D56"/>
    <w:rsid w:val="002835B0"/>
    <w:rsid w:val="00283C74"/>
    <w:rsid w:val="0028407E"/>
    <w:rsid w:val="0028410F"/>
    <w:rsid w:val="00284572"/>
    <w:rsid w:val="00285221"/>
    <w:rsid w:val="00286FB5"/>
    <w:rsid w:val="00287763"/>
    <w:rsid w:val="00290606"/>
    <w:rsid w:val="002909B2"/>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770B"/>
    <w:rsid w:val="002B013E"/>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E8"/>
    <w:rsid w:val="002D7360"/>
    <w:rsid w:val="002D7648"/>
    <w:rsid w:val="002E109C"/>
    <w:rsid w:val="002E193E"/>
    <w:rsid w:val="002E1A94"/>
    <w:rsid w:val="002E1D55"/>
    <w:rsid w:val="002E26C4"/>
    <w:rsid w:val="002E30A5"/>
    <w:rsid w:val="002E47E4"/>
    <w:rsid w:val="002E4BF9"/>
    <w:rsid w:val="002E4D61"/>
    <w:rsid w:val="002E6E6C"/>
    <w:rsid w:val="002F0522"/>
    <w:rsid w:val="002F16DD"/>
    <w:rsid w:val="002F199D"/>
    <w:rsid w:val="002F213C"/>
    <w:rsid w:val="002F2453"/>
    <w:rsid w:val="002F352D"/>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22D"/>
    <w:rsid w:val="00306811"/>
    <w:rsid w:val="00306F32"/>
    <w:rsid w:val="003074C5"/>
    <w:rsid w:val="00307A3C"/>
    <w:rsid w:val="00307FA4"/>
    <w:rsid w:val="00310290"/>
    <w:rsid w:val="00310CC1"/>
    <w:rsid w:val="00311A47"/>
    <w:rsid w:val="00312504"/>
    <w:rsid w:val="00313026"/>
    <w:rsid w:val="00313913"/>
    <w:rsid w:val="0031421F"/>
    <w:rsid w:val="00314B31"/>
    <w:rsid w:val="00315A65"/>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50E6C"/>
    <w:rsid w:val="003518A6"/>
    <w:rsid w:val="00351E7F"/>
    <w:rsid w:val="00352953"/>
    <w:rsid w:val="00354062"/>
    <w:rsid w:val="0035459E"/>
    <w:rsid w:val="00355C0D"/>
    <w:rsid w:val="003566A9"/>
    <w:rsid w:val="00356988"/>
    <w:rsid w:val="00356CE9"/>
    <w:rsid w:val="003570BB"/>
    <w:rsid w:val="00357128"/>
    <w:rsid w:val="0035755E"/>
    <w:rsid w:val="00357A80"/>
    <w:rsid w:val="00361441"/>
    <w:rsid w:val="00361B8B"/>
    <w:rsid w:val="00363F39"/>
    <w:rsid w:val="0036445C"/>
    <w:rsid w:val="00364627"/>
    <w:rsid w:val="00364AB0"/>
    <w:rsid w:val="003667B0"/>
    <w:rsid w:val="003667DD"/>
    <w:rsid w:val="00366B48"/>
    <w:rsid w:val="00367764"/>
    <w:rsid w:val="00370316"/>
    <w:rsid w:val="00370DC7"/>
    <w:rsid w:val="00371CBD"/>
    <w:rsid w:val="00371F20"/>
    <w:rsid w:val="00372B98"/>
    <w:rsid w:val="003737B7"/>
    <w:rsid w:val="003740CC"/>
    <w:rsid w:val="003745F4"/>
    <w:rsid w:val="00374E79"/>
    <w:rsid w:val="0037529A"/>
    <w:rsid w:val="00375388"/>
    <w:rsid w:val="00375FB9"/>
    <w:rsid w:val="00376851"/>
    <w:rsid w:val="00376FA2"/>
    <w:rsid w:val="00377A3B"/>
    <w:rsid w:val="00377E3C"/>
    <w:rsid w:val="00380BBE"/>
    <w:rsid w:val="00381D70"/>
    <w:rsid w:val="0038235E"/>
    <w:rsid w:val="003829D0"/>
    <w:rsid w:val="0038444F"/>
    <w:rsid w:val="00384B9C"/>
    <w:rsid w:val="003861F0"/>
    <w:rsid w:val="00387051"/>
    <w:rsid w:val="00387ECF"/>
    <w:rsid w:val="0039021B"/>
    <w:rsid w:val="00390429"/>
    <w:rsid w:val="0039366C"/>
    <w:rsid w:val="00393EC8"/>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DC6"/>
    <w:rsid w:val="004516A5"/>
    <w:rsid w:val="00451E9C"/>
    <w:rsid w:val="0045280F"/>
    <w:rsid w:val="004535AE"/>
    <w:rsid w:val="0045444D"/>
    <w:rsid w:val="0045463A"/>
    <w:rsid w:val="00454AC9"/>
    <w:rsid w:val="00455050"/>
    <w:rsid w:val="004554A3"/>
    <w:rsid w:val="00455A6E"/>
    <w:rsid w:val="00455EAD"/>
    <w:rsid w:val="004578EB"/>
    <w:rsid w:val="004604D5"/>
    <w:rsid w:val="00460697"/>
    <w:rsid w:val="0046117B"/>
    <w:rsid w:val="00464AB7"/>
    <w:rsid w:val="00467EF8"/>
    <w:rsid w:val="00472429"/>
    <w:rsid w:val="004725E5"/>
    <w:rsid w:val="00472751"/>
    <w:rsid w:val="00473128"/>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A9C"/>
    <w:rsid w:val="00486D60"/>
    <w:rsid w:val="00491FA1"/>
    <w:rsid w:val="00492A25"/>
    <w:rsid w:val="004938A3"/>
    <w:rsid w:val="0049558B"/>
    <w:rsid w:val="00496350"/>
    <w:rsid w:val="0049797C"/>
    <w:rsid w:val="004A1405"/>
    <w:rsid w:val="004A1FC6"/>
    <w:rsid w:val="004A2E5F"/>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638A"/>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4E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757"/>
    <w:rsid w:val="00573733"/>
    <w:rsid w:val="00573F8B"/>
    <w:rsid w:val="00574554"/>
    <w:rsid w:val="00574E06"/>
    <w:rsid w:val="005751BB"/>
    <w:rsid w:val="00576089"/>
    <w:rsid w:val="005764B1"/>
    <w:rsid w:val="00576852"/>
    <w:rsid w:val="00576D06"/>
    <w:rsid w:val="005779E4"/>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B07EC"/>
    <w:rsid w:val="005B2B11"/>
    <w:rsid w:val="005B32A4"/>
    <w:rsid w:val="005B338D"/>
    <w:rsid w:val="005B3BAF"/>
    <w:rsid w:val="005B4DA3"/>
    <w:rsid w:val="005B5BEE"/>
    <w:rsid w:val="005B77D2"/>
    <w:rsid w:val="005C019B"/>
    <w:rsid w:val="005C1AED"/>
    <w:rsid w:val="005C30F5"/>
    <w:rsid w:val="005C51A5"/>
    <w:rsid w:val="005C557A"/>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0FD4"/>
    <w:rsid w:val="005F1516"/>
    <w:rsid w:val="005F229E"/>
    <w:rsid w:val="005F2564"/>
    <w:rsid w:val="005F3822"/>
    <w:rsid w:val="005F4635"/>
    <w:rsid w:val="005F4900"/>
    <w:rsid w:val="005F4E52"/>
    <w:rsid w:val="005F6D58"/>
    <w:rsid w:val="005F7383"/>
    <w:rsid w:val="0060058E"/>
    <w:rsid w:val="00602A3C"/>
    <w:rsid w:val="00603EFD"/>
    <w:rsid w:val="0060475B"/>
    <w:rsid w:val="00604FB6"/>
    <w:rsid w:val="00605387"/>
    <w:rsid w:val="00606302"/>
    <w:rsid w:val="006076FD"/>
    <w:rsid w:val="0061143F"/>
    <w:rsid w:val="006114D8"/>
    <w:rsid w:val="00613553"/>
    <w:rsid w:val="00613601"/>
    <w:rsid w:val="00613791"/>
    <w:rsid w:val="006150D6"/>
    <w:rsid w:val="00615245"/>
    <w:rsid w:val="0061590D"/>
    <w:rsid w:val="00617EEE"/>
    <w:rsid w:val="00620A1F"/>
    <w:rsid w:val="0062169D"/>
    <w:rsid w:val="0062181E"/>
    <w:rsid w:val="00622BB7"/>
    <w:rsid w:val="00622C1E"/>
    <w:rsid w:val="00623389"/>
    <w:rsid w:val="00623DAA"/>
    <w:rsid w:val="00623FAF"/>
    <w:rsid w:val="006265C4"/>
    <w:rsid w:val="0062678A"/>
    <w:rsid w:val="006270AF"/>
    <w:rsid w:val="00634367"/>
    <w:rsid w:val="00640082"/>
    <w:rsid w:val="00640291"/>
    <w:rsid w:val="00640EFE"/>
    <w:rsid w:val="00641D6D"/>
    <w:rsid w:val="00641FAC"/>
    <w:rsid w:val="00643664"/>
    <w:rsid w:val="00643CAA"/>
    <w:rsid w:val="00644F16"/>
    <w:rsid w:val="006455EB"/>
    <w:rsid w:val="006456C2"/>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3AB"/>
    <w:rsid w:val="00672CA5"/>
    <w:rsid w:val="00673711"/>
    <w:rsid w:val="00673F82"/>
    <w:rsid w:val="00674F74"/>
    <w:rsid w:val="0067508F"/>
    <w:rsid w:val="00677576"/>
    <w:rsid w:val="00677F8A"/>
    <w:rsid w:val="0068051E"/>
    <w:rsid w:val="00680B9D"/>
    <w:rsid w:val="00681F13"/>
    <w:rsid w:val="0068231C"/>
    <w:rsid w:val="00682344"/>
    <w:rsid w:val="00682F28"/>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B6C"/>
    <w:rsid w:val="006942AE"/>
    <w:rsid w:val="00695421"/>
    <w:rsid w:val="00697BD3"/>
    <w:rsid w:val="00697DFA"/>
    <w:rsid w:val="006A16D5"/>
    <w:rsid w:val="006A1772"/>
    <w:rsid w:val="006A1780"/>
    <w:rsid w:val="006A21DD"/>
    <w:rsid w:val="006A26C6"/>
    <w:rsid w:val="006A3B28"/>
    <w:rsid w:val="006A4FEE"/>
    <w:rsid w:val="006A703E"/>
    <w:rsid w:val="006A7BE3"/>
    <w:rsid w:val="006A7D32"/>
    <w:rsid w:val="006B01D1"/>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31"/>
    <w:rsid w:val="006F3DE3"/>
    <w:rsid w:val="006F4787"/>
    <w:rsid w:val="006F61D8"/>
    <w:rsid w:val="006F62B7"/>
    <w:rsid w:val="006F70BC"/>
    <w:rsid w:val="006F7E7C"/>
    <w:rsid w:val="0070174E"/>
    <w:rsid w:val="007018DB"/>
    <w:rsid w:val="00701DE6"/>
    <w:rsid w:val="0070381B"/>
    <w:rsid w:val="0070796C"/>
    <w:rsid w:val="00710EBF"/>
    <w:rsid w:val="007110B8"/>
    <w:rsid w:val="0071209F"/>
    <w:rsid w:val="007125A2"/>
    <w:rsid w:val="00713F79"/>
    <w:rsid w:val="007148A8"/>
    <w:rsid w:val="00716AC8"/>
    <w:rsid w:val="00716E54"/>
    <w:rsid w:val="0072033C"/>
    <w:rsid w:val="00720B1B"/>
    <w:rsid w:val="00721062"/>
    <w:rsid w:val="00721E5D"/>
    <w:rsid w:val="007229D4"/>
    <w:rsid w:val="007230F8"/>
    <w:rsid w:val="007233F4"/>
    <w:rsid w:val="00724044"/>
    <w:rsid w:val="00724417"/>
    <w:rsid w:val="007248D3"/>
    <w:rsid w:val="00725137"/>
    <w:rsid w:val="00725378"/>
    <w:rsid w:val="00727A43"/>
    <w:rsid w:val="00727FF2"/>
    <w:rsid w:val="00730550"/>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B32"/>
    <w:rsid w:val="0078051E"/>
    <w:rsid w:val="00781089"/>
    <w:rsid w:val="007838F3"/>
    <w:rsid w:val="007856FE"/>
    <w:rsid w:val="00785F46"/>
    <w:rsid w:val="007865F4"/>
    <w:rsid w:val="00786D5C"/>
    <w:rsid w:val="00786E96"/>
    <w:rsid w:val="00787DFF"/>
    <w:rsid w:val="00787F93"/>
    <w:rsid w:val="00791E6D"/>
    <w:rsid w:val="00791EB5"/>
    <w:rsid w:val="00793696"/>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2C13"/>
    <w:rsid w:val="007F2CEC"/>
    <w:rsid w:val="007F3435"/>
    <w:rsid w:val="007F55DE"/>
    <w:rsid w:val="007F762D"/>
    <w:rsid w:val="007F78F0"/>
    <w:rsid w:val="007F78FF"/>
    <w:rsid w:val="008001C5"/>
    <w:rsid w:val="00800F6C"/>
    <w:rsid w:val="00801065"/>
    <w:rsid w:val="00802C0B"/>
    <w:rsid w:val="008051FC"/>
    <w:rsid w:val="008055A9"/>
    <w:rsid w:val="008056C4"/>
    <w:rsid w:val="008057FD"/>
    <w:rsid w:val="00805D8B"/>
    <w:rsid w:val="00810E8E"/>
    <w:rsid w:val="00812C44"/>
    <w:rsid w:val="008135E1"/>
    <w:rsid w:val="00813779"/>
    <w:rsid w:val="00813E26"/>
    <w:rsid w:val="0081481D"/>
    <w:rsid w:val="00814BE8"/>
    <w:rsid w:val="00814F6E"/>
    <w:rsid w:val="00815B84"/>
    <w:rsid w:val="00816BE9"/>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B7F"/>
    <w:rsid w:val="00834906"/>
    <w:rsid w:val="00836075"/>
    <w:rsid w:val="00836417"/>
    <w:rsid w:val="00837526"/>
    <w:rsid w:val="008407A7"/>
    <w:rsid w:val="0084322B"/>
    <w:rsid w:val="00843F81"/>
    <w:rsid w:val="00844087"/>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2084"/>
    <w:rsid w:val="00872827"/>
    <w:rsid w:val="00872A32"/>
    <w:rsid w:val="00874911"/>
    <w:rsid w:val="008754E4"/>
    <w:rsid w:val="00876EAE"/>
    <w:rsid w:val="00880106"/>
    <w:rsid w:val="00880F95"/>
    <w:rsid w:val="00882B44"/>
    <w:rsid w:val="008838AD"/>
    <w:rsid w:val="008864B3"/>
    <w:rsid w:val="008865E5"/>
    <w:rsid w:val="008871B0"/>
    <w:rsid w:val="00890B57"/>
    <w:rsid w:val="008916BA"/>
    <w:rsid w:val="0089217C"/>
    <w:rsid w:val="00892790"/>
    <w:rsid w:val="00893671"/>
    <w:rsid w:val="00895838"/>
    <w:rsid w:val="00895A1E"/>
    <w:rsid w:val="00895A72"/>
    <w:rsid w:val="00895CDF"/>
    <w:rsid w:val="00896679"/>
    <w:rsid w:val="00896D8C"/>
    <w:rsid w:val="008A0FC9"/>
    <w:rsid w:val="008A1956"/>
    <w:rsid w:val="008A1A7C"/>
    <w:rsid w:val="008A2CE2"/>
    <w:rsid w:val="008A40D3"/>
    <w:rsid w:val="008A469C"/>
    <w:rsid w:val="008A51D1"/>
    <w:rsid w:val="008A5DCE"/>
    <w:rsid w:val="008A75D3"/>
    <w:rsid w:val="008B05DD"/>
    <w:rsid w:val="008B17E8"/>
    <w:rsid w:val="008B23A8"/>
    <w:rsid w:val="008B2E7C"/>
    <w:rsid w:val="008B45F0"/>
    <w:rsid w:val="008B4A70"/>
    <w:rsid w:val="008B502F"/>
    <w:rsid w:val="008B6DFC"/>
    <w:rsid w:val="008B70B6"/>
    <w:rsid w:val="008B7227"/>
    <w:rsid w:val="008C04E0"/>
    <w:rsid w:val="008C191C"/>
    <w:rsid w:val="008C1DA4"/>
    <w:rsid w:val="008C29B0"/>
    <w:rsid w:val="008C2CD5"/>
    <w:rsid w:val="008C3618"/>
    <w:rsid w:val="008C43AD"/>
    <w:rsid w:val="008C6118"/>
    <w:rsid w:val="008C6341"/>
    <w:rsid w:val="008C731F"/>
    <w:rsid w:val="008C74D9"/>
    <w:rsid w:val="008D3B2D"/>
    <w:rsid w:val="008D58D9"/>
    <w:rsid w:val="008D5AD4"/>
    <w:rsid w:val="008D6DD5"/>
    <w:rsid w:val="008D6E59"/>
    <w:rsid w:val="008D7155"/>
    <w:rsid w:val="008E0B29"/>
    <w:rsid w:val="008E141A"/>
    <w:rsid w:val="008E1A44"/>
    <w:rsid w:val="008E28E6"/>
    <w:rsid w:val="008E3232"/>
    <w:rsid w:val="008E3674"/>
    <w:rsid w:val="008E3B6C"/>
    <w:rsid w:val="008E562C"/>
    <w:rsid w:val="008E77D4"/>
    <w:rsid w:val="008E7ADD"/>
    <w:rsid w:val="008F091F"/>
    <w:rsid w:val="008F17B2"/>
    <w:rsid w:val="008F22B3"/>
    <w:rsid w:val="008F357B"/>
    <w:rsid w:val="008F44CA"/>
    <w:rsid w:val="008F49D3"/>
    <w:rsid w:val="008F6519"/>
    <w:rsid w:val="008F7012"/>
    <w:rsid w:val="008F7ADA"/>
    <w:rsid w:val="008F7B17"/>
    <w:rsid w:val="00900042"/>
    <w:rsid w:val="0090034B"/>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ED7"/>
    <w:rsid w:val="0093422D"/>
    <w:rsid w:val="0093483B"/>
    <w:rsid w:val="00934CF9"/>
    <w:rsid w:val="00934DD7"/>
    <w:rsid w:val="009369A9"/>
    <w:rsid w:val="00936CF7"/>
    <w:rsid w:val="00937783"/>
    <w:rsid w:val="00937EAD"/>
    <w:rsid w:val="00937F28"/>
    <w:rsid w:val="00940FE1"/>
    <w:rsid w:val="00942306"/>
    <w:rsid w:val="009424B8"/>
    <w:rsid w:val="00944668"/>
    <w:rsid w:val="00944DC6"/>
    <w:rsid w:val="009458B0"/>
    <w:rsid w:val="00945B52"/>
    <w:rsid w:val="00945B7A"/>
    <w:rsid w:val="00945F05"/>
    <w:rsid w:val="00946348"/>
    <w:rsid w:val="00947797"/>
    <w:rsid w:val="009478A2"/>
    <w:rsid w:val="009539A6"/>
    <w:rsid w:val="00954032"/>
    <w:rsid w:val="00955FBB"/>
    <w:rsid w:val="0095694B"/>
    <w:rsid w:val="00956BD5"/>
    <w:rsid w:val="00956D84"/>
    <w:rsid w:val="009577B5"/>
    <w:rsid w:val="009608E6"/>
    <w:rsid w:val="00960F57"/>
    <w:rsid w:val="00961C90"/>
    <w:rsid w:val="00965443"/>
    <w:rsid w:val="00965954"/>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7CD6"/>
    <w:rsid w:val="00980DF9"/>
    <w:rsid w:val="0098243D"/>
    <w:rsid w:val="00982D26"/>
    <w:rsid w:val="00983B6E"/>
    <w:rsid w:val="00983FE5"/>
    <w:rsid w:val="009849E9"/>
    <w:rsid w:val="009859E4"/>
    <w:rsid w:val="00987812"/>
    <w:rsid w:val="00990225"/>
    <w:rsid w:val="00992A13"/>
    <w:rsid w:val="00994AAD"/>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2471"/>
    <w:rsid w:val="009B314F"/>
    <w:rsid w:val="009B439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8AC"/>
    <w:rsid w:val="00A10CA8"/>
    <w:rsid w:val="00A11042"/>
    <w:rsid w:val="00A12579"/>
    <w:rsid w:val="00A133D8"/>
    <w:rsid w:val="00A15655"/>
    <w:rsid w:val="00A1740C"/>
    <w:rsid w:val="00A20069"/>
    <w:rsid w:val="00A2244D"/>
    <w:rsid w:val="00A2253D"/>
    <w:rsid w:val="00A247B8"/>
    <w:rsid w:val="00A2495A"/>
    <w:rsid w:val="00A24C7A"/>
    <w:rsid w:val="00A24D8F"/>
    <w:rsid w:val="00A25B8B"/>
    <w:rsid w:val="00A2689F"/>
    <w:rsid w:val="00A26ECA"/>
    <w:rsid w:val="00A27461"/>
    <w:rsid w:val="00A27D67"/>
    <w:rsid w:val="00A30ABC"/>
    <w:rsid w:val="00A33B74"/>
    <w:rsid w:val="00A3467F"/>
    <w:rsid w:val="00A34B4C"/>
    <w:rsid w:val="00A35030"/>
    <w:rsid w:val="00A3551A"/>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7ECC"/>
    <w:rsid w:val="00A50171"/>
    <w:rsid w:val="00A504FA"/>
    <w:rsid w:val="00A5102E"/>
    <w:rsid w:val="00A5132E"/>
    <w:rsid w:val="00A51375"/>
    <w:rsid w:val="00A51533"/>
    <w:rsid w:val="00A51891"/>
    <w:rsid w:val="00A531D4"/>
    <w:rsid w:val="00A54572"/>
    <w:rsid w:val="00A575B8"/>
    <w:rsid w:val="00A61C60"/>
    <w:rsid w:val="00A61ECB"/>
    <w:rsid w:val="00A6410C"/>
    <w:rsid w:val="00A647B1"/>
    <w:rsid w:val="00A64DEF"/>
    <w:rsid w:val="00A654D2"/>
    <w:rsid w:val="00A665DF"/>
    <w:rsid w:val="00A67FCC"/>
    <w:rsid w:val="00A70AA5"/>
    <w:rsid w:val="00A70C03"/>
    <w:rsid w:val="00A71256"/>
    <w:rsid w:val="00A7217B"/>
    <w:rsid w:val="00A73861"/>
    <w:rsid w:val="00A739A6"/>
    <w:rsid w:val="00A740ED"/>
    <w:rsid w:val="00A74C29"/>
    <w:rsid w:val="00A74C62"/>
    <w:rsid w:val="00A75EF9"/>
    <w:rsid w:val="00A8311C"/>
    <w:rsid w:val="00A835D0"/>
    <w:rsid w:val="00A84C5F"/>
    <w:rsid w:val="00A85930"/>
    <w:rsid w:val="00A863F7"/>
    <w:rsid w:val="00A86604"/>
    <w:rsid w:val="00A87519"/>
    <w:rsid w:val="00A9246D"/>
    <w:rsid w:val="00A93BD0"/>
    <w:rsid w:val="00A93CC2"/>
    <w:rsid w:val="00A974CC"/>
    <w:rsid w:val="00AA2001"/>
    <w:rsid w:val="00AA2B5C"/>
    <w:rsid w:val="00AA32D2"/>
    <w:rsid w:val="00AA4016"/>
    <w:rsid w:val="00AA4C1F"/>
    <w:rsid w:val="00AA5328"/>
    <w:rsid w:val="00AA5393"/>
    <w:rsid w:val="00AA63D4"/>
    <w:rsid w:val="00AB03FD"/>
    <w:rsid w:val="00AB2000"/>
    <w:rsid w:val="00AB38CB"/>
    <w:rsid w:val="00AB3BEC"/>
    <w:rsid w:val="00AB44E4"/>
    <w:rsid w:val="00AB4AEB"/>
    <w:rsid w:val="00AB4E5F"/>
    <w:rsid w:val="00AB5352"/>
    <w:rsid w:val="00AB56AE"/>
    <w:rsid w:val="00AB62D5"/>
    <w:rsid w:val="00AB65B5"/>
    <w:rsid w:val="00AB6DCD"/>
    <w:rsid w:val="00AB6EE0"/>
    <w:rsid w:val="00AC17A2"/>
    <w:rsid w:val="00AC40B7"/>
    <w:rsid w:val="00AC531F"/>
    <w:rsid w:val="00AC5B36"/>
    <w:rsid w:val="00AC6377"/>
    <w:rsid w:val="00AC66A4"/>
    <w:rsid w:val="00AC6CB1"/>
    <w:rsid w:val="00AC7D6D"/>
    <w:rsid w:val="00AD0091"/>
    <w:rsid w:val="00AD23EF"/>
    <w:rsid w:val="00AD2662"/>
    <w:rsid w:val="00AD307B"/>
    <w:rsid w:val="00AD4014"/>
    <w:rsid w:val="00AD41B3"/>
    <w:rsid w:val="00AD69F0"/>
    <w:rsid w:val="00AD7127"/>
    <w:rsid w:val="00AD730C"/>
    <w:rsid w:val="00AE123A"/>
    <w:rsid w:val="00AE1539"/>
    <w:rsid w:val="00AE28A7"/>
    <w:rsid w:val="00AE2A98"/>
    <w:rsid w:val="00AE2CF2"/>
    <w:rsid w:val="00AE3012"/>
    <w:rsid w:val="00AE33A6"/>
    <w:rsid w:val="00AE3729"/>
    <w:rsid w:val="00AE4CCE"/>
    <w:rsid w:val="00AE5C6A"/>
    <w:rsid w:val="00AE7280"/>
    <w:rsid w:val="00AF033A"/>
    <w:rsid w:val="00AF1699"/>
    <w:rsid w:val="00AF1FD3"/>
    <w:rsid w:val="00AF2910"/>
    <w:rsid w:val="00AF34B8"/>
    <w:rsid w:val="00AF3896"/>
    <w:rsid w:val="00AF3FC2"/>
    <w:rsid w:val="00B0098A"/>
    <w:rsid w:val="00B00A5F"/>
    <w:rsid w:val="00B029B8"/>
    <w:rsid w:val="00B02F60"/>
    <w:rsid w:val="00B032B8"/>
    <w:rsid w:val="00B04721"/>
    <w:rsid w:val="00B04B15"/>
    <w:rsid w:val="00B04B46"/>
    <w:rsid w:val="00B0534D"/>
    <w:rsid w:val="00B05685"/>
    <w:rsid w:val="00B05F9F"/>
    <w:rsid w:val="00B06368"/>
    <w:rsid w:val="00B068DA"/>
    <w:rsid w:val="00B06FC6"/>
    <w:rsid w:val="00B074C9"/>
    <w:rsid w:val="00B07D9D"/>
    <w:rsid w:val="00B11AE5"/>
    <w:rsid w:val="00B12FE6"/>
    <w:rsid w:val="00B1303F"/>
    <w:rsid w:val="00B1364A"/>
    <w:rsid w:val="00B13859"/>
    <w:rsid w:val="00B14319"/>
    <w:rsid w:val="00B14A06"/>
    <w:rsid w:val="00B158E1"/>
    <w:rsid w:val="00B16715"/>
    <w:rsid w:val="00B1768E"/>
    <w:rsid w:val="00B17910"/>
    <w:rsid w:val="00B20F18"/>
    <w:rsid w:val="00B21516"/>
    <w:rsid w:val="00B21A37"/>
    <w:rsid w:val="00B21F62"/>
    <w:rsid w:val="00B22CE0"/>
    <w:rsid w:val="00B23738"/>
    <w:rsid w:val="00B23BEF"/>
    <w:rsid w:val="00B247BB"/>
    <w:rsid w:val="00B2504A"/>
    <w:rsid w:val="00B25EE6"/>
    <w:rsid w:val="00B3115A"/>
    <w:rsid w:val="00B31825"/>
    <w:rsid w:val="00B31A5C"/>
    <w:rsid w:val="00B33B06"/>
    <w:rsid w:val="00B33C19"/>
    <w:rsid w:val="00B35A15"/>
    <w:rsid w:val="00B36A99"/>
    <w:rsid w:val="00B42264"/>
    <w:rsid w:val="00B434B2"/>
    <w:rsid w:val="00B43D45"/>
    <w:rsid w:val="00B468F2"/>
    <w:rsid w:val="00B469DE"/>
    <w:rsid w:val="00B46BB9"/>
    <w:rsid w:val="00B47286"/>
    <w:rsid w:val="00B50234"/>
    <w:rsid w:val="00B51BF4"/>
    <w:rsid w:val="00B52C68"/>
    <w:rsid w:val="00B5372B"/>
    <w:rsid w:val="00B542FE"/>
    <w:rsid w:val="00B55A1B"/>
    <w:rsid w:val="00B561DB"/>
    <w:rsid w:val="00B56DF9"/>
    <w:rsid w:val="00B600BD"/>
    <w:rsid w:val="00B60331"/>
    <w:rsid w:val="00B61274"/>
    <w:rsid w:val="00B61DCE"/>
    <w:rsid w:val="00B62188"/>
    <w:rsid w:val="00B62F79"/>
    <w:rsid w:val="00B62F82"/>
    <w:rsid w:val="00B6306A"/>
    <w:rsid w:val="00B635E3"/>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21E4"/>
    <w:rsid w:val="00B823E0"/>
    <w:rsid w:val="00B8260D"/>
    <w:rsid w:val="00B82B78"/>
    <w:rsid w:val="00B845B4"/>
    <w:rsid w:val="00B84662"/>
    <w:rsid w:val="00B84C74"/>
    <w:rsid w:val="00B85191"/>
    <w:rsid w:val="00B858A1"/>
    <w:rsid w:val="00B85FEC"/>
    <w:rsid w:val="00B864A3"/>
    <w:rsid w:val="00B86C2A"/>
    <w:rsid w:val="00B902A5"/>
    <w:rsid w:val="00B90420"/>
    <w:rsid w:val="00B90848"/>
    <w:rsid w:val="00B91146"/>
    <w:rsid w:val="00B913E4"/>
    <w:rsid w:val="00B91DB9"/>
    <w:rsid w:val="00B91FF3"/>
    <w:rsid w:val="00B93EFE"/>
    <w:rsid w:val="00B93F2F"/>
    <w:rsid w:val="00B944B9"/>
    <w:rsid w:val="00B94956"/>
    <w:rsid w:val="00B94C7F"/>
    <w:rsid w:val="00B94E93"/>
    <w:rsid w:val="00B956B5"/>
    <w:rsid w:val="00B96DF2"/>
    <w:rsid w:val="00B96E18"/>
    <w:rsid w:val="00B96F5A"/>
    <w:rsid w:val="00BA0B39"/>
    <w:rsid w:val="00BA0CB2"/>
    <w:rsid w:val="00BA0E26"/>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4342"/>
    <w:rsid w:val="00BF4704"/>
    <w:rsid w:val="00BF4FFC"/>
    <w:rsid w:val="00BF5050"/>
    <w:rsid w:val="00BF50D1"/>
    <w:rsid w:val="00BF52BD"/>
    <w:rsid w:val="00BF5422"/>
    <w:rsid w:val="00BF59B1"/>
    <w:rsid w:val="00BF6A78"/>
    <w:rsid w:val="00BF7695"/>
    <w:rsid w:val="00BF79B4"/>
    <w:rsid w:val="00BF7C61"/>
    <w:rsid w:val="00C01427"/>
    <w:rsid w:val="00C014C7"/>
    <w:rsid w:val="00C047AB"/>
    <w:rsid w:val="00C058AF"/>
    <w:rsid w:val="00C124C1"/>
    <w:rsid w:val="00C128AE"/>
    <w:rsid w:val="00C12BA8"/>
    <w:rsid w:val="00C136D6"/>
    <w:rsid w:val="00C13D5B"/>
    <w:rsid w:val="00C141D7"/>
    <w:rsid w:val="00C1711B"/>
    <w:rsid w:val="00C17AE2"/>
    <w:rsid w:val="00C20140"/>
    <w:rsid w:val="00C20F27"/>
    <w:rsid w:val="00C215CF"/>
    <w:rsid w:val="00C2244B"/>
    <w:rsid w:val="00C22711"/>
    <w:rsid w:val="00C2280A"/>
    <w:rsid w:val="00C22B0D"/>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5D01"/>
    <w:rsid w:val="00C360B3"/>
    <w:rsid w:val="00C37027"/>
    <w:rsid w:val="00C37B19"/>
    <w:rsid w:val="00C413CB"/>
    <w:rsid w:val="00C42752"/>
    <w:rsid w:val="00C42973"/>
    <w:rsid w:val="00C5034F"/>
    <w:rsid w:val="00C50830"/>
    <w:rsid w:val="00C52479"/>
    <w:rsid w:val="00C5266E"/>
    <w:rsid w:val="00C52C59"/>
    <w:rsid w:val="00C5349E"/>
    <w:rsid w:val="00C539FF"/>
    <w:rsid w:val="00C544BD"/>
    <w:rsid w:val="00C54D3D"/>
    <w:rsid w:val="00C55A30"/>
    <w:rsid w:val="00C56384"/>
    <w:rsid w:val="00C60F8C"/>
    <w:rsid w:val="00C61794"/>
    <w:rsid w:val="00C62A48"/>
    <w:rsid w:val="00C62AC4"/>
    <w:rsid w:val="00C62B59"/>
    <w:rsid w:val="00C62F96"/>
    <w:rsid w:val="00C631E1"/>
    <w:rsid w:val="00C638D8"/>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3214"/>
    <w:rsid w:val="00C8329F"/>
    <w:rsid w:val="00C84F8A"/>
    <w:rsid w:val="00C85BA4"/>
    <w:rsid w:val="00C8618F"/>
    <w:rsid w:val="00C8625D"/>
    <w:rsid w:val="00C90372"/>
    <w:rsid w:val="00C9041F"/>
    <w:rsid w:val="00C9166B"/>
    <w:rsid w:val="00C91A45"/>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B19FE"/>
    <w:rsid w:val="00CB2364"/>
    <w:rsid w:val="00CB304C"/>
    <w:rsid w:val="00CB3933"/>
    <w:rsid w:val="00CB53E8"/>
    <w:rsid w:val="00CB594A"/>
    <w:rsid w:val="00CB5CB2"/>
    <w:rsid w:val="00CB6979"/>
    <w:rsid w:val="00CB7DDE"/>
    <w:rsid w:val="00CC0A3D"/>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26DC"/>
    <w:rsid w:val="00D12B03"/>
    <w:rsid w:val="00D13E70"/>
    <w:rsid w:val="00D16C58"/>
    <w:rsid w:val="00D17019"/>
    <w:rsid w:val="00D17FC8"/>
    <w:rsid w:val="00D20B44"/>
    <w:rsid w:val="00D21168"/>
    <w:rsid w:val="00D2438C"/>
    <w:rsid w:val="00D26C3F"/>
    <w:rsid w:val="00D27185"/>
    <w:rsid w:val="00D33AB3"/>
    <w:rsid w:val="00D33F24"/>
    <w:rsid w:val="00D34160"/>
    <w:rsid w:val="00D346B8"/>
    <w:rsid w:val="00D34DCA"/>
    <w:rsid w:val="00D35AC8"/>
    <w:rsid w:val="00D36F87"/>
    <w:rsid w:val="00D37E4E"/>
    <w:rsid w:val="00D417D8"/>
    <w:rsid w:val="00D41F78"/>
    <w:rsid w:val="00D42E6C"/>
    <w:rsid w:val="00D4351C"/>
    <w:rsid w:val="00D43B80"/>
    <w:rsid w:val="00D44988"/>
    <w:rsid w:val="00D45B4C"/>
    <w:rsid w:val="00D45BA4"/>
    <w:rsid w:val="00D471AF"/>
    <w:rsid w:val="00D4724F"/>
    <w:rsid w:val="00D47FC3"/>
    <w:rsid w:val="00D50519"/>
    <w:rsid w:val="00D51601"/>
    <w:rsid w:val="00D51ECB"/>
    <w:rsid w:val="00D5264C"/>
    <w:rsid w:val="00D52BBC"/>
    <w:rsid w:val="00D537FE"/>
    <w:rsid w:val="00D53CC9"/>
    <w:rsid w:val="00D54A6A"/>
    <w:rsid w:val="00D54B8F"/>
    <w:rsid w:val="00D55951"/>
    <w:rsid w:val="00D57EB6"/>
    <w:rsid w:val="00D608C0"/>
    <w:rsid w:val="00D60D6D"/>
    <w:rsid w:val="00D66D8B"/>
    <w:rsid w:val="00D70849"/>
    <w:rsid w:val="00D72297"/>
    <w:rsid w:val="00D72A1C"/>
    <w:rsid w:val="00D7308F"/>
    <w:rsid w:val="00D7313E"/>
    <w:rsid w:val="00D73580"/>
    <w:rsid w:val="00D73802"/>
    <w:rsid w:val="00D73C2C"/>
    <w:rsid w:val="00D73D52"/>
    <w:rsid w:val="00D745E7"/>
    <w:rsid w:val="00D774ED"/>
    <w:rsid w:val="00D777C3"/>
    <w:rsid w:val="00D77C44"/>
    <w:rsid w:val="00D77F88"/>
    <w:rsid w:val="00D81AFA"/>
    <w:rsid w:val="00D81EAA"/>
    <w:rsid w:val="00D81FE2"/>
    <w:rsid w:val="00D8259F"/>
    <w:rsid w:val="00D825F2"/>
    <w:rsid w:val="00D8285C"/>
    <w:rsid w:val="00D828B1"/>
    <w:rsid w:val="00D83D49"/>
    <w:rsid w:val="00D84181"/>
    <w:rsid w:val="00D84754"/>
    <w:rsid w:val="00D84F27"/>
    <w:rsid w:val="00D853F0"/>
    <w:rsid w:val="00D86D47"/>
    <w:rsid w:val="00D8710C"/>
    <w:rsid w:val="00D873C6"/>
    <w:rsid w:val="00D9074A"/>
    <w:rsid w:val="00D9099E"/>
    <w:rsid w:val="00D9193A"/>
    <w:rsid w:val="00D923B2"/>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F62"/>
    <w:rsid w:val="00DB21E7"/>
    <w:rsid w:val="00DB2E03"/>
    <w:rsid w:val="00DB3742"/>
    <w:rsid w:val="00DB3E9B"/>
    <w:rsid w:val="00DB3F4B"/>
    <w:rsid w:val="00DB5375"/>
    <w:rsid w:val="00DB67C1"/>
    <w:rsid w:val="00DB6C0B"/>
    <w:rsid w:val="00DB70F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A1D"/>
    <w:rsid w:val="00DE15B2"/>
    <w:rsid w:val="00DE1A9A"/>
    <w:rsid w:val="00DE3D2C"/>
    <w:rsid w:val="00DE5E82"/>
    <w:rsid w:val="00DE5FA6"/>
    <w:rsid w:val="00DE6792"/>
    <w:rsid w:val="00DE6AA1"/>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608"/>
    <w:rsid w:val="00DF6CCC"/>
    <w:rsid w:val="00DF6D0C"/>
    <w:rsid w:val="00DF6F64"/>
    <w:rsid w:val="00DF721E"/>
    <w:rsid w:val="00DF7B8A"/>
    <w:rsid w:val="00DF7C87"/>
    <w:rsid w:val="00E009B0"/>
    <w:rsid w:val="00E00A12"/>
    <w:rsid w:val="00E00C49"/>
    <w:rsid w:val="00E0219D"/>
    <w:rsid w:val="00E04C0F"/>
    <w:rsid w:val="00E0570B"/>
    <w:rsid w:val="00E10913"/>
    <w:rsid w:val="00E10B87"/>
    <w:rsid w:val="00E121CE"/>
    <w:rsid w:val="00E1478B"/>
    <w:rsid w:val="00E14FAC"/>
    <w:rsid w:val="00E15007"/>
    <w:rsid w:val="00E16277"/>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4440"/>
    <w:rsid w:val="00E46013"/>
    <w:rsid w:val="00E47099"/>
    <w:rsid w:val="00E47284"/>
    <w:rsid w:val="00E477C3"/>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F0A"/>
    <w:rsid w:val="00E815D4"/>
    <w:rsid w:val="00E8291B"/>
    <w:rsid w:val="00E82E70"/>
    <w:rsid w:val="00E82F92"/>
    <w:rsid w:val="00E8395F"/>
    <w:rsid w:val="00E8410F"/>
    <w:rsid w:val="00E849D7"/>
    <w:rsid w:val="00E85E41"/>
    <w:rsid w:val="00E85EA1"/>
    <w:rsid w:val="00E86703"/>
    <w:rsid w:val="00E91044"/>
    <w:rsid w:val="00E910D3"/>
    <w:rsid w:val="00E92154"/>
    <w:rsid w:val="00E923CF"/>
    <w:rsid w:val="00E93685"/>
    <w:rsid w:val="00E93B65"/>
    <w:rsid w:val="00E93C8C"/>
    <w:rsid w:val="00E95111"/>
    <w:rsid w:val="00E95FDF"/>
    <w:rsid w:val="00EA14C8"/>
    <w:rsid w:val="00EA2110"/>
    <w:rsid w:val="00EA283A"/>
    <w:rsid w:val="00EA2C90"/>
    <w:rsid w:val="00EA2E07"/>
    <w:rsid w:val="00EA48F3"/>
    <w:rsid w:val="00EA60BF"/>
    <w:rsid w:val="00EA7365"/>
    <w:rsid w:val="00EA763F"/>
    <w:rsid w:val="00EA77E9"/>
    <w:rsid w:val="00EB05D0"/>
    <w:rsid w:val="00EB1151"/>
    <w:rsid w:val="00EB1D49"/>
    <w:rsid w:val="00EB23D9"/>
    <w:rsid w:val="00EB39A0"/>
    <w:rsid w:val="00EB559F"/>
    <w:rsid w:val="00EB566C"/>
    <w:rsid w:val="00EB5F3D"/>
    <w:rsid w:val="00EC1CEB"/>
    <w:rsid w:val="00EC1DC0"/>
    <w:rsid w:val="00EC1DC2"/>
    <w:rsid w:val="00EC21EC"/>
    <w:rsid w:val="00EC24B8"/>
    <w:rsid w:val="00EC268C"/>
    <w:rsid w:val="00EC3753"/>
    <w:rsid w:val="00EC4E71"/>
    <w:rsid w:val="00EC5F1C"/>
    <w:rsid w:val="00ED0365"/>
    <w:rsid w:val="00ED0865"/>
    <w:rsid w:val="00ED1C60"/>
    <w:rsid w:val="00ED2EB9"/>
    <w:rsid w:val="00ED3A31"/>
    <w:rsid w:val="00ED4469"/>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EA"/>
    <w:rsid w:val="00F070E5"/>
    <w:rsid w:val="00F07DDE"/>
    <w:rsid w:val="00F11675"/>
    <w:rsid w:val="00F12557"/>
    <w:rsid w:val="00F13599"/>
    <w:rsid w:val="00F13B28"/>
    <w:rsid w:val="00F156A0"/>
    <w:rsid w:val="00F15730"/>
    <w:rsid w:val="00F202C2"/>
    <w:rsid w:val="00F212F6"/>
    <w:rsid w:val="00F22756"/>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B81"/>
    <w:rsid w:val="00F540FE"/>
    <w:rsid w:val="00F556FF"/>
    <w:rsid w:val="00F55D12"/>
    <w:rsid w:val="00F5687F"/>
    <w:rsid w:val="00F575C7"/>
    <w:rsid w:val="00F57FD0"/>
    <w:rsid w:val="00F60305"/>
    <w:rsid w:val="00F61B12"/>
    <w:rsid w:val="00F63264"/>
    <w:rsid w:val="00F634E4"/>
    <w:rsid w:val="00F6379E"/>
    <w:rsid w:val="00F65171"/>
    <w:rsid w:val="00F6560D"/>
    <w:rsid w:val="00F67844"/>
    <w:rsid w:val="00F70799"/>
    <w:rsid w:val="00F70A8B"/>
    <w:rsid w:val="00F70B8D"/>
    <w:rsid w:val="00F724FB"/>
    <w:rsid w:val="00F726B8"/>
    <w:rsid w:val="00F72A26"/>
    <w:rsid w:val="00F733C3"/>
    <w:rsid w:val="00F746A1"/>
    <w:rsid w:val="00F756DD"/>
    <w:rsid w:val="00F76805"/>
    <w:rsid w:val="00F77F4E"/>
    <w:rsid w:val="00F80047"/>
    <w:rsid w:val="00F800C7"/>
    <w:rsid w:val="00F8104D"/>
    <w:rsid w:val="00F81587"/>
    <w:rsid w:val="00F8288F"/>
    <w:rsid w:val="00F84802"/>
    <w:rsid w:val="00F85B72"/>
    <w:rsid w:val="00F86540"/>
    <w:rsid w:val="00F865CE"/>
    <w:rsid w:val="00F8766F"/>
    <w:rsid w:val="00F91082"/>
    <w:rsid w:val="00F9116D"/>
    <w:rsid w:val="00F91A9A"/>
    <w:rsid w:val="00F93ABB"/>
    <w:rsid w:val="00F9432B"/>
    <w:rsid w:val="00F94D79"/>
    <w:rsid w:val="00F9658C"/>
    <w:rsid w:val="00F97A7F"/>
    <w:rsid w:val="00FA0889"/>
    <w:rsid w:val="00FA16E7"/>
    <w:rsid w:val="00FA31C7"/>
    <w:rsid w:val="00FA472D"/>
    <w:rsid w:val="00FB0CBF"/>
    <w:rsid w:val="00FB18F6"/>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525"/>
    <w:rsid w:val="00FD0AB7"/>
    <w:rsid w:val="00FD297D"/>
    <w:rsid w:val="00FD2D13"/>
    <w:rsid w:val="00FD374D"/>
    <w:rsid w:val="00FD4D9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9AA"/>
    <w:rsid w:val="00FF1C9B"/>
    <w:rsid w:val="00FF1D49"/>
    <w:rsid w:val="00FF203B"/>
    <w:rsid w:val="00FF2562"/>
    <w:rsid w:val="00FF3A41"/>
    <w:rsid w:val="00FF3E5B"/>
    <w:rsid w:val="00FF57E4"/>
    <w:rsid w:val="00FF78E5"/>
    <w:rsid w:val="01110A6F"/>
    <w:rsid w:val="01453A14"/>
    <w:rsid w:val="01537940"/>
    <w:rsid w:val="01940B29"/>
    <w:rsid w:val="019B21D0"/>
    <w:rsid w:val="01AB1305"/>
    <w:rsid w:val="01AF3D99"/>
    <w:rsid w:val="01D7025B"/>
    <w:rsid w:val="01D91C46"/>
    <w:rsid w:val="01E27F38"/>
    <w:rsid w:val="01E54F06"/>
    <w:rsid w:val="020764BD"/>
    <w:rsid w:val="02186A33"/>
    <w:rsid w:val="02373C81"/>
    <w:rsid w:val="02511F9D"/>
    <w:rsid w:val="025B6CE5"/>
    <w:rsid w:val="026305F6"/>
    <w:rsid w:val="02852338"/>
    <w:rsid w:val="02873D31"/>
    <w:rsid w:val="02903F44"/>
    <w:rsid w:val="029C127C"/>
    <w:rsid w:val="02A1704F"/>
    <w:rsid w:val="02C82D67"/>
    <w:rsid w:val="02D51BF3"/>
    <w:rsid w:val="02DA4630"/>
    <w:rsid w:val="02E67647"/>
    <w:rsid w:val="03117246"/>
    <w:rsid w:val="03165668"/>
    <w:rsid w:val="03200295"/>
    <w:rsid w:val="032558AB"/>
    <w:rsid w:val="03341ECF"/>
    <w:rsid w:val="0341645D"/>
    <w:rsid w:val="03466AF6"/>
    <w:rsid w:val="03577C79"/>
    <w:rsid w:val="03743909"/>
    <w:rsid w:val="0375457C"/>
    <w:rsid w:val="039424ED"/>
    <w:rsid w:val="0397607D"/>
    <w:rsid w:val="039E740C"/>
    <w:rsid w:val="03A314B8"/>
    <w:rsid w:val="03D82B98"/>
    <w:rsid w:val="03DB4418"/>
    <w:rsid w:val="03DC70CE"/>
    <w:rsid w:val="03E413F2"/>
    <w:rsid w:val="03F83E8B"/>
    <w:rsid w:val="04115E30"/>
    <w:rsid w:val="041B280B"/>
    <w:rsid w:val="041D209E"/>
    <w:rsid w:val="04212621"/>
    <w:rsid w:val="04482E3E"/>
    <w:rsid w:val="044B494F"/>
    <w:rsid w:val="04522127"/>
    <w:rsid w:val="04542191"/>
    <w:rsid w:val="045B52B1"/>
    <w:rsid w:val="045D0E4E"/>
    <w:rsid w:val="04633ABF"/>
    <w:rsid w:val="04737A75"/>
    <w:rsid w:val="04934A97"/>
    <w:rsid w:val="049B2512"/>
    <w:rsid w:val="04C74740"/>
    <w:rsid w:val="04CA22E8"/>
    <w:rsid w:val="051C67EE"/>
    <w:rsid w:val="051E1A4B"/>
    <w:rsid w:val="05436217"/>
    <w:rsid w:val="054B3669"/>
    <w:rsid w:val="058203EE"/>
    <w:rsid w:val="059C29EE"/>
    <w:rsid w:val="05B303F8"/>
    <w:rsid w:val="05C56868"/>
    <w:rsid w:val="05DA68EB"/>
    <w:rsid w:val="05E701AC"/>
    <w:rsid w:val="05F96B7B"/>
    <w:rsid w:val="062953B8"/>
    <w:rsid w:val="0636658B"/>
    <w:rsid w:val="066506C3"/>
    <w:rsid w:val="06D27AF8"/>
    <w:rsid w:val="06E07C6C"/>
    <w:rsid w:val="06F5543A"/>
    <w:rsid w:val="06FA7C7C"/>
    <w:rsid w:val="070B4DB8"/>
    <w:rsid w:val="07172DBD"/>
    <w:rsid w:val="071A1088"/>
    <w:rsid w:val="071A5AD2"/>
    <w:rsid w:val="072F6BFE"/>
    <w:rsid w:val="075729E8"/>
    <w:rsid w:val="078F59E9"/>
    <w:rsid w:val="079834B4"/>
    <w:rsid w:val="079D563B"/>
    <w:rsid w:val="07B17179"/>
    <w:rsid w:val="07B72767"/>
    <w:rsid w:val="07CD7F44"/>
    <w:rsid w:val="07E44E4B"/>
    <w:rsid w:val="07E8411E"/>
    <w:rsid w:val="08077E72"/>
    <w:rsid w:val="081C4DA3"/>
    <w:rsid w:val="081E0B1B"/>
    <w:rsid w:val="087859A8"/>
    <w:rsid w:val="088542E4"/>
    <w:rsid w:val="08882DD0"/>
    <w:rsid w:val="088E7A4F"/>
    <w:rsid w:val="0892621C"/>
    <w:rsid w:val="08A07782"/>
    <w:rsid w:val="08AC29CC"/>
    <w:rsid w:val="08B03E69"/>
    <w:rsid w:val="08BC3C9A"/>
    <w:rsid w:val="08C939D2"/>
    <w:rsid w:val="08FF5E97"/>
    <w:rsid w:val="091A12E3"/>
    <w:rsid w:val="091E26BA"/>
    <w:rsid w:val="09347949"/>
    <w:rsid w:val="09473E97"/>
    <w:rsid w:val="094F1DD6"/>
    <w:rsid w:val="09526CCE"/>
    <w:rsid w:val="09656896"/>
    <w:rsid w:val="096F6562"/>
    <w:rsid w:val="09880942"/>
    <w:rsid w:val="098E11FE"/>
    <w:rsid w:val="0990710B"/>
    <w:rsid w:val="09AA4D5C"/>
    <w:rsid w:val="09CC2AAC"/>
    <w:rsid w:val="0A0623AC"/>
    <w:rsid w:val="0A0D4BC1"/>
    <w:rsid w:val="0A327A31"/>
    <w:rsid w:val="0A3665F0"/>
    <w:rsid w:val="0A3E527E"/>
    <w:rsid w:val="0A570314"/>
    <w:rsid w:val="0A597F12"/>
    <w:rsid w:val="0A652D3E"/>
    <w:rsid w:val="0A6D3F5F"/>
    <w:rsid w:val="0A8C4462"/>
    <w:rsid w:val="0ABC1905"/>
    <w:rsid w:val="0AE64FFC"/>
    <w:rsid w:val="0B001553"/>
    <w:rsid w:val="0B2E3315"/>
    <w:rsid w:val="0B326F2A"/>
    <w:rsid w:val="0B3824C3"/>
    <w:rsid w:val="0B464611"/>
    <w:rsid w:val="0B4E5E32"/>
    <w:rsid w:val="0B562E43"/>
    <w:rsid w:val="0B7D3E4C"/>
    <w:rsid w:val="0B810015"/>
    <w:rsid w:val="0BDE2A9B"/>
    <w:rsid w:val="0BF579BD"/>
    <w:rsid w:val="0BF7590B"/>
    <w:rsid w:val="0BFD62AF"/>
    <w:rsid w:val="0C1E2888"/>
    <w:rsid w:val="0C28100C"/>
    <w:rsid w:val="0C321E1C"/>
    <w:rsid w:val="0C571AE4"/>
    <w:rsid w:val="0C591F54"/>
    <w:rsid w:val="0C6A0576"/>
    <w:rsid w:val="0C7A2DAD"/>
    <w:rsid w:val="0C7C16D5"/>
    <w:rsid w:val="0C92213C"/>
    <w:rsid w:val="0CA67FFA"/>
    <w:rsid w:val="0CC849F4"/>
    <w:rsid w:val="0CD32B4F"/>
    <w:rsid w:val="0D190642"/>
    <w:rsid w:val="0D2B61B4"/>
    <w:rsid w:val="0D363C18"/>
    <w:rsid w:val="0D4121EA"/>
    <w:rsid w:val="0D4439CF"/>
    <w:rsid w:val="0D630CAD"/>
    <w:rsid w:val="0D84032B"/>
    <w:rsid w:val="0DAD6BC9"/>
    <w:rsid w:val="0DD22BA2"/>
    <w:rsid w:val="0DEA55DF"/>
    <w:rsid w:val="0DF740CC"/>
    <w:rsid w:val="0E050360"/>
    <w:rsid w:val="0E15476E"/>
    <w:rsid w:val="0E2543A1"/>
    <w:rsid w:val="0E5F18C2"/>
    <w:rsid w:val="0E720B77"/>
    <w:rsid w:val="0E9E2C56"/>
    <w:rsid w:val="0EC515E6"/>
    <w:rsid w:val="0EC964B7"/>
    <w:rsid w:val="0EF07E75"/>
    <w:rsid w:val="0F026AA1"/>
    <w:rsid w:val="0F0E5742"/>
    <w:rsid w:val="0F2A74C4"/>
    <w:rsid w:val="0F2C1932"/>
    <w:rsid w:val="0F5117D6"/>
    <w:rsid w:val="0F583593"/>
    <w:rsid w:val="0F7335C5"/>
    <w:rsid w:val="0F7A2AA0"/>
    <w:rsid w:val="0F837278"/>
    <w:rsid w:val="0F925EC4"/>
    <w:rsid w:val="0F9C7391"/>
    <w:rsid w:val="0F9D4A1B"/>
    <w:rsid w:val="0FA45DAA"/>
    <w:rsid w:val="0FAF1BF2"/>
    <w:rsid w:val="0FC712FE"/>
    <w:rsid w:val="10161934"/>
    <w:rsid w:val="10251340"/>
    <w:rsid w:val="10641151"/>
    <w:rsid w:val="106F51B1"/>
    <w:rsid w:val="10931ACE"/>
    <w:rsid w:val="109B6655"/>
    <w:rsid w:val="10A27F31"/>
    <w:rsid w:val="10F1501F"/>
    <w:rsid w:val="10FC2107"/>
    <w:rsid w:val="11032C95"/>
    <w:rsid w:val="11093B3B"/>
    <w:rsid w:val="112475FA"/>
    <w:rsid w:val="112D231A"/>
    <w:rsid w:val="117E0D2D"/>
    <w:rsid w:val="11927058"/>
    <w:rsid w:val="119569CB"/>
    <w:rsid w:val="11C75D80"/>
    <w:rsid w:val="11DA2E3D"/>
    <w:rsid w:val="11F85D0B"/>
    <w:rsid w:val="121B27CB"/>
    <w:rsid w:val="121B5B97"/>
    <w:rsid w:val="12394ECF"/>
    <w:rsid w:val="123B7E78"/>
    <w:rsid w:val="123D2461"/>
    <w:rsid w:val="12617F82"/>
    <w:rsid w:val="127777A6"/>
    <w:rsid w:val="128351DA"/>
    <w:rsid w:val="12837F21"/>
    <w:rsid w:val="128568D3"/>
    <w:rsid w:val="12BB108C"/>
    <w:rsid w:val="12C64289"/>
    <w:rsid w:val="12DA00AC"/>
    <w:rsid w:val="12E806A4"/>
    <w:rsid w:val="12FF3A23"/>
    <w:rsid w:val="13083BBE"/>
    <w:rsid w:val="133B4C77"/>
    <w:rsid w:val="134402CD"/>
    <w:rsid w:val="134E102A"/>
    <w:rsid w:val="13724411"/>
    <w:rsid w:val="137B32C6"/>
    <w:rsid w:val="13810071"/>
    <w:rsid w:val="13857CA0"/>
    <w:rsid w:val="13AF4F03"/>
    <w:rsid w:val="13B4248C"/>
    <w:rsid w:val="14036270"/>
    <w:rsid w:val="14082F71"/>
    <w:rsid w:val="14150063"/>
    <w:rsid w:val="14574B33"/>
    <w:rsid w:val="145C3CF6"/>
    <w:rsid w:val="14736E66"/>
    <w:rsid w:val="147F458F"/>
    <w:rsid w:val="14AA0EF6"/>
    <w:rsid w:val="14D26F15"/>
    <w:rsid w:val="14ED5D32"/>
    <w:rsid w:val="1513210A"/>
    <w:rsid w:val="15173EFA"/>
    <w:rsid w:val="1518152A"/>
    <w:rsid w:val="1534169A"/>
    <w:rsid w:val="15440C7D"/>
    <w:rsid w:val="157A7748"/>
    <w:rsid w:val="158E6EBC"/>
    <w:rsid w:val="15911144"/>
    <w:rsid w:val="15985B99"/>
    <w:rsid w:val="15A81015"/>
    <w:rsid w:val="15C03E03"/>
    <w:rsid w:val="15C342FB"/>
    <w:rsid w:val="162A25EB"/>
    <w:rsid w:val="163065E9"/>
    <w:rsid w:val="165322D8"/>
    <w:rsid w:val="167B3A7C"/>
    <w:rsid w:val="16902B0E"/>
    <w:rsid w:val="16BA50F9"/>
    <w:rsid w:val="16D14F07"/>
    <w:rsid w:val="16E80F72"/>
    <w:rsid w:val="16EB2E9A"/>
    <w:rsid w:val="16FB6445"/>
    <w:rsid w:val="16FD2A55"/>
    <w:rsid w:val="17067C1A"/>
    <w:rsid w:val="1726732E"/>
    <w:rsid w:val="173133A2"/>
    <w:rsid w:val="17366761"/>
    <w:rsid w:val="17487963"/>
    <w:rsid w:val="174C7453"/>
    <w:rsid w:val="174E7F10"/>
    <w:rsid w:val="175778E0"/>
    <w:rsid w:val="175F03DF"/>
    <w:rsid w:val="176C3651"/>
    <w:rsid w:val="17773DA4"/>
    <w:rsid w:val="177C01F0"/>
    <w:rsid w:val="17951BA3"/>
    <w:rsid w:val="17966920"/>
    <w:rsid w:val="17B61536"/>
    <w:rsid w:val="17B90E37"/>
    <w:rsid w:val="17C32827"/>
    <w:rsid w:val="17CE6630"/>
    <w:rsid w:val="180C21A9"/>
    <w:rsid w:val="182009F5"/>
    <w:rsid w:val="184F4E75"/>
    <w:rsid w:val="18583BD5"/>
    <w:rsid w:val="18752A18"/>
    <w:rsid w:val="1879445E"/>
    <w:rsid w:val="1895161F"/>
    <w:rsid w:val="189F7A56"/>
    <w:rsid w:val="18A14AFB"/>
    <w:rsid w:val="18A61854"/>
    <w:rsid w:val="18EB6059"/>
    <w:rsid w:val="19212836"/>
    <w:rsid w:val="19362900"/>
    <w:rsid w:val="195E1AA7"/>
    <w:rsid w:val="19782558"/>
    <w:rsid w:val="19C37626"/>
    <w:rsid w:val="19E00326"/>
    <w:rsid w:val="19E74BB9"/>
    <w:rsid w:val="19F639A8"/>
    <w:rsid w:val="19F817FB"/>
    <w:rsid w:val="19F85670"/>
    <w:rsid w:val="1A5C40F9"/>
    <w:rsid w:val="1A5D4FD8"/>
    <w:rsid w:val="1A9A04D5"/>
    <w:rsid w:val="1AA11864"/>
    <w:rsid w:val="1AD314D9"/>
    <w:rsid w:val="1AD51BC6"/>
    <w:rsid w:val="1AD94B09"/>
    <w:rsid w:val="1AFF0AFE"/>
    <w:rsid w:val="1AFF658A"/>
    <w:rsid w:val="1B0A4C16"/>
    <w:rsid w:val="1B283D33"/>
    <w:rsid w:val="1B3136F1"/>
    <w:rsid w:val="1B4F19F8"/>
    <w:rsid w:val="1B7725C5"/>
    <w:rsid w:val="1B8C2514"/>
    <w:rsid w:val="1B8F0912"/>
    <w:rsid w:val="1BC86BBE"/>
    <w:rsid w:val="1BD143CB"/>
    <w:rsid w:val="1BD45C69"/>
    <w:rsid w:val="1BE063BC"/>
    <w:rsid w:val="1BEA0FE8"/>
    <w:rsid w:val="1C0E531C"/>
    <w:rsid w:val="1C1678EA"/>
    <w:rsid w:val="1C300A7B"/>
    <w:rsid w:val="1C395ACC"/>
    <w:rsid w:val="1C4A27F6"/>
    <w:rsid w:val="1C5F0079"/>
    <w:rsid w:val="1C603A25"/>
    <w:rsid w:val="1CA00CDD"/>
    <w:rsid w:val="1CB3587E"/>
    <w:rsid w:val="1CBD5116"/>
    <w:rsid w:val="1CE60C60"/>
    <w:rsid w:val="1CF30708"/>
    <w:rsid w:val="1CF77E61"/>
    <w:rsid w:val="1D167816"/>
    <w:rsid w:val="1D19579E"/>
    <w:rsid w:val="1D37200B"/>
    <w:rsid w:val="1D5670A8"/>
    <w:rsid w:val="1D5E1C8E"/>
    <w:rsid w:val="1D745772"/>
    <w:rsid w:val="1D752B34"/>
    <w:rsid w:val="1DC738B3"/>
    <w:rsid w:val="1DC74EB2"/>
    <w:rsid w:val="1DCF492F"/>
    <w:rsid w:val="1E026ABD"/>
    <w:rsid w:val="1E06522E"/>
    <w:rsid w:val="1E0706A2"/>
    <w:rsid w:val="1E0C13CE"/>
    <w:rsid w:val="1E0D33FD"/>
    <w:rsid w:val="1E226E91"/>
    <w:rsid w:val="1E230457"/>
    <w:rsid w:val="1E4946EC"/>
    <w:rsid w:val="1EB17EFD"/>
    <w:rsid w:val="1EC03F36"/>
    <w:rsid w:val="1ECB2576"/>
    <w:rsid w:val="1ECC44FA"/>
    <w:rsid w:val="1ED64592"/>
    <w:rsid w:val="1EE349E1"/>
    <w:rsid w:val="1EE6603F"/>
    <w:rsid w:val="1EEC5348"/>
    <w:rsid w:val="1EF06916"/>
    <w:rsid w:val="1EF8733D"/>
    <w:rsid w:val="1EFA7794"/>
    <w:rsid w:val="1F063325"/>
    <w:rsid w:val="1F075060"/>
    <w:rsid w:val="1F0B3750"/>
    <w:rsid w:val="1F171A53"/>
    <w:rsid w:val="1F171E1D"/>
    <w:rsid w:val="1F3D1705"/>
    <w:rsid w:val="1F4D219C"/>
    <w:rsid w:val="1F72557D"/>
    <w:rsid w:val="1F8359DC"/>
    <w:rsid w:val="1FBC5DF5"/>
    <w:rsid w:val="1FD16A32"/>
    <w:rsid w:val="1FDC03C8"/>
    <w:rsid w:val="20014B53"/>
    <w:rsid w:val="200A7EAB"/>
    <w:rsid w:val="200C10F4"/>
    <w:rsid w:val="201C2473"/>
    <w:rsid w:val="2030445E"/>
    <w:rsid w:val="203C233D"/>
    <w:rsid w:val="20590CF1"/>
    <w:rsid w:val="205D2331"/>
    <w:rsid w:val="205F71A6"/>
    <w:rsid w:val="207D60E1"/>
    <w:rsid w:val="207E43F5"/>
    <w:rsid w:val="20847C5E"/>
    <w:rsid w:val="20931C4F"/>
    <w:rsid w:val="20C3623F"/>
    <w:rsid w:val="20FE4B52"/>
    <w:rsid w:val="210E7DC4"/>
    <w:rsid w:val="213A339D"/>
    <w:rsid w:val="2146558E"/>
    <w:rsid w:val="216B2BCB"/>
    <w:rsid w:val="21747B75"/>
    <w:rsid w:val="217575A6"/>
    <w:rsid w:val="21781212"/>
    <w:rsid w:val="21953CE4"/>
    <w:rsid w:val="21977250"/>
    <w:rsid w:val="219A4FB7"/>
    <w:rsid w:val="21B83F86"/>
    <w:rsid w:val="21CB262D"/>
    <w:rsid w:val="221178A8"/>
    <w:rsid w:val="221213CF"/>
    <w:rsid w:val="221652A6"/>
    <w:rsid w:val="221805EB"/>
    <w:rsid w:val="22327A92"/>
    <w:rsid w:val="223E208E"/>
    <w:rsid w:val="225064B7"/>
    <w:rsid w:val="229D0ACF"/>
    <w:rsid w:val="22A75E85"/>
    <w:rsid w:val="22FF181D"/>
    <w:rsid w:val="231D53A2"/>
    <w:rsid w:val="23384D2F"/>
    <w:rsid w:val="234B220C"/>
    <w:rsid w:val="23517B9F"/>
    <w:rsid w:val="236B56CD"/>
    <w:rsid w:val="236D5383"/>
    <w:rsid w:val="23711FEF"/>
    <w:rsid w:val="23806DC2"/>
    <w:rsid w:val="23B7504C"/>
    <w:rsid w:val="23B8381F"/>
    <w:rsid w:val="23C85D95"/>
    <w:rsid w:val="23D21E51"/>
    <w:rsid w:val="23D70C5F"/>
    <w:rsid w:val="2438587A"/>
    <w:rsid w:val="243A6885"/>
    <w:rsid w:val="24571307"/>
    <w:rsid w:val="24615980"/>
    <w:rsid w:val="24726A07"/>
    <w:rsid w:val="24AB32DF"/>
    <w:rsid w:val="24CB186C"/>
    <w:rsid w:val="24D44611"/>
    <w:rsid w:val="25096734"/>
    <w:rsid w:val="25110A2A"/>
    <w:rsid w:val="251175E6"/>
    <w:rsid w:val="2519649B"/>
    <w:rsid w:val="25213E48"/>
    <w:rsid w:val="25664E3C"/>
    <w:rsid w:val="256C0944"/>
    <w:rsid w:val="256C6F12"/>
    <w:rsid w:val="25733DFD"/>
    <w:rsid w:val="25755DC7"/>
    <w:rsid w:val="25785071"/>
    <w:rsid w:val="25866A35"/>
    <w:rsid w:val="25AB495B"/>
    <w:rsid w:val="25B55866"/>
    <w:rsid w:val="25BF03F7"/>
    <w:rsid w:val="26003E8A"/>
    <w:rsid w:val="261D1C9A"/>
    <w:rsid w:val="26366AE9"/>
    <w:rsid w:val="263D4CCB"/>
    <w:rsid w:val="26446DE3"/>
    <w:rsid w:val="264B69E4"/>
    <w:rsid w:val="26532FE2"/>
    <w:rsid w:val="26674FC9"/>
    <w:rsid w:val="266B506C"/>
    <w:rsid w:val="269669E7"/>
    <w:rsid w:val="26A27831"/>
    <w:rsid w:val="26A45353"/>
    <w:rsid w:val="26B24DF9"/>
    <w:rsid w:val="26B60AB5"/>
    <w:rsid w:val="26CF53D2"/>
    <w:rsid w:val="26D0702D"/>
    <w:rsid w:val="26D62895"/>
    <w:rsid w:val="26D7699F"/>
    <w:rsid w:val="26EA00EF"/>
    <w:rsid w:val="26F75F15"/>
    <w:rsid w:val="26F86CAF"/>
    <w:rsid w:val="271E248E"/>
    <w:rsid w:val="27532799"/>
    <w:rsid w:val="275A1EEC"/>
    <w:rsid w:val="276876B4"/>
    <w:rsid w:val="279317E0"/>
    <w:rsid w:val="279D0DF3"/>
    <w:rsid w:val="27A6495D"/>
    <w:rsid w:val="27B506FD"/>
    <w:rsid w:val="27D32B97"/>
    <w:rsid w:val="27EB411E"/>
    <w:rsid w:val="27F3052C"/>
    <w:rsid w:val="27F92964"/>
    <w:rsid w:val="280478D6"/>
    <w:rsid w:val="28164F13"/>
    <w:rsid w:val="286D6BDB"/>
    <w:rsid w:val="28757E8C"/>
    <w:rsid w:val="28856796"/>
    <w:rsid w:val="28944322"/>
    <w:rsid w:val="289645BF"/>
    <w:rsid w:val="28A90FBC"/>
    <w:rsid w:val="28DB23F9"/>
    <w:rsid w:val="29161E8D"/>
    <w:rsid w:val="296A6A4A"/>
    <w:rsid w:val="29752839"/>
    <w:rsid w:val="29892243"/>
    <w:rsid w:val="298D7828"/>
    <w:rsid w:val="29B50E88"/>
    <w:rsid w:val="29BB19F4"/>
    <w:rsid w:val="29E72626"/>
    <w:rsid w:val="29F23E8A"/>
    <w:rsid w:val="2A0C5D8F"/>
    <w:rsid w:val="2A1A63E5"/>
    <w:rsid w:val="2A3873C3"/>
    <w:rsid w:val="2A584228"/>
    <w:rsid w:val="2A6922B9"/>
    <w:rsid w:val="2A85652E"/>
    <w:rsid w:val="2A863051"/>
    <w:rsid w:val="2A8B68E5"/>
    <w:rsid w:val="2ABC35E0"/>
    <w:rsid w:val="2AC55FB0"/>
    <w:rsid w:val="2AC60E73"/>
    <w:rsid w:val="2AD52E64"/>
    <w:rsid w:val="2AD91FA9"/>
    <w:rsid w:val="2ADE7A7B"/>
    <w:rsid w:val="2AF77A6B"/>
    <w:rsid w:val="2B182A51"/>
    <w:rsid w:val="2B3103DB"/>
    <w:rsid w:val="2B3C3502"/>
    <w:rsid w:val="2B484F6D"/>
    <w:rsid w:val="2B715282"/>
    <w:rsid w:val="2B774624"/>
    <w:rsid w:val="2B785B65"/>
    <w:rsid w:val="2B813E17"/>
    <w:rsid w:val="2B956A91"/>
    <w:rsid w:val="2BBE1F5D"/>
    <w:rsid w:val="2BD10CEF"/>
    <w:rsid w:val="2BF7263E"/>
    <w:rsid w:val="2BFC0C83"/>
    <w:rsid w:val="2C4965DC"/>
    <w:rsid w:val="2C607DD3"/>
    <w:rsid w:val="2C6D7DE8"/>
    <w:rsid w:val="2C6E6C8C"/>
    <w:rsid w:val="2C7A72BE"/>
    <w:rsid w:val="2C7B55BE"/>
    <w:rsid w:val="2C9A25B7"/>
    <w:rsid w:val="2C9A7D75"/>
    <w:rsid w:val="2CE54C26"/>
    <w:rsid w:val="2CE66717"/>
    <w:rsid w:val="2D0F4D53"/>
    <w:rsid w:val="2D282CCB"/>
    <w:rsid w:val="2D3377FA"/>
    <w:rsid w:val="2DAC4350"/>
    <w:rsid w:val="2DBF3D12"/>
    <w:rsid w:val="2DCD6D90"/>
    <w:rsid w:val="2E1B7727"/>
    <w:rsid w:val="2E3A7BAD"/>
    <w:rsid w:val="2E590E7E"/>
    <w:rsid w:val="2E995110"/>
    <w:rsid w:val="2E9976CE"/>
    <w:rsid w:val="2EAC5AFB"/>
    <w:rsid w:val="2EAF68BC"/>
    <w:rsid w:val="2EBE5004"/>
    <w:rsid w:val="2F012479"/>
    <w:rsid w:val="2F2D0C8B"/>
    <w:rsid w:val="2F3837F9"/>
    <w:rsid w:val="2F3A31E3"/>
    <w:rsid w:val="2F401D3C"/>
    <w:rsid w:val="2F546A4D"/>
    <w:rsid w:val="2F5B24E1"/>
    <w:rsid w:val="2F6871D8"/>
    <w:rsid w:val="2F6C2E95"/>
    <w:rsid w:val="2F7E1D1C"/>
    <w:rsid w:val="2F7F4F95"/>
    <w:rsid w:val="2F9C6646"/>
    <w:rsid w:val="2F9F78B1"/>
    <w:rsid w:val="2FA95C88"/>
    <w:rsid w:val="2FCE0797"/>
    <w:rsid w:val="2FD14D77"/>
    <w:rsid w:val="2FD20E9E"/>
    <w:rsid w:val="30073B60"/>
    <w:rsid w:val="300B61AA"/>
    <w:rsid w:val="30305C6C"/>
    <w:rsid w:val="3041370F"/>
    <w:rsid w:val="3042544D"/>
    <w:rsid w:val="3062111C"/>
    <w:rsid w:val="306F2DA6"/>
    <w:rsid w:val="30922D6B"/>
    <w:rsid w:val="30936D56"/>
    <w:rsid w:val="30C65728"/>
    <w:rsid w:val="30C71BAB"/>
    <w:rsid w:val="30D20571"/>
    <w:rsid w:val="30D83F2F"/>
    <w:rsid w:val="30D8545C"/>
    <w:rsid w:val="30E2645D"/>
    <w:rsid w:val="30F63FC7"/>
    <w:rsid w:val="311F6C22"/>
    <w:rsid w:val="312B50A3"/>
    <w:rsid w:val="312C150D"/>
    <w:rsid w:val="31315982"/>
    <w:rsid w:val="31450206"/>
    <w:rsid w:val="3148579B"/>
    <w:rsid w:val="316D029A"/>
    <w:rsid w:val="3192160B"/>
    <w:rsid w:val="319C0B7F"/>
    <w:rsid w:val="31A4347E"/>
    <w:rsid w:val="31AB491E"/>
    <w:rsid w:val="31C06169"/>
    <w:rsid w:val="31E0356E"/>
    <w:rsid w:val="31E83DC4"/>
    <w:rsid w:val="31ED7AD3"/>
    <w:rsid w:val="31FD4341"/>
    <w:rsid w:val="32272869"/>
    <w:rsid w:val="32324F2E"/>
    <w:rsid w:val="323346DB"/>
    <w:rsid w:val="32342773"/>
    <w:rsid w:val="323B2146"/>
    <w:rsid w:val="323B5CA2"/>
    <w:rsid w:val="32453A27"/>
    <w:rsid w:val="3263064A"/>
    <w:rsid w:val="328278FC"/>
    <w:rsid w:val="32892EB1"/>
    <w:rsid w:val="32A43132"/>
    <w:rsid w:val="32AC0C06"/>
    <w:rsid w:val="32AC689F"/>
    <w:rsid w:val="32D549D9"/>
    <w:rsid w:val="32EF23DC"/>
    <w:rsid w:val="32F77716"/>
    <w:rsid w:val="332325D4"/>
    <w:rsid w:val="33344EF5"/>
    <w:rsid w:val="334D3EDF"/>
    <w:rsid w:val="33557850"/>
    <w:rsid w:val="335A2583"/>
    <w:rsid w:val="33633703"/>
    <w:rsid w:val="3381002D"/>
    <w:rsid w:val="33811DDB"/>
    <w:rsid w:val="33874918"/>
    <w:rsid w:val="33A92488"/>
    <w:rsid w:val="33AE1D74"/>
    <w:rsid w:val="33C56533"/>
    <w:rsid w:val="33C777B6"/>
    <w:rsid w:val="33CD267A"/>
    <w:rsid w:val="33DC1C9B"/>
    <w:rsid w:val="33F70C34"/>
    <w:rsid w:val="33FE78CF"/>
    <w:rsid w:val="34065AFF"/>
    <w:rsid w:val="340C2973"/>
    <w:rsid w:val="341114C0"/>
    <w:rsid w:val="343E6645"/>
    <w:rsid w:val="347D5264"/>
    <w:rsid w:val="34825E0A"/>
    <w:rsid w:val="348E0634"/>
    <w:rsid w:val="34955737"/>
    <w:rsid w:val="34C97D74"/>
    <w:rsid w:val="34F96E58"/>
    <w:rsid w:val="352F43CE"/>
    <w:rsid w:val="3537750C"/>
    <w:rsid w:val="3537798C"/>
    <w:rsid w:val="3538471B"/>
    <w:rsid w:val="35A61EB8"/>
    <w:rsid w:val="35C13FC9"/>
    <w:rsid w:val="35C33AEE"/>
    <w:rsid w:val="35C67F79"/>
    <w:rsid w:val="35C96809"/>
    <w:rsid w:val="35F86A8A"/>
    <w:rsid w:val="361C7FB1"/>
    <w:rsid w:val="3623747A"/>
    <w:rsid w:val="36343134"/>
    <w:rsid w:val="364257B6"/>
    <w:rsid w:val="36575075"/>
    <w:rsid w:val="36687968"/>
    <w:rsid w:val="367D3E66"/>
    <w:rsid w:val="36920D26"/>
    <w:rsid w:val="36C941C4"/>
    <w:rsid w:val="36EB1C99"/>
    <w:rsid w:val="36F872B6"/>
    <w:rsid w:val="36FD05C5"/>
    <w:rsid w:val="374020EC"/>
    <w:rsid w:val="378D6FA0"/>
    <w:rsid w:val="37A811B2"/>
    <w:rsid w:val="37B83CD4"/>
    <w:rsid w:val="37BB74F7"/>
    <w:rsid w:val="37C8447C"/>
    <w:rsid w:val="37D3697D"/>
    <w:rsid w:val="37EA5922"/>
    <w:rsid w:val="37ED004F"/>
    <w:rsid w:val="37F17D73"/>
    <w:rsid w:val="382275F5"/>
    <w:rsid w:val="38276B93"/>
    <w:rsid w:val="383F3482"/>
    <w:rsid w:val="385B0E4C"/>
    <w:rsid w:val="385D692C"/>
    <w:rsid w:val="386A559E"/>
    <w:rsid w:val="386D6DD1"/>
    <w:rsid w:val="38710EEE"/>
    <w:rsid w:val="38AC3431"/>
    <w:rsid w:val="38B37642"/>
    <w:rsid w:val="38B705DB"/>
    <w:rsid w:val="38CE71D8"/>
    <w:rsid w:val="38D47AC8"/>
    <w:rsid w:val="38EC7CF6"/>
    <w:rsid w:val="38EF77E6"/>
    <w:rsid w:val="39200F76"/>
    <w:rsid w:val="39236100"/>
    <w:rsid w:val="392F2E16"/>
    <w:rsid w:val="394836C2"/>
    <w:rsid w:val="395A7356"/>
    <w:rsid w:val="397F6DBC"/>
    <w:rsid w:val="39893B85"/>
    <w:rsid w:val="398D5BA7"/>
    <w:rsid w:val="39D114EA"/>
    <w:rsid w:val="39E00529"/>
    <w:rsid w:val="39EF3F42"/>
    <w:rsid w:val="3A0B64A7"/>
    <w:rsid w:val="3A176DA6"/>
    <w:rsid w:val="3A3169B0"/>
    <w:rsid w:val="3A477320"/>
    <w:rsid w:val="3A574DDA"/>
    <w:rsid w:val="3A57630A"/>
    <w:rsid w:val="3A576349"/>
    <w:rsid w:val="3A685AA2"/>
    <w:rsid w:val="3A6A2D09"/>
    <w:rsid w:val="3A781DF2"/>
    <w:rsid w:val="3A7D335B"/>
    <w:rsid w:val="3A983255"/>
    <w:rsid w:val="3ACC14DE"/>
    <w:rsid w:val="3AD3075A"/>
    <w:rsid w:val="3AD60FC2"/>
    <w:rsid w:val="3AD849D6"/>
    <w:rsid w:val="3AF74C02"/>
    <w:rsid w:val="3B111C96"/>
    <w:rsid w:val="3B13684C"/>
    <w:rsid w:val="3B277DE2"/>
    <w:rsid w:val="3B583D69"/>
    <w:rsid w:val="3B6A4988"/>
    <w:rsid w:val="3B707CD2"/>
    <w:rsid w:val="3B7339AE"/>
    <w:rsid w:val="3BA66882"/>
    <w:rsid w:val="3BAB66E2"/>
    <w:rsid w:val="3BE376CF"/>
    <w:rsid w:val="3BE73102"/>
    <w:rsid w:val="3BF8698F"/>
    <w:rsid w:val="3C0059A5"/>
    <w:rsid w:val="3C0413E4"/>
    <w:rsid w:val="3C134E78"/>
    <w:rsid w:val="3C1E17EA"/>
    <w:rsid w:val="3C2459F9"/>
    <w:rsid w:val="3C2B00A6"/>
    <w:rsid w:val="3C3A346E"/>
    <w:rsid w:val="3C44503F"/>
    <w:rsid w:val="3C6A5677"/>
    <w:rsid w:val="3C6B1A96"/>
    <w:rsid w:val="3C72291D"/>
    <w:rsid w:val="3C7D6A47"/>
    <w:rsid w:val="3C9F025B"/>
    <w:rsid w:val="3CA2411F"/>
    <w:rsid w:val="3CAB24D0"/>
    <w:rsid w:val="3CBA52A5"/>
    <w:rsid w:val="3CE24095"/>
    <w:rsid w:val="3D417B8C"/>
    <w:rsid w:val="3D6830C4"/>
    <w:rsid w:val="3DBE0BF6"/>
    <w:rsid w:val="3DF06B13"/>
    <w:rsid w:val="3DF30181"/>
    <w:rsid w:val="3DF6345D"/>
    <w:rsid w:val="3E0930F8"/>
    <w:rsid w:val="3E0A155E"/>
    <w:rsid w:val="3E2D6C02"/>
    <w:rsid w:val="3E371A14"/>
    <w:rsid w:val="3E46539E"/>
    <w:rsid w:val="3E4D4F28"/>
    <w:rsid w:val="3E500D27"/>
    <w:rsid w:val="3E6C3C86"/>
    <w:rsid w:val="3E7210B7"/>
    <w:rsid w:val="3E8A3C0D"/>
    <w:rsid w:val="3E8A6C2A"/>
    <w:rsid w:val="3EA352FB"/>
    <w:rsid w:val="3EB51B20"/>
    <w:rsid w:val="3EC93930"/>
    <w:rsid w:val="3ECD5EA6"/>
    <w:rsid w:val="3EE13701"/>
    <w:rsid w:val="3F051A05"/>
    <w:rsid w:val="3F1A4BB3"/>
    <w:rsid w:val="3F4A39C9"/>
    <w:rsid w:val="3F6C7C69"/>
    <w:rsid w:val="3FD47936"/>
    <w:rsid w:val="3FD63D26"/>
    <w:rsid w:val="3FD655F6"/>
    <w:rsid w:val="40095397"/>
    <w:rsid w:val="40183426"/>
    <w:rsid w:val="40192BA6"/>
    <w:rsid w:val="40283422"/>
    <w:rsid w:val="40491298"/>
    <w:rsid w:val="405D6315"/>
    <w:rsid w:val="40D23C76"/>
    <w:rsid w:val="40DA0D7C"/>
    <w:rsid w:val="40F459B6"/>
    <w:rsid w:val="41113CE4"/>
    <w:rsid w:val="411528D2"/>
    <w:rsid w:val="412F2E76"/>
    <w:rsid w:val="41391729"/>
    <w:rsid w:val="415A0117"/>
    <w:rsid w:val="41843A36"/>
    <w:rsid w:val="41930A28"/>
    <w:rsid w:val="41C71300"/>
    <w:rsid w:val="41C776C2"/>
    <w:rsid w:val="41D43F0C"/>
    <w:rsid w:val="42550A18"/>
    <w:rsid w:val="4255690C"/>
    <w:rsid w:val="42804718"/>
    <w:rsid w:val="429D496A"/>
    <w:rsid w:val="42A84F00"/>
    <w:rsid w:val="42AC1FFB"/>
    <w:rsid w:val="42AE0712"/>
    <w:rsid w:val="42B23D5F"/>
    <w:rsid w:val="42BE2BD5"/>
    <w:rsid w:val="42D737C5"/>
    <w:rsid w:val="42E00C78"/>
    <w:rsid w:val="42F473A1"/>
    <w:rsid w:val="430D37DC"/>
    <w:rsid w:val="431A43A9"/>
    <w:rsid w:val="43210DFF"/>
    <w:rsid w:val="434631B1"/>
    <w:rsid w:val="437925F6"/>
    <w:rsid w:val="439804A6"/>
    <w:rsid w:val="43AA2C88"/>
    <w:rsid w:val="43B15727"/>
    <w:rsid w:val="43B22EDB"/>
    <w:rsid w:val="43DA355D"/>
    <w:rsid w:val="43DC464B"/>
    <w:rsid w:val="44151F42"/>
    <w:rsid w:val="441E62C0"/>
    <w:rsid w:val="442944F4"/>
    <w:rsid w:val="442D14AB"/>
    <w:rsid w:val="4431111E"/>
    <w:rsid w:val="44B307AB"/>
    <w:rsid w:val="44C4421D"/>
    <w:rsid w:val="44D051D2"/>
    <w:rsid w:val="44ED4010"/>
    <w:rsid w:val="450B59A8"/>
    <w:rsid w:val="452E2BA5"/>
    <w:rsid w:val="45325D14"/>
    <w:rsid w:val="45387960"/>
    <w:rsid w:val="454B4226"/>
    <w:rsid w:val="455425B9"/>
    <w:rsid w:val="45811C7C"/>
    <w:rsid w:val="45BB117C"/>
    <w:rsid w:val="4640228D"/>
    <w:rsid w:val="464C23FE"/>
    <w:rsid w:val="464D5825"/>
    <w:rsid w:val="46515061"/>
    <w:rsid w:val="46607F75"/>
    <w:rsid w:val="46632994"/>
    <w:rsid w:val="46821C9A"/>
    <w:rsid w:val="468B3EFB"/>
    <w:rsid w:val="46903E2B"/>
    <w:rsid w:val="46BB51AC"/>
    <w:rsid w:val="46D677A6"/>
    <w:rsid w:val="46D957AB"/>
    <w:rsid w:val="46DC2172"/>
    <w:rsid w:val="46E666CD"/>
    <w:rsid w:val="47024D99"/>
    <w:rsid w:val="470A6193"/>
    <w:rsid w:val="47385210"/>
    <w:rsid w:val="475E6666"/>
    <w:rsid w:val="478B46F6"/>
    <w:rsid w:val="47910143"/>
    <w:rsid w:val="47C115E6"/>
    <w:rsid w:val="47C5170E"/>
    <w:rsid w:val="47C87B80"/>
    <w:rsid w:val="47DC4F5C"/>
    <w:rsid w:val="47E43B34"/>
    <w:rsid w:val="480037BE"/>
    <w:rsid w:val="48036E0A"/>
    <w:rsid w:val="48174664"/>
    <w:rsid w:val="4839066E"/>
    <w:rsid w:val="48531B40"/>
    <w:rsid w:val="485E23C9"/>
    <w:rsid w:val="48733F90"/>
    <w:rsid w:val="4876582E"/>
    <w:rsid w:val="4885703C"/>
    <w:rsid w:val="489F4005"/>
    <w:rsid w:val="48A31E49"/>
    <w:rsid w:val="48B40671"/>
    <w:rsid w:val="48DF4AE2"/>
    <w:rsid w:val="48E77FB5"/>
    <w:rsid w:val="49081450"/>
    <w:rsid w:val="49115557"/>
    <w:rsid w:val="493529D3"/>
    <w:rsid w:val="493C2B77"/>
    <w:rsid w:val="49492A88"/>
    <w:rsid w:val="495206A2"/>
    <w:rsid w:val="49596E55"/>
    <w:rsid w:val="496D4E83"/>
    <w:rsid w:val="499B5738"/>
    <w:rsid w:val="499F244D"/>
    <w:rsid w:val="49CA528E"/>
    <w:rsid w:val="49E2286F"/>
    <w:rsid w:val="49EB7B56"/>
    <w:rsid w:val="49F66B3A"/>
    <w:rsid w:val="4A195C06"/>
    <w:rsid w:val="4A2B43F6"/>
    <w:rsid w:val="4A761B16"/>
    <w:rsid w:val="4A973F3F"/>
    <w:rsid w:val="4AC93C46"/>
    <w:rsid w:val="4AE051E1"/>
    <w:rsid w:val="4AF96BC7"/>
    <w:rsid w:val="4B174011"/>
    <w:rsid w:val="4B1916F3"/>
    <w:rsid w:val="4B2B2900"/>
    <w:rsid w:val="4B457DD6"/>
    <w:rsid w:val="4B862A85"/>
    <w:rsid w:val="4B971D44"/>
    <w:rsid w:val="4B993DFC"/>
    <w:rsid w:val="4B9F1A1A"/>
    <w:rsid w:val="4BA10E14"/>
    <w:rsid w:val="4BA3693A"/>
    <w:rsid w:val="4BA601D9"/>
    <w:rsid w:val="4BD765E4"/>
    <w:rsid w:val="4BE33F9B"/>
    <w:rsid w:val="4BEC4676"/>
    <w:rsid w:val="4C191AA4"/>
    <w:rsid w:val="4C191AEB"/>
    <w:rsid w:val="4C2B6CEB"/>
    <w:rsid w:val="4C3728CD"/>
    <w:rsid w:val="4C496705"/>
    <w:rsid w:val="4C5B7215"/>
    <w:rsid w:val="4C724EAF"/>
    <w:rsid w:val="4C8A5D4C"/>
    <w:rsid w:val="4C912FFE"/>
    <w:rsid w:val="4CBF3180"/>
    <w:rsid w:val="4CE0771A"/>
    <w:rsid w:val="4CEF36E2"/>
    <w:rsid w:val="4CEF4DC5"/>
    <w:rsid w:val="4CF54750"/>
    <w:rsid w:val="4D052C06"/>
    <w:rsid w:val="4D1A44ED"/>
    <w:rsid w:val="4D3F5AB1"/>
    <w:rsid w:val="4D681B08"/>
    <w:rsid w:val="4D71425A"/>
    <w:rsid w:val="4D73233C"/>
    <w:rsid w:val="4D7E517F"/>
    <w:rsid w:val="4DA22C22"/>
    <w:rsid w:val="4DA515FE"/>
    <w:rsid w:val="4DD059E1"/>
    <w:rsid w:val="4DE95FD3"/>
    <w:rsid w:val="4DFF0DF6"/>
    <w:rsid w:val="4E073A02"/>
    <w:rsid w:val="4E0E218A"/>
    <w:rsid w:val="4E146DCE"/>
    <w:rsid w:val="4E257655"/>
    <w:rsid w:val="4E4A12EF"/>
    <w:rsid w:val="4E565B2A"/>
    <w:rsid w:val="4E5D479A"/>
    <w:rsid w:val="4E7E4774"/>
    <w:rsid w:val="4E8E20AF"/>
    <w:rsid w:val="4E955E09"/>
    <w:rsid w:val="4EA248CB"/>
    <w:rsid w:val="4ECE2531"/>
    <w:rsid w:val="4EE908E7"/>
    <w:rsid w:val="4EF301C4"/>
    <w:rsid w:val="4F19255B"/>
    <w:rsid w:val="4F2D3BE4"/>
    <w:rsid w:val="4F372380"/>
    <w:rsid w:val="4F372FFB"/>
    <w:rsid w:val="4F3B1580"/>
    <w:rsid w:val="4F432AAB"/>
    <w:rsid w:val="4F5B241B"/>
    <w:rsid w:val="4F71730E"/>
    <w:rsid w:val="4F7A3E56"/>
    <w:rsid w:val="4F9A15E1"/>
    <w:rsid w:val="4FA472FB"/>
    <w:rsid w:val="4FC81DBA"/>
    <w:rsid w:val="4FD97565"/>
    <w:rsid w:val="4FEA0FA9"/>
    <w:rsid w:val="50407270"/>
    <w:rsid w:val="50760AC1"/>
    <w:rsid w:val="50840434"/>
    <w:rsid w:val="508A5366"/>
    <w:rsid w:val="50A6110E"/>
    <w:rsid w:val="50BC3549"/>
    <w:rsid w:val="50CB3128"/>
    <w:rsid w:val="50D44007"/>
    <w:rsid w:val="50DA64CD"/>
    <w:rsid w:val="50F442ED"/>
    <w:rsid w:val="50FA523A"/>
    <w:rsid w:val="51274BA3"/>
    <w:rsid w:val="515A3E1E"/>
    <w:rsid w:val="515E6E11"/>
    <w:rsid w:val="51664E3F"/>
    <w:rsid w:val="51B31DF8"/>
    <w:rsid w:val="51BD002A"/>
    <w:rsid w:val="51CA5FDB"/>
    <w:rsid w:val="51F70465"/>
    <w:rsid w:val="52043EAB"/>
    <w:rsid w:val="52263E21"/>
    <w:rsid w:val="52395ECD"/>
    <w:rsid w:val="525F1185"/>
    <w:rsid w:val="52697A2B"/>
    <w:rsid w:val="527964A5"/>
    <w:rsid w:val="52903990"/>
    <w:rsid w:val="52B14033"/>
    <w:rsid w:val="52B256B5"/>
    <w:rsid w:val="52C10D75"/>
    <w:rsid w:val="52D0366B"/>
    <w:rsid w:val="530B1CDE"/>
    <w:rsid w:val="531E6161"/>
    <w:rsid w:val="5339518B"/>
    <w:rsid w:val="534736D7"/>
    <w:rsid w:val="53A21BF6"/>
    <w:rsid w:val="53B042EA"/>
    <w:rsid w:val="53C27FF8"/>
    <w:rsid w:val="53DD0E57"/>
    <w:rsid w:val="53E83B05"/>
    <w:rsid w:val="53EC7F58"/>
    <w:rsid w:val="53FE6592"/>
    <w:rsid w:val="541376E1"/>
    <w:rsid w:val="543F566E"/>
    <w:rsid w:val="544E1E15"/>
    <w:rsid w:val="547277F2"/>
    <w:rsid w:val="54740820"/>
    <w:rsid w:val="549E1A80"/>
    <w:rsid w:val="54A9191E"/>
    <w:rsid w:val="54B30A3A"/>
    <w:rsid w:val="54C658F4"/>
    <w:rsid w:val="54E355D7"/>
    <w:rsid w:val="54E56216"/>
    <w:rsid w:val="54EE2604"/>
    <w:rsid w:val="54FE24B3"/>
    <w:rsid w:val="550C4BD7"/>
    <w:rsid w:val="55106851"/>
    <w:rsid w:val="551F137C"/>
    <w:rsid w:val="55482300"/>
    <w:rsid w:val="554C1D56"/>
    <w:rsid w:val="55572986"/>
    <w:rsid w:val="557650C0"/>
    <w:rsid w:val="557E2768"/>
    <w:rsid w:val="55AB05A8"/>
    <w:rsid w:val="55AE6607"/>
    <w:rsid w:val="55B61960"/>
    <w:rsid w:val="55BA233D"/>
    <w:rsid w:val="55BD3B21"/>
    <w:rsid w:val="55C32776"/>
    <w:rsid w:val="55FB6B0B"/>
    <w:rsid w:val="561D378D"/>
    <w:rsid w:val="5627529A"/>
    <w:rsid w:val="564360B0"/>
    <w:rsid w:val="56465177"/>
    <w:rsid w:val="565340FA"/>
    <w:rsid w:val="56710849"/>
    <w:rsid w:val="56762439"/>
    <w:rsid w:val="567F0E13"/>
    <w:rsid w:val="569E305F"/>
    <w:rsid w:val="56A25A40"/>
    <w:rsid w:val="56D22275"/>
    <w:rsid w:val="56D83668"/>
    <w:rsid w:val="56E758A3"/>
    <w:rsid w:val="56F73FDE"/>
    <w:rsid w:val="56FA762A"/>
    <w:rsid w:val="570E000D"/>
    <w:rsid w:val="572B28B5"/>
    <w:rsid w:val="57361D33"/>
    <w:rsid w:val="573E0B7F"/>
    <w:rsid w:val="57572D54"/>
    <w:rsid w:val="57862283"/>
    <w:rsid w:val="578C1931"/>
    <w:rsid w:val="57B10631"/>
    <w:rsid w:val="57E26A3C"/>
    <w:rsid w:val="57F37E9F"/>
    <w:rsid w:val="5826075F"/>
    <w:rsid w:val="58295086"/>
    <w:rsid w:val="58462E9E"/>
    <w:rsid w:val="5899277D"/>
    <w:rsid w:val="58C12AF6"/>
    <w:rsid w:val="58C54B31"/>
    <w:rsid w:val="58CB5722"/>
    <w:rsid w:val="58D93A29"/>
    <w:rsid w:val="58F73FD7"/>
    <w:rsid w:val="59107F31"/>
    <w:rsid w:val="59655F37"/>
    <w:rsid w:val="59856976"/>
    <w:rsid w:val="598A464D"/>
    <w:rsid w:val="59957B7A"/>
    <w:rsid w:val="59AA2C00"/>
    <w:rsid w:val="59E051FD"/>
    <w:rsid w:val="59E85E60"/>
    <w:rsid w:val="5A13112F"/>
    <w:rsid w:val="5A2F2CC8"/>
    <w:rsid w:val="5A56101C"/>
    <w:rsid w:val="5AA07FC6"/>
    <w:rsid w:val="5AA555A4"/>
    <w:rsid w:val="5ABC17C7"/>
    <w:rsid w:val="5AC02939"/>
    <w:rsid w:val="5AC76EA1"/>
    <w:rsid w:val="5AD24C4D"/>
    <w:rsid w:val="5AD8327B"/>
    <w:rsid w:val="5AFC69A4"/>
    <w:rsid w:val="5B305D11"/>
    <w:rsid w:val="5B345801"/>
    <w:rsid w:val="5B387CE6"/>
    <w:rsid w:val="5B4763B9"/>
    <w:rsid w:val="5B8B12F5"/>
    <w:rsid w:val="5BAF6C35"/>
    <w:rsid w:val="5BC903AC"/>
    <w:rsid w:val="5BF42528"/>
    <w:rsid w:val="5BF9099D"/>
    <w:rsid w:val="5BFA7EF6"/>
    <w:rsid w:val="5C10702D"/>
    <w:rsid w:val="5C152601"/>
    <w:rsid w:val="5C160BD4"/>
    <w:rsid w:val="5C333B91"/>
    <w:rsid w:val="5C3D2493"/>
    <w:rsid w:val="5C6A36E5"/>
    <w:rsid w:val="5C8A1B2F"/>
    <w:rsid w:val="5C8A6711"/>
    <w:rsid w:val="5C8E6128"/>
    <w:rsid w:val="5C974299"/>
    <w:rsid w:val="5CA80969"/>
    <w:rsid w:val="5CAF66C2"/>
    <w:rsid w:val="5CB97A26"/>
    <w:rsid w:val="5CC901CB"/>
    <w:rsid w:val="5CDD4D8E"/>
    <w:rsid w:val="5CDD7856"/>
    <w:rsid w:val="5CE77144"/>
    <w:rsid w:val="5CEA1EE5"/>
    <w:rsid w:val="5CFB0534"/>
    <w:rsid w:val="5D123920"/>
    <w:rsid w:val="5D132369"/>
    <w:rsid w:val="5D137698"/>
    <w:rsid w:val="5D177FC0"/>
    <w:rsid w:val="5D356109"/>
    <w:rsid w:val="5D380EAD"/>
    <w:rsid w:val="5D3979B9"/>
    <w:rsid w:val="5D6427B4"/>
    <w:rsid w:val="5D9537B3"/>
    <w:rsid w:val="5D97352F"/>
    <w:rsid w:val="5D9F1513"/>
    <w:rsid w:val="5DA44BD0"/>
    <w:rsid w:val="5DB82B9E"/>
    <w:rsid w:val="5DD55853"/>
    <w:rsid w:val="5DDE1A54"/>
    <w:rsid w:val="5E0013F0"/>
    <w:rsid w:val="5E457D25"/>
    <w:rsid w:val="5E572171"/>
    <w:rsid w:val="5EB011E7"/>
    <w:rsid w:val="5EB24F32"/>
    <w:rsid w:val="5EB26982"/>
    <w:rsid w:val="5EC73D8E"/>
    <w:rsid w:val="5EEA73F4"/>
    <w:rsid w:val="5EEB5BF2"/>
    <w:rsid w:val="5F0D58EA"/>
    <w:rsid w:val="5F335DCF"/>
    <w:rsid w:val="5F5E25BD"/>
    <w:rsid w:val="5F681F1D"/>
    <w:rsid w:val="5F863D8D"/>
    <w:rsid w:val="5F8B70D8"/>
    <w:rsid w:val="5F8D0C6F"/>
    <w:rsid w:val="5F954EF8"/>
    <w:rsid w:val="5F984B3A"/>
    <w:rsid w:val="5FAB7745"/>
    <w:rsid w:val="5FC627A0"/>
    <w:rsid w:val="5FD44EBD"/>
    <w:rsid w:val="600D4872"/>
    <w:rsid w:val="60106DBA"/>
    <w:rsid w:val="602D6CC3"/>
    <w:rsid w:val="606007BB"/>
    <w:rsid w:val="60630DEA"/>
    <w:rsid w:val="60653D5A"/>
    <w:rsid w:val="607C1729"/>
    <w:rsid w:val="607D1DDF"/>
    <w:rsid w:val="607D669F"/>
    <w:rsid w:val="60825B3F"/>
    <w:rsid w:val="609E371C"/>
    <w:rsid w:val="60AA38DE"/>
    <w:rsid w:val="60AC7F66"/>
    <w:rsid w:val="60EE2705"/>
    <w:rsid w:val="61100229"/>
    <w:rsid w:val="611761ED"/>
    <w:rsid w:val="611B1AB8"/>
    <w:rsid w:val="612279AD"/>
    <w:rsid w:val="61354081"/>
    <w:rsid w:val="6154428F"/>
    <w:rsid w:val="61573FF7"/>
    <w:rsid w:val="619049A4"/>
    <w:rsid w:val="61A05284"/>
    <w:rsid w:val="61A14487"/>
    <w:rsid w:val="61BF10D9"/>
    <w:rsid w:val="61D712AB"/>
    <w:rsid w:val="61DC566A"/>
    <w:rsid w:val="61E3588B"/>
    <w:rsid w:val="620926BC"/>
    <w:rsid w:val="620A72BB"/>
    <w:rsid w:val="620B6B90"/>
    <w:rsid w:val="621D3283"/>
    <w:rsid w:val="62257E2A"/>
    <w:rsid w:val="622A5268"/>
    <w:rsid w:val="622F27B1"/>
    <w:rsid w:val="622F3C7D"/>
    <w:rsid w:val="623065F6"/>
    <w:rsid w:val="62414C29"/>
    <w:rsid w:val="625F22C2"/>
    <w:rsid w:val="628D0E3A"/>
    <w:rsid w:val="62AC22DC"/>
    <w:rsid w:val="62B66AFB"/>
    <w:rsid w:val="62C938AB"/>
    <w:rsid w:val="62D17DD9"/>
    <w:rsid w:val="62D82240"/>
    <w:rsid w:val="62FD7CCE"/>
    <w:rsid w:val="630E4B89"/>
    <w:rsid w:val="633640E0"/>
    <w:rsid w:val="633F2AA8"/>
    <w:rsid w:val="634405AB"/>
    <w:rsid w:val="636B52CA"/>
    <w:rsid w:val="63711BF0"/>
    <w:rsid w:val="63866648"/>
    <w:rsid w:val="639C5550"/>
    <w:rsid w:val="63AB24FE"/>
    <w:rsid w:val="63BB530E"/>
    <w:rsid w:val="63E62D3A"/>
    <w:rsid w:val="64107061"/>
    <w:rsid w:val="64572560"/>
    <w:rsid w:val="64636EAC"/>
    <w:rsid w:val="646661D7"/>
    <w:rsid w:val="64712C5F"/>
    <w:rsid w:val="647E3DEF"/>
    <w:rsid w:val="648570CD"/>
    <w:rsid w:val="64871ED1"/>
    <w:rsid w:val="648750C4"/>
    <w:rsid w:val="64992B79"/>
    <w:rsid w:val="649D4417"/>
    <w:rsid w:val="649E018F"/>
    <w:rsid w:val="64A13A15"/>
    <w:rsid w:val="64AD3F2E"/>
    <w:rsid w:val="64B147DE"/>
    <w:rsid w:val="64BD21E6"/>
    <w:rsid w:val="64CB4EF4"/>
    <w:rsid w:val="64D8657C"/>
    <w:rsid w:val="64E45EF7"/>
    <w:rsid w:val="65131239"/>
    <w:rsid w:val="651346D9"/>
    <w:rsid w:val="65197815"/>
    <w:rsid w:val="65262DBD"/>
    <w:rsid w:val="65386C6F"/>
    <w:rsid w:val="65510D5D"/>
    <w:rsid w:val="65654DE3"/>
    <w:rsid w:val="65851294"/>
    <w:rsid w:val="65A07776"/>
    <w:rsid w:val="65A91735"/>
    <w:rsid w:val="65EC0A86"/>
    <w:rsid w:val="6609788A"/>
    <w:rsid w:val="660B787B"/>
    <w:rsid w:val="660E6F12"/>
    <w:rsid w:val="66186808"/>
    <w:rsid w:val="66245638"/>
    <w:rsid w:val="66246472"/>
    <w:rsid w:val="663A47D5"/>
    <w:rsid w:val="664D5A0D"/>
    <w:rsid w:val="665C20B0"/>
    <w:rsid w:val="6665172C"/>
    <w:rsid w:val="667F13C0"/>
    <w:rsid w:val="6686712D"/>
    <w:rsid w:val="668A7DF4"/>
    <w:rsid w:val="6691014E"/>
    <w:rsid w:val="66EA2B5A"/>
    <w:rsid w:val="66F61BBC"/>
    <w:rsid w:val="66F67E0E"/>
    <w:rsid w:val="6711452F"/>
    <w:rsid w:val="67273E51"/>
    <w:rsid w:val="674F2968"/>
    <w:rsid w:val="674F751F"/>
    <w:rsid w:val="67574148"/>
    <w:rsid w:val="677435B2"/>
    <w:rsid w:val="67766643"/>
    <w:rsid w:val="67823075"/>
    <w:rsid w:val="67EF75F1"/>
    <w:rsid w:val="67F3753B"/>
    <w:rsid w:val="67FD51CC"/>
    <w:rsid w:val="683F7593"/>
    <w:rsid w:val="686E5E28"/>
    <w:rsid w:val="687A4A6F"/>
    <w:rsid w:val="68A613C0"/>
    <w:rsid w:val="68CF4676"/>
    <w:rsid w:val="68E0239E"/>
    <w:rsid w:val="68F27623"/>
    <w:rsid w:val="69124F16"/>
    <w:rsid w:val="691272A6"/>
    <w:rsid w:val="69133308"/>
    <w:rsid w:val="69191363"/>
    <w:rsid w:val="691A0356"/>
    <w:rsid w:val="69315D51"/>
    <w:rsid w:val="69361E6C"/>
    <w:rsid w:val="69414D62"/>
    <w:rsid w:val="69456D51"/>
    <w:rsid w:val="69684B84"/>
    <w:rsid w:val="69866DF1"/>
    <w:rsid w:val="698823BC"/>
    <w:rsid w:val="69A3037F"/>
    <w:rsid w:val="69A97868"/>
    <w:rsid w:val="69AF43AE"/>
    <w:rsid w:val="69CC65B3"/>
    <w:rsid w:val="69CD5C14"/>
    <w:rsid w:val="69CF0D33"/>
    <w:rsid w:val="69DF10CC"/>
    <w:rsid w:val="69EC44A4"/>
    <w:rsid w:val="6A075683"/>
    <w:rsid w:val="6A31115D"/>
    <w:rsid w:val="6A7D7634"/>
    <w:rsid w:val="6A815C41"/>
    <w:rsid w:val="6A890218"/>
    <w:rsid w:val="6AAD2EDA"/>
    <w:rsid w:val="6AE52D57"/>
    <w:rsid w:val="6B034621"/>
    <w:rsid w:val="6B3702EB"/>
    <w:rsid w:val="6B83565B"/>
    <w:rsid w:val="6B9946B3"/>
    <w:rsid w:val="6BAE6F0A"/>
    <w:rsid w:val="6BC17332"/>
    <w:rsid w:val="6BC93D43"/>
    <w:rsid w:val="6BFA101A"/>
    <w:rsid w:val="6C183322"/>
    <w:rsid w:val="6C3755D6"/>
    <w:rsid w:val="6C445C90"/>
    <w:rsid w:val="6C7007C7"/>
    <w:rsid w:val="6C737281"/>
    <w:rsid w:val="6C851A4C"/>
    <w:rsid w:val="6C877D3F"/>
    <w:rsid w:val="6C935A12"/>
    <w:rsid w:val="6C981EBB"/>
    <w:rsid w:val="6CC575D8"/>
    <w:rsid w:val="6CCF0AB9"/>
    <w:rsid w:val="6CD96208"/>
    <w:rsid w:val="6CE42609"/>
    <w:rsid w:val="6CF070AE"/>
    <w:rsid w:val="6CF37CE2"/>
    <w:rsid w:val="6D003795"/>
    <w:rsid w:val="6D01750D"/>
    <w:rsid w:val="6D050DAB"/>
    <w:rsid w:val="6D3051F6"/>
    <w:rsid w:val="6D4E7801"/>
    <w:rsid w:val="6D621B82"/>
    <w:rsid w:val="6D721B8C"/>
    <w:rsid w:val="6D806684"/>
    <w:rsid w:val="6D985E6C"/>
    <w:rsid w:val="6DA5192F"/>
    <w:rsid w:val="6DD3182A"/>
    <w:rsid w:val="6DE704B1"/>
    <w:rsid w:val="6DE76850"/>
    <w:rsid w:val="6E054DDB"/>
    <w:rsid w:val="6E322FA8"/>
    <w:rsid w:val="6E386F5E"/>
    <w:rsid w:val="6E516013"/>
    <w:rsid w:val="6E6019C0"/>
    <w:rsid w:val="6E6E3A98"/>
    <w:rsid w:val="6E7B544A"/>
    <w:rsid w:val="6E9E74AE"/>
    <w:rsid w:val="6EA62BE8"/>
    <w:rsid w:val="6F093EDE"/>
    <w:rsid w:val="6F0E0035"/>
    <w:rsid w:val="6F26561D"/>
    <w:rsid w:val="6F2863E1"/>
    <w:rsid w:val="6F287F6F"/>
    <w:rsid w:val="6F3331A6"/>
    <w:rsid w:val="6F347726"/>
    <w:rsid w:val="6F47051E"/>
    <w:rsid w:val="6F76390A"/>
    <w:rsid w:val="6F8306AD"/>
    <w:rsid w:val="6F8E3EFF"/>
    <w:rsid w:val="6FA259FE"/>
    <w:rsid w:val="6FAB4B62"/>
    <w:rsid w:val="6FB20BD4"/>
    <w:rsid w:val="6FB36A7D"/>
    <w:rsid w:val="6FBA59BE"/>
    <w:rsid w:val="6FD701AB"/>
    <w:rsid w:val="6FE1237D"/>
    <w:rsid w:val="7003534A"/>
    <w:rsid w:val="70296B3E"/>
    <w:rsid w:val="70514307"/>
    <w:rsid w:val="70611204"/>
    <w:rsid w:val="70A1017E"/>
    <w:rsid w:val="70B34AAC"/>
    <w:rsid w:val="70BA00FF"/>
    <w:rsid w:val="710475CC"/>
    <w:rsid w:val="7110457A"/>
    <w:rsid w:val="712D5754"/>
    <w:rsid w:val="713954C7"/>
    <w:rsid w:val="71866233"/>
    <w:rsid w:val="71886F43"/>
    <w:rsid w:val="71961B94"/>
    <w:rsid w:val="71983E33"/>
    <w:rsid w:val="719E532A"/>
    <w:rsid w:val="71CE4CC3"/>
    <w:rsid w:val="71CF0110"/>
    <w:rsid w:val="72417401"/>
    <w:rsid w:val="72424D2E"/>
    <w:rsid w:val="725D6F93"/>
    <w:rsid w:val="726653A5"/>
    <w:rsid w:val="726E2F4F"/>
    <w:rsid w:val="727360BC"/>
    <w:rsid w:val="728F17BE"/>
    <w:rsid w:val="72A72C8E"/>
    <w:rsid w:val="72CD6EFE"/>
    <w:rsid w:val="72DF7ADC"/>
    <w:rsid w:val="72E2143E"/>
    <w:rsid w:val="73395F4E"/>
    <w:rsid w:val="733E6DC5"/>
    <w:rsid w:val="73424EEB"/>
    <w:rsid w:val="73610D05"/>
    <w:rsid w:val="737A105C"/>
    <w:rsid w:val="737E5413"/>
    <w:rsid w:val="739B20C2"/>
    <w:rsid w:val="73F73418"/>
    <w:rsid w:val="740C6EC3"/>
    <w:rsid w:val="74235F1B"/>
    <w:rsid w:val="74397153"/>
    <w:rsid w:val="744C3764"/>
    <w:rsid w:val="747B5F8D"/>
    <w:rsid w:val="747D5566"/>
    <w:rsid w:val="7489637A"/>
    <w:rsid w:val="749916A0"/>
    <w:rsid w:val="74A94712"/>
    <w:rsid w:val="74C432FA"/>
    <w:rsid w:val="74ED0139"/>
    <w:rsid w:val="74FA2C30"/>
    <w:rsid w:val="752E181F"/>
    <w:rsid w:val="754B6AFD"/>
    <w:rsid w:val="754D5C4B"/>
    <w:rsid w:val="75602B61"/>
    <w:rsid w:val="756E3266"/>
    <w:rsid w:val="75846F2D"/>
    <w:rsid w:val="75874327"/>
    <w:rsid w:val="758C31D7"/>
    <w:rsid w:val="759B4693"/>
    <w:rsid w:val="75D83A31"/>
    <w:rsid w:val="75E10B48"/>
    <w:rsid w:val="75F06371"/>
    <w:rsid w:val="75FC2F67"/>
    <w:rsid w:val="764861C3"/>
    <w:rsid w:val="765E777E"/>
    <w:rsid w:val="76764AC8"/>
    <w:rsid w:val="76857FAE"/>
    <w:rsid w:val="768D377F"/>
    <w:rsid w:val="768E32DD"/>
    <w:rsid w:val="769B008A"/>
    <w:rsid w:val="76AA651F"/>
    <w:rsid w:val="76B178AE"/>
    <w:rsid w:val="76C240A7"/>
    <w:rsid w:val="76C77A19"/>
    <w:rsid w:val="76CF5F86"/>
    <w:rsid w:val="76FA5440"/>
    <w:rsid w:val="76FB2B06"/>
    <w:rsid w:val="770200D1"/>
    <w:rsid w:val="772A7ADE"/>
    <w:rsid w:val="772F14C5"/>
    <w:rsid w:val="773109EF"/>
    <w:rsid w:val="77383B2B"/>
    <w:rsid w:val="773A5EC2"/>
    <w:rsid w:val="7741526D"/>
    <w:rsid w:val="775246B7"/>
    <w:rsid w:val="7767567E"/>
    <w:rsid w:val="77764DEB"/>
    <w:rsid w:val="77EB6DF0"/>
    <w:rsid w:val="781E69D1"/>
    <w:rsid w:val="781F309B"/>
    <w:rsid w:val="781F4C5D"/>
    <w:rsid w:val="782C7B34"/>
    <w:rsid w:val="785B5D23"/>
    <w:rsid w:val="785C6323"/>
    <w:rsid w:val="78654DF4"/>
    <w:rsid w:val="786D5A56"/>
    <w:rsid w:val="7878384E"/>
    <w:rsid w:val="7890545F"/>
    <w:rsid w:val="790E75EE"/>
    <w:rsid w:val="791163BE"/>
    <w:rsid w:val="79120F2B"/>
    <w:rsid w:val="793D18CD"/>
    <w:rsid w:val="794529F6"/>
    <w:rsid w:val="794744F9"/>
    <w:rsid w:val="7950576A"/>
    <w:rsid w:val="79571F63"/>
    <w:rsid w:val="797572B9"/>
    <w:rsid w:val="797F5A41"/>
    <w:rsid w:val="7990463C"/>
    <w:rsid w:val="79A84CF6"/>
    <w:rsid w:val="79AE371B"/>
    <w:rsid w:val="79BB01FF"/>
    <w:rsid w:val="79BE1949"/>
    <w:rsid w:val="79CE5144"/>
    <w:rsid w:val="79D407E1"/>
    <w:rsid w:val="79F006ED"/>
    <w:rsid w:val="79F75F20"/>
    <w:rsid w:val="7A1362BF"/>
    <w:rsid w:val="7A263B6B"/>
    <w:rsid w:val="7A3D371A"/>
    <w:rsid w:val="7A654B6F"/>
    <w:rsid w:val="7A6A5B33"/>
    <w:rsid w:val="7A710463"/>
    <w:rsid w:val="7AB14320"/>
    <w:rsid w:val="7AB364C5"/>
    <w:rsid w:val="7AB92936"/>
    <w:rsid w:val="7AC04563"/>
    <w:rsid w:val="7AD61FD9"/>
    <w:rsid w:val="7AF46346"/>
    <w:rsid w:val="7B0F5EBF"/>
    <w:rsid w:val="7B130FB9"/>
    <w:rsid w:val="7B1F416D"/>
    <w:rsid w:val="7B252618"/>
    <w:rsid w:val="7B517832"/>
    <w:rsid w:val="7B6403BB"/>
    <w:rsid w:val="7B7B6CE0"/>
    <w:rsid w:val="7B8D76E7"/>
    <w:rsid w:val="7BC63DFB"/>
    <w:rsid w:val="7BDA1655"/>
    <w:rsid w:val="7BF64EDE"/>
    <w:rsid w:val="7BFD0819"/>
    <w:rsid w:val="7C370313"/>
    <w:rsid w:val="7C400C1E"/>
    <w:rsid w:val="7C5036C5"/>
    <w:rsid w:val="7C694787"/>
    <w:rsid w:val="7CB51D2C"/>
    <w:rsid w:val="7CCB305D"/>
    <w:rsid w:val="7CD24A22"/>
    <w:rsid w:val="7CF91FAF"/>
    <w:rsid w:val="7D092A36"/>
    <w:rsid w:val="7D197471"/>
    <w:rsid w:val="7D1C7F36"/>
    <w:rsid w:val="7D280F83"/>
    <w:rsid w:val="7D374440"/>
    <w:rsid w:val="7D453DD6"/>
    <w:rsid w:val="7D6D012A"/>
    <w:rsid w:val="7D866FD7"/>
    <w:rsid w:val="7D935F5F"/>
    <w:rsid w:val="7DAC22C2"/>
    <w:rsid w:val="7DD11708"/>
    <w:rsid w:val="7DD270EF"/>
    <w:rsid w:val="7E013417"/>
    <w:rsid w:val="7E290672"/>
    <w:rsid w:val="7E5A0741"/>
    <w:rsid w:val="7E5C45A3"/>
    <w:rsid w:val="7E751B09"/>
    <w:rsid w:val="7EB37A93"/>
    <w:rsid w:val="7EC167BD"/>
    <w:rsid w:val="7ECB7B7D"/>
    <w:rsid w:val="7F272D9E"/>
    <w:rsid w:val="7F465DBB"/>
    <w:rsid w:val="7F5B3AA2"/>
    <w:rsid w:val="7F6322FD"/>
    <w:rsid w:val="7F8B5D77"/>
    <w:rsid w:val="7FAE5097"/>
    <w:rsid w:val="7FBE4C56"/>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0"/>
    <w:qFormat/>
    <w:uiPriority w:val="9"/>
    <w:pPr>
      <w:keepNext/>
      <w:keepLines/>
      <w:spacing w:before="340" w:after="330" w:line="576" w:lineRule="auto"/>
      <w:outlineLvl w:val="0"/>
    </w:pPr>
    <w:rPr>
      <w:b/>
      <w:kern w:val="44"/>
      <w:sz w:val="44"/>
    </w:rPr>
  </w:style>
  <w:style w:type="paragraph" w:styleId="5">
    <w:name w:val="heading 2"/>
    <w:basedOn w:val="1"/>
    <w:next w:val="1"/>
    <w:link w:val="51"/>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9"/>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52"/>
    <w:qFormat/>
    <w:uiPriority w:val="9"/>
    <w:pPr>
      <w:keepNext/>
      <w:keepLines/>
      <w:spacing w:before="280" w:after="290" w:line="376" w:lineRule="auto"/>
      <w:outlineLvl w:val="4"/>
    </w:pPr>
    <w:rPr>
      <w:b/>
      <w:bCs/>
      <w:sz w:val="28"/>
      <w:szCs w:val="28"/>
    </w:rPr>
  </w:style>
  <w:style w:type="paragraph" w:styleId="10">
    <w:name w:val="heading 8"/>
    <w:basedOn w:val="1"/>
    <w:next w:val="1"/>
    <w:link w:val="53"/>
    <w:qFormat/>
    <w:uiPriority w:val="9"/>
    <w:pPr>
      <w:keepNext/>
      <w:keepLines/>
      <w:spacing w:before="240" w:after="64" w:line="320" w:lineRule="auto"/>
      <w:outlineLvl w:val="7"/>
    </w:pPr>
    <w:rPr>
      <w:rFonts w:ascii="等线 Light" w:hAnsi="等线 Light" w:eastAsia="等线 Light"/>
      <w:sz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9"/>
    <w:unhideWhenUsed/>
    <w:qFormat/>
    <w:uiPriority w:val="0"/>
    <w:pPr>
      <w:spacing w:after="120"/>
    </w:pPr>
  </w:style>
  <w:style w:type="paragraph" w:styleId="3">
    <w:name w:val="Body Text First Indent"/>
    <w:basedOn w:val="2"/>
    <w:qFormat/>
    <w:uiPriority w:val="99"/>
    <w:pPr>
      <w:ind w:firstLine="420" w:firstLineChars="100"/>
    </w:pPr>
    <w:rPr>
      <w:rFonts w:ascii="宋体"/>
      <w:sz w:val="34"/>
      <w:szCs w:val="22"/>
    </w:rPr>
  </w:style>
  <w:style w:type="paragraph" w:styleId="9">
    <w:name w:val="Normal Indent"/>
    <w:basedOn w:val="1"/>
    <w:qFormat/>
    <w:uiPriority w:val="0"/>
    <w:pPr>
      <w:ind w:firstLine="420"/>
    </w:pPr>
    <w:rPr>
      <w:szCs w:val="20"/>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3">
    <w:name w:val="annotation text"/>
    <w:basedOn w:val="1"/>
    <w:link w:val="54"/>
    <w:qFormat/>
    <w:uiPriority w:val="0"/>
    <w:pPr>
      <w:jc w:val="left"/>
    </w:pPr>
  </w:style>
  <w:style w:type="paragraph" w:styleId="14">
    <w:name w:val="Body Text 3"/>
    <w:basedOn w:val="1"/>
    <w:link w:val="55"/>
    <w:unhideWhenUsed/>
    <w:qFormat/>
    <w:uiPriority w:val="99"/>
    <w:pPr>
      <w:spacing w:after="120"/>
    </w:pPr>
    <w:rPr>
      <w:sz w:val="16"/>
      <w:szCs w:val="16"/>
    </w:rPr>
  </w:style>
  <w:style w:type="paragraph" w:styleId="15">
    <w:name w:val="Body Text Indent"/>
    <w:basedOn w:val="1"/>
    <w:next w:val="16"/>
    <w:link w:val="56"/>
    <w:qFormat/>
    <w:uiPriority w:val="0"/>
    <w:pPr>
      <w:ind w:firstLine="830" w:firstLineChars="352"/>
    </w:pPr>
    <w:rPr>
      <w:rFonts w:ascii="仿宋_GB2312" w:eastAsia="仿宋_GB2312"/>
      <w:kern w:val="0"/>
      <w:sz w:val="32"/>
      <w:szCs w:val="20"/>
    </w:rPr>
  </w:style>
  <w:style w:type="paragraph" w:styleId="16">
    <w:name w:val="envelope return"/>
    <w:basedOn w:val="1"/>
    <w:qFormat/>
    <w:uiPriority w:val="0"/>
    <w:pPr>
      <w:snapToGrid w:val="0"/>
    </w:pPr>
    <w:rPr>
      <w:rFonts w:ascii="Arial" w:hAnsi="Arial"/>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1"/>
    <w:link w:val="57"/>
    <w:qFormat/>
    <w:uiPriority w:val="0"/>
    <w:rPr>
      <w:rFonts w:ascii="宋体" w:hAnsi="Courier New"/>
      <w:kern w:val="0"/>
      <w:sz w:val="20"/>
      <w:szCs w:val="21"/>
    </w:rPr>
  </w:style>
  <w:style w:type="paragraph" w:styleId="20">
    <w:name w:val="Date"/>
    <w:basedOn w:val="1"/>
    <w:next w:val="1"/>
    <w:link w:val="58"/>
    <w:unhideWhenUsed/>
    <w:qFormat/>
    <w:uiPriority w:val="99"/>
    <w:pPr>
      <w:ind w:left="100" w:leftChars="2500"/>
    </w:pPr>
  </w:style>
  <w:style w:type="paragraph" w:styleId="21">
    <w:name w:val="Body Text Indent 2"/>
    <w:basedOn w:val="1"/>
    <w:qFormat/>
    <w:uiPriority w:val="0"/>
    <w:pPr>
      <w:spacing w:line="420" w:lineRule="exact"/>
      <w:ind w:firstLine="409" w:firstLineChars="195"/>
    </w:pPr>
  </w:style>
  <w:style w:type="paragraph" w:styleId="22">
    <w:name w:val="Balloon Text"/>
    <w:basedOn w:val="1"/>
    <w:semiHidden/>
    <w:qFormat/>
    <w:uiPriority w:val="0"/>
    <w:rPr>
      <w:sz w:val="18"/>
      <w:szCs w:val="18"/>
    </w:rPr>
  </w:style>
  <w:style w:type="paragraph" w:styleId="23">
    <w:name w:val="footer"/>
    <w:basedOn w:val="1"/>
    <w:link w:val="59"/>
    <w:unhideWhenUsed/>
    <w:qFormat/>
    <w:uiPriority w:val="99"/>
    <w:pPr>
      <w:tabs>
        <w:tab w:val="center" w:pos="4153"/>
        <w:tab w:val="right" w:pos="8306"/>
      </w:tabs>
      <w:snapToGrid w:val="0"/>
      <w:jc w:val="left"/>
    </w:pPr>
    <w:rPr>
      <w:kern w:val="0"/>
      <w:sz w:val="18"/>
      <w:szCs w:val="18"/>
    </w:rPr>
  </w:style>
  <w:style w:type="paragraph" w:styleId="24">
    <w:name w:val="header"/>
    <w:basedOn w:val="1"/>
    <w:link w:val="60"/>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style>
  <w:style w:type="paragraph" w:styleId="26">
    <w:name w:val="toc 2"/>
    <w:basedOn w:val="1"/>
    <w:next w:val="1"/>
    <w:unhideWhenUsed/>
    <w:qFormat/>
    <w:uiPriority w:val="39"/>
    <w:pPr>
      <w:tabs>
        <w:tab w:val="right" w:leader="dot" w:pos="8296"/>
      </w:tabs>
      <w:ind w:left="420" w:leftChars="200"/>
    </w:pPr>
  </w:style>
  <w:style w:type="paragraph" w:styleId="27">
    <w:name w:val="Normal (Web)"/>
    <w:basedOn w:val="1"/>
    <w:unhideWhenUsed/>
    <w:qFormat/>
    <w:uiPriority w:val="99"/>
    <w:rPr>
      <w:rFonts w:ascii="Calibri" w:hAnsi="Calibri"/>
      <w:kern w:val="0"/>
      <w:sz w:val="24"/>
    </w:rPr>
  </w:style>
  <w:style w:type="paragraph" w:styleId="28">
    <w:name w:val="annotation subject"/>
    <w:basedOn w:val="13"/>
    <w:next w:val="13"/>
    <w:link w:val="61"/>
    <w:qFormat/>
    <w:uiPriority w:val="99"/>
    <w:rPr>
      <w:b/>
      <w:bCs/>
    </w:rPr>
  </w:style>
  <w:style w:type="paragraph" w:styleId="29">
    <w:name w:val="Body Text First Indent 2"/>
    <w:basedOn w:val="15"/>
    <w:qFormat/>
    <w:uiPriority w:val="0"/>
    <w:pPr>
      <w:ind w:firstLine="420" w:firstLineChars="200"/>
    </w:pPr>
    <w:rPr>
      <w:rFonts w:ascii="Calibri" w:hAnsi="Calibri"/>
      <w:kern w:val="2"/>
    </w:rPr>
  </w:style>
  <w:style w:type="table" w:styleId="31">
    <w:name w:val="Table Grid"/>
    <w:basedOn w:val="3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qFormat/>
    <w:uiPriority w:val="22"/>
    <w:rPr>
      <w:b/>
    </w:rPr>
  </w:style>
  <w:style w:type="character" w:styleId="34">
    <w:name w:val="endnote reference"/>
    <w:unhideWhenUsed/>
    <w:qFormat/>
    <w:uiPriority w:val="99"/>
    <w:rPr>
      <w:vertAlign w:val="superscript"/>
    </w:rPr>
  </w:style>
  <w:style w:type="character" w:styleId="35">
    <w:name w:val="page number"/>
    <w:qFormat/>
    <w:uiPriority w:val="0"/>
  </w:style>
  <w:style w:type="character" w:styleId="36">
    <w:name w:val="FollowedHyperlink"/>
    <w:unhideWhenUsed/>
    <w:qFormat/>
    <w:uiPriority w:val="99"/>
    <w:rPr>
      <w:color w:val="0088CC"/>
      <w:u w:val="none"/>
    </w:rPr>
  </w:style>
  <w:style w:type="character" w:styleId="37">
    <w:name w:val="HTML Definition"/>
    <w:unhideWhenUsed/>
    <w:qFormat/>
    <w:uiPriority w:val="99"/>
  </w:style>
  <w:style w:type="character" w:styleId="38">
    <w:name w:val="HTML Typewriter"/>
    <w:unhideWhenUsed/>
    <w:qFormat/>
    <w:uiPriority w:val="99"/>
    <w:rPr>
      <w:rFonts w:hint="default" w:ascii="monospace" w:hAnsi="monospace" w:eastAsia="monospace" w:cs="monospace"/>
      <w:sz w:val="20"/>
    </w:rPr>
  </w:style>
  <w:style w:type="character" w:styleId="39">
    <w:name w:val="HTML Acronym"/>
    <w:unhideWhenUsed/>
    <w:qFormat/>
    <w:uiPriority w:val="99"/>
  </w:style>
  <w:style w:type="character" w:styleId="40">
    <w:name w:val="HTML Variable"/>
    <w:unhideWhenUsed/>
    <w:qFormat/>
    <w:uiPriority w:val="99"/>
  </w:style>
  <w:style w:type="character" w:styleId="41">
    <w:name w:val="Hyperlink"/>
    <w:unhideWhenUsed/>
    <w:qFormat/>
    <w:uiPriority w:val="99"/>
    <w:rPr>
      <w:color w:val="0088CC"/>
      <w:u w:val="none"/>
    </w:rPr>
  </w:style>
  <w:style w:type="character" w:styleId="42">
    <w:name w:val="HTML Code"/>
    <w:unhideWhenUsed/>
    <w:qFormat/>
    <w:uiPriority w:val="99"/>
    <w:rPr>
      <w:rFonts w:hint="default" w:ascii="monospace" w:hAnsi="monospace" w:eastAsia="monospace" w:cs="monospace"/>
      <w:sz w:val="20"/>
    </w:rPr>
  </w:style>
  <w:style w:type="character" w:styleId="43">
    <w:name w:val="annotation reference"/>
    <w:qFormat/>
    <w:uiPriority w:val="0"/>
    <w:rPr>
      <w:sz w:val="21"/>
      <w:szCs w:val="21"/>
    </w:rPr>
  </w:style>
  <w:style w:type="character" w:styleId="44">
    <w:name w:val="HTML Cite"/>
    <w:unhideWhenUsed/>
    <w:qFormat/>
    <w:uiPriority w:val="99"/>
  </w:style>
  <w:style w:type="character" w:styleId="45">
    <w:name w:val="HTML Keyboard"/>
    <w:unhideWhenUsed/>
    <w:qFormat/>
    <w:uiPriority w:val="99"/>
    <w:rPr>
      <w:rFonts w:ascii="monospace" w:hAnsi="monospace" w:eastAsia="monospace" w:cs="monospace"/>
      <w:sz w:val="20"/>
    </w:rPr>
  </w:style>
  <w:style w:type="character" w:styleId="46">
    <w:name w:val="HTML Sample"/>
    <w:unhideWhenUsed/>
    <w:qFormat/>
    <w:uiPriority w:val="99"/>
    <w:rPr>
      <w:rFonts w:hint="default" w:ascii="monospace" w:hAnsi="monospace" w:eastAsia="monospace" w:cs="monospace"/>
    </w:rPr>
  </w:style>
  <w:style w:type="character" w:customStyle="1" w:styleId="47">
    <w:name w:val="标题 2 Char"/>
    <w:qFormat/>
    <w:uiPriority w:val="9"/>
    <w:rPr>
      <w:rFonts w:ascii="Cambria" w:hAnsi="Cambria" w:eastAsia="宋体" w:cs="Times New Roman"/>
      <w:b/>
      <w:bCs/>
      <w:kern w:val="2"/>
      <w:sz w:val="32"/>
      <w:szCs w:val="32"/>
    </w:rPr>
  </w:style>
  <w:style w:type="paragraph" w:customStyle="1" w:styleId="48">
    <w:name w:val="段"/>
    <w:next w:val="1"/>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lang w:val="en-US" w:eastAsia="zh-CN" w:bidi="ar-SA"/>
    </w:rPr>
  </w:style>
  <w:style w:type="character" w:customStyle="1" w:styleId="49">
    <w:name w:val="正文文本 字符"/>
    <w:link w:val="2"/>
    <w:qFormat/>
    <w:uiPriority w:val="0"/>
    <w:rPr>
      <w:rFonts w:ascii="Times New Roman" w:hAnsi="Times New Roman"/>
      <w:kern w:val="2"/>
      <w:sz w:val="21"/>
      <w:szCs w:val="24"/>
    </w:rPr>
  </w:style>
  <w:style w:type="character" w:customStyle="1" w:styleId="50">
    <w:name w:val="标题 1 字符"/>
    <w:link w:val="4"/>
    <w:qFormat/>
    <w:uiPriority w:val="9"/>
    <w:rPr>
      <w:b/>
      <w:kern w:val="44"/>
      <w:sz w:val="44"/>
    </w:rPr>
  </w:style>
  <w:style w:type="character" w:customStyle="1" w:styleId="51">
    <w:name w:val="标题 2 字符"/>
    <w:link w:val="5"/>
    <w:qFormat/>
    <w:uiPriority w:val="9"/>
    <w:rPr>
      <w:rFonts w:ascii="Cambria" w:hAnsi="Cambria" w:eastAsia="宋体" w:cs="Times New Roman"/>
      <w:b/>
      <w:bCs/>
      <w:kern w:val="2"/>
      <w:sz w:val="32"/>
      <w:szCs w:val="32"/>
    </w:rPr>
  </w:style>
  <w:style w:type="character" w:customStyle="1" w:styleId="52">
    <w:name w:val="标题 5 字符"/>
    <w:link w:val="8"/>
    <w:semiHidden/>
    <w:qFormat/>
    <w:uiPriority w:val="9"/>
    <w:rPr>
      <w:rFonts w:ascii="Times New Roman" w:hAnsi="Times New Roman"/>
      <w:b/>
      <w:bCs/>
      <w:kern w:val="2"/>
      <w:sz w:val="28"/>
      <w:szCs w:val="28"/>
    </w:rPr>
  </w:style>
  <w:style w:type="character" w:customStyle="1" w:styleId="53">
    <w:name w:val="标题 8 字符"/>
    <w:link w:val="10"/>
    <w:semiHidden/>
    <w:qFormat/>
    <w:uiPriority w:val="9"/>
    <w:rPr>
      <w:rFonts w:ascii="等线 Light" w:hAnsi="等线 Light" w:eastAsia="等线 Light" w:cs="Times New Roman"/>
      <w:kern w:val="2"/>
      <w:sz w:val="24"/>
      <w:szCs w:val="24"/>
    </w:rPr>
  </w:style>
  <w:style w:type="character" w:customStyle="1" w:styleId="54">
    <w:name w:val="批注文字 字符"/>
    <w:link w:val="13"/>
    <w:qFormat/>
    <w:uiPriority w:val="0"/>
    <w:rPr>
      <w:rFonts w:ascii="Times New Roman" w:hAnsi="Times New Roman"/>
      <w:kern w:val="2"/>
      <w:sz w:val="21"/>
      <w:szCs w:val="24"/>
    </w:rPr>
  </w:style>
  <w:style w:type="character" w:customStyle="1" w:styleId="55">
    <w:name w:val="正文文本 3 字符"/>
    <w:link w:val="14"/>
    <w:semiHidden/>
    <w:qFormat/>
    <w:uiPriority w:val="99"/>
    <w:rPr>
      <w:kern w:val="2"/>
      <w:sz w:val="16"/>
      <w:szCs w:val="16"/>
    </w:rPr>
  </w:style>
  <w:style w:type="character" w:customStyle="1" w:styleId="56">
    <w:name w:val="正文文本缩进 字符"/>
    <w:link w:val="15"/>
    <w:qFormat/>
    <w:uiPriority w:val="0"/>
    <w:rPr>
      <w:rFonts w:ascii="仿宋_GB2312" w:hAnsi="Times New Roman" w:eastAsia="仿宋_GB2312" w:cs="Times New Roman"/>
      <w:sz w:val="32"/>
      <w:szCs w:val="20"/>
    </w:rPr>
  </w:style>
  <w:style w:type="character" w:customStyle="1" w:styleId="57">
    <w:name w:val="纯文本 字符"/>
    <w:link w:val="19"/>
    <w:qFormat/>
    <w:uiPriority w:val="0"/>
    <w:rPr>
      <w:rFonts w:ascii="宋体" w:hAnsi="Courier New" w:eastAsia="宋体" w:cs="Courier New"/>
      <w:szCs w:val="21"/>
    </w:rPr>
  </w:style>
  <w:style w:type="character" w:customStyle="1" w:styleId="58">
    <w:name w:val="日期 字符"/>
    <w:link w:val="20"/>
    <w:semiHidden/>
    <w:qFormat/>
    <w:uiPriority w:val="99"/>
    <w:rPr>
      <w:rFonts w:ascii="Times New Roman" w:hAnsi="Times New Roman"/>
      <w:kern w:val="2"/>
      <w:sz w:val="21"/>
      <w:szCs w:val="24"/>
    </w:rPr>
  </w:style>
  <w:style w:type="character" w:customStyle="1" w:styleId="59">
    <w:name w:val="页脚 字符"/>
    <w:link w:val="23"/>
    <w:qFormat/>
    <w:uiPriority w:val="99"/>
    <w:rPr>
      <w:sz w:val="18"/>
      <w:szCs w:val="18"/>
    </w:rPr>
  </w:style>
  <w:style w:type="character" w:customStyle="1" w:styleId="60">
    <w:name w:val="页眉 字符"/>
    <w:link w:val="24"/>
    <w:qFormat/>
    <w:uiPriority w:val="99"/>
    <w:rPr>
      <w:sz w:val="18"/>
      <w:szCs w:val="18"/>
    </w:rPr>
  </w:style>
  <w:style w:type="character" w:customStyle="1" w:styleId="61">
    <w:name w:val="批注主题 字符"/>
    <w:link w:val="28"/>
    <w:qFormat/>
    <w:uiPriority w:val="99"/>
    <w:rPr>
      <w:rFonts w:ascii="Times New Roman" w:hAnsi="Times New Roman"/>
      <w:b/>
      <w:bCs/>
      <w:kern w:val="2"/>
      <w:sz w:val="21"/>
      <w:szCs w:val="24"/>
    </w:rPr>
  </w:style>
  <w:style w:type="character" w:customStyle="1" w:styleId="62">
    <w:name w:val="redfilenumber"/>
    <w:qFormat/>
    <w:uiPriority w:val="0"/>
    <w:rPr>
      <w:color w:val="BA2636"/>
      <w:sz w:val="18"/>
      <w:szCs w:val="18"/>
    </w:rPr>
  </w:style>
  <w:style w:type="character" w:customStyle="1" w:styleId="63">
    <w:name w:val="l2"/>
    <w:qFormat/>
    <w:uiPriority w:val="0"/>
  </w:style>
  <w:style w:type="character" w:customStyle="1" w:styleId="64">
    <w:name w:val="next2"/>
    <w:qFormat/>
    <w:uiPriority w:val="0"/>
    <w:rPr>
      <w:rFonts w:ascii="微软雅黑" w:hAnsi="微软雅黑" w:eastAsia="微软雅黑" w:cs="微软雅黑"/>
      <w:sz w:val="21"/>
      <w:szCs w:val="21"/>
    </w:rPr>
  </w:style>
  <w:style w:type="character" w:customStyle="1" w:styleId="65">
    <w:name w:val="redfilefwwh"/>
    <w:qFormat/>
    <w:uiPriority w:val="0"/>
    <w:rPr>
      <w:color w:val="BA2636"/>
      <w:sz w:val="18"/>
      <w:szCs w:val="18"/>
    </w:rPr>
  </w:style>
  <w:style w:type="character" w:customStyle="1" w:styleId="66">
    <w:name w:val="apple-style-span"/>
    <w:qFormat/>
    <w:uiPriority w:val="0"/>
  </w:style>
  <w:style w:type="character" w:customStyle="1" w:styleId="67">
    <w:name w:val="prev3"/>
    <w:qFormat/>
    <w:uiPriority w:val="0"/>
    <w:rPr>
      <w:color w:val="888888"/>
    </w:rPr>
  </w:style>
  <w:style w:type="character" w:customStyle="1" w:styleId="68">
    <w:name w:val="批注文字 字符1"/>
    <w:qFormat/>
    <w:uiPriority w:val="0"/>
    <w:rPr>
      <w:rFonts w:ascii="Times New Roman" w:hAnsi="Times New Roman"/>
      <w:kern w:val="2"/>
      <w:sz w:val="21"/>
      <w:szCs w:val="24"/>
    </w:rPr>
  </w:style>
  <w:style w:type="character" w:customStyle="1" w:styleId="69">
    <w:name w:val="gjfg"/>
    <w:qFormat/>
    <w:uiPriority w:val="0"/>
  </w:style>
  <w:style w:type="character" w:customStyle="1" w:styleId="70">
    <w:name w:val="next3"/>
    <w:qFormat/>
    <w:uiPriority w:val="0"/>
    <w:rPr>
      <w:color w:val="888888"/>
    </w:rPr>
  </w:style>
  <w:style w:type="character" w:customStyle="1" w:styleId="71">
    <w:name w:val="r"/>
    <w:qFormat/>
    <w:uiPriority w:val="0"/>
  </w:style>
  <w:style w:type="character" w:customStyle="1" w:styleId="72">
    <w:name w:val="纯文本 Char"/>
    <w:qFormat/>
    <w:uiPriority w:val="0"/>
    <w:rPr>
      <w:rFonts w:ascii="宋体" w:hAnsi="Courier New" w:eastAsia="宋体" w:cs="Courier New"/>
      <w:szCs w:val="21"/>
    </w:rPr>
  </w:style>
  <w:style w:type="character" w:customStyle="1" w:styleId="73">
    <w:name w:val="正文文本 Char"/>
    <w:qFormat/>
    <w:uiPriority w:val="0"/>
    <w:rPr>
      <w:rFonts w:ascii="Times New Roman" w:hAnsi="Times New Roman"/>
      <w:kern w:val="2"/>
      <w:sz w:val="21"/>
      <w:szCs w:val="24"/>
    </w:rPr>
  </w:style>
  <w:style w:type="character" w:customStyle="1" w:styleId="74">
    <w:name w:val="批注文字 Char"/>
    <w:qFormat/>
    <w:uiPriority w:val="0"/>
    <w:rPr>
      <w:rFonts w:ascii="Times New Roman" w:hAnsi="Times New Roman"/>
      <w:kern w:val="2"/>
      <w:sz w:val="21"/>
      <w:szCs w:val="24"/>
    </w:rPr>
  </w:style>
  <w:style w:type="character" w:customStyle="1" w:styleId="75">
    <w:name w:val="textcontents"/>
    <w:qFormat/>
    <w:uiPriority w:val="0"/>
  </w:style>
  <w:style w:type="character" w:customStyle="1" w:styleId="76">
    <w:name w:val="纯文本 字符1"/>
    <w:qFormat/>
    <w:uiPriority w:val="0"/>
    <w:rPr>
      <w:rFonts w:ascii="宋体" w:hAnsi="Courier New"/>
    </w:rPr>
  </w:style>
  <w:style w:type="character" w:customStyle="1" w:styleId="7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8">
    <w:name w:val="纯文本 字符2"/>
    <w:qFormat/>
    <w:uiPriority w:val="0"/>
    <w:rPr>
      <w:rFonts w:ascii="宋体" w:hAnsi="Courier New" w:eastAsia="宋体" w:cs="Courier New"/>
      <w:szCs w:val="21"/>
    </w:rPr>
  </w:style>
  <w:style w:type="character" w:customStyle="1" w:styleId="79">
    <w:name w:val="标题 8 Char"/>
    <w:qFormat/>
    <w:uiPriority w:val="0"/>
    <w:rPr>
      <w:rFonts w:ascii="Arial" w:hAnsi="Arial" w:eastAsia="黑体"/>
      <w:kern w:val="2"/>
      <w:sz w:val="24"/>
      <w:szCs w:val="24"/>
    </w:rPr>
  </w:style>
  <w:style w:type="character" w:customStyle="1" w:styleId="80">
    <w:name w:val="NormalCharacter"/>
    <w:qFormat/>
    <w:uiPriority w:val="0"/>
  </w:style>
  <w:style w:type="character" w:customStyle="1" w:styleId="81">
    <w:name w:val="next"/>
    <w:qFormat/>
    <w:uiPriority w:val="0"/>
    <w:rPr>
      <w:rFonts w:ascii="微软雅黑" w:hAnsi="微软雅黑" w:eastAsia="微软雅黑" w:cs="微软雅黑"/>
      <w:sz w:val="21"/>
      <w:szCs w:val="21"/>
    </w:rPr>
  </w:style>
  <w:style w:type="character" w:customStyle="1" w:styleId="82">
    <w:name w:val="next1"/>
    <w:qFormat/>
    <w:uiPriority w:val="0"/>
    <w:rPr>
      <w:color w:val="888888"/>
    </w:rPr>
  </w:style>
  <w:style w:type="character" w:customStyle="1" w:styleId="83">
    <w:name w:val="prev2"/>
    <w:qFormat/>
    <w:uiPriority w:val="0"/>
    <w:rPr>
      <w:rFonts w:hint="eastAsia" w:ascii="微软雅黑" w:hAnsi="微软雅黑" w:eastAsia="微软雅黑" w:cs="微软雅黑"/>
      <w:sz w:val="21"/>
      <w:szCs w:val="21"/>
    </w:rPr>
  </w:style>
  <w:style w:type="character" w:customStyle="1" w:styleId="84">
    <w:name w:val="displayarti"/>
    <w:qFormat/>
    <w:uiPriority w:val="0"/>
    <w:rPr>
      <w:color w:val="FFFFFF"/>
      <w:shd w:val="clear" w:color="auto" w:fill="A00000"/>
    </w:rPr>
  </w:style>
  <w:style w:type="character" w:customStyle="1" w:styleId="85">
    <w:name w:val="qxdate"/>
    <w:qFormat/>
    <w:uiPriority w:val="0"/>
    <w:rPr>
      <w:color w:val="333333"/>
      <w:sz w:val="18"/>
      <w:szCs w:val="18"/>
    </w:rPr>
  </w:style>
  <w:style w:type="character" w:customStyle="1" w:styleId="86">
    <w:name w:val="cfdate"/>
    <w:qFormat/>
    <w:uiPriority w:val="0"/>
    <w:rPr>
      <w:color w:val="333333"/>
      <w:sz w:val="18"/>
      <w:szCs w:val="18"/>
    </w:rPr>
  </w:style>
  <w:style w:type="paragraph" w:customStyle="1" w:styleId="87">
    <w:name w:val="Default"/>
    <w:qFormat/>
    <w:uiPriority w:val="0"/>
    <w:pPr>
      <w:widowControl w:val="0"/>
      <w:autoSpaceDE w:val="0"/>
      <w:autoSpaceDN w:val="0"/>
      <w:adjustRightInd w:val="0"/>
    </w:pPr>
    <w:rPr>
      <w:rFonts w:ascii="宋体" w:hAnsi="Calibri" w:eastAsia="Calibri" w:cs="宋体"/>
      <w:color w:val="000000"/>
      <w:sz w:val="24"/>
      <w:szCs w:val="24"/>
      <w:lang w:val="en-US" w:eastAsia="zh-CN" w:bidi="ar-SA"/>
    </w:rPr>
  </w:style>
  <w:style w:type="paragraph" w:customStyle="1" w:styleId="88">
    <w:name w:val="默认段落字体 Para Char Char Char Char Char Char Char Char Char1 Char Char Char Char"/>
    <w:basedOn w:val="1"/>
    <w:qFormat/>
    <w:uiPriority w:val="0"/>
    <w:rPr>
      <w:rFonts w:ascii="Tahoma" w:hAnsi="Tahoma"/>
      <w:sz w:val="24"/>
      <w:szCs w:val="20"/>
    </w:rPr>
  </w:style>
  <w:style w:type="paragraph" w:customStyle="1" w:styleId="89">
    <w:name w:val="表格文字"/>
    <w:basedOn w:val="1"/>
    <w:qFormat/>
    <w:uiPriority w:val="0"/>
    <w:pPr>
      <w:spacing w:before="25" w:after="25"/>
      <w:jc w:val="left"/>
    </w:pPr>
    <w:rPr>
      <w:bCs/>
      <w:spacing w:val="10"/>
      <w:kern w:val="0"/>
      <w:sz w:val="24"/>
      <w:szCs w:val="20"/>
    </w:rPr>
  </w:style>
  <w:style w:type="paragraph" w:styleId="90">
    <w:name w:val="List Paragraph"/>
    <w:basedOn w:val="1"/>
    <w:qFormat/>
    <w:uiPriority w:val="34"/>
    <w:pPr>
      <w:ind w:firstLine="420" w:firstLineChars="200"/>
    </w:pPr>
  </w:style>
  <w:style w:type="paragraph" w:customStyle="1" w:styleId="91">
    <w:name w:val="Table Paragraph"/>
    <w:basedOn w:val="1"/>
    <w:qFormat/>
    <w:uiPriority w:val="1"/>
    <w:rPr>
      <w:rFonts w:ascii="宋体" w:hAnsi="宋体" w:cs="宋体"/>
      <w:lang w:val="zh-CN" w:bidi="zh-CN"/>
    </w:rPr>
  </w:style>
  <w:style w:type="paragraph" w:customStyle="1" w:styleId="92">
    <w:name w:val="表内文字"/>
    <w:basedOn w:val="1"/>
    <w:qFormat/>
    <w:uiPriority w:val="0"/>
    <w:pPr>
      <w:snapToGrid w:val="0"/>
      <w:spacing w:before="50" w:after="50"/>
      <w:jc w:val="center"/>
    </w:pPr>
    <w:rPr>
      <w:rFonts w:ascii="仿宋_GB2312" w:hAnsi="宋体" w:eastAsia="仿宋_GB2312"/>
      <w:b/>
      <w:color w:val="000000"/>
      <w:sz w:val="32"/>
      <w:szCs w:val="32"/>
    </w:rPr>
  </w:style>
  <w:style w:type="character" w:customStyle="1" w:styleId="93">
    <w:name w:val="15"/>
    <w:basedOn w:val="32"/>
    <w:qFormat/>
    <w:uiPriority w:val="0"/>
    <w:rPr>
      <w:rFonts w:hint="default" w:ascii="Times New Roman" w:hAnsi="Times New Roman" w:cs="Times New Roman"/>
    </w:rPr>
  </w:style>
  <w:style w:type="paragraph" w:customStyle="1" w:styleId="94">
    <w:name w:val="公文正文"/>
    <w:basedOn w:val="95"/>
    <w:qFormat/>
    <w:uiPriority w:val="0"/>
    <w:pPr>
      <w:spacing w:line="520" w:lineRule="exact"/>
      <w:ind w:firstLine="640" w:firstLineChars="200"/>
    </w:pPr>
    <w:rPr>
      <w:rFonts w:eastAsia="仿宋_GB2312"/>
      <w:sz w:val="28"/>
    </w:rPr>
  </w:style>
  <w:style w:type="paragraph" w:customStyle="1" w:styleId="95">
    <w:name w:val="主送单位"/>
    <w:basedOn w:val="1"/>
    <w:qFormat/>
    <w:uiPriority w:val="0"/>
    <w:pPr>
      <w:spacing w:line="560" w:lineRule="exact"/>
    </w:pPr>
    <w:rPr>
      <w:rFonts w:eastAsia="方正仿宋简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423BFB-22FE-454F-A60E-242A3AB203C3}">
  <ds:schemaRefs/>
</ds:datastoreItem>
</file>

<file path=docProps/app.xml><?xml version="1.0" encoding="utf-8"?>
<Properties xmlns="http://schemas.openxmlformats.org/officeDocument/2006/extended-properties" xmlns:vt="http://schemas.openxmlformats.org/officeDocument/2006/docPropsVTypes">
  <Template>Normal</Template>
  <Pages>74</Pages>
  <Words>19616</Words>
  <Characters>20839</Characters>
  <Lines>348</Lines>
  <Paragraphs>98</Paragraphs>
  <TotalTime>30</TotalTime>
  <ScaleCrop>false</ScaleCrop>
  <LinksUpToDate>false</LinksUpToDate>
  <CharactersWithSpaces>21193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2020-07-13T02:59:00Z</dcterms:created>
  <dc:creator>Home3</dc:creator>
  <cp:lastModifiedBy>hqh474</cp:lastModifiedBy>
  <cp:lastPrinted>2022-05-30T02:01:00Z</cp:lastPrinted>
  <dcterms:modified xsi:type="dcterms:W3CDTF">2026-02-03T10:42:33Z</dcterms:modified>
  <dc:title>竞争性磋商文件规范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287F452147BA443AB819E5B3BE70B16F_13</vt:lpwstr>
  </property>
  <property fmtid="{D5CDD505-2E9C-101B-9397-08002B2CF9AE}" pid="4" name="KSOTemplateDocerSaveRecord">
    <vt:lpwstr>eyJoZGlkIjoiNzJhODdhZWVmZmNiNDczZGI3ZjVjN2UwMDYyNWFlZWMiLCJ1c2VySWQiOiIxNzE2NjEzNSJ9</vt:lpwstr>
  </property>
</Properties>
</file>