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998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rPr>
        <w:t>云之龙咨询集团有限公司关于彩色多普勒超声波诊断仪及电子支气管内窥镜采购（GXZC2026-J1-000236-YZLZ）的</w:t>
      </w:r>
    </w:p>
    <w:p w14:paraId="58EE87C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rPr>
        <w:t>竞争性谈判公告</w:t>
      </w:r>
    </w:p>
    <w:p w14:paraId="6DA2DF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3A55A31A">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bookmarkStart w:id="0" w:name="_Hlk37430271"/>
      <w:r>
        <w:rPr>
          <w:rFonts w:hint="eastAsia" w:ascii="宋体" w:hAnsi="宋体" w:eastAsia="宋体" w:cs="宋体"/>
          <w:kern w:val="2"/>
          <w:sz w:val="21"/>
          <w:szCs w:val="21"/>
          <w:bdr w:val="none" w:color="auto" w:sz="0" w:space="0"/>
          <w:lang w:val="en-US" w:eastAsia="zh-CN" w:bidi="ar"/>
        </w:rPr>
        <w:t>项目概况</w:t>
      </w:r>
    </w:p>
    <w:p w14:paraId="3FAEDD82">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u w:val="single"/>
          <w:bdr w:val="none" w:color="auto" w:sz="0" w:space="0"/>
          <w:lang w:val="en-US" w:eastAsia="zh-CN" w:bidi="ar"/>
        </w:rPr>
        <w:t>彩色多普勒超声波诊断仪及电子支气管内窥镜</w:t>
      </w:r>
      <w:r>
        <w:rPr>
          <w:rFonts w:hint="eastAsia" w:ascii="宋体" w:hAnsi="宋体" w:eastAsia="宋体" w:cs="宋体"/>
          <w:kern w:val="2"/>
          <w:sz w:val="21"/>
          <w:szCs w:val="21"/>
          <w:bdr w:val="none" w:color="auto" w:sz="0" w:space="0"/>
          <w:lang w:val="en-US" w:eastAsia="zh-CN" w:bidi="ar"/>
        </w:rPr>
        <w:t>项目的潜在供应商应在广西政府采购云平台（https://www.gcy.zfcg.gxzf.gov.cn/）获取（下载）竞争性谈判文件，并于</w:t>
      </w:r>
      <w:r>
        <w:rPr>
          <w:rFonts w:hint="eastAsia" w:ascii="宋体" w:hAnsi="宋体" w:eastAsia="宋体" w:cs="宋体"/>
          <w:bCs/>
          <w:kern w:val="2"/>
          <w:sz w:val="21"/>
          <w:szCs w:val="21"/>
          <w:u w:val="single"/>
          <w:bdr w:val="none" w:color="auto" w:sz="0" w:space="0"/>
          <w:lang w:val="en-US" w:eastAsia="zh-CN" w:bidi="ar"/>
        </w:rPr>
        <w:t>2026年 2 月 28 日上午9时00分（</w:t>
      </w:r>
      <w:r>
        <w:rPr>
          <w:rFonts w:hint="eastAsia" w:ascii="宋体" w:hAnsi="宋体" w:eastAsia="宋体" w:cs="宋体"/>
          <w:bCs/>
          <w:kern w:val="2"/>
          <w:sz w:val="21"/>
          <w:szCs w:val="21"/>
          <w:bdr w:val="none" w:color="auto" w:sz="0" w:space="0"/>
          <w:lang w:val="en-US" w:eastAsia="zh-CN" w:bidi="ar"/>
        </w:rPr>
        <w:t>北京时间）前提交（上传）</w:t>
      </w:r>
      <w:r>
        <w:rPr>
          <w:rFonts w:hint="eastAsia" w:ascii="宋体" w:hAnsi="宋体" w:eastAsia="宋体" w:cs="宋体"/>
          <w:kern w:val="2"/>
          <w:sz w:val="21"/>
          <w:szCs w:val="21"/>
          <w:bdr w:val="none" w:color="auto" w:sz="0" w:space="0"/>
          <w:lang w:val="en-US" w:eastAsia="zh-CN" w:bidi="ar"/>
        </w:rPr>
        <w:t>响应</w:t>
      </w:r>
      <w:r>
        <w:rPr>
          <w:rFonts w:hint="eastAsia" w:ascii="宋体" w:hAnsi="宋体" w:eastAsia="宋体" w:cs="宋体"/>
          <w:bCs/>
          <w:kern w:val="2"/>
          <w:sz w:val="21"/>
          <w:szCs w:val="21"/>
          <w:bdr w:val="none" w:color="auto" w:sz="0" w:space="0"/>
          <w:lang w:val="en-US" w:eastAsia="zh-CN" w:bidi="ar"/>
        </w:rPr>
        <w:t>文件</w:t>
      </w:r>
      <w:r>
        <w:rPr>
          <w:rFonts w:hint="eastAsia" w:ascii="宋体" w:hAnsi="宋体" w:eastAsia="宋体" w:cs="宋体"/>
          <w:kern w:val="2"/>
          <w:sz w:val="21"/>
          <w:szCs w:val="21"/>
          <w:bdr w:val="none" w:color="auto" w:sz="0" w:space="0"/>
          <w:lang w:val="en-US" w:eastAsia="zh-CN" w:bidi="ar"/>
        </w:rPr>
        <w:t>。</w:t>
      </w:r>
    </w:p>
    <w:p w14:paraId="5CC2064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Cs w:val="21"/>
          <w:lang w:val="en-US"/>
        </w:rPr>
      </w:pPr>
    </w:p>
    <w:p w14:paraId="4EB95C14">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bookmarkStart w:id="1" w:name="_Toc28359012"/>
      <w:bookmarkStart w:id="2" w:name="_Toc35393629"/>
      <w:bookmarkStart w:id="3" w:name="_Toc71366040"/>
      <w:bookmarkStart w:id="4" w:name="_Toc28359089"/>
      <w:bookmarkStart w:id="5" w:name="_Toc71365362"/>
      <w:bookmarkStart w:id="6" w:name="_Toc35393798"/>
      <w:r>
        <w:rPr>
          <w:rFonts w:hint="eastAsia" w:ascii="黑体" w:hAnsi="宋体" w:eastAsia="黑体" w:cs="黑体"/>
          <w:kern w:val="2"/>
          <w:sz w:val="24"/>
          <w:szCs w:val="24"/>
          <w:lang w:val="en-US" w:eastAsia="zh-CN" w:bidi="ar"/>
        </w:rPr>
        <w:t>一、项目基本情况</w:t>
      </w:r>
      <w:bookmarkEnd w:id="1"/>
      <w:bookmarkEnd w:id="2"/>
      <w:bookmarkEnd w:id="3"/>
      <w:bookmarkEnd w:id="4"/>
      <w:bookmarkEnd w:id="5"/>
      <w:bookmarkEnd w:id="6"/>
    </w:p>
    <w:p w14:paraId="742B310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项目编号：GXZC2026-J1-000236-YZLZ；采购计划编号：广西政采[2026]1223号</w:t>
      </w:r>
    </w:p>
    <w:p w14:paraId="1D381C48">
      <w:pPr>
        <w:keepNext w:val="0"/>
        <w:keepLines w:val="0"/>
        <w:widowControl w:val="0"/>
        <w:suppressLineNumbers w:val="0"/>
        <w:spacing w:before="0" w:beforeAutospacing="0" w:after="0" w:afterAutospacing="0" w:line="400" w:lineRule="exact"/>
        <w:ind w:left="1470" w:leftChars="200" w:right="0" w:hanging="1050" w:hangingChars="5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项目名称：彩色多普勒超声波诊断仪及电子支气管内窥镜采购</w:t>
      </w:r>
    </w:p>
    <w:p w14:paraId="27317C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采购方式：竞争性谈判</w:t>
      </w:r>
    </w:p>
    <w:p w14:paraId="3865F0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预算金额：</w:t>
      </w:r>
      <w:r>
        <w:rPr>
          <w:rFonts w:hint="eastAsia" w:ascii="宋体" w:hAnsi="宋体" w:eastAsia="宋体" w:cs="宋体"/>
          <w:iCs/>
          <w:kern w:val="2"/>
          <w:sz w:val="21"/>
          <w:szCs w:val="21"/>
          <w:u w:val="single"/>
          <w:lang w:val="en-US" w:eastAsia="zh-CN" w:bidi="ar"/>
        </w:rPr>
        <w:t>290.5万元</w:t>
      </w:r>
    </w:p>
    <w:p w14:paraId="42FB59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最高限价：</w:t>
      </w:r>
      <w:r>
        <w:rPr>
          <w:rFonts w:hint="eastAsia" w:ascii="宋体" w:hAnsi="宋体" w:eastAsia="宋体" w:cs="宋体"/>
          <w:iCs/>
          <w:kern w:val="2"/>
          <w:sz w:val="21"/>
          <w:szCs w:val="21"/>
          <w:u w:val="single"/>
          <w:lang w:val="en-US" w:eastAsia="zh-CN" w:bidi="ar"/>
        </w:rPr>
        <w:t>290.5万元（含分项预算限价）</w:t>
      </w:r>
    </w:p>
    <w:p w14:paraId="2A3DB9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采购需求：</w:t>
      </w:r>
    </w:p>
    <w:tbl>
      <w:tblPr>
        <w:tblStyle w:val="4"/>
        <w:tblW w:w="5000" w:type="pct"/>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Layout w:type="autofit"/>
        <w:tblCellMar>
          <w:top w:w="0" w:type="dxa"/>
          <w:left w:w="108" w:type="dxa"/>
          <w:bottom w:w="0" w:type="dxa"/>
          <w:right w:w="108" w:type="dxa"/>
        </w:tblCellMar>
      </w:tblPr>
      <w:tblGrid>
        <w:gridCol w:w="682"/>
        <w:gridCol w:w="1810"/>
        <w:gridCol w:w="841"/>
        <w:gridCol w:w="4157"/>
        <w:gridCol w:w="1366"/>
      </w:tblGrid>
      <w:tr w14:paraId="2C174D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4229" w:type="pct"/>
            <w:gridSpan w:val="4"/>
            <w:tcBorders>
              <w:top w:val="single" w:color="auto" w:sz="4" w:space="0"/>
              <w:left w:val="single" w:color="auto" w:sz="4" w:space="0"/>
              <w:bottom w:val="single" w:color="auto" w:sz="4" w:space="0"/>
              <w:right w:val="single" w:color="auto" w:sz="4" w:space="0"/>
            </w:tcBorders>
            <w:shd w:val="clear"/>
            <w:vAlign w:val="center"/>
          </w:tcPr>
          <w:p w14:paraId="42703916">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单分标；最高限价金额：</w:t>
            </w:r>
            <w:r>
              <w:rPr>
                <w:rFonts w:hint="eastAsia" w:ascii="宋体" w:hAnsi="宋体" w:eastAsia="宋体" w:cs="宋体"/>
                <w:kern w:val="2"/>
                <w:sz w:val="21"/>
                <w:szCs w:val="21"/>
                <w:u w:val="single"/>
                <w:bdr w:val="none" w:color="auto" w:sz="0" w:space="0"/>
                <w:lang w:val="en-US" w:eastAsia="zh-CN" w:bidi="ar"/>
              </w:rPr>
              <w:t>290.5</w:t>
            </w:r>
            <w:r>
              <w:rPr>
                <w:rFonts w:hint="eastAsia" w:ascii="宋体" w:hAnsi="宋体" w:eastAsia="宋体" w:cs="宋体"/>
                <w:kern w:val="2"/>
                <w:sz w:val="21"/>
                <w:szCs w:val="21"/>
                <w:bdr w:val="none" w:color="auto" w:sz="0" w:space="0"/>
                <w:lang w:val="en-US" w:eastAsia="zh-CN" w:bidi="ar"/>
              </w:rPr>
              <w:t>万元</w:t>
            </w:r>
          </w:p>
        </w:tc>
        <w:tc>
          <w:tcPr>
            <w:tcW w:w="771" w:type="pct"/>
            <w:vMerge w:val="restart"/>
            <w:tcBorders>
              <w:top w:val="single" w:color="auto" w:sz="4" w:space="0"/>
              <w:left w:val="single" w:color="auto" w:sz="4" w:space="0"/>
              <w:bottom w:val="single" w:color="auto" w:sz="4" w:space="0"/>
              <w:right w:val="single" w:color="auto" w:sz="4" w:space="0"/>
            </w:tcBorders>
            <w:shd w:val="clear"/>
            <w:vAlign w:val="center"/>
          </w:tcPr>
          <w:p w14:paraId="047D878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分项预算限价（万元）</w:t>
            </w:r>
          </w:p>
        </w:tc>
      </w:tr>
      <w:tr w14:paraId="2FDB2C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shd w:val="clear"/>
            <w:vAlign w:val="center"/>
          </w:tcPr>
          <w:p w14:paraId="50A62184">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序号</w:t>
            </w:r>
          </w:p>
        </w:tc>
        <w:tc>
          <w:tcPr>
            <w:tcW w:w="1022" w:type="pct"/>
            <w:tcBorders>
              <w:top w:val="single" w:color="auto" w:sz="4" w:space="0"/>
              <w:left w:val="single" w:color="auto" w:sz="4" w:space="0"/>
              <w:bottom w:val="single" w:color="auto" w:sz="4" w:space="0"/>
              <w:right w:val="single" w:color="auto" w:sz="4" w:space="0"/>
            </w:tcBorders>
            <w:shd w:val="clear"/>
            <w:vAlign w:val="center"/>
          </w:tcPr>
          <w:p w14:paraId="58290220">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标的名称</w:t>
            </w:r>
          </w:p>
        </w:tc>
        <w:tc>
          <w:tcPr>
            <w:tcW w:w="475" w:type="pct"/>
            <w:tcBorders>
              <w:top w:val="single" w:color="auto" w:sz="4" w:space="0"/>
              <w:left w:val="single" w:color="auto" w:sz="4" w:space="0"/>
              <w:bottom w:val="single" w:color="auto" w:sz="4" w:space="0"/>
              <w:right w:val="single" w:color="auto" w:sz="4" w:space="0"/>
            </w:tcBorders>
            <w:shd w:val="clear"/>
            <w:vAlign w:val="center"/>
          </w:tcPr>
          <w:p w14:paraId="321FD3B1">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数量及</w:t>
            </w:r>
          </w:p>
          <w:p w14:paraId="21FD6C89">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单位</w:t>
            </w:r>
          </w:p>
        </w:tc>
        <w:tc>
          <w:tcPr>
            <w:tcW w:w="2346" w:type="pct"/>
            <w:tcBorders>
              <w:top w:val="single" w:color="auto" w:sz="4" w:space="0"/>
              <w:left w:val="single" w:color="auto" w:sz="4" w:space="0"/>
              <w:bottom w:val="single" w:color="auto" w:sz="4" w:space="0"/>
              <w:right w:val="single" w:color="auto" w:sz="4" w:space="0"/>
            </w:tcBorders>
            <w:shd w:val="clear"/>
            <w:vAlign w:val="center"/>
          </w:tcPr>
          <w:p w14:paraId="4028C4EC">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简要技术需求或者服务要求</w:t>
            </w:r>
          </w:p>
        </w:tc>
        <w:tc>
          <w:tcPr>
            <w:tcW w:w="771" w:type="pct"/>
            <w:vMerge w:val="continue"/>
            <w:tcBorders>
              <w:top w:val="single" w:color="auto" w:sz="4" w:space="0"/>
              <w:left w:val="single" w:color="auto" w:sz="4" w:space="0"/>
              <w:bottom w:val="single" w:color="auto" w:sz="4" w:space="0"/>
              <w:right w:val="single" w:color="auto" w:sz="4" w:space="0"/>
            </w:tcBorders>
            <w:shd w:val="clear"/>
            <w:vAlign w:val="center"/>
          </w:tcPr>
          <w:p w14:paraId="4F4583D3">
            <w:pPr>
              <w:rPr>
                <w:rFonts w:hint="default" w:ascii="Calibri" w:hAnsi="Calibri" w:eastAsia="宋体" w:cs="Times New Roman"/>
                <w:kern w:val="2"/>
                <w:sz w:val="21"/>
                <w:szCs w:val="22"/>
              </w:rPr>
            </w:pPr>
          </w:p>
        </w:tc>
      </w:tr>
      <w:tr w14:paraId="2FC2BF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shd w:val="clear"/>
            <w:vAlign w:val="center"/>
          </w:tcPr>
          <w:p w14:paraId="57C6C56F">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1022" w:type="pct"/>
            <w:tcBorders>
              <w:top w:val="single" w:color="auto" w:sz="4" w:space="0"/>
              <w:left w:val="single" w:color="auto" w:sz="4" w:space="0"/>
              <w:bottom w:val="single" w:color="auto" w:sz="4" w:space="0"/>
              <w:right w:val="single" w:color="auto" w:sz="4" w:space="0"/>
            </w:tcBorders>
            <w:shd w:val="clear"/>
            <w:vAlign w:val="center"/>
          </w:tcPr>
          <w:p w14:paraId="5D85B90F">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彩色多普勒超声波诊断仪</w:t>
            </w:r>
          </w:p>
        </w:tc>
        <w:tc>
          <w:tcPr>
            <w:tcW w:w="475" w:type="pct"/>
            <w:tcBorders>
              <w:top w:val="single" w:color="auto" w:sz="4" w:space="0"/>
              <w:left w:val="single" w:color="auto" w:sz="4" w:space="0"/>
              <w:bottom w:val="single" w:color="auto" w:sz="4" w:space="0"/>
              <w:right w:val="single" w:color="auto" w:sz="4" w:space="0"/>
            </w:tcBorders>
            <w:shd w:val="clear"/>
            <w:vAlign w:val="center"/>
          </w:tcPr>
          <w:p w14:paraId="640BA85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1套</w:t>
            </w:r>
          </w:p>
        </w:tc>
        <w:tc>
          <w:tcPr>
            <w:tcW w:w="2346" w:type="pct"/>
            <w:tcBorders>
              <w:top w:val="single" w:color="auto" w:sz="4" w:space="0"/>
              <w:left w:val="single" w:color="auto" w:sz="4" w:space="0"/>
              <w:bottom w:val="single" w:color="auto" w:sz="4" w:space="0"/>
              <w:right w:val="single" w:color="auto" w:sz="4" w:space="0"/>
            </w:tcBorders>
            <w:shd w:val="clear"/>
            <w:vAlign w:val="center"/>
          </w:tcPr>
          <w:p w14:paraId="1A8F3B79">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b/>
                <w:bCs/>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一、彩色多普勒超声波诊断仪</w:t>
            </w:r>
          </w:p>
          <w:p w14:paraId="630E873F">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▲1.具备≥23.0英寸医用高分辨率显示器，分辨率≥1920×1080。</w:t>
            </w:r>
          </w:p>
          <w:p w14:paraId="17CA9BCA">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2.具备≥12.0英寸、多点触控彩色触摸屏。</w:t>
            </w:r>
          </w:p>
          <w:p w14:paraId="580CA9AF">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3.具备电动控制操作平台，可在上下/左右/前后范围内灵活调节。</w:t>
            </w:r>
          </w:p>
          <w:p w14:paraId="6D61C99E">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4.具备心肌纹理成像模式：可增强瓣膜，腱索及心肌等细节结构的显示能力。</w:t>
            </w:r>
          </w:p>
          <w:p w14:paraId="70CC752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5.具备实时宽景成像技术，可前进和后退。</w:t>
            </w:r>
          </w:p>
          <w:p w14:paraId="624669A2">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6.具备心尖扩展成像技术，实现心尖宽视野显示。</w:t>
            </w:r>
          </w:p>
          <w:p w14:paraId="0440E517">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7.具备二维灰阶血流显像技术：非多普勒原理，直接提取微弱的血细胞回声进行成像。</w:t>
            </w:r>
          </w:p>
          <w:p w14:paraId="2F6A3C97">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8.具备内置原厂冠脉血流显像软件，能有效去除心腔彩色噪音，显示冠脉血流。</w:t>
            </w:r>
          </w:p>
          <w:p w14:paraId="73C5368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……具体见采购文件。</w:t>
            </w:r>
          </w:p>
        </w:tc>
        <w:tc>
          <w:tcPr>
            <w:tcW w:w="771" w:type="pct"/>
            <w:tcBorders>
              <w:top w:val="single" w:color="auto" w:sz="4" w:space="0"/>
              <w:left w:val="single" w:color="auto" w:sz="4" w:space="0"/>
              <w:bottom w:val="single" w:color="auto" w:sz="4" w:space="0"/>
              <w:right w:val="single" w:color="auto" w:sz="4" w:space="0"/>
            </w:tcBorders>
            <w:shd w:val="clear"/>
            <w:vAlign w:val="center"/>
          </w:tcPr>
          <w:p w14:paraId="52139F7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2"/>
                <w:sz w:val="21"/>
                <w:szCs w:val="21"/>
                <w:bdr w:val="none" w:color="auto" w:sz="0" w:space="0"/>
                <w:lang w:val="en-US" w:eastAsia="zh-CN" w:bidi="ar"/>
              </w:rPr>
              <w:t>263</w:t>
            </w:r>
          </w:p>
        </w:tc>
      </w:tr>
      <w:tr w14:paraId="3A9E6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shd w:val="clear"/>
            <w:vAlign w:val="center"/>
          </w:tcPr>
          <w:p w14:paraId="2B60A69A">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1022" w:type="pct"/>
            <w:tcBorders>
              <w:top w:val="single" w:color="auto" w:sz="4" w:space="0"/>
              <w:left w:val="single" w:color="auto" w:sz="4" w:space="0"/>
              <w:bottom w:val="single" w:color="auto" w:sz="4" w:space="0"/>
              <w:right w:val="single" w:color="auto" w:sz="4" w:space="0"/>
            </w:tcBorders>
            <w:shd w:val="clear"/>
            <w:vAlign w:val="center"/>
          </w:tcPr>
          <w:p w14:paraId="34B35384">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电子支气管内窥镜</w:t>
            </w:r>
          </w:p>
        </w:tc>
        <w:tc>
          <w:tcPr>
            <w:tcW w:w="475" w:type="pct"/>
            <w:tcBorders>
              <w:top w:val="single" w:color="auto" w:sz="4" w:space="0"/>
              <w:left w:val="single" w:color="auto" w:sz="4" w:space="0"/>
              <w:bottom w:val="single" w:color="auto" w:sz="4" w:space="0"/>
              <w:right w:val="single" w:color="auto" w:sz="4" w:space="0"/>
            </w:tcBorders>
            <w:shd w:val="clear"/>
            <w:vAlign w:val="center"/>
          </w:tcPr>
          <w:p w14:paraId="6B3ADD6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1套</w:t>
            </w:r>
          </w:p>
        </w:tc>
        <w:tc>
          <w:tcPr>
            <w:tcW w:w="2346" w:type="pct"/>
            <w:tcBorders>
              <w:top w:val="single" w:color="auto" w:sz="4" w:space="0"/>
              <w:left w:val="single" w:color="auto" w:sz="4" w:space="0"/>
              <w:bottom w:val="single" w:color="auto" w:sz="4" w:space="0"/>
              <w:right w:val="single" w:color="auto" w:sz="4" w:space="0"/>
            </w:tcBorders>
            <w:shd w:val="clear"/>
            <w:vAlign w:val="center"/>
          </w:tcPr>
          <w:p w14:paraId="0FE60E9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b/>
                <w:bCs/>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1.操作手柄（含插入管）：</w:t>
            </w:r>
          </w:p>
          <w:p w14:paraId="1BFD436D">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▲1.1适用范围：适用于气管、支气管及肺的观察、诊断、摄影或辅助治疗。</w:t>
            </w:r>
          </w:p>
          <w:p w14:paraId="521AD8E1">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1.2成像原理：电子成像技术，工作软管不含导像、导光纤维。</w:t>
            </w:r>
          </w:p>
          <w:p w14:paraId="7B2B7777">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▲1.3 软镜插入管外径≤5.2mm，工作管道内径≥2.8mm。</w:t>
            </w:r>
          </w:p>
          <w:p w14:paraId="5BAE0B7C">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1.4 插入部有效长度≥600mm，自带有360°刻度标识，利于操作者辨别诊治时的插入长度。</w:t>
            </w:r>
          </w:p>
          <w:p w14:paraId="313C5E1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▲1.5 视场角≥120°。</w:t>
            </w:r>
          </w:p>
          <w:p w14:paraId="2FE5018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1.6景深：3-100mm。</w:t>
            </w:r>
          </w:p>
          <w:p w14:paraId="4DBEBCF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1.7 插入管软管前端弯曲角度：向上弯曲≥180°，向下弯曲≥130°，双向弯曲≥310°，配合前端更小弯曲半径，精准诊疗。</w:t>
            </w:r>
          </w:p>
          <w:p w14:paraId="5A2B89E6">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1.8 弯角手轮上有操作方向U、D标记，角度把手调节至D处时，弯曲部向下弯曲，角度把手调节至U处时，弯曲部向上弯曲。</w:t>
            </w:r>
          </w:p>
          <w:p w14:paraId="56B03CC8">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……具体见采购文件。</w:t>
            </w:r>
          </w:p>
        </w:tc>
        <w:tc>
          <w:tcPr>
            <w:tcW w:w="771" w:type="pct"/>
            <w:tcBorders>
              <w:top w:val="single" w:color="auto" w:sz="4" w:space="0"/>
              <w:left w:val="single" w:color="auto" w:sz="4" w:space="0"/>
              <w:bottom w:val="single" w:color="auto" w:sz="4" w:space="0"/>
              <w:right w:val="single" w:color="auto" w:sz="4" w:space="0"/>
            </w:tcBorders>
            <w:shd w:val="clear"/>
            <w:vAlign w:val="center"/>
          </w:tcPr>
          <w:p w14:paraId="226354C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14.5</w:t>
            </w:r>
          </w:p>
        </w:tc>
      </w:tr>
      <w:tr w14:paraId="6F96D8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tblCellMar>
            <w:top w:w="0" w:type="dxa"/>
            <w:left w:w="108" w:type="dxa"/>
            <w:bottom w:w="0" w:type="dxa"/>
            <w:right w:w="108" w:type="dxa"/>
          </w:tblCellMar>
        </w:tblPrEx>
        <w:trPr>
          <w:trHeight w:val="567" w:hRule="atLeast"/>
        </w:trPr>
        <w:tc>
          <w:tcPr>
            <w:tcW w:w="385" w:type="pct"/>
            <w:tcBorders>
              <w:top w:val="single" w:color="auto" w:sz="4" w:space="0"/>
              <w:left w:val="single" w:color="auto" w:sz="4" w:space="0"/>
              <w:bottom w:val="single" w:color="auto" w:sz="4" w:space="0"/>
              <w:right w:val="single" w:color="auto" w:sz="4" w:space="0"/>
            </w:tcBorders>
            <w:shd w:val="clear"/>
            <w:vAlign w:val="center"/>
          </w:tcPr>
          <w:p w14:paraId="2F224792">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w:t>
            </w:r>
          </w:p>
        </w:tc>
        <w:tc>
          <w:tcPr>
            <w:tcW w:w="1022" w:type="pct"/>
            <w:tcBorders>
              <w:top w:val="single" w:color="auto" w:sz="4" w:space="0"/>
              <w:left w:val="single" w:color="auto" w:sz="4" w:space="0"/>
              <w:bottom w:val="single" w:color="auto" w:sz="4" w:space="0"/>
              <w:right w:val="single" w:color="auto" w:sz="4" w:space="0"/>
            </w:tcBorders>
            <w:shd w:val="clear"/>
            <w:vAlign w:val="center"/>
          </w:tcPr>
          <w:p w14:paraId="297BD35E">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电子支气管内窥镜</w:t>
            </w:r>
          </w:p>
        </w:tc>
        <w:tc>
          <w:tcPr>
            <w:tcW w:w="475" w:type="pct"/>
            <w:tcBorders>
              <w:top w:val="single" w:color="auto" w:sz="4" w:space="0"/>
              <w:left w:val="single" w:color="auto" w:sz="4" w:space="0"/>
              <w:bottom w:val="single" w:color="auto" w:sz="4" w:space="0"/>
              <w:right w:val="single" w:color="auto" w:sz="4" w:space="0"/>
            </w:tcBorders>
            <w:shd w:val="clear"/>
            <w:vAlign w:val="center"/>
          </w:tcPr>
          <w:p w14:paraId="7F0920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1套</w:t>
            </w:r>
          </w:p>
        </w:tc>
        <w:tc>
          <w:tcPr>
            <w:tcW w:w="2346" w:type="pct"/>
            <w:tcBorders>
              <w:top w:val="single" w:color="auto" w:sz="4" w:space="0"/>
              <w:left w:val="single" w:color="auto" w:sz="4" w:space="0"/>
              <w:bottom w:val="single" w:color="auto" w:sz="4" w:space="0"/>
              <w:right w:val="single" w:color="auto" w:sz="4" w:space="0"/>
            </w:tcBorders>
            <w:shd w:val="clear"/>
            <w:vAlign w:val="center"/>
          </w:tcPr>
          <w:p w14:paraId="660D4E0D">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b/>
                <w:bCs/>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1.操作手柄（含插入管）：</w:t>
            </w:r>
          </w:p>
          <w:p w14:paraId="09FBA631">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▲1.1适用范围：适用于气管、支气管及肺的观察、诊断、摄影或辅助治疗。</w:t>
            </w:r>
          </w:p>
          <w:p w14:paraId="2BA67C4A">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1.2 成像原理：电子成像技术，先端头内含LED发光二极管，产品不含导像、导光纤维。</w:t>
            </w:r>
          </w:p>
          <w:p w14:paraId="3E4110F6">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1.3 含有LED发光光源，光束角≤120°、波长范围380-780nm、功耗≤95mW。</w:t>
            </w:r>
          </w:p>
          <w:p w14:paraId="61C9663E">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▲1.4 软镜插入管外径≤4.9mm，工作管道内径≥2.6mm。</w:t>
            </w:r>
          </w:p>
          <w:p w14:paraId="4729E696">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1.5 插入部有效长度≥600mm，自带有白色刻度标识，利于操作者辨别诊治时的插入长度。</w:t>
            </w:r>
          </w:p>
          <w:p w14:paraId="370A8CBD">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1.6视场角≥120°。</w:t>
            </w:r>
          </w:p>
          <w:p w14:paraId="047145E7">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1.7 景深：3-100mm。</w:t>
            </w:r>
          </w:p>
          <w:p w14:paraId="1C2D938E">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1.8 插入管软管前端弯曲角度：向上弯曲≥180°，向下弯曲≥130°，双向弯曲≥310°，配合前端更小弯曲半径，精准诊疗。</w:t>
            </w:r>
          </w:p>
          <w:p w14:paraId="6F22E8B5">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……具体见采购文件。</w:t>
            </w:r>
          </w:p>
        </w:tc>
        <w:tc>
          <w:tcPr>
            <w:tcW w:w="771" w:type="pct"/>
            <w:tcBorders>
              <w:top w:val="single" w:color="auto" w:sz="4" w:space="0"/>
              <w:left w:val="single" w:color="auto" w:sz="4" w:space="0"/>
              <w:bottom w:val="single" w:color="auto" w:sz="4" w:space="0"/>
              <w:right w:val="single" w:color="auto" w:sz="4" w:space="0"/>
            </w:tcBorders>
            <w:shd w:val="clear"/>
            <w:vAlign w:val="center"/>
          </w:tcPr>
          <w:p w14:paraId="43EFAD3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13</w:t>
            </w:r>
          </w:p>
        </w:tc>
      </w:tr>
    </w:tbl>
    <w:p w14:paraId="162863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bookmarkStart w:id="7" w:name="_Toc28359013"/>
      <w:bookmarkStart w:id="8" w:name="_Toc71366041"/>
      <w:bookmarkStart w:id="9" w:name="_Toc28359090"/>
      <w:bookmarkStart w:id="10" w:name="_Toc35393799"/>
      <w:bookmarkStart w:id="11" w:name="_Toc35393630"/>
      <w:bookmarkStart w:id="12" w:name="_Toc71365363"/>
      <w:r>
        <w:rPr>
          <w:rFonts w:hint="eastAsia" w:ascii="宋体" w:hAnsi="宋体" w:eastAsia="宋体" w:cs="宋体"/>
          <w:kern w:val="2"/>
          <w:sz w:val="21"/>
          <w:szCs w:val="21"/>
          <w:lang w:val="en-US" w:eastAsia="zh-CN" w:bidi="ar"/>
        </w:rPr>
        <w:t>合同履行期限：自合同签订之日起至合同履约完毕（即产品质保期满）。</w:t>
      </w:r>
    </w:p>
    <w:p w14:paraId="29A4839E">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本分标不接受联合体。</w:t>
      </w:r>
    </w:p>
    <w:p w14:paraId="021B08F3">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val="0"/>
          <w:szCs w:val="21"/>
          <w:lang w:val="en-US"/>
        </w:rPr>
      </w:pPr>
    </w:p>
    <w:p w14:paraId="5A2CD789">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二、供应商的资格条件：</w:t>
      </w:r>
      <w:bookmarkEnd w:id="7"/>
      <w:bookmarkEnd w:id="8"/>
      <w:bookmarkEnd w:id="9"/>
      <w:bookmarkEnd w:id="10"/>
      <w:bookmarkEnd w:id="11"/>
      <w:bookmarkEnd w:id="12"/>
      <w:bookmarkStart w:id="13" w:name="_Toc28359014"/>
      <w:bookmarkStart w:id="14" w:name="_Toc28359091"/>
    </w:p>
    <w:p w14:paraId="2961F8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1.满足《中华人民共和国政府采购法》第二十二条规定；</w:t>
      </w:r>
    </w:p>
    <w:p w14:paraId="25196C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2.落实政府采购政策需满足的资格要求：无；</w:t>
      </w:r>
    </w:p>
    <w:p w14:paraId="582565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bookmarkStart w:id="15" w:name="_Toc35393800"/>
      <w:bookmarkStart w:id="16" w:name="_Toc71365364"/>
      <w:bookmarkStart w:id="17" w:name="_Toc71366042"/>
      <w:bookmarkStart w:id="18" w:name="_Toc35393631"/>
    </w:p>
    <w:p w14:paraId="13780431">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三、获取竞争性谈判文件</w:t>
      </w:r>
      <w:bookmarkEnd w:id="13"/>
      <w:bookmarkEnd w:id="14"/>
      <w:bookmarkEnd w:id="15"/>
      <w:bookmarkEnd w:id="16"/>
      <w:bookmarkEnd w:id="17"/>
      <w:bookmarkEnd w:id="18"/>
      <w:r>
        <w:rPr>
          <w:rFonts w:hint="eastAsia" w:ascii="黑体" w:hAnsi="宋体" w:eastAsia="黑体" w:cs="黑体"/>
          <w:kern w:val="2"/>
          <w:sz w:val="24"/>
          <w:szCs w:val="24"/>
          <w:lang w:val="en-US" w:eastAsia="zh-CN" w:bidi="ar"/>
        </w:rPr>
        <w:t>（或简称“采购文件”）</w:t>
      </w:r>
    </w:p>
    <w:p w14:paraId="184A27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u w:val="single"/>
          <w:lang w:val="en-US"/>
        </w:rPr>
      </w:pPr>
      <w:r>
        <w:rPr>
          <w:rFonts w:hint="eastAsia" w:ascii="宋体" w:hAnsi="宋体" w:eastAsia="宋体" w:cs="宋体"/>
          <w:bCs/>
          <w:kern w:val="0"/>
          <w:sz w:val="21"/>
          <w:szCs w:val="21"/>
          <w:lang w:val="en-US" w:eastAsia="zh-CN" w:bidi="ar"/>
        </w:rPr>
        <w:t>时间：</w:t>
      </w:r>
      <w:r>
        <w:rPr>
          <w:rFonts w:hint="eastAsia" w:ascii="宋体" w:hAnsi="宋体" w:eastAsia="宋体" w:cs="宋体"/>
          <w:bCs/>
          <w:kern w:val="0"/>
          <w:sz w:val="21"/>
          <w:szCs w:val="21"/>
          <w:u w:val="single"/>
          <w:lang w:val="en-US" w:eastAsia="zh-CN" w:bidi="ar"/>
        </w:rPr>
        <w:t>2026年2月24日至2026年2月27日</w:t>
      </w:r>
      <w:r>
        <w:rPr>
          <w:rFonts w:hint="eastAsia" w:ascii="宋体" w:hAnsi="宋体" w:eastAsia="宋体" w:cs="宋体"/>
          <w:bCs/>
          <w:kern w:val="0"/>
          <w:sz w:val="21"/>
          <w:szCs w:val="21"/>
          <w:lang w:val="en-US" w:eastAsia="zh-CN" w:bidi="ar"/>
        </w:rPr>
        <w:t>，每天</w:t>
      </w:r>
      <w:r>
        <w:rPr>
          <w:rFonts w:hint="eastAsia" w:ascii="宋体" w:hAnsi="宋体" w:eastAsia="宋体" w:cs="宋体"/>
          <w:bCs/>
          <w:kern w:val="0"/>
          <w:sz w:val="21"/>
          <w:szCs w:val="21"/>
          <w:u w:val="single"/>
          <w:lang w:val="en-US" w:eastAsia="zh-CN" w:bidi="ar"/>
        </w:rPr>
        <w:t>0:00至23:59</w:t>
      </w:r>
    </w:p>
    <w:p w14:paraId="2BD593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lang w:val="en-US"/>
        </w:rPr>
      </w:pPr>
      <w:r>
        <w:rPr>
          <w:rFonts w:hint="eastAsia" w:ascii="宋体" w:hAnsi="宋体" w:eastAsia="宋体" w:cs="宋体"/>
          <w:bCs/>
          <w:kern w:val="0"/>
          <w:sz w:val="21"/>
          <w:szCs w:val="21"/>
          <w:lang w:val="en-US" w:eastAsia="zh-CN" w:bidi="ar"/>
        </w:rPr>
        <w:t>地点：广西政府采购云平台（https://www.gcy.zfcg.gxzf.gov.cn/）</w:t>
      </w:r>
    </w:p>
    <w:p w14:paraId="77FA387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lang w:val="en-US"/>
        </w:rPr>
      </w:pPr>
      <w:r>
        <w:rPr>
          <w:rFonts w:hint="eastAsia" w:ascii="宋体" w:hAnsi="宋体" w:eastAsia="宋体" w:cs="宋体"/>
          <w:bCs/>
          <w:kern w:val="0"/>
          <w:sz w:val="21"/>
          <w:szCs w:val="21"/>
          <w:lang w:val="en-US" w:eastAsia="zh-CN" w:bidi="ar"/>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6FB13E3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lang w:val="en-US"/>
        </w:rPr>
      </w:pPr>
      <w:r>
        <w:rPr>
          <w:rFonts w:hint="eastAsia" w:ascii="宋体" w:hAnsi="宋体" w:eastAsia="宋体" w:cs="宋体"/>
          <w:bCs/>
          <w:kern w:val="0"/>
          <w:sz w:val="21"/>
          <w:szCs w:val="21"/>
          <w:lang w:val="en-US" w:eastAsia="zh-CN" w:bidi="ar"/>
        </w:rPr>
        <w:t>售价：0元</w:t>
      </w:r>
      <w:bookmarkStart w:id="19" w:name="_Toc71365365"/>
      <w:bookmarkStart w:id="20" w:name="_Toc35393801"/>
      <w:bookmarkStart w:id="21" w:name="_Toc71366043"/>
      <w:bookmarkStart w:id="22" w:name="_Toc35393632"/>
      <w:bookmarkStart w:id="23" w:name="_Toc28359092"/>
      <w:bookmarkStart w:id="24" w:name="_Toc28359015"/>
    </w:p>
    <w:p w14:paraId="0F1EF9FB">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四、响应文件提交</w:t>
      </w:r>
      <w:bookmarkEnd w:id="19"/>
      <w:bookmarkEnd w:id="20"/>
      <w:bookmarkEnd w:id="21"/>
      <w:bookmarkEnd w:id="22"/>
      <w:bookmarkEnd w:id="23"/>
      <w:bookmarkEnd w:id="24"/>
    </w:p>
    <w:p w14:paraId="479873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Cs/>
          <w:szCs w:val="21"/>
          <w:u w:val="single"/>
          <w:lang w:val="en-US"/>
        </w:rPr>
      </w:pPr>
      <w:r>
        <w:rPr>
          <w:rFonts w:hint="eastAsia" w:ascii="宋体" w:hAnsi="宋体" w:eastAsia="宋体" w:cs="宋体"/>
          <w:kern w:val="2"/>
          <w:sz w:val="21"/>
          <w:szCs w:val="21"/>
          <w:lang w:val="en-US" w:eastAsia="zh-CN" w:bidi="ar"/>
        </w:rPr>
        <w:t>截止时间：</w:t>
      </w:r>
      <w:r>
        <w:rPr>
          <w:rFonts w:hint="eastAsia" w:ascii="宋体" w:hAnsi="宋体" w:eastAsia="宋体" w:cs="宋体"/>
          <w:bCs/>
          <w:kern w:val="2"/>
          <w:sz w:val="21"/>
          <w:szCs w:val="21"/>
          <w:u w:val="single"/>
          <w:lang w:val="en-US" w:eastAsia="zh-CN" w:bidi="ar"/>
        </w:rPr>
        <w:t>2026年2月28日上午9时00分</w:t>
      </w:r>
      <w:r>
        <w:rPr>
          <w:rFonts w:hint="eastAsia" w:ascii="宋体" w:hAnsi="宋体" w:eastAsia="宋体" w:cs="宋体"/>
          <w:bCs/>
          <w:kern w:val="2"/>
          <w:sz w:val="21"/>
          <w:szCs w:val="21"/>
          <w:lang w:val="en-US" w:eastAsia="zh-CN" w:bidi="ar"/>
        </w:rPr>
        <w:t>（北京时间）</w:t>
      </w:r>
    </w:p>
    <w:p w14:paraId="621BA5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lang w:val="en-US"/>
        </w:rPr>
      </w:pPr>
      <w:r>
        <w:rPr>
          <w:rFonts w:hint="eastAsia" w:ascii="宋体" w:hAnsi="宋体" w:eastAsia="宋体" w:cs="宋体"/>
          <w:kern w:val="2"/>
          <w:sz w:val="21"/>
          <w:szCs w:val="21"/>
          <w:lang w:val="en-US" w:eastAsia="zh-CN" w:bidi="ar"/>
        </w:rPr>
        <w:t>地点：</w:t>
      </w:r>
      <w:bookmarkStart w:id="25" w:name="_Toc35393633"/>
      <w:bookmarkStart w:id="26" w:name="_Toc35393802"/>
      <w:bookmarkStart w:id="27" w:name="_Toc28359016"/>
      <w:bookmarkStart w:id="28" w:name="_Toc28359093"/>
      <w:bookmarkStart w:id="29" w:name="_Toc71365366"/>
      <w:bookmarkStart w:id="30" w:name="_Toc71366044"/>
      <w:r>
        <w:rPr>
          <w:rFonts w:hint="eastAsia" w:ascii="宋体" w:hAnsi="宋体" w:eastAsia="宋体" w:cs="宋体"/>
          <w:bCs/>
          <w:kern w:val="0"/>
          <w:sz w:val="21"/>
          <w:szCs w:val="21"/>
          <w:lang w:val="en-US" w:eastAsia="zh-CN" w:bidi="ar"/>
        </w:rPr>
        <w:t>广西政府采购云平台（https://www.gcy.zfcg.gxzf.gov.cn/）</w:t>
      </w:r>
    </w:p>
    <w:p w14:paraId="7C57C623">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五、开启</w:t>
      </w:r>
      <w:bookmarkEnd w:id="25"/>
      <w:bookmarkEnd w:id="26"/>
      <w:bookmarkEnd w:id="27"/>
      <w:bookmarkEnd w:id="28"/>
      <w:bookmarkEnd w:id="29"/>
      <w:bookmarkEnd w:id="30"/>
    </w:p>
    <w:p w14:paraId="1F4B31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szCs w:val="21"/>
          <w:u w:val="single"/>
          <w:lang w:val="en-US"/>
        </w:rPr>
      </w:pPr>
      <w:r>
        <w:rPr>
          <w:rFonts w:hint="eastAsia" w:ascii="宋体" w:hAnsi="宋体" w:eastAsia="宋体" w:cs="宋体"/>
          <w:kern w:val="2"/>
          <w:sz w:val="21"/>
          <w:szCs w:val="21"/>
          <w:lang w:val="en-US" w:eastAsia="zh-CN" w:bidi="ar"/>
        </w:rPr>
        <w:t>时间：</w:t>
      </w:r>
      <w:r>
        <w:rPr>
          <w:rFonts w:hint="eastAsia" w:ascii="宋体" w:hAnsi="宋体" w:eastAsia="宋体" w:cs="宋体"/>
          <w:kern w:val="2"/>
          <w:sz w:val="21"/>
          <w:szCs w:val="21"/>
          <w:u w:val="single"/>
          <w:lang w:val="en-US" w:eastAsia="zh-CN" w:bidi="ar"/>
        </w:rPr>
        <w:t>2026</w:t>
      </w:r>
      <w:r>
        <w:rPr>
          <w:rFonts w:hint="eastAsia" w:ascii="宋体" w:hAnsi="宋体" w:eastAsia="宋体" w:cs="宋体"/>
          <w:bCs/>
          <w:kern w:val="2"/>
          <w:sz w:val="21"/>
          <w:szCs w:val="21"/>
          <w:u w:val="single"/>
          <w:lang w:val="en-US" w:eastAsia="zh-CN" w:bidi="ar"/>
        </w:rPr>
        <w:t>年2月28日上午9时00分后（北京时间）</w:t>
      </w:r>
    </w:p>
    <w:p w14:paraId="793C0A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kern w:val="0"/>
          <w:szCs w:val="21"/>
          <w:lang w:val="en-US"/>
        </w:rPr>
      </w:pPr>
      <w:r>
        <w:rPr>
          <w:rFonts w:hint="eastAsia" w:ascii="宋体" w:hAnsi="宋体" w:eastAsia="宋体" w:cs="宋体"/>
          <w:kern w:val="2"/>
          <w:sz w:val="21"/>
          <w:szCs w:val="21"/>
          <w:lang w:val="en-US" w:eastAsia="zh-CN" w:bidi="ar"/>
        </w:rPr>
        <w:t>地点：</w:t>
      </w:r>
      <w:bookmarkStart w:id="31" w:name="_Toc28359094"/>
      <w:bookmarkStart w:id="32" w:name="_Toc71366045"/>
      <w:bookmarkStart w:id="33" w:name="_Toc35393803"/>
      <w:bookmarkStart w:id="34" w:name="_Toc35393634"/>
      <w:bookmarkStart w:id="35" w:name="_Toc28359017"/>
      <w:bookmarkStart w:id="36" w:name="_Toc71365367"/>
      <w:r>
        <w:rPr>
          <w:rFonts w:hint="eastAsia" w:ascii="宋体" w:hAnsi="宋体" w:eastAsia="宋体" w:cs="宋体"/>
          <w:bCs/>
          <w:kern w:val="0"/>
          <w:sz w:val="21"/>
          <w:szCs w:val="21"/>
          <w:lang w:val="en-US" w:eastAsia="zh-CN" w:bidi="ar"/>
        </w:rPr>
        <w:t>广西政府采购云平台（https://www.gcy.zfcg.gxzf.gov.cn/）</w:t>
      </w:r>
    </w:p>
    <w:p w14:paraId="7954661C">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六、公告期限</w:t>
      </w:r>
      <w:bookmarkEnd w:id="31"/>
      <w:bookmarkEnd w:id="32"/>
      <w:bookmarkEnd w:id="33"/>
      <w:bookmarkEnd w:id="34"/>
      <w:bookmarkEnd w:id="35"/>
      <w:bookmarkEnd w:id="36"/>
    </w:p>
    <w:p w14:paraId="4CCDA11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自本公告发布之日起3个工作日。</w:t>
      </w:r>
      <w:bookmarkStart w:id="37" w:name="_Toc35393804"/>
      <w:bookmarkStart w:id="38" w:name="_Toc71365368"/>
      <w:bookmarkStart w:id="39" w:name="_Toc71366046"/>
      <w:bookmarkStart w:id="40" w:name="_Toc35393635"/>
    </w:p>
    <w:p w14:paraId="21225C36">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七、其他补充事宜</w:t>
      </w:r>
      <w:bookmarkEnd w:id="37"/>
      <w:bookmarkEnd w:id="38"/>
      <w:bookmarkEnd w:id="39"/>
      <w:bookmarkEnd w:id="40"/>
    </w:p>
    <w:p w14:paraId="0502A4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1.网上查询地址</w:t>
      </w:r>
    </w:p>
    <w:p w14:paraId="090DAB5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bookmarkStart w:id="41" w:name="_Hlk37429674"/>
      <w:bookmarkStart w:id="42" w:name="_Toc28359095"/>
      <w:bookmarkStart w:id="43" w:name="_Toc71366047"/>
      <w:bookmarkStart w:id="44" w:name="_Toc35393805"/>
      <w:bookmarkStart w:id="45" w:name="_Toc28359018"/>
      <w:bookmarkStart w:id="46" w:name="_Toc71365369"/>
      <w:bookmarkStart w:id="47" w:name="_Toc35393636"/>
      <w:r>
        <w:rPr>
          <w:rFonts w:hint="eastAsia" w:ascii="宋体" w:hAnsi="宋体" w:eastAsia="宋体" w:cs="宋体"/>
          <w:kern w:val="0"/>
          <w:sz w:val="21"/>
          <w:szCs w:val="21"/>
          <w:lang w:val="en-US" w:eastAsia="zh-CN" w:bidi="ar"/>
        </w:rPr>
        <w:t>中国政府采购网（http://www.ccgp.gov.cn）、广西壮族自治区政府采购网（http://zfcg.gxzf.gov.cn）</w:t>
      </w:r>
    </w:p>
    <w:p w14:paraId="434A9E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2"/>
          <w:sz w:val="21"/>
          <w:szCs w:val="21"/>
          <w:lang w:val="en-US" w:eastAsia="zh-CN" w:bidi="ar"/>
        </w:rPr>
        <w:t>2.</w:t>
      </w:r>
      <w:r>
        <w:rPr>
          <w:rFonts w:hint="eastAsia" w:ascii="宋体" w:hAnsi="宋体" w:eastAsia="宋体" w:cs="宋体"/>
          <w:kern w:val="0"/>
          <w:sz w:val="21"/>
          <w:szCs w:val="21"/>
          <w:lang w:val="en-US" w:eastAsia="zh-CN" w:bidi="ar"/>
        </w:rPr>
        <w:t>本项目需要落实的政府采购政策</w:t>
      </w:r>
    </w:p>
    <w:p w14:paraId="6A773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Cs/>
          <w:kern w:val="0"/>
          <w:szCs w:val="21"/>
          <w:lang w:val="en-US"/>
        </w:rPr>
      </w:pPr>
      <w:r>
        <w:rPr>
          <w:rFonts w:hint="eastAsia" w:ascii="宋体" w:hAnsi="宋体" w:eastAsia="宋体" w:cs="宋体"/>
          <w:iCs/>
          <w:kern w:val="0"/>
          <w:sz w:val="21"/>
          <w:szCs w:val="21"/>
          <w:lang w:val="en-US" w:eastAsia="zh-CN" w:bidi="ar"/>
        </w:rPr>
        <w:t>（1）政府采购促进中小企业发展。</w:t>
      </w:r>
    </w:p>
    <w:p w14:paraId="19EB51F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Cs/>
          <w:kern w:val="0"/>
          <w:szCs w:val="21"/>
          <w:lang w:val="en-US"/>
        </w:rPr>
      </w:pPr>
      <w:r>
        <w:rPr>
          <w:rFonts w:hint="eastAsia" w:ascii="宋体" w:hAnsi="宋体" w:eastAsia="宋体" w:cs="宋体"/>
          <w:iCs/>
          <w:kern w:val="0"/>
          <w:sz w:val="21"/>
          <w:szCs w:val="21"/>
          <w:lang w:val="en-US" w:eastAsia="zh-CN" w:bidi="ar"/>
        </w:rPr>
        <w:t>（2）政府采购支持采用本国产品的政策。</w:t>
      </w:r>
    </w:p>
    <w:p w14:paraId="313CE0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Cs/>
          <w:kern w:val="0"/>
          <w:szCs w:val="21"/>
          <w:lang w:val="en-US"/>
        </w:rPr>
      </w:pPr>
      <w:r>
        <w:rPr>
          <w:rFonts w:hint="eastAsia" w:ascii="宋体" w:hAnsi="宋体" w:eastAsia="宋体" w:cs="宋体"/>
          <w:iCs/>
          <w:kern w:val="0"/>
          <w:sz w:val="21"/>
          <w:szCs w:val="21"/>
          <w:lang w:val="en-US" w:eastAsia="zh-CN" w:bidi="ar"/>
        </w:rPr>
        <w:t>（3）强制采购节能产品；优先采购节能产品、环境标志产品。</w:t>
      </w:r>
    </w:p>
    <w:p w14:paraId="4A7B46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Cs/>
          <w:kern w:val="0"/>
          <w:szCs w:val="21"/>
          <w:lang w:val="en-US"/>
        </w:rPr>
      </w:pPr>
      <w:r>
        <w:rPr>
          <w:rFonts w:hint="eastAsia" w:ascii="宋体" w:hAnsi="宋体" w:eastAsia="宋体" w:cs="宋体"/>
          <w:iCs/>
          <w:kern w:val="0"/>
          <w:sz w:val="21"/>
          <w:szCs w:val="21"/>
          <w:lang w:val="en-US" w:eastAsia="zh-CN" w:bidi="ar"/>
        </w:rPr>
        <w:t>（4）政府采购促进残疾人就业政策。</w:t>
      </w:r>
    </w:p>
    <w:p w14:paraId="12C546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i/>
          <w:iCs/>
          <w:kern w:val="0"/>
          <w:szCs w:val="21"/>
          <w:lang w:val="en-US"/>
        </w:rPr>
      </w:pPr>
      <w:r>
        <w:rPr>
          <w:rFonts w:hint="eastAsia" w:ascii="宋体" w:hAnsi="宋体" w:eastAsia="宋体" w:cs="宋体"/>
          <w:iCs/>
          <w:kern w:val="0"/>
          <w:sz w:val="21"/>
          <w:szCs w:val="21"/>
          <w:lang w:val="en-US" w:eastAsia="zh-CN" w:bidi="ar"/>
        </w:rPr>
        <w:t>（5）政府采购支持监狱企业发展。</w:t>
      </w:r>
    </w:p>
    <w:p w14:paraId="14CBB19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3.供应商</w:t>
      </w:r>
      <w:r>
        <w:rPr>
          <w:rFonts w:hint="eastAsia" w:ascii="宋体" w:hAnsi="宋体" w:eastAsia="宋体" w:cs="宋体"/>
          <w:kern w:val="2"/>
          <w:sz w:val="21"/>
          <w:szCs w:val="21"/>
          <w:lang w:val="en-US" w:eastAsia="zh-CN" w:bidi="ar"/>
        </w:rPr>
        <w:t>竞标注意事项</w:t>
      </w:r>
    </w:p>
    <w:p w14:paraId="50702F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ascii="Times New Roman" w:hAnsi="Times New Roman" w:eastAsia="宋体" w:cs="宋体"/>
          <w:kern w:val="2"/>
          <w:sz w:val="21"/>
          <w:szCs w:val="24"/>
          <w:lang w:val="en-US" w:eastAsia="zh-CN" w:bidi="ar"/>
        </w:rPr>
        <w:t>后缀名为“</w:t>
      </w:r>
      <w:r>
        <w:rPr>
          <w:rFonts w:hint="default" w:ascii="Times New Roman" w:hAnsi="Times New Roman" w:eastAsia="宋体" w:cs="Times New Roman"/>
          <w:kern w:val="2"/>
          <w:sz w:val="21"/>
          <w:szCs w:val="24"/>
          <w:lang w:val="en-US" w:eastAsia="zh-CN" w:bidi="ar"/>
        </w:rPr>
        <w:t>jmbs</w:t>
      </w:r>
      <w:r>
        <w:rPr>
          <w:rFonts w:hint="eastAsia" w:ascii="Times New Roman" w:hAnsi="Times New Roman" w:eastAsia="宋体" w:cs="宋体"/>
          <w:kern w:val="2"/>
          <w:sz w:val="21"/>
          <w:szCs w:val="24"/>
          <w:lang w:val="en-US" w:eastAsia="zh-CN" w:bidi="ar"/>
        </w:rPr>
        <w:t>”的文件</w:t>
      </w:r>
      <w:r>
        <w:rPr>
          <w:rFonts w:hint="eastAsia" w:ascii="宋体" w:hAnsi="宋体"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供应商在广西政府采购云平台提交电子响应文件时，请填写参加远程采购活动经办人联系方式。</w:t>
      </w:r>
      <w:r>
        <w:rPr>
          <w:rFonts w:hint="eastAsia" w:ascii="宋体" w:hAnsi="宋体" w:eastAsia="宋体" w:cs="宋体"/>
          <w:kern w:val="2"/>
          <w:sz w:val="21"/>
          <w:szCs w:val="21"/>
          <w:lang w:val="en-US" w:eastAsia="zh-CN" w:bidi="ar"/>
        </w:rPr>
        <w:t>供应商登录广西政府采购云平台，依次进入“服务中心-项目采购-操作流程-电子招投标-</w:t>
      </w:r>
      <w:r>
        <w:rPr>
          <w:rFonts w:hint="eastAsia" w:ascii="Times New Roman" w:hAnsi="Times New Roman" w:eastAsia="宋体" w:cs="宋体"/>
          <w:kern w:val="2"/>
          <w:sz w:val="21"/>
          <w:szCs w:val="24"/>
          <w:lang w:val="en-US" w:eastAsia="zh-CN" w:bidi="ar"/>
        </w:rPr>
        <w:t>政府采购项目电子交易管理操作指南</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供应商</w:t>
      </w:r>
      <w:r>
        <w:rPr>
          <w:rFonts w:hint="eastAsia" w:ascii="宋体" w:hAnsi="宋体" w:eastAsia="宋体" w:cs="宋体"/>
          <w:kern w:val="2"/>
          <w:sz w:val="21"/>
          <w:szCs w:val="21"/>
          <w:lang w:val="en-US" w:eastAsia="zh-CN" w:bidi="ar"/>
        </w:rPr>
        <w:t>”查看电子竞标具体操作流程。</w:t>
      </w:r>
    </w:p>
    <w:p w14:paraId="7CF362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kern w:val="0"/>
          <w:sz w:val="21"/>
          <w:szCs w:val="21"/>
          <w:lang w:val="en-US" w:eastAsia="zh-CN" w:bidi="ar"/>
        </w:rPr>
        <w:t>广西政府采购云平台，</w:t>
      </w:r>
      <w:r>
        <w:rPr>
          <w:rFonts w:hint="eastAsia" w:ascii="宋体" w:hAnsi="宋体" w:eastAsia="宋体" w:cs="宋体"/>
          <w:kern w:val="2"/>
          <w:sz w:val="21"/>
          <w:szCs w:val="21"/>
          <w:lang w:val="en-US" w:eastAsia="zh-CN" w:bidi="ar"/>
        </w:rPr>
        <w:t>依次进入“服务中心-入驻与配置”中查看CA数字证书办理操作流程。</w:t>
      </w:r>
      <w:r>
        <w:rPr>
          <w:rFonts w:hint="eastAsia" w:ascii="宋体" w:hAnsi="宋体" w:eastAsia="宋体" w:cs="宋体"/>
          <w:bCs/>
          <w:kern w:val="0"/>
          <w:sz w:val="21"/>
          <w:szCs w:val="21"/>
          <w:lang w:val="en-US" w:eastAsia="zh-CN" w:bidi="ar"/>
        </w:rPr>
        <w:t>如在操作过程中遇到问题或者需要技术支持，请致电广西政府采购云平台客服热线：95763</w:t>
      </w:r>
      <w:bookmarkStart w:id="48" w:name="_Hlk181375433"/>
      <w:r>
        <w:rPr>
          <w:rFonts w:hint="eastAsia" w:ascii="宋体" w:hAnsi="宋体" w:eastAsia="宋体" w:cs="宋体"/>
          <w:bCs/>
          <w:kern w:val="0"/>
          <w:sz w:val="21"/>
          <w:szCs w:val="21"/>
          <w:lang w:val="en-US" w:eastAsia="zh-CN" w:bidi="ar"/>
        </w:rPr>
        <w:t>或0771-3381253</w:t>
      </w:r>
      <w:bookmarkEnd w:id="48"/>
      <w:r>
        <w:rPr>
          <w:rFonts w:hint="eastAsia" w:ascii="宋体" w:hAnsi="宋体" w:eastAsia="宋体" w:cs="宋体"/>
          <w:kern w:val="2"/>
          <w:sz w:val="21"/>
          <w:szCs w:val="21"/>
          <w:lang w:val="en-US" w:eastAsia="zh-CN" w:bidi="ar"/>
        </w:rPr>
        <w:t>）。</w:t>
      </w:r>
    </w:p>
    <w:p w14:paraId="400B1D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（3）CA证书在线解密：首次响应文件开启时，需携带制作响应文件时用来加密的有效数字证书（CA认证）登录广西政府采购云平台电子开标大厅现场按规定时间对加密的响应文件进行解密，否则后果自负。</w:t>
      </w:r>
    </w:p>
    <w:p w14:paraId="6FB785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注：</w:t>
      </w:r>
    </w:p>
    <w:p w14:paraId="5A4F8C8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①为确保网上操作合法、有效和安全，请供应商确保在电子竞标过程中能够对相关数据电文进行加密和使用电子签章，妥善保管CA数字证书并使用有效的CA数字证书参与整个采购活动。</w:t>
      </w:r>
    </w:p>
    <w:p w14:paraId="66089A2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szCs w:val="21"/>
          <w:lang w:val="en-US"/>
        </w:rPr>
      </w:pPr>
      <w:r>
        <w:rPr>
          <w:rFonts w:hint="default" w:ascii="Times New Roman" w:hAnsi="Times New Roman" w:eastAsia="宋体" w:cs="Times New Roman"/>
          <w:kern w:val="2"/>
          <w:sz w:val="21"/>
          <w:szCs w:val="24"/>
          <w:lang w:val="en-US" w:eastAsia="zh-CN" w:bidi="ar"/>
        </w:rPr>
        <w:fldChar w:fldCharType="begin"/>
      </w:r>
      <w:r>
        <w:rPr>
          <w:rFonts w:hint="eastAsia" w:ascii="宋体" w:hAnsi="宋体" w:eastAsia="宋体" w:cs="宋体"/>
          <w:kern w:val="2"/>
          <w:sz w:val="21"/>
          <w:szCs w:val="21"/>
          <w:lang w:val="en-US" w:eastAsia="zh-CN" w:bidi="ar"/>
        </w:rPr>
        <w:instrText xml:space="preserve"> = 2 \* GB3 </w:instrText>
      </w:r>
      <w:r>
        <w:rPr>
          <w:rFonts w:hint="eastAsia" w:ascii="宋体" w:hAnsi="宋体" w:eastAsia="宋体" w:cs="宋体"/>
          <w:kern w:val="2"/>
          <w:sz w:val="21"/>
          <w:szCs w:val="21"/>
          <w:lang w:val="en-US" w:eastAsia="zh-CN" w:bidi="ar"/>
        </w:rPr>
        <w:fldChar w:fldCharType="separate"/>
      </w:r>
      <w:r>
        <w:rPr>
          <w:rFonts w:hint="eastAsia" w:ascii="宋体" w:hAnsi="宋体" w:eastAsia="宋体" w:cs="宋体"/>
          <w:kern w:val="2"/>
          <w:sz w:val="21"/>
          <w:szCs w:val="21"/>
          <w:lang w:val="en-US" w:eastAsia="zh-CN" w:bidi="ar"/>
        </w:rPr>
        <w:t>②</w:t>
      </w:r>
      <w:r>
        <w:rPr>
          <w:rFonts w:hint="default" w:ascii="Times New Roman" w:hAnsi="Times New Roman" w:eastAsia="宋体" w:cs="Times New Roman"/>
          <w:kern w:val="2"/>
          <w:sz w:val="21"/>
          <w:szCs w:val="24"/>
          <w:lang w:val="en-US" w:eastAsia="zh-CN" w:bidi="ar"/>
        </w:rPr>
        <w:fldChar w:fldCharType="end"/>
      </w:r>
      <w:r>
        <w:rPr>
          <w:rFonts w:hint="eastAsia" w:ascii="宋体" w:hAnsi="宋体" w:eastAsia="宋体" w:cs="宋体"/>
          <w:bCs/>
          <w:kern w:val="2"/>
          <w:sz w:val="21"/>
          <w:szCs w:val="21"/>
          <w:lang w:val="en-US" w:eastAsia="zh-CN" w:bidi="ar"/>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4C2ECE4">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val="0"/>
          <w:kern w:val="0"/>
          <w:szCs w:val="21"/>
          <w:lang w:val="en-US"/>
        </w:rPr>
      </w:pPr>
      <w:r>
        <w:rPr>
          <w:rFonts w:hint="eastAsia" w:ascii="宋体" w:hAnsi="宋体" w:eastAsia="宋体" w:cs="宋体"/>
          <w:b/>
          <w:bCs w:val="0"/>
          <w:kern w:val="0"/>
          <w:sz w:val="21"/>
          <w:szCs w:val="21"/>
          <w:lang w:val="en-US" w:eastAsia="zh-CN" w:bidi="ar"/>
        </w:rPr>
        <w:t>（4）供应商需要在具备有摄像头及语音功能且互联网网络状况良好的电脑登录广西政府采购云平台远程开标大厅参与本次谈判，否则后果自负。</w:t>
      </w:r>
      <w:bookmarkEnd w:id="41"/>
    </w:p>
    <w:p w14:paraId="1DA28E35">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八、凡对本次采购提出询问，请按以下方式联系。</w:t>
      </w:r>
      <w:bookmarkEnd w:id="42"/>
      <w:bookmarkEnd w:id="43"/>
      <w:bookmarkEnd w:id="44"/>
      <w:bookmarkEnd w:id="45"/>
      <w:bookmarkEnd w:id="46"/>
      <w:bookmarkEnd w:id="47"/>
      <w:bookmarkStart w:id="49" w:name="_Toc28359096"/>
      <w:bookmarkStart w:id="50" w:name="_Toc28359019"/>
      <w:bookmarkStart w:id="51" w:name="_Toc35393806"/>
      <w:bookmarkStart w:id="52" w:name="_Toc35393637"/>
    </w:p>
    <w:p w14:paraId="68E3AB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1.采购人信息</w:t>
      </w:r>
      <w:bookmarkEnd w:id="49"/>
      <w:bookmarkEnd w:id="50"/>
      <w:bookmarkEnd w:id="51"/>
      <w:bookmarkEnd w:id="52"/>
    </w:p>
    <w:p w14:paraId="267631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名    称：</w:t>
      </w:r>
      <w:r>
        <w:rPr>
          <w:rFonts w:hint="eastAsia" w:ascii="宋体" w:hAnsi="宋体" w:eastAsia="宋体" w:cs="宋体"/>
          <w:kern w:val="2"/>
          <w:sz w:val="21"/>
          <w:szCs w:val="21"/>
          <w:u w:val="single"/>
          <w:lang w:val="en-US" w:eastAsia="zh-CN" w:bidi="ar"/>
        </w:rPr>
        <w:t>广西医科大学第二附属医院</w:t>
      </w:r>
    </w:p>
    <w:p w14:paraId="5AA4FA37">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w:t>
      </w:r>
      <w:r>
        <w:rPr>
          <w:rFonts w:hint="eastAsia" w:ascii="宋体" w:hAnsi="宋体" w:eastAsia="宋体" w:cs="Arial"/>
          <w:kern w:val="2"/>
          <w:sz w:val="21"/>
          <w:szCs w:val="21"/>
          <w:u w:val="single"/>
          <w:lang w:val="en-US" w:eastAsia="zh-CN" w:bidi="ar"/>
        </w:rPr>
        <w:t>广西南宁市大学东路166号</w:t>
      </w:r>
    </w:p>
    <w:p w14:paraId="237F96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联系方式：</w:t>
      </w:r>
      <w:r>
        <w:rPr>
          <w:rFonts w:hint="eastAsia" w:ascii="宋体" w:hAnsi="宋体" w:eastAsia="宋体" w:cs="Arial"/>
          <w:kern w:val="2"/>
          <w:sz w:val="21"/>
          <w:szCs w:val="21"/>
          <w:u w:val="single"/>
          <w:lang w:val="en-US" w:eastAsia="zh-CN" w:bidi="ar"/>
        </w:rPr>
        <w:t>陆梦菲，0771-3373768</w:t>
      </w:r>
      <w:r>
        <w:rPr>
          <w:rFonts w:hint="eastAsia" w:ascii="宋体" w:hAnsi="宋体" w:eastAsia="宋体" w:cs="宋体"/>
          <w:kern w:val="2"/>
          <w:sz w:val="21"/>
          <w:szCs w:val="21"/>
          <w:u w:val="single"/>
          <w:lang w:val="en-US" w:eastAsia="zh-CN" w:bidi="ar"/>
        </w:rPr>
        <w:t xml:space="preserve"> </w:t>
      </w:r>
    </w:p>
    <w:p w14:paraId="525B3C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bookmarkStart w:id="53" w:name="_Toc35393638"/>
      <w:bookmarkStart w:id="54" w:name="_Toc28359020"/>
      <w:bookmarkStart w:id="55" w:name="_Toc28359097"/>
      <w:bookmarkStart w:id="56" w:name="_Toc35393807"/>
      <w:r>
        <w:rPr>
          <w:rFonts w:hint="eastAsia" w:ascii="宋体" w:hAnsi="宋体" w:eastAsia="宋体" w:cs="宋体"/>
          <w:kern w:val="0"/>
          <w:sz w:val="21"/>
          <w:szCs w:val="21"/>
          <w:lang w:val="en-US" w:eastAsia="zh-CN" w:bidi="ar"/>
        </w:rPr>
        <w:t>2.采购代理机构信息</w:t>
      </w:r>
      <w:bookmarkEnd w:id="53"/>
      <w:bookmarkEnd w:id="54"/>
      <w:bookmarkEnd w:id="55"/>
      <w:bookmarkEnd w:id="56"/>
    </w:p>
    <w:p w14:paraId="46FDC4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w:t>
      </w:r>
      <w:r>
        <w:rPr>
          <w:rFonts w:hint="eastAsia" w:ascii="宋体" w:hAnsi="宋体" w:eastAsia="宋体" w:cs="宋体"/>
          <w:kern w:val="2"/>
          <w:sz w:val="21"/>
          <w:szCs w:val="21"/>
          <w:u w:val="single"/>
          <w:lang w:val="en-US" w:eastAsia="zh-CN" w:bidi="ar"/>
        </w:rPr>
        <w:t>云之龙咨询集团有限公司</w:t>
      </w:r>
    </w:p>
    <w:p w14:paraId="0B7F62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w:t>
      </w:r>
      <w:r>
        <w:rPr>
          <w:rFonts w:hint="eastAsia" w:ascii="宋体" w:hAnsi="宋体" w:eastAsia="宋体" w:cs="宋体"/>
          <w:kern w:val="2"/>
          <w:sz w:val="21"/>
          <w:szCs w:val="21"/>
          <w:u w:val="single"/>
          <w:lang w:val="en-US" w:eastAsia="zh-CN" w:bidi="ar"/>
        </w:rPr>
        <w:t>广西南宁市良庆区云英路15号3号楼云之龙咨询集团大厦6楼</w:t>
      </w:r>
    </w:p>
    <w:p w14:paraId="2244A2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联系方式：</w:t>
      </w:r>
      <w:r>
        <w:rPr>
          <w:rFonts w:hint="eastAsia" w:ascii="宋体" w:hAnsi="宋体" w:eastAsia="宋体" w:cs="宋体"/>
          <w:kern w:val="2"/>
          <w:sz w:val="21"/>
          <w:szCs w:val="21"/>
          <w:u w:val="single"/>
          <w:lang w:val="en-US" w:eastAsia="zh-CN" w:bidi="ar"/>
        </w:rPr>
        <w:t>陈柠、秦晓玲；0771-2618118、2611889、2611898</w:t>
      </w:r>
    </w:p>
    <w:p w14:paraId="280C38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0"/>
          <w:szCs w:val="21"/>
          <w:lang w:val="en-US"/>
        </w:rPr>
      </w:pPr>
      <w:bookmarkStart w:id="57" w:name="_Toc28359098"/>
      <w:bookmarkStart w:id="58" w:name="_Toc35393808"/>
      <w:bookmarkStart w:id="59" w:name="_Toc28359021"/>
      <w:bookmarkStart w:id="60" w:name="_Toc35393639"/>
      <w:r>
        <w:rPr>
          <w:rFonts w:hint="eastAsia" w:ascii="宋体" w:hAnsi="宋体" w:eastAsia="宋体" w:cs="宋体"/>
          <w:kern w:val="0"/>
          <w:sz w:val="21"/>
          <w:szCs w:val="21"/>
          <w:lang w:val="en-US" w:eastAsia="zh-CN" w:bidi="ar"/>
        </w:rPr>
        <w:t>3.项目联系方式</w:t>
      </w:r>
      <w:bookmarkEnd w:id="57"/>
      <w:bookmarkEnd w:id="58"/>
      <w:bookmarkEnd w:id="59"/>
      <w:bookmarkEnd w:id="60"/>
    </w:p>
    <w:p w14:paraId="52111370">
      <w:pPr>
        <w:pStyle w:val="3"/>
        <w:keepNext w:val="0"/>
        <w:keepLines w:val="0"/>
        <w:widowControl w:val="0"/>
        <w:suppressLineNumbers w:val="0"/>
        <w:spacing w:before="0" w:beforeAutospacing="0" w:after="0" w:afterAutospacing="0" w:line="400" w:lineRule="exact"/>
        <w:ind w:left="0" w:right="0" w:firstLine="420" w:firstLineChars="200"/>
        <w:jc w:val="both"/>
        <w:rPr>
          <w:rFonts w:hAnsi="宋体"/>
          <w:sz w:val="21"/>
          <w:szCs w:val="21"/>
          <w:lang w:val="en-US"/>
        </w:rPr>
      </w:pPr>
      <w:r>
        <w:rPr>
          <w:rFonts w:hint="eastAsia" w:ascii="宋体" w:hAnsi="宋体" w:eastAsia="宋体" w:cs="Times New Roman"/>
          <w:kern w:val="0"/>
          <w:sz w:val="21"/>
          <w:szCs w:val="21"/>
          <w:lang w:val="en-US" w:eastAsia="zh-CN" w:bidi="ar"/>
        </w:rPr>
        <w:t>项目联系人：</w:t>
      </w:r>
      <w:r>
        <w:rPr>
          <w:rFonts w:hint="eastAsia" w:ascii="宋体" w:hAnsi="宋体" w:eastAsia="宋体" w:cs="Times New Roman"/>
          <w:kern w:val="0"/>
          <w:sz w:val="21"/>
          <w:szCs w:val="21"/>
          <w:u w:val="single"/>
          <w:lang w:val="en-US" w:eastAsia="zh-CN" w:bidi="ar"/>
        </w:rPr>
        <w:t>陈柠、</w:t>
      </w:r>
      <w:r>
        <w:rPr>
          <w:rFonts w:hint="eastAsia" w:ascii="宋体" w:hAnsi="宋体" w:eastAsia="宋体" w:cs="Times New Roman"/>
          <w:kern w:val="0"/>
          <w:sz w:val="20"/>
          <w:szCs w:val="21"/>
          <w:u w:val="single"/>
          <w:lang w:val="en-US" w:eastAsia="zh-CN" w:bidi="ar"/>
        </w:rPr>
        <w:t>秦晓玲</w:t>
      </w:r>
    </w:p>
    <w:p w14:paraId="657861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电　　话：</w:t>
      </w:r>
      <w:r>
        <w:rPr>
          <w:rFonts w:hint="eastAsia" w:ascii="宋体" w:hAnsi="宋体" w:eastAsia="宋体" w:cs="宋体"/>
          <w:kern w:val="2"/>
          <w:sz w:val="21"/>
          <w:szCs w:val="21"/>
          <w:u w:val="single"/>
          <w:lang w:val="en-US" w:eastAsia="zh-CN" w:bidi="ar"/>
        </w:rPr>
        <w:t>0771-2618118、2611889、2611898</w:t>
      </w:r>
    </w:p>
    <w:bookmarkEnd w:id="0"/>
    <w:p w14:paraId="669339CF">
      <w:bookmarkStart w:id="61" w:name="_GoBack"/>
      <w:bookmarkEnd w:id="61"/>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7711"/>
    <w:rsid w:val="1A0D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link w:val="7"/>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3">
    <w:name w:val="Normal (Web)"/>
    <w:basedOn w:val="1"/>
    <w:uiPriority w:val="0"/>
    <w:rPr>
      <w:sz w:val="24"/>
    </w:rPr>
  </w:style>
  <w:style w:type="character" w:customStyle="1" w:styleId="6">
    <w:name w:val="纯文本 Char"/>
    <w:basedOn w:val="5"/>
    <w:link w:val="2"/>
    <w:uiPriority w:val="0"/>
    <w:rPr>
      <w:rFonts w:hint="eastAsia" w:ascii="宋体" w:hAnsi="Courier New" w:eastAsia="宋体" w:cs="Courier New"/>
      <w:kern w:val="2"/>
      <w:sz w:val="21"/>
      <w:szCs w:val="21"/>
    </w:rPr>
  </w:style>
  <w:style w:type="character" w:customStyle="1" w:styleId="7">
    <w:name w:val="纯文本 字符"/>
    <w:basedOn w:val="5"/>
    <w:link w:val="2"/>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2026-02-24T03:10:52Z</dcterms:created>
  <dc:creator>Administrator.PC-20220506BCZM</dc:creator>
  <cp:lastModifiedBy>微信用户</cp:lastModifiedBy>
  <dcterms:modified xsi:type="dcterms:W3CDTF">2026-02-24T03:11:40Z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eyJoZGlkIjoiZTljYTdhNTYzN2U5ZjAwZWY0MjUzYjhkNjBhNGZlY2EiLCJ1c2VySWQiOiIxMjE3MDcwNTU4In0=</vt:lpwstr>
  </property>
  <property fmtid="{D5CDD505-2E9C-101B-9397-08002B2CF9AE}" pid="4" name="ICV">
    <vt:lpwstr>D00F8B65715A4F28BFDBEEEA885EADC5_12</vt:lpwstr>
  </property>
</Properties>
</file>