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3AEB9">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云之龙咨询集团有限公司</w:t>
      </w:r>
    </w:p>
    <w:p w14:paraId="7E715084">
      <w:pPr>
        <w:spacing w:line="360" w:lineRule="auto"/>
        <w:jc w:val="center"/>
        <w:rPr>
          <w:rFonts w:ascii="宋体" w:hAnsi="宋体"/>
          <w:i/>
          <w:color w:val="auto"/>
          <w:sz w:val="52"/>
          <w:szCs w:val="52"/>
          <w:highlight w:val="none"/>
        </w:rPr>
      </w:pPr>
    </w:p>
    <w:p w14:paraId="513FB462">
      <w:pPr>
        <w:spacing w:line="360" w:lineRule="auto"/>
        <w:jc w:val="center"/>
        <w:rPr>
          <w:rFonts w:ascii="方正小标宋简体" w:hAnsi="方正小标宋简体" w:eastAsia="方正小标宋简体" w:cs="方正小标宋简体"/>
          <w:b/>
          <w:color w:val="auto"/>
          <w:sz w:val="44"/>
          <w:szCs w:val="44"/>
          <w:highlight w:val="none"/>
        </w:rPr>
      </w:pPr>
    </w:p>
    <w:p w14:paraId="5D6EFB70">
      <w:pPr>
        <w:spacing w:line="360" w:lineRule="auto"/>
        <w:jc w:val="center"/>
        <w:rPr>
          <w:rFonts w:ascii="方正小标宋简体" w:hAnsi="方正小标宋简体" w:eastAsia="方正小标宋简体" w:cs="方正小标宋简体"/>
          <w:b/>
          <w:color w:val="auto"/>
          <w:sz w:val="44"/>
          <w:szCs w:val="44"/>
          <w:highlight w:val="none"/>
        </w:rPr>
      </w:pPr>
    </w:p>
    <w:p w14:paraId="446A898A">
      <w:pPr>
        <w:snapToGrid w:val="0"/>
        <w:spacing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3C5B8153">
      <w:pPr>
        <w:snapToGrid w:val="0"/>
        <w:spacing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506FF22A">
      <w:pPr>
        <w:snapToGrid w:val="0"/>
        <w:spacing w:line="360" w:lineRule="auto"/>
        <w:rPr>
          <w:rFonts w:asciiTheme="minorEastAsia" w:hAnsiTheme="minorEastAsia" w:eastAsiaTheme="minorEastAsia"/>
          <w:color w:val="auto"/>
          <w:sz w:val="30"/>
          <w:szCs w:val="72"/>
          <w:highlight w:val="none"/>
        </w:rPr>
      </w:pPr>
    </w:p>
    <w:p w14:paraId="30E75D7E">
      <w:pPr>
        <w:pStyle w:val="25"/>
        <w:snapToGrid w:val="0"/>
        <w:spacing w:line="360" w:lineRule="auto"/>
        <w:ind w:firstLine="1193" w:firstLineChars="396"/>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项目</w:t>
      </w:r>
      <w:r>
        <w:rPr>
          <w:rFonts w:hint="eastAsia" w:cs="Courier New" w:asciiTheme="minorEastAsia" w:hAnsiTheme="minorEastAsia" w:eastAsiaTheme="minorEastAsia"/>
          <w:b/>
          <w:bCs/>
          <w:color w:val="auto"/>
          <w:w w:val="95"/>
          <w:sz w:val="30"/>
          <w:szCs w:val="30"/>
          <w:highlight w:val="none"/>
        </w:rPr>
        <w:t>名称</w:t>
      </w:r>
      <w:r>
        <w:rPr>
          <w:rFonts w:hint="eastAsia" w:asciiTheme="minorEastAsia" w:hAnsiTheme="minorEastAsia" w:eastAsiaTheme="minorEastAsia"/>
          <w:b/>
          <w:bCs/>
          <w:color w:val="auto"/>
          <w:sz w:val="30"/>
          <w:szCs w:val="30"/>
          <w:highlight w:val="none"/>
        </w:rPr>
        <w:t>：桂林航天工业学院新校区扩建项目星辰广场工程</w:t>
      </w:r>
    </w:p>
    <w:p w14:paraId="1AC79B47">
      <w:pPr>
        <w:snapToGrid w:val="0"/>
        <w:spacing w:line="360" w:lineRule="auto"/>
        <w:ind w:firstLine="1145" w:firstLineChars="400"/>
        <w:rPr>
          <w:rFonts w:asciiTheme="minorEastAsia" w:hAnsiTheme="minorEastAsia" w:eastAsiaTheme="minorEastAsia"/>
          <w:color w:val="auto"/>
          <w:sz w:val="30"/>
          <w:szCs w:val="72"/>
          <w:highlight w:val="none"/>
        </w:rPr>
      </w:pPr>
      <w:r>
        <w:rPr>
          <w:rFonts w:hint="eastAsia" w:cs="Courier New" w:asciiTheme="minorEastAsia" w:hAnsiTheme="minorEastAsia" w:eastAsiaTheme="minorEastAsia"/>
          <w:b/>
          <w:bCs/>
          <w:color w:val="auto"/>
          <w:w w:val="95"/>
          <w:sz w:val="30"/>
          <w:szCs w:val="30"/>
          <w:highlight w:val="none"/>
        </w:rPr>
        <w:t>项目</w:t>
      </w:r>
      <w:r>
        <w:rPr>
          <w:rFonts w:hint="eastAsia" w:asciiTheme="minorEastAsia" w:hAnsiTheme="minorEastAsia" w:eastAsiaTheme="minorEastAsia"/>
          <w:b/>
          <w:bCs/>
          <w:color w:val="auto"/>
          <w:sz w:val="30"/>
          <w:szCs w:val="30"/>
          <w:highlight w:val="none"/>
        </w:rPr>
        <w:t>编号</w:t>
      </w:r>
      <w:r>
        <w:rPr>
          <w:rFonts w:hint="eastAsia" w:cs="Courier New" w:asciiTheme="minorEastAsia" w:hAnsiTheme="minorEastAsia" w:eastAsiaTheme="minorEastAsia"/>
          <w:b/>
          <w:bCs/>
          <w:color w:val="auto"/>
          <w:w w:val="95"/>
          <w:sz w:val="30"/>
          <w:szCs w:val="30"/>
          <w:highlight w:val="none"/>
        </w:rPr>
        <w:t>：GXZC2025-C2-003843-YZLZ</w:t>
      </w:r>
    </w:p>
    <w:p w14:paraId="51FC3E4E">
      <w:pPr>
        <w:pStyle w:val="25"/>
        <w:snapToGrid w:val="0"/>
        <w:spacing w:line="360" w:lineRule="auto"/>
        <w:ind w:firstLine="1125" w:firstLineChars="393"/>
        <w:rPr>
          <w:rFonts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 xml:space="preserve">采 购 人：桂林航天工业学院 </w:t>
      </w:r>
    </w:p>
    <w:p w14:paraId="3B80B367">
      <w:pPr>
        <w:pStyle w:val="25"/>
        <w:snapToGrid w:val="0"/>
        <w:spacing w:line="360" w:lineRule="auto"/>
        <w:ind w:firstLine="1125" w:firstLineChars="393"/>
        <w:rPr>
          <w:rFonts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采购代理机构：云之龙咨询集团有限公司</w:t>
      </w:r>
    </w:p>
    <w:p w14:paraId="69BA4BC3">
      <w:pPr>
        <w:pStyle w:val="25"/>
        <w:snapToGrid w:val="0"/>
        <w:spacing w:line="360" w:lineRule="auto"/>
        <w:ind w:firstLine="1125" w:firstLineChars="393"/>
        <w:rPr>
          <w:rFonts w:ascii="仿宋_GB2312" w:hAnsi="宋体" w:eastAsia="仿宋_GB2312"/>
          <w:b/>
          <w:bCs/>
          <w:color w:val="auto"/>
          <w:w w:val="95"/>
          <w:sz w:val="30"/>
          <w:szCs w:val="30"/>
          <w:highlight w:val="none"/>
        </w:rPr>
      </w:pPr>
    </w:p>
    <w:p w14:paraId="21F9CB81">
      <w:pPr>
        <w:pStyle w:val="25"/>
        <w:snapToGrid w:val="0"/>
        <w:spacing w:line="360" w:lineRule="auto"/>
        <w:ind w:left="420" w:firstLine="841" w:firstLineChars="294"/>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日</w:t>
      </w:r>
    </w:p>
    <w:p w14:paraId="63AFA807">
      <w:pPr>
        <w:spacing w:line="360" w:lineRule="auto"/>
        <w:jc w:val="center"/>
        <w:rPr>
          <w:rFonts w:ascii="宋体" w:hAnsi="宋体" w:cs="宋体"/>
          <w:b/>
          <w:bCs/>
          <w:color w:val="auto"/>
          <w:kern w:val="0"/>
          <w:sz w:val="32"/>
          <w:szCs w:val="32"/>
          <w:highlight w:val="none"/>
        </w:rPr>
      </w:pPr>
    </w:p>
    <w:p w14:paraId="576730BF">
      <w:pPr>
        <w:spacing w:line="360" w:lineRule="auto"/>
        <w:jc w:val="center"/>
        <w:rPr>
          <w:rFonts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559A137D">
      <w:pPr>
        <w:spacing w:line="400" w:lineRule="exact"/>
        <w:jc w:val="center"/>
        <w:rPr>
          <w:rFonts w:ascii="宋体" w:hAnsi="宋体"/>
          <w:b/>
          <w:color w:val="auto"/>
          <w:sz w:val="44"/>
          <w:szCs w:val="44"/>
          <w:highlight w:val="none"/>
        </w:rPr>
      </w:pPr>
    </w:p>
    <w:p w14:paraId="2BA74F11">
      <w:pPr>
        <w:pStyle w:val="32"/>
        <w:tabs>
          <w:tab w:val="right" w:leader="dot" w:pos="8869"/>
        </w:tabs>
        <w:snapToGrid w:val="0"/>
        <w:spacing w:line="500" w:lineRule="atLeast"/>
        <w:rPr>
          <w:rStyle w:val="56"/>
          <w:color w:val="auto"/>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6"/>
          <w:rFonts w:hint="eastAsia" w:ascii="宋体" w:hAnsi="宋体"/>
          <w:b/>
          <w:color w:val="auto"/>
          <w:sz w:val="24"/>
          <w:highlight w:val="none"/>
        </w:rPr>
        <w:t>第一章</w:t>
      </w:r>
      <w:r>
        <w:rPr>
          <w:rStyle w:val="56"/>
          <w:rFonts w:ascii="宋体" w:hAnsi="宋体"/>
          <w:b/>
          <w:color w:val="auto"/>
          <w:sz w:val="24"/>
          <w:highlight w:val="none"/>
        </w:rPr>
        <w:t xml:space="preserve"> </w:t>
      </w:r>
      <w:r>
        <w:rPr>
          <w:rStyle w:val="56"/>
          <w:rFonts w:hint="eastAsia" w:ascii="宋体" w:hAnsi="宋体"/>
          <w:b/>
          <w:color w:val="auto"/>
          <w:sz w:val="24"/>
          <w:highlight w:val="none"/>
        </w:rPr>
        <w:t>竞争性磋商公告</w:t>
      </w:r>
      <w:r>
        <w:rPr>
          <w:rStyle w:val="56"/>
          <w:color w:val="auto"/>
          <w:highlight w:val="none"/>
        </w:rPr>
        <w:tab/>
      </w:r>
      <w:r>
        <w:rPr>
          <w:rStyle w:val="56"/>
          <w:color w:val="auto"/>
          <w:highlight w:val="none"/>
        </w:rPr>
        <w:fldChar w:fldCharType="begin"/>
      </w:r>
      <w:r>
        <w:rPr>
          <w:rStyle w:val="56"/>
          <w:color w:val="auto"/>
          <w:highlight w:val="none"/>
        </w:rPr>
        <w:instrText xml:space="preserve"> PAGEREF _Toc74323456 \h </w:instrText>
      </w:r>
      <w:r>
        <w:rPr>
          <w:rStyle w:val="56"/>
          <w:color w:val="auto"/>
          <w:highlight w:val="none"/>
        </w:rPr>
        <w:fldChar w:fldCharType="separate"/>
      </w:r>
      <w:r>
        <w:rPr>
          <w:rStyle w:val="56"/>
          <w:color w:val="auto"/>
          <w:highlight w:val="none"/>
        </w:rPr>
        <w:t>2</w:t>
      </w:r>
      <w:r>
        <w:rPr>
          <w:rStyle w:val="56"/>
          <w:color w:val="auto"/>
          <w:highlight w:val="none"/>
        </w:rPr>
        <w:fldChar w:fldCharType="end"/>
      </w:r>
      <w:r>
        <w:rPr>
          <w:rStyle w:val="56"/>
          <w:color w:val="auto"/>
          <w:highlight w:val="none"/>
        </w:rPr>
        <w:fldChar w:fldCharType="end"/>
      </w:r>
    </w:p>
    <w:p w14:paraId="260D3EA5">
      <w:pPr>
        <w:pStyle w:val="32"/>
        <w:tabs>
          <w:tab w:val="right" w:leader="dot" w:pos="8869"/>
        </w:tabs>
        <w:snapToGrid w:val="0"/>
        <w:spacing w:line="500" w:lineRule="atLeast"/>
        <w:rPr>
          <w:rStyle w:val="56"/>
          <w:color w:val="auto"/>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6"/>
          <w:rFonts w:hint="eastAsia" w:ascii="宋体" w:hAnsi="宋体"/>
          <w:b/>
          <w:color w:val="auto"/>
          <w:sz w:val="24"/>
          <w:highlight w:val="none"/>
        </w:rPr>
        <w:t>第二章</w:t>
      </w:r>
      <w:r>
        <w:rPr>
          <w:rStyle w:val="56"/>
          <w:rFonts w:ascii="宋体" w:hAnsi="宋体"/>
          <w:b/>
          <w:color w:val="auto"/>
          <w:sz w:val="24"/>
          <w:highlight w:val="none"/>
        </w:rPr>
        <w:t xml:space="preserve"> </w:t>
      </w:r>
      <w:r>
        <w:rPr>
          <w:rStyle w:val="56"/>
          <w:rFonts w:hint="eastAsia" w:ascii="宋体" w:hAnsi="宋体"/>
          <w:b/>
          <w:color w:val="auto"/>
          <w:sz w:val="24"/>
          <w:highlight w:val="none"/>
        </w:rPr>
        <w:t>供应</w:t>
      </w:r>
      <w:bookmarkStart w:id="0" w:name="_Hlt82161237"/>
      <w:r>
        <w:rPr>
          <w:rStyle w:val="56"/>
          <w:rFonts w:hint="eastAsia" w:ascii="宋体" w:hAnsi="宋体"/>
          <w:b/>
          <w:color w:val="auto"/>
          <w:sz w:val="24"/>
          <w:highlight w:val="none"/>
        </w:rPr>
        <w:t>商</w:t>
      </w:r>
      <w:bookmarkEnd w:id="0"/>
      <w:r>
        <w:rPr>
          <w:rStyle w:val="56"/>
          <w:rFonts w:hint="eastAsia" w:ascii="宋体" w:hAnsi="宋体"/>
          <w:b/>
          <w:color w:val="auto"/>
          <w:sz w:val="24"/>
          <w:highlight w:val="none"/>
        </w:rPr>
        <w:t>须知</w:t>
      </w:r>
      <w:r>
        <w:rPr>
          <w:rStyle w:val="56"/>
          <w:color w:val="auto"/>
          <w:highlight w:val="none"/>
        </w:rPr>
        <w:tab/>
      </w:r>
      <w:r>
        <w:rPr>
          <w:rStyle w:val="56"/>
          <w:color w:val="auto"/>
          <w:highlight w:val="none"/>
        </w:rPr>
        <w:fldChar w:fldCharType="begin"/>
      </w:r>
      <w:r>
        <w:rPr>
          <w:rStyle w:val="56"/>
          <w:color w:val="auto"/>
          <w:highlight w:val="none"/>
        </w:rPr>
        <w:instrText xml:space="preserve"> PAGEREF _Toc74323457 \h </w:instrText>
      </w:r>
      <w:r>
        <w:rPr>
          <w:rStyle w:val="56"/>
          <w:color w:val="auto"/>
          <w:highlight w:val="none"/>
        </w:rPr>
        <w:fldChar w:fldCharType="separate"/>
      </w:r>
      <w:r>
        <w:rPr>
          <w:rStyle w:val="56"/>
          <w:color w:val="auto"/>
          <w:highlight w:val="none"/>
        </w:rPr>
        <w:t>5</w:t>
      </w:r>
      <w:r>
        <w:rPr>
          <w:rStyle w:val="56"/>
          <w:color w:val="auto"/>
          <w:highlight w:val="none"/>
        </w:rPr>
        <w:fldChar w:fldCharType="end"/>
      </w:r>
      <w:r>
        <w:rPr>
          <w:rStyle w:val="56"/>
          <w:color w:val="auto"/>
          <w:highlight w:val="none"/>
        </w:rPr>
        <w:fldChar w:fldCharType="end"/>
      </w:r>
    </w:p>
    <w:p w14:paraId="34DD9FDF">
      <w:pPr>
        <w:pStyle w:val="32"/>
        <w:tabs>
          <w:tab w:val="right" w:leader="dot" w:pos="8869"/>
        </w:tabs>
        <w:snapToGrid w:val="0"/>
        <w:spacing w:line="500" w:lineRule="atLeast"/>
        <w:rPr>
          <w:rStyle w:val="56"/>
          <w:color w:val="auto"/>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6"/>
          <w:rFonts w:hint="eastAsia" w:ascii="宋体" w:hAnsi="宋体"/>
          <w:b/>
          <w:color w:val="auto"/>
          <w:sz w:val="24"/>
          <w:highlight w:val="none"/>
        </w:rPr>
        <w:t>第三章</w:t>
      </w:r>
      <w:r>
        <w:rPr>
          <w:rStyle w:val="56"/>
          <w:rFonts w:ascii="宋体" w:hAnsi="宋体"/>
          <w:b/>
          <w:color w:val="auto"/>
          <w:sz w:val="24"/>
          <w:highlight w:val="none"/>
        </w:rPr>
        <w:t xml:space="preserve"> </w:t>
      </w:r>
      <w:r>
        <w:rPr>
          <w:rStyle w:val="56"/>
          <w:rFonts w:hint="eastAsia" w:ascii="宋体" w:hAnsi="宋体"/>
          <w:b/>
          <w:color w:val="auto"/>
          <w:sz w:val="24"/>
          <w:highlight w:val="none"/>
        </w:rPr>
        <w:t>采购需</w:t>
      </w:r>
      <w:bookmarkStart w:id="1" w:name="_Hlt82166940"/>
      <w:r>
        <w:rPr>
          <w:rStyle w:val="56"/>
          <w:rFonts w:hint="eastAsia" w:ascii="宋体" w:hAnsi="宋体"/>
          <w:b/>
          <w:color w:val="auto"/>
          <w:sz w:val="24"/>
          <w:highlight w:val="none"/>
        </w:rPr>
        <w:t>求</w:t>
      </w:r>
      <w:bookmarkEnd w:id="1"/>
      <w:r>
        <w:rPr>
          <w:rStyle w:val="56"/>
          <w:color w:val="auto"/>
          <w:highlight w:val="none"/>
        </w:rPr>
        <w:tab/>
      </w:r>
      <w:r>
        <w:rPr>
          <w:rStyle w:val="56"/>
          <w:rFonts w:hint="eastAsia"/>
          <w:color w:val="auto"/>
          <w:highlight w:val="none"/>
        </w:rPr>
        <w:t>23</w:t>
      </w:r>
      <w:r>
        <w:rPr>
          <w:rStyle w:val="56"/>
          <w:rFonts w:hint="eastAsia"/>
          <w:color w:val="auto"/>
          <w:highlight w:val="none"/>
        </w:rPr>
        <w:fldChar w:fldCharType="end"/>
      </w:r>
    </w:p>
    <w:p w14:paraId="5532F1A2">
      <w:pPr>
        <w:pStyle w:val="32"/>
        <w:tabs>
          <w:tab w:val="right" w:leader="dot" w:pos="8869"/>
        </w:tabs>
        <w:snapToGrid w:val="0"/>
        <w:spacing w:line="500" w:lineRule="atLeast"/>
        <w:rPr>
          <w:rStyle w:val="56"/>
          <w:color w:val="auto"/>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6"/>
          <w:rFonts w:hint="eastAsia" w:ascii="宋体" w:hAnsi="宋体"/>
          <w:b/>
          <w:color w:val="auto"/>
          <w:sz w:val="24"/>
          <w:highlight w:val="none"/>
        </w:rPr>
        <w:t>第四章</w:t>
      </w:r>
      <w:r>
        <w:rPr>
          <w:rStyle w:val="56"/>
          <w:rFonts w:ascii="宋体" w:hAnsi="宋体"/>
          <w:b/>
          <w:color w:val="auto"/>
          <w:sz w:val="24"/>
          <w:highlight w:val="none"/>
        </w:rPr>
        <w:t xml:space="preserve"> </w:t>
      </w:r>
      <w:r>
        <w:rPr>
          <w:rStyle w:val="56"/>
          <w:rFonts w:hint="eastAsia" w:ascii="宋体" w:hAnsi="宋体"/>
          <w:b/>
          <w:color w:val="auto"/>
          <w:sz w:val="24"/>
          <w:highlight w:val="none"/>
        </w:rPr>
        <w:t>评审程序、</w:t>
      </w:r>
      <w:bookmarkStart w:id="2" w:name="_Hlt82166000"/>
      <w:r>
        <w:rPr>
          <w:rStyle w:val="56"/>
          <w:rFonts w:hint="eastAsia" w:ascii="宋体" w:hAnsi="宋体"/>
          <w:b/>
          <w:color w:val="auto"/>
          <w:sz w:val="24"/>
          <w:highlight w:val="none"/>
        </w:rPr>
        <w:t>评</w:t>
      </w:r>
      <w:bookmarkEnd w:id="2"/>
      <w:r>
        <w:rPr>
          <w:rStyle w:val="56"/>
          <w:rFonts w:hint="eastAsia" w:ascii="宋体" w:hAnsi="宋体"/>
          <w:b/>
          <w:color w:val="auto"/>
          <w:sz w:val="24"/>
          <w:highlight w:val="none"/>
        </w:rPr>
        <w:t>审方法和评审标准</w:t>
      </w:r>
      <w:r>
        <w:rPr>
          <w:rStyle w:val="56"/>
          <w:color w:val="auto"/>
          <w:highlight w:val="none"/>
        </w:rPr>
        <w:tab/>
      </w:r>
      <w:r>
        <w:rPr>
          <w:rStyle w:val="56"/>
          <w:rFonts w:hint="eastAsia"/>
          <w:color w:val="auto"/>
          <w:highlight w:val="none"/>
        </w:rPr>
        <w:t>26</w:t>
      </w:r>
      <w:r>
        <w:rPr>
          <w:rStyle w:val="56"/>
          <w:rFonts w:hint="eastAsia"/>
          <w:color w:val="auto"/>
          <w:highlight w:val="none"/>
        </w:rPr>
        <w:fldChar w:fldCharType="end"/>
      </w:r>
    </w:p>
    <w:p w14:paraId="1136BBA8">
      <w:pPr>
        <w:pStyle w:val="32"/>
        <w:tabs>
          <w:tab w:val="right" w:leader="dot" w:pos="8869"/>
        </w:tabs>
        <w:snapToGrid w:val="0"/>
        <w:spacing w:line="500" w:lineRule="atLeast"/>
        <w:rPr>
          <w:rStyle w:val="56"/>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6"/>
          <w:rFonts w:hint="eastAsia" w:ascii="宋体" w:hAnsi="宋体"/>
          <w:b/>
          <w:color w:val="auto"/>
          <w:sz w:val="24"/>
          <w:highlight w:val="none"/>
        </w:rPr>
        <w:t>第五章</w:t>
      </w:r>
      <w:r>
        <w:rPr>
          <w:rStyle w:val="56"/>
          <w:rFonts w:ascii="宋体" w:hAnsi="宋体"/>
          <w:b/>
          <w:color w:val="auto"/>
          <w:sz w:val="24"/>
          <w:highlight w:val="none"/>
        </w:rPr>
        <w:t xml:space="preserve"> </w:t>
      </w:r>
      <w:r>
        <w:rPr>
          <w:rStyle w:val="56"/>
          <w:rFonts w:hint="eastAsia" w:ascii="宋体" w:hAnsi="宋体"/>
          <w:b/>
          <w:color w:val="auto"/>
          <w:sz w:val="24"/>
          <w:highlight w:val="none"/>
        </w:rPr>
        <w:t>工程量清单及图纸</w:t>
      </w:r>
      <w:r>
        <w:rPr>
          <w:rStyle w:val="56"/>
          <w:color w:val="auto"/>
          <w:highlight w:val="none"/>
        </w:rPr>
        <w:tab/>
      </w:r>
      <w:r>
        <w:rPr>
          <w:rStyle w:val="56"/>
          <w:rFonts w:hint="eastAsia"/>
          <w:color w:val="auto"/>
          <w:highlight w:val="none"/>
        </w:rPr>
        <w:t>36</w:t>
      </w:r>
      <w:r>
        <w:rPr>
          <w:rStyle w:val="56"/>
          <w:rFonts w:hint="eastAsia"/>
          <w:color w:val="auto"/>
          <w:highlight w:val="none"/>
        </w:rPr>
        <w:fldChar w:fldCharType="end"/>
      </w:r>
    </w:p>
    <w:p w14:paraId="7EB3B3D5">
      <w:pPr>
        <w:pStyle w:val="32"/>
        <w:tabs>
          <w:tab w:val="right" w:leader="dot" w:pos="8869"/>
        </w:tabs>
        <w:snapToGrid w:val="0"/>
        <w:spacing w:line="500" w:lineRule="atLeast"/>
        <w:rPr>
          <w:rStyle w:val="56"/>
          <w:color w:val="auto"/>
          <w:highlight w:val="none"/>
        </w:rPr>
      </w:pPr>
      <w:r>
        <w:rPr>
          <w:rStyle w:val="56"/>
          <w:rFonts w:hint="eastAsia" w:ascii="宋体" w:hAnsi="宋体"/>
          <w:b/>
          <w:color w:val="auto"/>
          <w:sz w:val="24"/>
          <w:highlight w:val="none"/>
          <w:u w:val="none"/>
        </w:rPr>
        <w:t>第六章</w:t>
      </w:r>
      <w:r>
        <w:rPr>
          <w:rStyle w:val="56"/>
          <w:rFonts w:ascii="宋体" w:hAnsi="宋体"/>
          <w:b/>
          <w:color w:val="auto"/>
          <w:sz w:val="24"/>
          <w:highlight w:val="none"/>
          <w:u w:val="none"/>
        </w:rPr>
        <w:t xml:space="preserve"> </w:t>
      </w:r>
      <w:r>
        <w:rPr>
          <w:rStyle w:val="56"/>
          <w:rFonts w:hint="eastAsia" w:ascii="宋体" w:hAnsi="宋体"/>
          <w:b/>
          <w:color w:val="auto"/>
          <w:sz w:val="24"/>
          <w:highlight w:val="none"/>
          <w:u w:val="none"/>
        </w:rPr>
        <w:t>响应文件格式</w:t>
      </w:r>
      <w:r>
        <w:rPr>
          <w:rStyle w:val="56"/>
          <w:color w:val="auto"/>
          <w:highlight w:val="none"/>
          <w:u w:val="none"/>
        </w:rPr>
        <w:tab/>
      </w:r>
      <w:r>
        <w:rPr>
          <w:rStyle w:val="56"/>
          <w:rFonts w:hint="eastAsia"/>
          <w:color w:val="auto"/>
          <w:highlight w:val="none"/>
          <w:u w:val="none"/>
        </w:rPr>
        <w:t>41</w:t>
      </w:r>
    </w:p>
    <w:p w14:paraId="1098FB09">
      <w:pPr>
        <w:pStyle w:val="32"/>
        <w:tabs>
          <w:tab w:val="right" w:leader="dot" w:pos="8869"/>
        </w:tabs>
        <w:snapToGrid w:val="0"/>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6"/>
          <w:rFonts w:hint="eastAsia" w:ascii="宋体" w:hAnsi="宋体"/>
          <w:b/>
          <w:color w:val="auto"/>
          <w:sz w:val="24"/>
          <w:highlight w:val="none"/>
        </w:rPr>
        <w:t>第七章</w:t>
      </w:r>
      <w:r>
        <w:rPr>
          <w:rStyle w:val="56"/>
          <w:rFonts w:ascii="宋体" w:hAnsi="宋体"/>
          <w:b/>
          <w:color w:val="auto"/>
          <w:sz w:val="24"/>
          <w:highlight w:val="none"/>
        </w:rPr>
        <w:t xml:space="preserve"> </w:t>
      </w:r>
      <w:r>
        <w:rPr>
          <w:rStyle w:val="56"/>
          <w:rFonts w:hint="eastAsia" w:ascii="宋体" w:hAnsi="宋体"/>
          <w:b/>
          <w:color w:val="auto"/>
          <w:sz w:val="24"/>
          <w:highlight w:val="none"/>
        </w:rPr>
        <w:t>合同条款及格式</w:t>
      </w:r>
      <w:r>
        <w:rPr>
          <w:rStyle w:val="56"/>
          <w:color w:val="auto"/>
          <w:highlight w:val="none"/>
        </w:rPr>
        <w:tab/>
      </w:r>
      <w:r>
        <w:rPr>
          <w:rStyle w:val="56"/>
          <w:color w:val="auto"/>
          <w:highlight w:val="none"/>
        </w:rPr>
        <w:fldChar w:fldCharType="end"/>
      </w:r>
      <w:r>
        <w:rPr>
          <w:rStyle w:val="56"/>
          <w:rFonts w:hint="eastAsia"/>
          <w:color w:val="auto"/>
          <w:highlight w:val="none"/>
        </w:rPr>
        <w:t>72</w:t>
      </w:r>
    </w:p>
    <w:p w14:paraId="01EC8B4C">
      <w:pPr>
        <w:pStyle w:val="3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220D5EA8">
      <w:pPr>
        <w:spacing w:line="400" w:lineRule="exact"/>
        <w:jc w:val="left"/>
        <w:rPr>
          <w:rFonts w:ascii="宋体" w:hAnsi="宋体"/>
          <w:b/>
          <w:color w:val="auto"/>
          <w:sz w:val="32"/>
          <w:szCs w:val="32"/>
          <w:highlight w:val="none"/>
        </w:rPr>
      </w:pPr>
    </w:p>
    <w:p w14:paraId="0BA0EA51">
      <w:pPr>
        <w:spacing w:line="400" w:lineRule="exact"/>
        <w:jc w:val="center"/>
        <w:rPr>
          <w:rFonts w:ascii="宋体" w:hAnsi="宋体"/>
          <w:b/>
          <w:color w:val="auto"/>
          <w:sz w:val="32"/>
          <w:szCs w:val="32"/>
          <w:highlight w:val="none"/>
        </w:rPr>
      </w:pPr>
    </w:p>
    <w:p w14:paraId="1610AE45">
      <w:pPr>
        <w:spacing w:line="400" w:lineRule="exact"/>
        <w:jc w:val="center"/>
        <w:rPr>
          <w:rFonts w:ascii="宋体" w:hAnsi="宋体"/>
          <w:b/>
          <w:color w:val="auto"/>
          <w:sz w:val="32"/>
          <w:szCs w:val="32"/>
          <w:highlight w:val="none"/>
        </w:rPr>
      </w:pPr>
    </w:p>
    <w:p w14:paraId="63955A1E">
      <w:pPr>
        <w:spacing w:line="400" w:lineRule="exact"/>
        <w:jc w:val="center"/>
        <w:rPr>
          <w:rFonts w:ascii="宋体" w:hAnsi="宋体"/>
          <w:b/>
          <w:color w:val="auto"/>
          <w:sz w:val="32"/>
          <w:szCs w:val="32"/>
          <w:highlight w:val="none"/>
        </w:rPr>
      </w:pPr>
    </w:p>
    <w:p w14:paraId="11968706">
      <w:pPr>
        <w:spacing w:line="400" w:lineRule="exact"/>
        <w:jc w:val="center"/>
        <w:rPr>
          <w:rFonts w:ascii="宋体" w:hAnsi="宋体"/>
          <w:b/>
          <w:color w:val="auto"/>
          <w:sz w:val="32"/>
          <w:szCs w:val="32"/>
          <w:highlight w:val="none"/>
        </w:rPr>
      </w:pPr>
    </w:p>
    <w:p w14:paraId="19DEC9EE">
      <w:pPr>
        <w:spacing w:line="400" w:lineRule="exact"/>
        <w:rPr>
          <w:rFonts w:ascii="宋体" w:hAnsi="宋体"/>
          <w:b/>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5D1363CB">
      <w:pPr>
        <w:pStyle w:val="2"/>
        <w:spacing w:after="340" w:line="360" w:lineRule="auto"/>
        <w:jc w:val="center"/>
        <w:rPr>
          <w:color w:val="auto"/>
          <w:highlight w:val="none"/>
        </w:rPr>
      </w:pPr>
      <w:bookmarkStart w:id="3" w:name="_Toc74323456"/>
      <w:r>
        <w:rPr>
          <w:rFonts w:hint="eastAsia"/>
          <w:color w:val="auto"/>
          <w:highlight w:val="none"/>
        </w:rPr>
        <w:t>第一章 竞争性磋商公告</w:t>
      </w:r>
      <w:bookmarkEnd w:id="3"/>
    </w:p>
    <w:p w14:paraId="21897953">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6BAA16D0">
      <w:pPr>
        <w:spacing w:line="360" w:lineRule="auto"/>
        <w:rPr>
          <w:rFonts w:ascii="宋体" w:hAnsi="宋体"/>
          <w:color w:val="auto"/>
          <w:szCs w:val="21"/>
          <w:highlight w:val="none"/>
        </w:rPr>
      </w:pPr>
    </w:p>
    <w:p w14:paraId="44210F6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4334305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桂林航天工业学院新校区扩建项目星辰广场工程</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日9时30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7D4F7181">
      <w:pPr>
        <w:spacing w:line="380" w:lineRule="exact"/>
        <w:ind w:firstLine="354" w:firstLineChars="147"/>
        <w:rPr>
          <w:rFonts w:ascii="黑体" w:hAnsi="黑体" w:eastAsia="黑体"/>
          <w:b/>
          <w:color w:val="auto"/>
          <w:sz w:val="24"/>
          <w:highlight w:val="none"/>
        </w:rPr>
      </w:pPr>
      <w:bookmarkStart w:id="5" w:name="_Toc44229878"/>
      <w:bookmarkStart w:id="6" w:name="_Toc35393629"/>
      <w:bookmarkStart w:id="7" w:name="_Toc35393798"/>
      <w:bookmarkStart w:id="8" w:name="_Toc28359012"/>
      <w:bookmarkStart w:id="9" w:name="_Toc71365905"/>
      <w:bookmarkStart w:id="10" w:name="_Toc28359089"/>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5D7D8271">
      <w:pPr>
        <w:spacing w:line="380" w:lineRule="exact"/>
        <w:ind w:left="210" w:leftChars="100" w:firstLine="210" w:firstLineChars="100"/>
        <w:rPr>
          <w:rFonts w:ascii="宋体" w:hAnsi="宋体"/>
          <w:color w:val="auto"/>
          <w:szCs w:val="21"/>
          <w:highlight w:val="none"/>
        </w:rPr>
      </w:pPr>
      <w:r>
        <w:rPr>
          <w:rFonts w:hint="eastAsia" w:ascii="宋体" w:hAnsi="宋体"/>
          <w:color w:val="auto"/>
          <w:szCs w:val="21"/>
          <w:highlight w:val="none"/>
        </w:rPr>
        <w:t>项目编号：GXZC2025-C2-003843-YZLZ（代理编号：YZLGL2025-C2-137-GLZC；政府采购计划编号：广西政采[2025]24780号）</w:t>
      </w:r>
    </w:p>
    <w:p w14:paraId="62181D94">
      <w:pPr>
        <w:spacing w:line="38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项目名称：桂林航天工业学院新校区扩建项目星辰广场工程</w:t>
      </w:r>
    </w:p>
    <w:p w14:paraId="6BD9AD42">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7EAAB9A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预算金额：3138342.51元</w:t>
      </w:r>
    </w:p>
    <w:p w14:paraId="4320573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最高限价（如有）：3138342.51元</w:t>
      </w:r>
    </w:p>
    <w:p w14:paraId="56E2A7B6">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采购需求：标的名称、数量：桂林航天工业学院新校区扩建项目星辰广场工程1项；简要技术需求或者服务要求：星辰广场占地面积约8000平方米</w:t>
      </w:r>
      <w:r>
        <w:rPr>
          <w:rFonts w:hint="eastAsia" w:ascii="宋体" w:hAnsi="宋体"/>
          <w:color w:val="auto"/>
          <w:szCs w:val="21"/>
          <w:highlight w:val="none"/>
          <w:lang w:eastAsia="zh-CN"/>
        </w:rPr>
        <w:t>，</w:t>
      </w:r>
      <w:r>
        <w:rPr>
          <w:rFonts w:hint="eastAsia" w:ascii="宋体" w:hAnsi="宋体"/>
          <w:color w:val="auto"/>
          <w:szCs w:val="21"/>
          <w:highlight w:val="none"/>
        </w:rPr>
        <w:t>具体详见工程量清单及图纸。</w:t>
      </w:r>
    </w:p>
    <w:p w14:paraId="6FE7248F">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合同履行期限：100天。</w:t>
      </w:r>
    </w:p>
    <w:p w14:paraId="5B4D207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本项目不接受联合体参与磋商。</w:t>
      </w:r>
    </w:p>
    <w:p w14:paraId="11533A4E">
      <w:pPr>
        <w:spacing w:line="380" w:lineRule="exact"/>
        <w:ind w:firstLine="354" w:firstLineChars="147"/>
        <w:rPr>
          <w:rFonts w:ascii="黑体" w:hAnsi="黑体" w:eastAsia="黑体"/>
          <w:b/>
          <w:color w:val="auto"/>
          <w:sz w:val="24"/>
          <w:highlight w:val="none"/>
        </w:rPr>
      </w:pPr>
      <w:bookmarkStart w:id="11" w:name="_Toc28359013"/>
      <w:bookmarkStart w:id="12" w:name="_Toc71365906"/>
      <w:bookmarkStart w:id="13" w:name="_Toc44229879"/>
      <w:bookmarkStart w:id="14" w:name="_Toc28359090"/>
      <w:bookmarkStart w:id="15" w:name="_Toc35393799"/>
      <w:bookmarkStart w:id="16" w:name="_Toc35393630"/>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1C4117E7">
      <w:pPr>
        <w:spacing w:line="380" w:lineRule="exact"/>
        <w:ind w:firstLine="420" w:firstLineChars="200"/>
        <w:rPr>
          <w:rFonts w:ascii="宋体" w:hAnsi="宋体"/>
          <w:color w:val="auto"/>
          <w:szCs w:val="21"/>
          <w:highlight w:val="none"/>
        </w:rPr>
      </w:pPr>
      <w:bookmarkStart w:id="17" w:name="_Toc44229880"/>
      <w:bookmarkStart w:id="18" w:name="_Toc35393800"/>
      <w:bookmarkStart w:id="19" w:name="_Toc28359014"/>
      <w:bookmarkStart w:id="20" w:name="_Toc28359091"/>
      <w:bookmarkStart w:id="21" w:name="_Toc35393631"/>
      <w:r>
        <w:rPr>
          <w:rFonts w:hint="eastAsia" w:ascii="宋体" w:hAnsi="宋体"/>
          <w:color w:val="auto"/>
          <w:szCs w:val="21"/>
          <w:highlight w:val="none"/>
        </w:rPr>
        <w:t>1.满足《中华人民共和国政府采购法》第二十二条规定；</w:t>
      </w:r>
    </w:p>
    <w:p w14:paraId="226B98D8">
      <w:pPr>
        <w:spacing w:line="38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color w:val="auto"/>
          <w:szCs w:val="21"/>
          <w:highlight w:val="none"/>
        </w:rPr>
        <w:t>本项目专门面向中小企业采购，供应商须</w:t>
      </w:r>
      <w:r>
        <w:rPr>
          <w:rFonts w:hint="eastAsia"/>
          <w:color w:val="auto"/>
          <w:highlight w:val="none"/>
        </w:rPr>
        <w:t>符合</w:t>
      </w:r>
      <w:r>
        <w:rPr>
          <w:rFonts w:hint="eastAsia" w:ascii="宋体" w:hAnsi="宋体" w:cs="宋体"/>
          <w:color w:val="auto"/>
          <w:szCs w:val="21"/>
          <w:highlight w:val="none"/>
        </w:rPr>
        <w:t>《政府采购促进中小企业发展管理办法》（财库〔2020〕46号）第二条规定</w:t>
      </w:r>
      <w:r>
        <w:rPr>
          <w:rFonts w:hint="eastAsia"/>
          <w:color w:val="auto"/>
          <w:highlight w:val="none"/>
        </w:rPr>
        <w:t>的中小企业</w:t>
      </w:r>
      <w:r>
        <w:rPr>
          <w:rFonts w:hint="eastAsia" w:ascii="宋体" w:hAnsi="宋体" w:cs="宋体"/>
          <w:color w:val="auto"/>
          <w:szCs w:val="21"/>
          <w:highlight w:val="none"/>
        </w:rPr>
        <w:t>。</w:t>
      </w:r>
      <w:r>
        <w:rPr>
          <w:rFonts w:hint="eastAsia" w:ascii="宋体" w:hAnsi="宋体" w:cs="宋体"/>
          <w:color w:val="auto"/>
          <w:kern w:val="0"/>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6F5E60E1">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3.本项目的特定资格要求：供应商须具备</w:t>
      </w:r>
      <w:r>
        <w:rPr>
          <w:rFonts w:hint="eastAsia" w:asciiTheme="majorEastAsia" w:hAnsiTheme="majorEastAsia" w:eastAsiaTheme="majorEastAsia"/>
          <w:color w:val="auto"/>
          <w:szCs w:val="20"/>
          <w:highlight w:val="none"/>
        </w:rPr>
        <w:t>建筑工程施工总承包三级以上（含三级）资质</w:t>
      </w:r>
      <w:r>
        <w:rPr>
          <w:rFonts w:hint="eastAsia" w:ascii="宋体" w:hAnsi="宋体"/>
          <w:color w:val="auto"/>
          <w:szCs w:val="21"/>
          <w:highlight w:val="none"/>
        </w:rPr>
        <w:t>；并具备有效的安全生产许可证，在人员、设备、资金等方面具有相应的履约能力。</w:t>
      </w:r>
    </w:p>
    <w:p w14:paraId="6B4E04B6">
      <w:pPr>
        <w:spacing w:line="380" w:lineRule="exact"/>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4BA10140">
      <w:pPr>
        <w:spacing w:line="380" w:lineRule="exact"/>
        <w:ind w:firstLine="424" w:firstLineChars="202"/>
        <w:rPr>
          <w:rFonts w:ascii="宋体" w:hAnsi="宋体" w:cs="宋体"/>
          <w:bCs/>
          <w:color w:val="auto"/>
          <w:kern w:val="0"/>
          <w:szCs w:val="21"/>
          <w:highlight w:val="none"/>
        </w:rPr>
      </w:pPr>
      <w:bookmarkStart w:id="23" w:name="_Toc35393801"/>
      <w:bookmarkStart w:id="24" w:name="_Toc28359015"/>
      <w:bookmarkStart w:id="25" w:name="_Toc44229881"/>
      <w:bookmarkStart w:id="26" w:name="_Toc35393632"/>
      <w:bookmarkStart w:id="27" w:name="_Toc28359092"/>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日，每天上午00:00至11:59，下午12:00至23:59（北京时间，法定节假日除外）</w:t>
      </w:r>
    </w:p>
    <w:p w14:paraId="3BA15FB4">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8EAA20C">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764F2F6B">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7745AA6F">
      <w:pPr>
        <w:spacing w:line="380" w:lineRule="exact"/>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42F9061C">
      <w:pPr>
        <w:spacing w:line="380" w:lineRule="exact"/>
        <w:ind w:firstLine="420" w:firstLineChars="200"/>
        <w:rPr>
          <w:rFonts w:ascii="宋体" w:hAnsi="宋体"/>
          <w:color w:val="auto"/>
          <w:szCs w:val="21"/>
          <w:highlight w:val="none"/>
        </w:rPr>
      </w:pPr>
      <w:bookmarkStart w:id="29" w:name="_Toc35393633"/>
      <w:bookmarkStart w:id="30" w:name="_Toc28359016"/>
      <w:bookmarkStart w:id="31" w:name="_Toc28359093"/>
      <w:bookmarkStart w:id="32" w:name="_Toc35393802"/>
      <w:bookmarkStart w:id="33" w:name="_Toc44229882"/>
      <w:r>
        <w:rPr>
          <w:rFonts w:hint="eastAsia" w:ascii="宋体" w:hAnsi="宋体"/>
          <w:color w:val="auto"/>
          <w:szCs w:val="21"/>
          <w:highlight w:val="none"/>
        </w:rPr>
        <w:t>截止时间：2025年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日上午9</w:t>
      </w:r>
      <w:r>
        <w:rPr>
          <w:rFonts w:hint="eastAsia" w:ascii="宋体" w:hAnsi="宋体"/>
          <w:color w:val="auto"/>
          <w:szCs w:val="21"/>
          <w:highlight w:val="none"/>
          <w:lang w:eastAsia="zh-CN"/>
        </w:rPr>
        <w:t>时</w:t>
      </w:r>
      <w:r>
        <w:rPr>
          <w:rFonts w:hint="eastAsia" w:ascii="宋体" w:hAnsi="宋体"/>
          <w:color w:val="auto"/>
          <w:szCs w:val="21"/>
          <w:highlight w:val="none"/>
        </w:rPr>
        <w:t>30分（北京时间）</w:t>
      </w:r>
    </w:p>
    <w:p w14:paraId="04E6543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https://www.gcy.zfcg.gxzf.gov.cn）</w:t>
      </w:r>
    </w:p>
    <w:p w14:paraId="7E2F93BE">
      <w:pPr>
        <w:spacing w:line="380" w:lineRule="exact"/>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36082BD7">
      <w:pPr>
        <w:spacing w:line="38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22</w:t>
      </w:r>
      <w:r>
        <w:rPr>
          <w:rFonts w:hint="eastAsia" w:ascii="宋体" w:hAnsi="宋体"/>
          <w:bCs/>
          <w:color w:val="auto"/>
          <w:szCs w:val="21"/>
          <w:highlight w:val="none"/>
        </w:rPr>
        <w:t>日上午9时30分（北京时间）</w:t>
      </w:r>
    </w:p>
    <w:p w14:paraId="44E3824B">
      <w:pPr>
        <w:spacing w:line="38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https://www.gcy.zfcg.gxzf.gov.cn）</w:t>
      </w:r>
    </w:p>
    <w:p w14:paraId="1F52BF66">
      <w:pPr>
        <w:spacing w:line="380" w:lineRule="exact"/>
        <w:ind w:firstLine="354" w:firstLineChars="147"/>
        <w:rPr>
          <w:rFonts w:ascii="黑体" w:hAnsi="黑体" w:eastAsia="黑体"/>
          <w:b/>
          <w:color w:val="auto"/>
          <w:sz w:val="24"/>
          <w:highlight w:val="none"/>
        </w:rPr>
      </w:pPr>
      <w:bookmarkStart w:id="35" w:name="_Toc35393803"/>
      <w:bookmarkStart w:id="36" w:name="_Toc71365910"/>
      <w:bookmarkStart w:id="37" w:name="_Toc28359094"/>
      <w:bookmarkStart w:id="38" w:name="_Toc28359017"/>
      <w:bookmarkStart w:id="39" w:name="_Toc44229883"/>
      <w:bookmarkStart w:id="40" w:name="_Toc35393634"/>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23DC6851">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1ED16A">
      <w:pPr>
        <w:spacing w:line="380" w:lineRule="exact"/>
        <w:ind w:firstLine="354" w:firstLineChars="147"/>
        <w:rPr>
          <w:rFonts w:ascii="黑体" w:hAnsi="黑体" w:eastAsia="黑体"/>
          <w:b/>
          <w:color w:val="auto"/>
          <w:sz w:val="24"/>
          <w:highlight w:val="none"/>
        </w:rPr>
      </w:pPr>
      <w:bookmarkStart w:id="41" w:name="_Toc71365911"/>
      <w:bookmarkStart w:id="42" w:name="_Toc35393804"/>
      <w:bookmarkStart w:id="43" w:name="_Toc44229884"/>
      <w:bookmarkStart w:id="44" w:name="_Toc35393635"/>
      <w:r>
        <w:rPr>
          <w:rFonts w:hint="eastAsia" w:ascii="黑体" w:hAnsi="黑体" w:eastAsia="黑体"/>
          <w:b/>
          <w:color w:val="auto"/>
          <w:sz w:val="24"/>
          <w:highlight w:val="none"/>
        </w:rPr>
        <w:t>七、其他补充事宜</w:t>
      </w:r>
      <w:bookmarkEnd w:id="41"/>
      <w:bookmarkEnd w:id="42"/>
      <w:bookmarkEnd w:id="43"/>
      <w:bookmarkEnd w:id="44"/>
    </w:p>
    <w:p w14:paraId="57B1D6E9">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5F71E8E">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http://www.ccgp.gov.cn</w:t>
      </w:r>
      <w:r>
        <w:rPr>
          <w:rFonts w:hint="eastAsia" w:ascii="宋体" w:hAnsi="宋体" w:cs="宋体"/>
          <w:color w:val="auto"/>
          <w:kern w:val="0"/>
          <w:szCs w:val="21"/>
          <w:highlight w:val="none"/>
        </w:rPr>
        <w:t>）、广西壮族自治区政府采购网（</w:t>
      </w:r>
      <w:r>
        <w:rPr>
          <w:rFonts w:ascii="宋体" w:hAnsi="宋体" w:cs="宋体"/>
          <w:color w:val="auto"/>
          <w:kern w:val="0"/>
          <w:szCs w:val="21"/>
          <w:highlight w:val="none"/>
        </w:rPr>
        <w:t>http://zfcg.gxzf.gov.cn</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w:t>
      </w:r>
    </w:p>
    <w:p w14:paraId="5C2389CF">
      <w:pPr>
        <w:spacing w:line="380" w:lineRule="exact"/>
        <w:ind w:firstLine="420" w:firstLineChars="200"/>
        <w:rPr>
          <w:rFonts w:ascii="宋体" w:hAnsi="宋体" w:cs="宋体"/>
          <w:color w:val="auto"/>
          <w:kern w:val="0"/>
          <w:szCs w:val="21"/>
          <w:highlight w:val="none"/>
        </w:rPr>
      </w:pPr>
      <w:bookmarkStart w:id="45" w:name="_Hlk37429674"/>
      <w:bookmarkStart w:id="46" w:name="_Toc35393636"/>
      <w:bookmarkStart w:id="47" w:name="_Toc44229885"/>
      <w:bookmarkStart w:id="48" w:name="_Toc28359095"/>
      <w:bookmarkStart w:id="49" w:name="_Toc28359018"/>
      <w:bookmarkStart w:id="50" w:name="_Toc35393805"/>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本项目需要落实的政府采购政策</w:t>
      </w:r>
    </w:p>
    <w:p w14:paraId="7861FF52">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4864487">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2DE72A6">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A88F2A2">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9922E78">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5"/>
    <w:p w14:paraId="49F449B6">
      <w:pPr>
        <w:widowControl/>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2A8331D8">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https://www.gcy.zfcg.gxzf.gov.cn）实行在线电子竞标，供应商应按照本项目竞争性磋商文件和广西政府采购云平台的要求编制、加密</w:t>
      </w:r>
      <w:r>
        <w:rPr>
          <w:rFonts w:hint="eastAsia" w:ascii="宋体" w:hAnsi="宋体"/>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65299FA3">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0771-3381253）。</w:t>
      </w:r>
    </w:p>
    <w:p w14:paraId="17D781E0">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45F93F3">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BDDC4B8">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（4）供应商需要在具备摄像头及语音功能且互联网网络状况良好的电脑登录广西政府采购云平台远程开标大厅参与本次磋商，否则后果自负。</w:t>
      </w:r>
    </w:p>
    <w:p w14:paraId="370BF840">
      <w:pPr>
        <w:spacing w:line="38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512D87C7">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1.采购人信息</w:t>
      </w:r>
    </w:p>
    <w:p w14:paraId="0F48E7E0">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名称：桂林航天工业学院</w:t>
      </w:r>
    </w:p>
    <w:p w14:paraId="46BE0B13">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地址：广西桂林市金鸡路2号</w:t>
      </w:r>
    </w:p>
    <w:p w14:paraId="0CBA74A9">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联系方式：</w:t>
      </w:r>
      <w:bookmarkStart w:id="51" w:name="_Toc28359009"/>
      <w:bookmarkStart w:id="52" w:name="_Toc28359086"/>
      <w:r>
        <w:rPr>
          <w:rFonts w:hint="eastAsia" w:ascii="宋体" w:hAnsi="宋体"/>
          <w:color w:val="auto"/>
          <w:szCs w:val="21"/>
          <w:highlight w:val="none"/>
        </w:rPr>
        <w:t>邓燕林  0773-6796677</w:t>
      </w:r>
    </w:p>
    <w:bookmarkEnd w:id="51"/>
    <w:bookmarkEnd w:id="52"/>
    <w:p w14:paraId="186DB623">
      <w:pPr>
        <w:spacing w:line="380" w:lineRule="exact"/>
        <w:ind w:firstLine="424" w:firstLineChars="202"/>
        <w:rPr>
          <w:rFonts w:ascii="宋体" w:hAnsi="宋体"/>
          <w:color w:val="auto"/>
          <w:szCs w:val="21"/>
          <w:highlight w:val="none"/>
        </w:rPr>
      </w:pPr>
      <w:bookmarkStart w:id="53" w:name="_Toc28359010"/>
      <w:bookmarkStart w:id="54" w:name="_Toc28359087"/>
      <w:r>
        <w:rPr>
          <w:rFonts w:hint="eastAsia" w:ascii="宋体" w:hAnsi="宋体"/>
          <w:color w:val="auto"/>
          <w:szCs w:val="21"/>
          <w:highlight w:val="none"/>
        </w:rPr>
        <w:t>2.采购代理机构信息</w:t>
      </w:r>
    </w:p>
    <w:bookmarkEnd w:id="53"/>
    <w:bookmarkEnd w:id="54"/>
    <w:p w14:paraId="145AE34A">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名称：云之龙咨询集团有限公司</w:t>
      </w:r>
    </w:p>
    <w:p w14:paraId="72E28FB9">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地址：广西桂林市临桂区西城北路2号耀辉•美好家园2幢12层1号房</w:t>
      </w:r>
    </w:p>
    <w:p w14:paraId="0742A792">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0773-2887388  2887399</w:t>
      </w:r>
      <w:r>
        <w:rPr>
          <w:rFonts w:hint="eastAsia" w:ascii="宋体" w:hAnsi="宋体"/>
          <w:color w:val="auto"/>
          <w:szCs w:val="21"/>
          <w:highlight w:val="none"/>
        </w:rPr>
        <w:t xml:space="preserve">  传真：</w:t>
      </w:r>
      <w:r>
        <w:rPr>
          <w:rFonts w:ascii="宋体" w:hAnsi="宋体"/>
          <w:color w:val="auto"/>
          <w:szCs w:val="21"/>
          <w:highlight w:val="none"/>
        </w:rPr>
        <w:t>0773-2889218</w:t>
      </w:r>
    </w:p>
    <w:p w14:paraId="6D29E554">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3.项目联系方式</w:t>
      </w:r>
    </w:p>
    <w:p w14:paraId="02FFF60D">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项目联系人：李贞</w:t>
      </w:r>
      <w:r>
        <w:rPr>
          <w:rFonts w:ascii="宋体" w:hAnsi="宋体"/>
          <w:color w:val="auto"/>
          <w:szCs w:val="21"/>
          <w:highlight w:val="none"/>
        </w:rPr>
        <w:tab/>
      </w:r>
    </w:p>
    <w:p w14:paraId="28F59B7F">
      <w:pPr>
        <w:spacing w:line="380" w:lineRule="exact"/>
        <w:ind w:firstLine="424" w:firstLineChars="202"/>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0773-2887388  2887399</w:t>
      </w:r>
    </w:p>
    <w:bookmarkEnd w:id="4"/>
    <w:p w14:paraId="68BE1870">
      <w:pPr>
        <w:spacing w:line="400" w:lineRule="exact"/>
        <w:jc w:val="center"/>
        <w:rPr>
          <w:rFonts w:ascii="宋体" w:hAnsi="宋体"/>
          <w:color w:val="auto"/>
          <w:sz w:val="32"/>
          <w:szCs w:val="32"/>
          <w:highlight w:val="none"/>
        </w:rPr>
      </w:pPr>
    </w:p>
    <w:p w14:paraId="5FB4D28D">
      <w:pPr>
        <w:spacing w:line="400" w:lineRule="exact"/>
        <w:jc w:val="center"/>
        <w:rPr>
          <w:rFonts w:ascii="宋体" w:hAnsi="宋体"/>
          <w:color w:val="auto"/>
          <w:sz w:val="32"/>
          <w:szCs w:val="32"/>
          <w:highlight w:val="none"/>
        </w:rPr>
      </w:pPr>
    </w:p>
    <w:p w14:paraId="56BC800B">
      <w:pPr>
        <w:spacing w:line="400" w:lineRule="exact"/>
        <w:jc w:val="center"/>
        <w:rPr>
          <w:rFonts w:ascii="宋体" w:hAnsi="宋体"/>
          <w:color w:val="auto"/>
          <w:sz w:val="32"/>
          <w:szCs w:val="32"/>
          <w:highlight w:val="none"/>
        </w:rPr>
      </w:pPr>
    </w:p>
    <w:p w14:paraId="2F63223D">
      <w:pPr>
        <w:spacing w:line="400" w:lineRule="exact"/>
        <w:jc w:val="center"/>
        <w:rPr>
          <w:rFonts w:ascii="宋体" w:hAnsi="宋体"/>
          <w:color w:val="auto"/>
          <w:sz w:val="32"/>
          <w:szCs w:val="32"/>
          <w:highlight w:val="none"/>
        </w:rPr>
      </w:pPr>
    </w:p>
    <w:p w14:paraId="4C8DB607">
      <w:pPr>
        <w:spacing w:line="400" w:lineRule="exact"/>
        <w:jc w:val="center"/>
        <w:rPr>
          <w:rFonts w:ascii="宋体" w:hAnsi="宋体"/>
          <w:color w:val="auto"/>
          <w:sz w:val="32"/>
          <w:szCs w:val="32"/>
          <w:highlight w:val="none"/>
        </w:rPr>
      </w:pPr>
    </w:p>
    <w:p w14:paraId="5EF4A9FD">
      <w:pPr>
        <w:spacing w:line="400" w:lineRule="exact"/>
        <w:jc w:val="center"/>
        <w:rPr>
          <w:rFonts w:ascii="宋体" w:hAnsi="宋体"/>
          <w:color w:val="auto"/>
          <w:sz w:val="32"/>
          <w:szCs w:val="32"/>
          <w:highlight w:val="none"/>
        </w:rPr>
      </w:pPr>
    </w:p>
    <w:p w14:paraId="7D1E9DB5">
      <w:pPr>
        <w:spacing w:line="400" w:lineRule="exact"/>
        <w:jc w:val="center"/>
        <w:rPr>
          <w:rFonts w:ascii="宋体" w:hAnsi="宋体"/>
          <w:color w:val="auto"/>
          <w:sz w:val="32"/>
          <w:szCs w:val="32"/>
          <w:highlight w:val="none"/>
        </w:rPr>
      </w:pPr>
    </w:p>
    <w:p w14:paraId="0EF7F968">
      <w:pPr>
        <w:spacing w:line="400" w:lineRule="exact"/>
        <w:jc w:val="center"/>
        <w:rPr>
          <w:rFonts w:ascii="宋体" w:hAnsi="宋体"/>
          <w:color w:val="auto"/>
          <w:sz w:val="32"/>
          <w:szCs w:val="32"/>
          <w:highlight w:val="none"/>
        </w:rPr>
      </w:pPr>
    </w:p>
    <w:p w14:paraId="64A1C491">
      <w:pPr>
        <w:spacing w:line="400" w:lineRule="exact"/>
        <w:jc w:val="center"/>
        <w:rPr>
          <w:rFonts w:ascii="宋体" w:hAnsi="宋体"/>
          <w:color w:val="auto"/>
          <w:sz w:val="32"/>
          <w:szCs w:val="32"/>
          <w:highlight w:val="none"/>
        </w:rPr>
      </w:pPr>
    </w:p>
    <w:p w14:paraId="72039B89">
      <w:pPr>
        <w:spacing w:line="400" w:lineRule="exact"/>
        <w:jc w:val="center"/>
        <w:rPr>
          <w:rFonts w:ascii="宋体" w:hAnsi="宋体"/>
          <w:color w:val="auto"/>
          <w:sz w:val="32"/>
          <w:szCs w:val="32"/>
          <w:highlight w:val="none"/>
        </w:rPr>
      </w:pPr>
    </w:p>
    <w:p w14:paraId="3D227E37">
      <w:pPr>
        <w:spacing w:line="400" w:lineRule="exact"/>
        <w:jc w:val="center"/>
        <w:rPr>
          <w:rFonts w:ascii="宋体" w:hAnsi="宋体"/>
          <w:color w:val="auto"/>
          <w:sz w:val="32"/>
          <w:szCs w:val="32"/>
          <w:highlight w:val="none"/>
        </w:rPr>
      </w:pPr>
    </w:p>
    <w:p w14:paraId="0C7B87D0">
      <w:pPr>
        <w:spacing w:line="400" w:lineRule="exact"/>
        <w:jc w:val="center"/>
        <w:rPr>
          <w:rFonts w:ascii="宋体" w:hAnsi="宋体"/>
          <w:color w:val="auto"/>
          <w:sz w:val="32"/>
          <w:szCs w:val="32"/>
          <w:highlight w:val="none"/>
        </w:rPr>
      </w:pPr>
    </w:p>
    <w:p w14:paraId="6E50B7C7">
      <w:pPr>
        <w:spacing w:line="400" w:lineRule="exact"/>
        <w:jc w:val="center"/>
        <w:rPr>
          <w:rFonts w:ascii="宋体" w:hAnsi="宋体"/>
          <w:color w:val="auto"/>
          <w:sz w:val="32"/>
          <w:szCs w:val="32"/>
          <w:highlight w:val="none"/>
        </w:rPr>
      </w:pPr>
    </w:p>
    <w:p w14:paraId="3AE4FB88">
      <w:pPr>
        <w:spacing w:line="400" w:lineRule="exact"/>
        <w:jc w:val="center"/>
        <w:rPr>
          <w:rFonts w:ascii="宋体" w:hAnsi="宋体"/>
          <w:color w:val="auto"/>
          <w:sz w:val="32"/>
          <w:szCs w:val="32"/>
          <w:highlight w:val="none"/>
        </w:rPr>
      </w:pPr>
    </w:p>
    <w:p w14:paraId="248C1D80">
      <w:pPr>
        <w:spacing w:line="400" w:lineRule="exact"/>
        <w:jc w:val="center"/>
        <w:rPr>
          <w:rFonts w:hint="eastAsia" w:ascii="宋体" w:hAnsi="宋体"/>
          <w:color w:val="auto"/>
          <w:sz w:val="32"/>
          <w:szCs w:val="32"/>
          <w:highlight w:val="none"/>
        </w:rPr>
      </w:pPr>
    </w:p>
    <w:p w14:paraId="0B5E28FB">
      <w:pPr>
        <w:spacing w:line="400" w:lineRule="exact"/>
        <w:jc w:val="center"/>
        <w:rPr>
          <w:rFonts w:hint="eastAsia" w:ascii="宋体" w:hAnsi="宋体"/>
          <w:color w:val="auto"/>
          <w:sz w:val="32"/>
          <w:szCs w:val="32"/>
          <w:highlight w:val="none"/>
        </w:rPr>
      </w:pPr>
    </w:p>
    <w:p w14:paraId="3BF9AB4C">
      <w:pPr>
        <w:spacing w:line="400" w:lineRule="exact"/>
        <w:jc w:val="center"/>
        <w:rPr>
          <w:rFonts w:hint="eastAsia" w:ascii="宋体" w:hAnsi="宋体"/>
          <w:color w:val="auto"/>
          <w:sz w:val="32"/>
          <w:szCs w:val="32"/>
          <w:highlight w:val="none"/>
        </w:rPr>
      </w:pPr>
    </w:p>
    <w:p w14:paraId="0273655B">
      <w:pPr>
        <w:spacing w:line="400" w:lineRule="exact"/>
        <w:jc w:val="center"/>
        <w:rPr>
          <w:rFonts w:hint="eastAsia" w:ascii="宋体" w:hAnsi="宋体"/>
          <w:color w:val="auto"/>
          <w:sz w:val="32"/>
          <w:szCs w:val="32"/>
          <w:highlight w:val="none"/>
        </w:rPr>
      </w:pPr>
    </w:p>
    <w:p w14:paraId="3FD00524">
      <w:pPr>
        <w:spacing w:line="400" w:lineRule="exact"/>
        <w:jc w:val="center"/>
        <w:rPr>
          <w:rFonts w:hint="eastAsia" w:ascii="宋体" w:hAnsi="宋体"/>
          <w:color w:val="auto"/>
          <w:sz w:val="32"/>
          <w:szCs w:val="32"/>
          <w:highlight w:val="none"/>
        </w:rPr>
      </w:pPr>
    </w:p>
    <w:p w14:paraId="6C88E450">
      <w:pPr>
        <w:pStyle w:val="2"/>
        <w:spacing w:before="300" w:after="300" w:line="360" w:lineRule="auto"/>
        <w:jc w:val="center"/>
        <w:rPr>
          <w:color w:val="auto"/>
          <w:highlight w:val="none"/>
        </w:rPr>
      </w:pPr>
      <w:bookmarkStart w:id="55" w:name="_Toc74323457"/>
      <w:r>
        <w:rPr>
          <w:rFonts w:hint="eastAsia"/>
          <w:color w:val="auto"/>
          <w:highlight w:val="none"/>
        </w:rPr>
        <w:t>第二章 供应商须知</w:t>
      </w:r>
      <w:bookmarkEnd w:id="55"/>
    </w:p>
    <w:p w14:paraId="65418C5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034E6E53">
      <w:pPr>
        <w:spacing w:line="400" w:lineRule="exact"/>
        <w:jc w:val="center"/>
        <w:rPr>
          <w:rFonts w:ascii="宋体" w:hAnsi="宋体"/>
          <w:b/>
          <w:color w:val="auto"/>
          <w:sz w:val="32"/>
          <w:szCs w:val="32"/>
          <w:highlight w:val="none"/>
        </w:rPr>
      </w:pP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034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04299F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15D203A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D55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8409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B196ACC">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036D514">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C72CD00">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w:t>
            </w:r>
            <w:r>
              <w:rPr>
                <w:color w:val="auto"/>
                <w:highlight w:val="none"/>
              </w:rPr>
              <w:t>为本项目提供过整体设计、规范编制或者项目管理、监理、检测等服务的供应商，不得再参加该采购项目的其他采购活动。</w:t>
            </w:r>
          </w:p>
          <w:p w14:paraId="1AB129D4">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ascii="宋体" w:hAnsi="宋体" w:cs="宋体"/>
                <w:color w:val="auto"/>
                <w:szCs w:val="21"/>
                <w:highlight w:val="none"/>
              </w:rPr>
              <w:t>https://www.creditchina.gov.cn</w:t>
            </w:r>
            <w:r>
              <w:rPr>
                <w:rFonts w:hint="eastAsia" w:ascii="宋体" w:hAnsi="宋体" w:cs="宋体"/>
                <w:color w:val="auto"/>
                <w:szCs w:val="21"/>
                <w:highlight w:val="none"/>
              </w:rPr>
              <w:t>） 、中国政府采购网（</w:t>
            </w:r>
            <w:r>
              <w:rPr>
                <w:rFonts w:ascii="宋体" w:hAnsi="宋体" w:cs="宋体"/>
                <w:color w:val="auto"/>
                <w:szCs w:val="21"/>
                <w:highlight w:val="none"/>
              </w:rPr>
              <w:t>http://www.ccgp.gov.cn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702D5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DBDF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91C5BFD">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8E55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52F4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5AB3C309">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本项目不接受联合体参与磋商</w:t>
            </w:r>
          </w:p>
        </w:tc>
      </w:tr>
      <w:tr w14:paraId="70A4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jc w:val="center"/>
        </w:trPr>
        <w:tc>
          <w:tcPr>
            <w:tcW w:w="992" w:type="dxa"/>
            <w:vAlign w:val="center"/>
          </w:tcPr>
          <w:p w14:paraId="45EFB0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696E35A">
            <w:pPr>
              <w:pStyle w:val="16"/>
              <w:spacing w:line="360" w:lineRule="auto"/>
              <w:rPr>
                <w:rFonts w:ascii="宋体" w:hAnsi="宋体"/>
                <w:color w:val="auto"/>
                <w:highlight w:val="none"/>
              </w:rPr>
            </w:pPr>
            <w:r>
              <w:rPr>
                <w:color w:val="auto"/>
                <w:highlight w:val="none"/>
              </w:rPr>
              <w:sym w:font="Wingdings" w:char="00FE"/>
            </w:r>
            <w:r>
              <w:rPr>
                <w:rFonts w:hint="eastAsia" w:ascii="宋体" w:hAnsi="宋体"/>
                <w:color w:val="auto"/>
                <w:highlight w:val="none"/>
              </w:rPr>
              <w:t>不允许分包</w:t>
            </w:r>
          </w:p>
          <w:p w14:paraId="190EB26B">
            <w:pPr>
              <w:pStyle w:val="16"/>
              <w:spacing w:line="360" w:lineRule="auto"/>
              <w:rPr>
                <w:rFonts w:ascii="宋体" w:hAnsi="宋体"/>
                <w:color w:val="auto"/>
                <w:highlight w:val="none"/>
              </w:rPr>
            </w:pPr>
            <w:r>
              <w:rPr>
                <w:rFonts w:hint="eastAsia" w:ascii="宋体" w:hAnsi="宋体"/>
                <w:color w:val="auto"/>
                <w:highlight w:val="none"/>
              </w:rPr>
              <w:t>□允许分包</w:t>
            </w:r>
          </w:p>
          <w:p w14:paraId="7FF77D59">
            <w:pPr>
              <w:pStyle w:val="16"/>
              <w:spacing w:line="360" w:lineRule="auto"/>
              <w:rPr>
                <w:rFonts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r>
              <w:rPr>
                <w:rFonts w:hint="eastAsia" w:ascii="宋体" w:hAnsi="宋体"/>
                <w:color w:val="auto"/>
                <w:highlight w:val="none"/>
              </w:rPr>
              <w:t>。</w:t>
            </w:r>
          </w:p>
          <w:p w14:paraId="1F0CFF7A">
            <w:pPr>
              <w:pStyle w:val="16"/>
              <w:spacing w:line="360" w:lineRule="auto"/>
              <w:rPr>
                <w:rFonts w:ascii="宋体" w:hAnsi="宋体"/>
                <w:color w:val="auto"/>
                <w:highlight w:val="none"/>
                <w:u w:val="single"/>
              </w:rPr>
            </w:pPr>
            <w:r>
              <w:rPr>
                <w:rFonts w:hint="eastAsia" w:ascii="宋体" w:hAnsi="宋体"/>
                <w:color w:val="auto"/>
                <w:highlight w:val="none"/>
              </w:rPr>
              <w:t>分包金额或者比例：</w:t>
            </w:r>
            <w:r>
              <w:rPr>
                <w:rFonts w:hint="eastAsia" w:ascii="宋体" w:hAnsi="宋体"/>
                <w:color w:val="auto"/>
                <w:highlight w:val="none"/>
                <w:u w:val="single"/>
              </w:rPr>
              <w:t xml:space="preserve">                                     </w:t>
            </w:r>
            <w:r>
              <w:rPr>
                <w:rFonts w:hint="eastAsia" w:ascii="宋体" w:hAnsi="宋体"/>
                <w:color w:val="auto"/>
                <w:highlight w:val="none"/>
              </w:rPr>
              <w:t>。</w:t>
            </w:r>
          </w:p>
          <w:p w14:paraId="1B05000C">
            <w:pPr>
              <w:pStyle w:val="16"/>
              <w:spacing w:line="360" w:lineRule="auto"/>
              <w:rPr>
                <w:rFonts w:ascii="宋体" w:hAnsi="宋体"/>
                <w:color w:val="auto"/>
                <w:highlight w:val="none"/>
              </w:rPr>
            </w:pPr>
            <w:r>
              <w:rPr>
                <w:rFonts w:hint="eastAsia" w:ascii="宋体" w:hAnsi="宋体"/>
                <w:color w:val="auto"/>
                <w:highlight w:val="none"/>
              </w:rPr>
              <w:t>分包供应商必须具备的资质：</w:t>
            </w:r>
            <w:r>
              <w:rPr>
                <w:rFonts w:hint="eastAsia" w:ascii="宋体" w:hAnsi="宋体"/>
                <w:color w:val="auto"/>
                <w:highlight w:val="none"/>
                <w:u w:val="single"/>
              </w:rPr>
              <w:t xml:space="preserve">                                </w:t>
            </w:r>
            <w:r>
              <w:rPr>
                <w:rFonts w:hint="eastAsia" w:ascii="宋体" w:hAnsi="宋体"/>
                <w:color w:val="auto"/>
                <w:highlight w:val="none"/>
              </w:rPr>
              <w:t>。</w:t>
            </w:r>
          </w:p>
        </w:tc>
      </w:tr>
      <w:tr w14:paraId="6EBE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9ADE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BE0479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E510C47">
            <w:pPr>
              <w:pStyle w:val="16"/>
              <w:spacing w:line="360" w:lineRule="auto"/>
              <w:rPr>
                <w:rFonts w:ascii="宋体" w:hAnsi="宋体"/>
                <w:color w:val="auto"/>
                <w:highlight w:val="none"/>
              </w:rPr>
            </w:pPr>
            <w:r>
              <w:rPr>
                <w:rFonts w:hint="eastAsia" w:ascii="宋体" w:hAnsi="宋体"/>
                <w:color w:val="auto"/>
                <w:highlight w:val="none"/>
              </w:rPr>
              <w:t>1.供应商为法人或者其他组织的提供其营业执照等证明文件复印件（如营业执照或者事业单位法人证书或者执业许可证或者登记证书等）；（</w:t>
            </w:r>
            <w:r>
              <w:rPr>
                <w:rFonts w:hint="eastAsia" w:ascii="宋体" w:hAnsi="宋体"/>
                <w:b/>
                <w:color w:val="auto"/>
                <w:highlight w:val="none"/>
              </w:rPr>
              <w:t>必须提供，否则响应文件按无效处理</w:t>
            </w:r>
            <w:r>
              <w:rPr>
                <w:rFonts w:hint="eastAsia" w:ascii="宋体" w:hAnsi="宋体"/>
                <w:color w:val="auto"/>
                <w:highlight w:val="none"/>
              </w:rPr>
              <w:t>）</w:t>
            </w:r>
          </w:p>
          <w:p w14:paraId="3996824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依法免税的供应商，必须提供符合免税条件的证明材料。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F1C5FC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月以来任意1个月的依法缴纳社会保障资金的缴费证明材料（专用收据、社会保险缴纳清单或社保部门的证明）复印件；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3BD641F">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【2024年度经会计师事务所或审计机构审计的财务状况报告复印件（包括资产负债表、现金流量表、利润表），</w:t>
            </w:r>
            <w:r>
              <w:rPr>
                <w:rFonts w:hint="eastAsia" w:asciiTheme="minorEastAsia" w:hAnsiTheme="minorEastAsia" w:eastAsiaTheme="minorEastAsia"/>
                <w:color w:val="auto"/>
                <w:szCs w:val="21"/>
                <w:highlight w:val="none"/>
              </w:rPr>
              <w:t>或者20</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5年以来银行出具的资信证明，或者2</w:t>
            </w:r>
            <w:r>
              <w:rPr>
                <w:rFonts w:asciiTheme="minorEastAsia" w:hAnsiTheme="minorEastAsia" w:eastAsiaTheme="minorEastAsia"/>
                <w:color w:val="auto"/>
                <w:szCs w:val="21"/>
                <w:highlight w:val="none"/>
              </w:rPr>
              <w:t>02</w:t>
            </w:r>
            <w:r>
              <w:rPr>
                <w:rFonts w:hint="eastAsia" w:asciiTheme="minorEastAsia" w:hAnsiTheme="minorEastAsia" w:eastAsiaTheme="minorEastAsia"/>
                <w:color w:val="auto"/>
                <w:szCs w:val="21"/>
                <w:highlight w:val="none"/>
              </w:rPr>
              <w:t>5年</w:t>
            </w:r>
            <w:r>
              <w:rPr>
                <w:rFonts w:hint="eastAsia"/>
                <w:color w:val="auto"/>
                <w:szCs w:val="21"/>
                <w:highlight w:val="none"/>
              </w:rPr>
              <w:t>以来中国人民银行征信中心出具的信用报告；供应商属于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1C49ECF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B7BC29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388145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7.供应商有效的</w:t>
            </w:r>
            <w:r>
              <w:rPr>
                <w:rFonts w:hint="eastAsia" w:asciiTheme="majorEastAsia" w:hAnsiTheme="majorEastAsia" w:eastAsiaTheme="majorEastAsia"/>
                <w:color w:val="auto"/>
                <w:szCs w:val="20"/>
                <w:highlight w:val="none"/>
              </w:rPr>
              <w:t>建筑工程施工总承包三级以上（含三级）</w:t>
            </w:r>
            <w:r>
              <w:rPr>
                <w:rFonts w:hint="eastAsia" w:ascii="宋体" w:hAnsi="宋体"/>
                <w:color w:val="auto"/>
                <w:szCs w:val="21"/>
                <w:highlight w:val="none"/>
              </w:rPr>
              <w:t>资质</w:t>
            </w:r>
            <w:r>
              <w:rPr>
                <w:rFonts w:hint="eastAsia" w:ascii="宋体" w:hAnsi="宋体" w:cs="宋体"/>
                <w:color w:val="auto"/>
                <w:szCs w:val="21"/>
                <w:highlight w:val="none"/>
              </w:rPr>
              <w:t>证书复印件；</w:t>
            </w:r>
            <w:r>
              <w:rPr>
                <w:rFonts w:hint="eastAsia" w:ascii="宋体" w:hAnsi="宋体" w:cs="宋体"/>
                <w:b/>
                <w:color w:val="auto"/>
                <w:szCs w:val="21"/>
                <w:highlight w:val="none"/>
              </w:rPr>
              <w:t>（必须提供，否则响应文件按无效处理）</w:t>
            </w:r>
          </w:p>
          <w:p w14:paraId="2723851B">
            <w:pPr>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w:t>8.供应商的有效的安全生产许可证复印件；</w:t>
            </w:r>
            <w:r>
              <w:rPr>
                <w:rFonts w:hint="eastAsia" w:ascii="宋体" w:hAnsi="宋体" w:cs="宋体"/>
                <w:b/>
                <w:color w:val="auto"/>
                <w:szCs w:val="21"/>
                <w:highlight w:val="none"/>
              </w:rPr>
              <w:t>（必须提供，否则响应文件按无效处理）</w:t>
            </w:r>
          </w:p>
          <w:p w14:paraId="1B1E276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9.在人员、设备、资金等方面具有相应履约能力的承诺函；（格式后附）</w:t>
            </w:r>
            <w:r>
              <w:rPr>
                <w:rFonts w:hint="eastAsia" w:ascii="宋体" w:hAnsi="宋体" w:cs="宋体"/>
                <w:b/>
                <w:color w:val="auto"/>
                <w:szCs w:val="21"/>
                <w:highlight w:val="none"/>
              </w:rPr>
              <w:t>（必须提供，否则响应文件按无效处理）</w:t>
            </w:r>
          </w:p>
          <w:p w14:paraId="63D1A64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10.供应商为中小企业的证明材料；</w:t>
            </w:r>
            <w:r>
              <w:rPr>
                <w:rFonts w:hint="eastAsia" w:ascii="宋体" w:hAnsi="宋体" w:cs="宋体"/>
                <w:b/>
                <w:color w:val="auto"/>
                <w:szCs w:val="21"/>
                <w:highlight w:val="none"/>
              </w:rPr>
              <w:t>（必须提供，否则响应文件按无效处理）</w:t>
            </w:r>
          </w:p>
          <w:p w14:paraId="5040652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本项目专门面向中小企业采购。供应商根据自身情况，必须提供以下任一证明材料：①供应商如为符合政策要求的中小企业且承接本项目工程的，提供《中小企业声明函》；②供应商如属于监狱企业且承接本项目工程的，提供由省级以上监狱管理局、戒毒管理局（含新疆生产建设兵团）出具的属于监狱企业的证明文件；③供应商如属于符合条件的残疾人福利性单位且承接本项目工程的，提供《残疾人福利性单位声明函》（并对声明的真实性负责）。</w:t>
            </w:r>
          </w:p>
          <w:p w14:paraId="748F0D1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11.除磋商文件规定必须提供以外，供应商认为需要提供的其他证明材料；</w:t>
            </w:r>
          </w:p>
          <w:p w14:paraId="37F226A1">
            <w:pPr>
              <w:snapToGrid w:val="0"/>
              <w:spacing w:line="360" w:lineRule="auto"/>
              <w:jc w:val="left"/>
              <w:rPr>
                <w:rFonts w:ascii="宋体" w:hAnsi="宋体"/>
                <w:b/>
                <w:color w:val="auto"/>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否则响应文件按无效处理。其中，竞标声明必须由法定代表人在规定签章处签字（或盖章或电子签名），并加盖供应商电子签章，否则响应文件按无效处理。</w:t>
            </w:r>
          </w:p>
        </w:tc>
      </w:tr>
      <w:tr w14:paraId="767F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6294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2EC5B814">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09B9B978">
            <w:pPr>
              <w:spacing w:line="360" w:lineRule="auto"/>
              <w:rPr>
                <w:rFonts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D45CB61">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7D44A76">
            <w:pPr>
              <w:spacing w:line="360" w:lineRule="auto"/>
              <w:rPr>
                <w:rFonts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C7AD25D">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5294DE42">
            <w:pPr>
              <w:snapToGrid w:val="0"/>
              <w:spacing w:line="360" w:lineRule="auto"/>
              <w:ind w:firstLine="8" w:firstLineChars="4"/>
              <w:jc w:val="left"/>
              <w:rPr>
                <w:b/>
                <w:color w:val="auto"/>
                <w:highlight w:val="none"/>
              </w:rPr>
            </w:pPr>
            <w:r>
              <w:rPr>
                <w:rFonts w:hint="eastAsia" w:ascii="宋体" w:hAnsi="宋体" w:cs="宋体"/>
                <w:b/>
                <w:color w:val="auto"/>
                <w:szCs w:val="21"/>
                <w:highlight w:val="none"/>
              </w:rPr>
              <w:t>注：</w:t>
            </w:r>
            <w:r>
              <w:rPr>
                <w:rFonts w:hint="eastAsia" w:ascii="宋体" w:hAnsi="宋体" w:cs="Courier New"/>
                <w:b/>
                <w:color w:val="auto"/>
                <w:szCs w:val="21"/>
                <w:highlight w:val="none"/>
              </w:rPr>
              <w:t>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14:paraId="3DBE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27DC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540E585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16C4A84">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B831B8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70F4D2D">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71461C16">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如要求提交磋商保证金的则必须提供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6C06E925">
            <w:pPr>
              <w:spacing w:line="360" w:lineRule="auto"/>
              <w:rPr>
                <w:rFonts w:ascii="宋体" w:hAnsi="宋体" w:cs="宋体"/>
                <w:color w:val="auto"/>
                <w:szCs w:val="21"/>
                <w:highlight w:val="none"/>
              </w:rPr>
            </w:pPr>
            <w:r>
              <w:rPr>
                <w:rFonts w:hint="eastAsia" w:ascii="宋体" w:hAnsi="宋体" w:cs="宋体"/>
                <w:color w:val="auto"/>
                <w:szCs w:val="21"/>
                <w:highlight w:val="none"/>
              </w:rPr>
              <w:t>5.技术及其他要求、商务要求响应承诺表（格式后附）；（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B12E5D3">
            <w:pPr>
              <w:spacing w:line="360" w:lineRule="auto"/>
              <w:rPr>
                <w:rFonts w:ascii="宋体" w:hAnsi="宋体" w:cs="宋体"/>
                <w:color w:val="auto"/>
                <w:szCs w:val="21"/>
                <w:highlight w:val="none"/>
              </w:rPr>
            </w:pPr>
            <w:r>
              <w:rPr>
                <w:rFonts w:hint="eastAsia" w:ascii="宋体" w:hAnsi="宋体" w:cs="宋体"/>
                <w:bCs/>
                <w:color w:val="auto"/>
                <w:szCs w:val="21"/>
                <w:highlight w:val="none"/>
              </w:rPr>
              <w:t>6.项目管理机构配备情况表【含项目经理、技术负责人、专职安全生产管理人员、施工员、质量员、材料员的基本情况，并附以下证明材料：①项目经理提供建筑工程专业二级以上（含二级）注册建造师执业资格证书复印件及有效的安全生产考核合格证书复印件（B类）；②技术负责人</w:t>
            </w:r>
            <w:bookmarkStart w:id="56" w:name="_Hlk171157038"/>
            <w:r>
              <w:rPr>
                <w:rFonts w:hint="eastAsia" w:ascii="宋体" w:hAnsi="宋体" w:cs="宋体"/>
                <w:bCs/>
                <w:color w:val="auto"/>
                <w:szCs w:val="21"/>
                <w:highlight w:val="none"/>
              </w:rPr>
              <w:t>提供与本项目相关专业的</w:t>
            </w:r>
            <w:bookmarkEnd w:id="56"/>
            <w:r>
              <w:rPr>
                <w:rFonts w:hint="eastAsia" w:ascii="宋体" w:hAnsi="宋体" w:cs="宋体"/>
                <w:bCs/>
                <w:color w:val="auto"/>
                <w:szCs w:val="21"/>
                <w:highlight w:val="none"/>
              </w:rPr>
              <w:t>工程师及以上职称证书复印件；③专职安全生产管理人员提供安全生产考核合格证书复印件（C类）；④施工员、质量员、材料员提供施工现场专业人员职业培训合格证书复印件；⑤提供以上项目管理机构人员的身份证复印件及2025年9月至响应文件递交截止时间止任意一个月供应商为以上项目管理机构人员交纳的社保证明材料复印件</w:t>
            </w:r>
            <w:r>
              <w:rPr>
                <w:rFonts w:hint="eastAsia"/>
                <w:color w:val="auto"/>
                <w:highlight w:val="none"/>
              </w:rPr>
              <w:t>或者劳动合同</w:t>
            </w:r>
            <w:r>
              <w:rPr>
                <w:rFonts w:hint="eastAsia" w:ascii="宋体" w:hAnsi="宋体" w:cs="宋体"/>
                <w:bCs/>
                <w:color w:val="auto"/>
                <w:szCs w:val="21"/>
                <w:highlight w:val="none"/>
              </w:rPr>
              <w:t>复印件】（格式后附）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w:t>
            </w:r>
          </w:p>
          <w:p w14:paraId="32307DFF">
            <w:pPr>
              <w:spacing w:line="360" w:lineRule="auto"/>
              <w:rPr>
                <w:rFonts w:ascii="宋体" w:hAnsi="宋体" w:cs="宋体"/>
                <w:b/>
                <w:color w:val="auto"/>
                <w:szCs w:val="21"/>
                <w:highlight w:val="none"/>
              </w:rPr>
            </w:pPr>
            <w:r>
              <w:rPr>
                <w:rFonts w:hint="eastAsia" w:ascii="宋体" w:hAnsi="宋体"/>
                <w:color w:val="auto"/>
                <w:szCs w:val="21"/>
                <w:highlight w:val="none"/>
              </w:rPr>
              <w:t>7</w:t>
            </w:r>
            <w:r>
              <w:rPr>
                <w:rFonts w:hint="eastAsia" w:ascii="宋体" w:hAnsi="宋体"/>
                <w:b/>
                <w:color w:val="auto"/>
                <w:szCs w:val="21"/>
                <w:highlight w:val="none"/>
              </w:rPr>
              <w:t>.</w:t>
            </w:r>
            <w:r>
              <w:rPr>
                <w:rFonts w:hint="eastAsia" w:ascii="宋体" w:hAnsi="宋体" w:cs="宋体"/>
                <w:bCs/>
                <w:color w:val="auto"/>
                <w:szCs w:val="21"/>
                <w:highlight w:val="none"/>
              </w:rPr>
              <w:t>供应商关于拟派项目经理的承诺函（格式后附）；</w:t>
            </w:r>
            <w:r>
              <w:rPr>
                <w:rFonts w:hint="eastAsia" w:ascii="宋体" w:hAnsi="宋体" w:cs="宋体"/>
                <w:b/>
                <w:color w:val="auto"/>
                <w:szCs w:val="21"/>
                <w:highlight w:val="none"/>
              </w:rPr>
              <w:t>（必须提供，否则响应文件按无效处理） ；</w:t>
            </w:r>
          </w:p>
          <w:p w14:paraId="7694F1FA">
            <w:pPr>
              <w:spacing w:line="360" w:lineRule="auto"/>
              <w:rPr>
                <w:rFonts w:ascii="宋体" w:hAnsi="宋体" w:cs="宋体"/>
                <w:bCs/>
                <w:color w:val="auto"/>
                <w:szCs w:val="21"/>
                <w:highlight w:val="none"/>
              </w:rPr>
            </w:pPr>
            <w:r>
              <w:rPr>
                <w:rFonts w:hint="eastAsia" w:ascii="宋体" w:hAnsi="宋体" w:cs="宋体"/>
                <w:bCs/>
                <w:color w:val="auto"/>
                <w:szCs w:val="21"/>
                <w:highlight w:val="none"/>
              </w:rPr>
              <w:t>8.施工组织设计</w:t>
            </w:r>
            <w:r>
              <w:rPr>
                <w:rFonts w:hint="eastAsia" w:cs="宋体" w:asciiTheme="majorEastAsia" w:hAnsiTheme="majorEastAsia" w:eastAsiaTheme="majorEastAsia"/>
                <w:color w:val="auto"/>
                <w:szCs w:val="21"/>
                <w:highlight w:val="none"/>
              </w:rPr>
              <w:t>（包括但不限于：①总体概述；②主要施工方法；③施工进度计划和各阶段进度的保证措施；④劳动力和材料投入计划及其保证措施；⑤施工平面布置和临时设施布置；⑥关键施工技术、工艺及工程实施的重点、难点和解决方案；⑦安全文明施工措施；⑧质量保证与承诺；⑨新技术应用与承诺）</w:t>
            </w:r>
            <w:r>
              <w:rPr>
                <w:rFonts w:hint="eastAsia" w:ascii="宋体" w:hAnsi="宋体" w:cs="宋体"/>
                <w:bCs/>
                <w:color w:val="auto"/>
                <w:szCs w:val="21"/>
                <w:highlight w:val="none"/>
              </w:rPr>
              <w:t>（格式后附）</w:t>
            </w:r>
            <w:r>
              <w:rPr>
                <w:rFonts w:hint="eastAsia"/>
                <w:b/>
                <w:bCs/>
                <w:color w:val="auto"/>
                <w:highlight w:val="none"/>
              </w:rPr>
              <w:t>（如有，请提供）</w:t>
            </w:r>
            <w:r>
              <w:rPr>
                <w:rFonts w:hint="eastAsia" w:ascii="宋体" w:hAnsi="宋体" w:cs="宋体"/>
                <w:bCs/>
                <w:color w:val="auto"/>
                <w:szCs w:val="21"/>
                <w:highlight w:val="none"/>
              </w:rPr>
              <w:t>；</w:t>
            </w:r>
          </w:p>
          <w:p w14:paraId="3F34743B">
            <w:pPr>
              <w:spacing w:line="360" w:lineRule="auto"/>
              <w:rPr>
                <w:rFonts w:ascii="宋体" w:hAnsi="宋体" w:cs="宋体"/>
                <w:bCs/>
                <w:color w:val="auto"/>
                <w:szCs w:val="21"/>
                <w:highlight w:val="none"/>
              </w:rPr>
            </w:pPr>
            <w:r>
              <w:rPr>
                <w:rFonts w:hint="eastAsia" w:ascii="宋体" w:hAnsi="宋体" w:cs="宋体"/>
                <w:bCs/>
                <w:color w:val="auto"/>
                <w:szCs w:val="21"/>
                <w:highlight w:val="none"/>
              </w:rPr>
              <w:t>9.供应商认为需要提供的其他有关资料。</w:t>
            </w:r>
          </w:p>
          <w:p w14:paraId="3829F1DF">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144B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1A1D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2FD9C2CF">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竞标报价是履行合同的最终价格，包括</w:t>
            </w:r>
            <w:r>
              <w:rPr>
                <w:rFonts w:hint="eastAsia" w:ascii="宋体" w:hAnsi="宋体" w:cs="宋体"/>
                <w:color w:val="auto"/>
                <w:szCs w:val="21"/>
                <w:highlight w:val="none"/>
              </w:rPr>
              <w:t>为实施和完成合同工程所需的劳务、材料、机械、质检（自检）、安装、缺陷修复、管理、验收、保险、税费、利润等费用，以及合同明示或暗示的所有责任、义务和一般风险。</w:t>
            </w:r>
            <w:r>
              <w:rPr>
                <w:rFonts w:hint="eastAsia" w:ascii="宋体" w:hAnsi="宋体"/>
                <w:b/>
                <w:color w:val="auto"/>
                <w:szCs w:val="21"/>
                <w:highlight w:val="none"/>
              </w:rPr>
              <w:t>（采购需求另有约定的，从其约定）</w:t>
            </w:r>
          </w:p>
        </w:tc>
      </w:tr>
      <w:tr w14:paraId="4540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4931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69DA0C30">
            <w:pPr>
              <w:spacing w:line="360" w:lineRule="auto"/>
              <w:contextualSpacing/>
              <w:jc w:val="left"/>
              <w:rPr>
                <w:rFonts w:ascii="宋体" w:hAnsi="宋体"/>
                <w:color w:val="auto"/>
                <w:szCs w:val="21"/>
                <w:highlight w:val="none"/>
              </w:rPr>
            </w:pPr>
            <w:r>
              <w:rPr>
                <w:rFonts w:hint="eastAsia" w:cs="宋体"/>
                <w:color w:val="auto"/>
                <w:highlight w:val="none"/>
              </w:rPr>
              <w:t>本工程增值税计税方法：</w:t>
            </w:r>
            <w:bookmarkStart w:id="57" w:name="_Hlk170811557"/>
            <w:r>
              <w:rPr>
                <w:rFonts w:hint="eastAsia" w:cs="宋体"/>
                <w:color w:val="auto"/>
                <w:highlight w:val="none"/>
              </w:rPr>
              <w:t>一般计税法。</w:t>
            </w:r>
            <w:bookmarkEnd w:id="57"/>
          </w:p>
        </w:tc>
      </w:tr>
      <w:tr w14:paraId="0094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5985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47A43CC6">
            <w:pPr>
              <w:pStyle w:val="13"/>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2CD2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580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4E22088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14:paraId="6C992E7E">
            <w:pPr>
              <w:snapToGrid w:val="0"/>
              <w:spacing w:line="360" w:lineRule="auto"/>
              <w:rPr>
                <w:rFonts w:ascii="宋体" w:hAnsi="宋体"/>
                <w:color w:val="auto"/>
                <w:szCs w:val="21"/>
                <w:highlight w:val="none"/>
              </w:rPr>
            </w:pPr>
            <w:r>
              <w:rPr>
                <w:color w:val="auto"/>
                <w:highlight w:val="none"/>
              </w:rPr>
              <w:sym w:font="Wingdings" w:char="00A8"/>
            </w:r>
            <w:r>
              <w:rPr>
                <w:rFonts w:hint="eastAsia" w:ascii="宋体" w:hAnsi="宋体"/>
                <w:color w:val="auto"/>
                <w:szCs w:val="21"/>
                <w:highlight w:val="none"/>
              </w:rPr>
              <w:t>本项目收取磋商保证金，具体规定如下：</w:t>
            </w:r>
          </w:p>
          <w:p w14:paraId="7F910D9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C2C442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磋商保证金的交纳方式：银行转账、支票、汇票、本票或者金融、担保机构出具的保函（包含电子保函），禁止采用现钞方式。采用银行转账方式的，在响应文件提交截止时间前交至指定账户并且到账</w:t>
            </w:r>
            <w:r>
              <w:rPr>
                <w:rFonts w:hint="eastAsia"/>
                <w:b/>
                <w:color w:val="auto"/>
                <w:kern w:val="0"/>
                <w:szCs w:val="21"/>
                <w:highlight w:val="none"/>
              </w:rPr>
              <w:t>（开户名称：</w:t>
            </w:r>
            <w:r>
              <w:rPr>
                <w:rFonts w:hint="eastAsia"/>
                <w:b/>
                <w:color w:val="auto"/>
                <w:kern w:val="0"/>
                <w:szCs w:val="21"/>
                <w:highlight w:val="none"/>
                <w:u w:val="single"/>
              </w:rPr>
              <w:t xml:space="preserve">  /  </w:t>
            </w:r>
            <w:r>
              <w:rPr>
                <w:rFonts w:hint="eastAsia"/>
                <w:b/>
                <w:color w:val="auto"/>
                <w:kern w:val="0"/>
                <w:szCs w:val="21"/>
                <w:highlight w:val="none"/>
              </w:rPr>
              <w:t>；开户银行：</w:t>
            </w:r>
            <w:r>
              <w:rPr>
                <w:rFonts w:hint="eastAsia"/>
                <w:b/>
                <w:color w:val="auto"/>
                <w:kern w:val="0"/>
                <w:szCs w:val="21"/>
                <w:highlight w:val="none"/>
                <w:u w:val="single"/>
              </w:rPr>
              <w:t xml:space="preserve">  /  </w:t>
            </w:r>
            <w:r>
              <w:rPr>
                <w:rFonts w:hint="eastAsia"/>
                <w:b/>
                <w:color w:val="auto"/>
                <w:kern w:val="0"/>
                <w:szCs w:val="21"/>
                <w:highlight w:val="none"/>
              </w:rPr>
              <w:t>；银行账号：</w:t>
            </w:r>
            <w:r>
              <w:rPr>
                <w:rFonts w:hint="eastAsia"/>
                <w:b/>
                <w:color w:val="auto"/>
                <w:kern w:val="0"/>
                <w:szCs w:val="21"/>
                <w:highlight w:val="none"/>
                <w:u w:val="single"/>
              </w:rPr>
              <w:t xml:space="preserve">  /  </w:t>
            </w:r>
            <w:r>
              <w:rPr>
                <w:rFonts w:hint="eastAsia"/>
                <w:b/>
                <w:color w:val="auto"/>
                <w:kern w:val="0"/>
                <w:szCs w:val="21"/>
                <w:highlight w:val="none"/>
              </w:rPr>
              <w:t>）</w:t>
            </w:r>
            <w:r>
              <w:rPr>
                <w:rFonts w:hint="eastAsia" w:ascii="宋体" w:hAnsi="宋体" w:cs="宋体"/>
                <w:color w:val="auto"/>
                <w:kern w:val="0"/>
                <w:szCs w:val="21"/>
                <w:highlight w:val="none"/>
              </w:rPr>
              <w:t>；采用支票、汇票、本票或者保函（包含电子保函）等方式的，在响应文件提交截止时间前，供应商必须提交单独密封的支票、汇票、本票或者保函原件。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7B97221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相关要求：</w:t>
            </w:r>
          </w:p>
          <w:p w14:paraId="03341DB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69D545DF">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交纳方式的，供应商应将支票、汇票、本票或者金融、担保机构出具的保函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b/>
                <w:color w:val="auto"/>
                <w:kern w:val="0"/>
                <w:szCs w:val="21"/>
                <w:highlight w:val="none"/>
                <w:u w:val="single"/>
              </w:rPr>
              <w:t xml:space="preserve">  /  </w:t>
            </w:r>
            <w:r>
              <w:rPr>
                <w:rFonts w:hint="eastAsia"/>
                <w:color w:val="auto"/>
                <w:highlight w:val="none"/>
              </w:rPr>
              <w:t>；邮寄地址：</w:t>
            </w:r>
            <w:r>
              <w:rPr>
                <w:rFonts w:hint="eastAsia"/>
                <w:b/>
                <w:color w:val="auto"/>
                <w:kern w:val="0"/>
                <w:szCs w:val="21"/>
                <w:highlight w:val="none"/>
                <w:u w:val="single"/>
              </w:rPr>
              <w:t xml:space="preserve">  /  </w:t>
            </w:r>
            <w:r>
              <w:rPr>
                <w:rFonts w:hint="eastAsia"/>
                <w:color w:val="auto"/>
                <w:highlight w:val="none"/>
              </w:rPr>
              <w:t>，收件人：</w:t>
            </w:r>
            <w:r>
              <w:rPr>
                <w:rFonts w:hint="eastAsia"/>
                <w:b/>
                <w:color w:val="auto"/>
                <w:kern w:val="0"/>
                <w:szCs w:val="21"/>
                <w:highlight w:val="none"/>
                <w:u w:val="single"/>
              </w:rPr>
              <w:t xml:space="preserve">  /  </w:t>
            </w:r>
            <w:r>
              <w:rPr>
                <w:rFonts w:hint="eastAsia"/>
                <w:color w:val="auto"/>
                <w:highlight w:val="none"/>
              </w:rPr>
              <w:t>，联系方式</w:t>
            </w:r>
            <w:r>
              <w:rPr>
                <w:rFonts w:hint="eastAsia" w:asciiTheme="minorEastAsia" w:hAnsiTheme="minorEastAsia" w:eastAsiaTheme="minorEastAsia"/>
                <w:color w:val="auto"/>
                <w:highlight w:val="none"/>
              </w:rPr>
              <w:t>：</w:t>
            </w:r>
            <w:r>
              <w:rPr>
                <w:rFonts w:hint="eastAsia"/>
                <w:b/>
                <w:color w:val="auto"/>
                <w:kern w:val="0"/>
                <w:szCs w:val="21"/>
                <w:highlight w:val="none"/>
                <w:u w:val="single"/>
              </w:rPr>
              <w:t xml:space="preserve">  /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原件提交给采购人或者采购代理机构，由采购人或者采购代理机构向供应商出具回执（邮寄方式的除外），并妥善保管。</w:t>
            </w:r>
          </w:p>
          <w:p w14:paraId="2C4B79F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473CB65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①磋商保证金在响应文件提交截止时间后提交的，或者不按规定交纳方式交纳的，或者未足额交纳的【包含保函（包含电子保函）额度不足的】，视为无效磋商保证金。</w:t>
            </w:r>
          </w:p>
          <w:p w14:paraId="6D56793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②供应商采用现钞方式或者从个人账户转出的磋商保证金，视为无效磋商保证金。</w:t>
            </w:r>
          </w:p>
          <w:p w14:paraId="79A8E4E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③支票、汇票或者本票出现无效或者背书情形的，视为无效磋商保证金。</w:t>
            </w:r>
          </w:p>
          <w:p w14:paraId="03ED9691">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④保函（包含电子保函）有效期低于竞标有效期的，视为无效磋商保证金。</w:t>
            </w:r>
          </w:p>
        </w:tc>
      </w:tr>
      <w:tr w14:paraId="5302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2B8E93">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011AA71D">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6EF2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6168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5D4154B">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8ACBB8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A24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DE57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609846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5546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BF6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39A31C1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CD3CA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07AB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C5C12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4098FC0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5134C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技术及其他要求评审中允许负偏离的条款数为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7B67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028202">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3EB5CED4">
            <w:pPr>
              <w:autoSpaceDE w:val="0"/>
              <w:autoSpaceDN w:val="0"/>
              <w:snapToGrid w:val="0"/>
              <w:spacing w:line="380" w:lineRule="exact"/>
              <w:textAlignment w:val="bottom"/>
              <w:rPr>
                <w:rFonts w:hAnsi="宋体"/>
                <w:color w:val="auto"/>
                <w:szCs w:val="21"/>
                <w:highlight w:val="none"/>
              </w:rPr>
            </w:pPr>
            <w:r>
              <w:rPr>
                <w:rFonts w:hint="eastAsia" w:hAnsi="宋体"/>
                <w:color w:val="auto"/>
                <w:szCs w:val="21"/>
                <w:highlight w:val="none"/>
              </w:rPr>
              <w:t>☑本项目不收取履约保证金。</w:t>
            </w:r>
          </w:p>
          <w:p w14:paraId="2FF51171">
            <w:pPr>
              <w:autoSpaceDE w:val="0"/>
              <w:autoSpaceDN w:val="0"/>
              <w:snapToGrid w:val="0"/>
              <w:spacing w:line="380" w:lineRule="exact"/>
              <w:textAlignment w:val="bottom"/>
              <w:rPr>
                <w:rFonts w:hAnsi="宋体"/>
                <w:color w:val="auto"/>
                <w:szCs w:val="21"/>
                <w:highlight w:val="none"/>
              </w:rPr>
            </w:pPr>
            <w:r>
              <w:rPr>
                <w:rFonts w:hint="eastAsia" w:hAnsi="宋体"/>
                <w:color w:val="auto"/>
                <w:szCs w:val="21"/>
                <w:highlight w:val="none"/>
              </w:rPr>
              <w:t>本项目收取履约保证金，具体规定如下：</w:t>
            </w:r>
          </w:p>
          <w:p w14:paraId="6FCFA7E2">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履约保证金金额：</w:t>
            </w:r>
            <w:r>
              <w:rPr>
                <w:rFonts w:hint="eastAsia" w:ascii="宋体" w:hAnsi="宋体" w:cs="宋体"/>
                <w:color w:val="auto"/>
                <w:szCs w:val="21"/>
                <w:highlight w:val="none"/>
              </w:rPr>
              <w:t>自成交通知书发出之日起25日内（但必须在签订合同前）</w:t>
            </w:r>
            <w:r>
              <w:rPr>
                <w:rFonts w:hint="eastAsia" w:hAnsi="宋体" w:cs="宋体"/>
                <w:color w:val="auto"/>
                <w:szCs w:val="21"/>
                <w:highlight w:val="none"/>
              </w:rPr>
              <w:t>，成交人按成交金额的5%（如成交人为中小微企业的，按成交金额的2%）向采购人交纳履约保证金</w:t>
            </w:r>
            <w:r>
              <w:rPr>
                <w:rFonts w:hAnsi="宋体" w:cs="宋体"/>
                <w:color w:val="auto"/>
                <w:szCs w:val="21"/>
                <w:highlight w:val="none"/>
              </w:rPr>
              <w:t>。</w:t>
            </w:r>
            <w:r>
              <w:rPr>
                <w:rFonts w:hint="eastAsia" w:hAnsi="宋体" w:cs="宋体"/>
                <w:color w:val="auto"/>
                <w:szCs w:val="21"/>
                <w:highlight w:val="none"/>
              </w:rPr>
              <w:t>履约担保的有效期应当自本合同生效之日起至采购人签认并由监理人向成交人出具建设</w:t>
            </w:r>
            <w:r>
              <w:rPr>
                <w:rFonts w:hint="eastAsia" w:ascii="宋体" w:hAnsi="宋体" w:cs="宋体"/>
                <w:color w:val="auto"/>
                <w:highlight w:val="none"/>
              </w:rPr>
              <w:t>工程竣工验收意见书</w:t>
            </w:r>
            <w:r>
              <w:rPr>
                <w:rFonts w:hint="eastAsia" w:hAnsi="宋体" w:cs="宋体"/>
                <w:color w:val="auto"/>
                <w:szCs w:val="21"/>
                <w:highlight w:val="none"/>
              </w:rPr>
              <w:t>之日止。如果成交人无法获得一份不带具体截止日期的担保，履约担保中应当有</w:t>
            </w:r>
            <w:r>
              <w:rPr>
                <w:color w:val="auto"/>
                <w:szCs w:val="21"/>
                <w:highlight w:val="none"/>
              </w:rPr>
              <w:t>“</w:t>
            </w:r>
            <w:r>
              <w:rPr>
                <w:rFonts w:hint="eastAsia" w:hAnsi="宋体" w:cs="宋体"/>
                <w:color w:val="auto"/>
                <w:szCs w:val="21"/>
                <w:highlight w:val="none"/>
              </w:rPr>
              <w:t>变更工程竣工日期的，保证期间按照变更后的竣工日期做相应调整</w:t>
            </w:r>
            <w:r>
              <w:rPr>
                <w:color w:val="auto"/>
                <w:szCs w:val="21"/>
                <w:highlight w:val="none"/>
              </w:rPr>
              <w:t>”</w:t>
            </w:r>
            <w:r>
              <w:rPr>
                <w:rFonts w:hint="eastAsia" w:hAnsi="宋体" w:cs="宋体"/>
                <w:color w:val="auto"/>
                <w:szCs w:val="21"/>
                <w:highlight w:val="none"/>
              </w:rPr>
              <w:t>或类似约定的条款。</w:t>
            </w:r>
            <w:r>
              <w:rPr>
                <w:rFonts w:hint="eastAsia" w:ascii="宋体" w:hAnsi="宋体" w:cs="宋体"/>
                <w:color w:val="auto"/>
                <w:highlight w:val="none"/>
              </w:rPr>
              <w:t>若成交人未及时提供履约担保，采购人暂停支付工程款。</w:t>
            </w:r>
          </w:p>
          <w:p w14:paraId="44C8A9EB">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履约保证金递交方式：</w:t>
            </w:r>
            <w:r>
              <w:rPr>
                <w:rFonts w:hint="eastAsia"/>
                <w:color w:val="auto"/>
                <w:highlight w:val="none"/>
              </w:rPr>
              <w:t>可以是</w:t>
            </w:r>
            <w:r>
              <w:rPr>
                <w:rFonts w:hint="eastAsia" w:hAnsi="宋体" w:cs="宋体"/>
                <w:color w:val="auto"/>
                <w:highlight w:val="none"/>
              </w:rPr>
              <w:t>银行转账、电汇或网上支付、保函【银行保函</w:t>
            </w:r>
            <w:r>
              <w:rPr>
                <w:rFonts w:hint="eastAsia" w:ascii="宋体" w:hAnsi="宋体" w:cs="宋体"/>
                <w:color w:val="auto"/>
                <w:highlight w:val="none"/>
              </w:rPr>
              <w:t>（详见《建设工程施工合同》附件10）、</w:t>
            </w:r>
            <w:r>
              <w:rPr>
                <w:rFonts w:hint="eastAsia" w:hAnsi="宋体" w:cs="宋体"/>
                <w:color w:val="auto"/>
                <w:highlight w:val="none"/>
              </w:rPr>
              <w:t>电子</w:t>
            </w:r>
            <w:r>
              <w:rPr>
                <w:rFonts w:hAnsi="宋体" w:cs="宋体"/>
                <w:color w:val="auto"/>
                <w:highlight w:val="none"/>
              </w:rPr>
              <w:t>保函</w:t>
            </w:r>
            <w:r>
              <w:rPr>
                <w:rFonts w:hint="eastAsia" w:hAnsi="宋体" w:cs="宋体"/>
                <w:color w:val="auto"/>
                <w:highlight w:val="none"/>
              </w:rPr>
              <w:t>、保证保险保函、工程担保保函</w:t>
            </w:r>
            <w:r>
              <w:rPr>
                <w:rFonts w:hint="eastAsia" w:ascii="宋体" w:hAnsi="宋体" w:cs="宋体"/>
                <w:color w:val="auto"/>
                <w:highlight w:val="none"/>
              </w:rPr>
              <w:t>（详见《建设工程施工合同》附件9）</w:t>
            </w:r>
            <w:r>
              <w:rPr>
                <w:rFonts w:hint="eastAsia" w:hAnsi="宋体" w:cs="宋体"/>
                <w:color w:val="auto"/>
                <w:highlight w:val="none"/>
              </w:rPr>
              <w:t>】</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p>
          <w:p w14:paraId="4B4C7321">
            <w:pPr>
              <w:autoSpaceDE w:val="0"/>
              <w:autoSpaceDN w:val="0"/>
              <w:snapToGrid w:val="0"/>
              <w:spacing w:line="380" w:lineRule="exact"/>
              <w:textAlignment w:val="bottom"/>
              <w:rPr>
                <w:rFonts w:hAnsi="宋体"/>
                <w:color w:val="auto"/>
                <w:szCs w:val="21"/>
                <w:highlight w:val="none"/>
              </w:rPr>
            </w:pPr>
            <w:r>
              <w:rPr>
                <w:rFonts w:hint="eastAsia" w:hAnsi="宋体"/>
                <w:color w:val="auto"/>
                <w:szCs w:val="21"/>
                <w:highlight w:val="none"/>
              </w:rPr>
              <w:t>履约保证金退付方式、时间及条件：</w:t>
            </w:r>
          </w:p>
          <w:p w14:paraId="6D4922C0">
            <w:pPr>
              <w:autoSpaceDE w:val="0"/>
              <w:autoSpaceDN w:val="0"/>
              <w:snapToGrid w:val="0"/>
              <w:spacing w:line="380" w:lineRule="exact"/>
              <w:textAlignment w:val="bottom"/>
              <w:rPr>
                <w:rFonts w:hAnsi="宋体"/>
                <w:color w:val="auto"/>
                <w:szCs w:val="21"/>
                <w:highlight w:val="none"/>
              </w:rPr>
            </w:pPr>
            <w:r>
              <w:rPr>
                <w:rFonts w:hint="eastAsia" w:hAnsi="宋体" w:cs="宋体"/>
                <w:color w:val="auto"/>
                <w:highlight w:val="none"/>
              </w:rPr>
              <w:t>（1）履约保证金不计利息，工程竣工验收合格并对验收发现的问题完成整改合格后，成交人可向采购人申请退还履约保证金，采购人应在收到申请之日起</w:t>
            </w:r>
            <w:r>
              <w:rPr>
                <w:rFonts w:hint="eastAsia"/>
                <w:color w:val="auto"/>
                <w:highlight w:val="none"/>
              </w:rPr>
              <w:t>5个工作日</w:t>
            </w:r>
            <w:r>
              <w:rPr>
                <w:rFonts w:hint="eastAsia" w:hAnsi="宋体" w:cs="宋体"/>
                <w:color w:val="auto"/>
                <w:highlight w:val="none"/>
              </w:rPr>
              <w:t>内扣减成交人赔偿金和其他应从成交人扣回的款项后，将履约保证金的余额退还给成交人。</w:t>
            </w:r>
            <w:r>
              <w:rPr>
                <w:rFonts w:hint="eastAsia" w:ascii="宋体" w:hAnsi="宋体" w:cs="宋体"/>
                <w:color w:val="auto"/>
                <w:highlight w:val="none"/>
              </w:rPr>
              <w:t>（成交人若有违约，按《建设工程施工合同》专用条款7.5.2条执行，采购人可从应向成交人支付的任何金额中扣除违约款或以其他方式收回此款）</w:t>
            </w:r>
          </w:p>
          <w:p w14:paraId="44962300">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）在履约保证金退还日期前，若成交人的开户名称、开户银行、账号有变动的，请以书面形式通知履约保证金收取单位，否则由此产生的后果由成交人自负。</w:t>
            </w:r>
          </w:p>
          <w:p w14:paraId="094BB9EC">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履约保证金指定账户：</w:t>
            </w:r>
          </w:p>
          <w:p w14:paraId="56D53900">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开户名称：/</w:t>
            </w:r>
          </w:p>
          <w:p w14:paraId="3F1AF1E1">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开户银行：/</w:t>
            </w:r>
          </w:p>
          <w:p w14:paraId="3909F22F">
            <w:pPr>
              <w:autoSpaceDE w:val="0"/>
              <w:autoSpaceDN w:val="0"/>
              <w:snapToGrid w:val="0"/>
              <w:spacing w:line="380" w:lineRule="exact"/>
              <w:textAlignment w:val="bottom"/>
              <w:rPr>
                <w:color w:val="auto"/>
                <w:szCs w:val="21"/>
                <w:highlight w:val="none"/>
              </w:rPr>
            </w:pPr>
            <w:r>
              <w:rPr>
                <w:rFonts w:hint="eastAsia" w:ascii="宋体" w:hAnsi="宋体"/>
                <w:color w:val="auto"/>
                <w:szCs w:val="21"/>
                <w:highlight w:val="none"/>
              </w:rPr>
              <w:t>账号：/</w:t>
            </w:r>
          </w:p>
          <w:p w14:paraId="738455DD">
            <w:pPr>
              <w:adjustRightInd w:val="0"/>
              <w:spacing w:line="380" w:lineRule="exact"/>
              <w:jc w:val="left"/>
              <w:rPr>
                <w:rFonts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7B79FDEA">
            <w:pPr>
              <w:autoSpaceDE w:val="0"/>
              <w:autoSpaceDN w:val="0"/>
              <w:spacing w:line="360" w:lineRule="exact"/>
              <w:textAlignment w:val="bottom"/>
              <w:rPr>
                <w:rFonts w:ascii="宋体" w:hAnsi="宋体" w:cs="宋体"/>
                <w:color w:val="auto"/>
                <w:szCs w:val="21"/>
                <w:highlight w:val="none"/>
              </w:rPr>
            </w:pPr>
            <w:r>
              <w:rPr>
                <w:rFonts w:hint="eastAsia"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tc>
      </w:tr>
      <w:tr w14:paraId="5BA0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FE49E7">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51CD90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6D941FF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EDFEA43">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4D2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171A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EAF778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接收质疑函方式：书面形式</w:t>
            </w:r>
          </w:p>
          <w:p w14:paraId="354AC7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质疑联系部门及联系方式：云之龙咨询集团有限公司，联系人：李贞，联系电话：</w:t>
            </w:r>
            <w:r>
              <w:rPr>
                <w:rFonts w:ascii="宋体" w:hAnsi="宋体" w:cs="宋体"/>
                <w:color w:val="auto"/>
                <w:szCs w:val="21"/>
                <w:highlight w:val="none"/>
              </w:rPr>
              <w:t xml:space="preserve">0773-2887388  2887399 </w:t>
            </w:r>
            <w:r>
              <w:rPr>
                <w:rFonts w:hint="eastAsia" w:ascii="宋体" w:hAnsi="宋体" w:cs="宋体"/>
                <w:color w:val="auto"/>
                <w:szCs w:val="21"/>
                <w:highlight w:val="none"/>
              </w:rPr>
              <w:t>。通讯地址：广西桂林市临桂区西城北路2号耀辉•美好家园2幢12层1号房。</w:t>
            </w:r>
          </w:p>
          <w:p w14:paraId="2FC2265E">
            <w:pPr>
              <w:snapToGrid w:val="0"/>
              <w:spacing w:line="360" w:lineRule="auto"/>
              <w:rPr>
                <w:rFonts w:ascii="宋体" w:hAnsi="宋体"/>
                <w:color w:val="auto"/>
                <w:szCs w:val="21"/>
                <w:highlight w:val="none"/>
              </w:rPr>
            </w:pPr>
            <w:r>
              <w:rPr>
                <w:rFonts w:hint="eastAsia" w:ascii="宋体" w:hAnsi="宋体" w:cs="宋体"/>
                <w:color w:val="auto"/>
                <w:szCs w:val="21"/>
                <w:highlight w:val="none"/>
              </w:rPr>
              <w:t>业务时间：工作日每天上午8时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分，下午3时</w:t>
            </w:r>
            <w:r>
              <w:rPr>
                <w:rFonts w:ascii="宋体" w:hAnsi="宋体" w:cs="宋体"/>
                <w:color w:val="auto"/>
                <w:szCs w:val="21"/>
                <w:highlight w:val="none"/>
              </w:rPr>
              <w:t>00</w:t>
            </w:r>
            <w:r>
              <w:rPr>
                <w:rFonts w:hint="eastAsia" w:ascii="宋体" w:hAnsi="宋体" w:cs="宋体"/>
                <w:color w:val="auto"/>
                <w:szCs w:val="21"/>
                <w:highlight w:val="none"/>
              </w:rPr>
              <w:t>分到6时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2B01E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1B7B54">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669006FC">
            <w:pPr>
              <w:pStyle w:val="25"/>
              <w:snapToGrid w:val="0"/>
              <w:spacing w:line="390" w:lineRule="exact"/>
              <w:rPr>
                <w:rFonts w:hAnsi="宋体"/>
                <w:color w:val="auto"/>
                <w:sz w:val="21"/>
                <w:highlight w:val="none"/>
              </w:rPr>
            </w:pPr>
            <w:r>
              <w:rPr>
                <w:rFonts w:hint="eastAsia" w:hAnsi="宋体"/>
                <w:color w:val="auto"/>
                <w:sz w:val="21"/>
                <w:highlight w:val="none"/>
              </w:rPr>
              <w:t>1.采购代理费支付方式：</w:t>
            </w:r>
          </w:p>
          <w:p w14:paraId="322C5E2C">
            <w:pPr>
              <w:pStyle w:val="25"/>
              <w:snapToGrid w:val="0"/>
              <w:spacing w:line="390" w:lineRule="exact"/>
              <w:rPr>
                <w:rFonts w:hAnsi="宋体"/>
                <w:color w:val="auto"/>
                <w:sz w:val="21"/>
                <w:highlight w:val="none"/>
              </w:rPr>
            </w:pPr>
            <w:r>
              <w:rPr>
                <w:rFonts w:hint="eastAsia" w:hAnsi="宋体"/>
                <w:color w:val="auto"/>
                <w:sz w:val="21"/>
                <w:highlight w:val="none"/>
              </w:rPr>
              <w:t>☑本项目代理服务费由成交供应商</w:t>
            </w:r>
            <w:r>
              <w:rPr>
                <w:rFonts w:hint="eastAsia"/>
                <w:color w:val="auto"/>
                <w:highlight w:val="none"/>
              </w:rPr>
              <w:t>向采购代理机构一次性支付</w:t>
            </w:r>
            <w:r>
              <w:rPr>
                <w:rFonts w:hint="eastAsia" w:hAnsi="宋体"/>
                <w:color w:val="auto"/>
                <w:sz w:val="21"/>
                <w:highlight w:val="none"/>
              </w:rPr>
              <w:t>。</w:t>
            </w:r>
          </w:p>
          <w:p w14:paraId="2191C4E6">
            <w:pPr>
              <w:pStyle w:val="25"/>
              <w:snapToGrid w:val="0"/>
              <w:spacing w:line="390" w:lineRule="exact"/>
              <w:rPr>
                <w:rFonts w:hAnsi="宋体"/>
                <w:color w:val="auto"/>
                <w:sz w:val="21"/>
                <w:highlight w:val="none"/>
              </w:rPr>
            </w:pPr>
            <w:r>
              <w:rPr>
                <w:rFonts w:hint="eastAsia" w:hAnsi="宋体"/>
                <w:color w:val="auto"/>
                <w:sz w:val="21"/>
                <w:highlight w:val="none"/>
              </w:rPr>
              <w:t>□采购人支付。</w:t>
            </w:r>
          </w:p>
          <w:p w14:paraId="2E8777E0">
            <w:pPr>
              <w:pStyle w:val="25"/>
              <w:snapToGrid w:val="0"/>
              <w:spacing w:line="390" w:lineRule="exact"/>
              <w:rPr>
                <w:rFonts w:hAnsi="宋体"/>
                <w:color w:val="auto"/>
                <w:sz w:val="21"/>
                <w:highlight w:val="none"/>
              </w:rPr>
            </w:pPr>
            <w:r>
              <w:rPr>
                <w:rFonts w:hint="eastAsia" w:hAnsi="宋体"/>
                <w:color w:val="auto"/>
                <w:sz w:val="21"/>
                <w:highlight w:val="none"/>
              </w:rPr>
              <w:t>2.采购代理费收取标准：</w:t>
            </w:r>
          </w:p>
          <w:p w14:paraId="162CA6FB">
            <w:pPr>
              <w:pStyle w:val="25"/>
              <w:snapToGrid w:val="0"/>
              <w:spacing w:line="390" w:lineRule="exact"/>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rPr>
              <w:t>本项目代理服务费以成交金额为计费额，在《广西壮族自治区工程建设其他费用定额》（桂建标〔2018〕37号）标准费率基础上，按照供应商须知正文第32.2条规定的工程类标准采用差额定率累进法计算出收费基准价格，采购代理收费以收费基准价格下浮30%收取。</w:t>
            </w:r>
          </w:p>
          <w:p w14:paraId="72E420D2">
            <w:pPr>
              <w:pStyle w:val="25"/>
              <w:snapToGrid w:val="0"/>
              <w:spacing w:line="390" w:lineRule="exact"/>
              <w:rPr>
                <w:rFonts w:hAnsi="宋体"/>
                <w:color w:val="auto"/>
                <w:sz w:val="21"/>
                <w:highlight w:val="none"/>
              </w:rPr>
            </w:pPr>
            <w:r>
              <w:rPr>
                <w:rFonts w:hint="eastAsia" w:hAnsi="宋体"/>
                <w:color w:val="auto"/>
                <w:sz w:val="21"/>
                <w:highlight w:val="none"/>
              </w:rPr>
              <w:t>□固定采购代理收费              。</w:t>
            </w:r>
          </w:p>
          <w:p w14:paraId="444567EB">
            <w:pPr>
              <w:pStyle w:val="25"/>
              <w:snapToGrid w:val="0"/>
              <w:spacing w:line="390" w:lineRule="exact"/>
              <w:rPr>
                <w:rFonts w:hAnsi="宋体"/>
                <w:color w:val="auto"/>
                <w:sz w:val="21"/>
                <w:highlight w:val="none"/>
              </w:rPr>
            </w:pPr>
            <w:r>
              <w:rPr>
                <w:rFonts w:hint="eastAsia" w:hAnsi="宋体"/>
                <w:color w:val="auto"/>
                <w:sz w:val="21"/>
                <w:highlight w:val="none"/>
              </w:rPr>
              <w:t>3. 采购代理费收取银行账户</w:t>
            </w:r>
          </w:p>
          <w:p w14:paraId="7274F943">
            <w:pPr>
              <w:pStyle w:val="25"/>
              <w:snapToGrid w:val="0"/>
              <w:spacing w:line="390" w:lineRule="exact"/>
              <w:rPr>
                <w:rFonts w:hAnsi="宋体"/>
                <w:color w:val="auto"/>
                <w:sz w:val="21"/>
                <w:highlight w:val="none"/>
              </w:rPr>
            </w:pPr>
            <w:r>
              <w:rPr>
                <w:rFonts w:hint="eastAsia" w:hAnsi="宋体"/>
                <w:color w:val="auto"/>
                <w:sz w:val="21"/>
                <w:highlight w:val="none"/>
              </w:rPr>
              <w:t>开户名称：云之龙咨询集团有限公司桂林分公司</w:t>
            </w:r>
          </w:p>
          <w:p w14:paraId="266CBFC0">
            <w:pPr>
              <w:pStyle w:val="25"/>
              <w:snapToGrid w:val="0"/>
              <w:spacing w:line="390" w:lineRule="exact"/>
              <w:rPr>
                <w:rFonts w:hAnsi="宋体"/>
                <w:color w:val="auto"/>
                <w:sz w:val="21"/>
                <w:highlight w:val="none"/>
              </w:rPr>
            </w:pPr>
            <w:r>
              <w:rPr>
                <w:rFonts w:hint="eastAsia" w:hAnsi="宋体"/>
                <w:color w:val="auto"/>
                <w:sz w:val="21"/>
                <w:highlight w:val="none"/>
              </w:rPr>
              <w:t>开户银行： 中信银行股份有限公司南宁东葛支行</w:t>
            </w:r>
          </w:p>
          <w:p w14:paraId="11058600">
            <w:pPr>
              <w:pStyle w:val="25"/>
              <w:snapToGrid w:val="0"/>
              <w:spacing w:line="390" w:lineRule="exact"/>
              <w:rPr>
                <w:rFonts w:hAnsi="宋体"/>
                <w:color w:val="auto"/>
                <w:sz w:val="21"/>
                <w:highlight w:val="none"/>
              </w:rPr>
            </w:pPr>
            <w:r>
              <w:rPr>
                <w:rFonts w:hint="eastAsia" w:hAnsi="宋体"/>
                <w:color w:val="auto"/>
                <w:sz w:val="21"/>
                <w:highlight w:val="none"/>
              </w:rPr>
              <w:t>银行账号：8113001014300158041</w:t>
            </w:r>
          </w:p>
        </w:tc>
      </w:tr>
      <w:tr w14:paraId="25E9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846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15EE1990">
            <w:pPr>
              <w:pStyle w:val="25"/>
              <w:snapToGrid w:val="0"/>
              <w:spacing w:line="390" w:lineRule="exact"/>
              <w:rPr>
                <w:rFonts w:hAnsi="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、合同条款及格式</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2A0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520E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42DD67A8">
            <w:pPr>
              <w:pStyle w:val="25"/>
              <w:snapToGrid w:val="0"/>
              <w:spacing w:line="390" w:lineRule="exact"/>
              <w:rPr>
                <w:rFonts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人。</w:t>
            </w:r>
          </w:p>
        </w:tc>
      </w:tr>
      <w:tr w14:paraId="0528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12B1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4B3E503B">
            <w:pPr>
              <w:pStyle w:val="25"/>
              <w:snapToGrid w:val="0"/>
              <w:spacing w:line="390" w:lineRule="exact"/>
              <w:rPr>
                <w:rFonts w:hAnsi="宋体"/>
                <w:color w:val="auto"/>
                <w:sz w:val="21"/>
                <w:highlight w:val="none"/>
              </w:rPr>
            </w:pPr>
            <w:r>
              <w:rPr>
                <w:rFonts w:hint="eastAsia" w:hAnsi="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025CB0B">
            <w:pPr>
              <w:pStyle w:val="25"/>
              <w:snapToGrid w:val="0"/>
              <w:spacing w:line="390" w:lineRule="exact"/>
              <w:rPr>
                <w:rFonts w:hAnsi="宋体"/>
                <w:color w:val="auto"/>
                <w:sz w:val="21"/>
                <w:highlight w:val="none"/>
              </w:rPr>
            </w:pPr>
            <w:r>
              <w:rPr>
                <w:rFonts w:hint="eastAsia" w:hAnsi="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517617A">
            <w:pPr>
              <w:pStyle w:val="25"/>
              <w:snapToGrid w:val="0"/>
              <w:spacing w:line="390" w:lineRule="exact"/>
              <w:rPr>
                <w:rFonts w:hAnsi="宋体"/>
                <w:color w:val="auto"/>
                <w:sz w:val="21"/>
                <w:highlight w:val="none"/>
              </w:rPr>
            </w:pPr>
            <w:r>
              <w:rPr>
                <w:rFonts w:hAnsi="宋体"/>
                <w:color w:val="auto"/>
                <w:sz w:val="21"/>
                <w:highlight w:val="none"/>
              </w:rPr>
              <w:t>3</w:t>
            </w:r>
            <w:r>
              <w:rPr>
                <w:rFonts w:hint="eastAsia" w:hAnsi="宋体"/>
                <w:color w:val="auto"/>
                <w:sz w:val="21"/>
                <w:highlight w:val="none"/>
              </w:rPr>
              <w:t>.供应商为其他组织时，本磋商文件规定的法定代表人指负责人。本磋商文件所称负责人是指参加竞标的其他组织营业执照或者执业许可证等证照上的负责人。</w:t>
            </w:r>
          </w:p>
          <w:p w14:paraId="0D2D392F">
            <w:pPr>
              <w:pStyle w:val="25"/>
              <w:snapToGrid w:val="0"/>
              <w:spacing w:line="390" w:lineRule="exact"/>
              <w:rPr>
                <w:rFonts w:hAnsi="宋体"/>
                <w:color w:val="auto"/>
                <w:sz w:val="21"/>
                <w:highlight w:val="none"/>
              </w:rPr>
            </w:pPr>
            <w:r>
              <w:rPr>
                <w:rFonts w:hAnsi="宋体"/>
                <w:color w:val="auto"/>
                <w:sz w:val="21"/>
                <w:highlight w:val="none"/>
              </w:rPr>
              <w:t>4.</w:t>
            </w:r>
            <w:r>
              <w:rPr>
                <w:rFonts w:hint="eastAsia" w:hAnsi="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02D28391">
            <w:pPr>
              <w:pStyle w:val="25"/>
              <w:snapToGrid w:val="0"/>
              <w:spacing w:line="390" w:lineRule="exact"/>
              <w:rPr>
                <w:rFonts w:hAnsi="宋体"/>
                <w:color w:val="auto"/>
                <w:sz w:val="21"/>
                <w:highlight w:val="none"/>
              </w:rPr>
            </w:pPr>
            <w:r>
              <w:rPr>
                <w:rFonts w:hint="eastAsia" w:hAnsi="宋体"/>
                <w:color w:val="auto"/>
                <w:sz w:val="21"/>
                <w:highlight w:val="none"/>
              </w:rPr>
              <w:t>5</w:t>
            </w:r>
            <w:r>
              <w:rPr>
                <w:rFonts w:hAnsi="宋体"/>
                <w:color w:val="auto"/>
                <w:sz w:val="21"/>
                <w:highlight w:val="none"/>
              </w:rPr>
              <w:t>.</w:t>
            </w:r>
            <w:r>
              <w:rPr>
                <w:rFonts w:hint="eastAsia" w:hAnsi="宋体"/>
                <w:color w:val="auto"/>
                <w:sz w:val="21"/>
                <w:highlight w:val="none"/>
              </w:rPr>
              <w:t>本磋商文件所称的“以上”“以下”“以内”“届满”，包括本数；所称的“不满”“超过”“以外”，不包括本数。</w:t>
            </w:r>
          </w:p>
        </w:tc>
      </w:tr>
    </w:tbl>
    <w:p w14:paraId="447B76B5">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5810FBC9">
      <w:pPr>
        <w:spacing w:line="400" w:lineRule="exact"/>
        <w:jc w:val="center"/>
        <w:rPr>
          <w:rFonts w:ascii="宋体" w:hAnsi="宋体"/>
          <w:b/>
          <w:color w:val="auto"/>
          <w:sz w:val="32"/>
          <w:szCs w:val="32"/>
          <w:highlight w:val="none"/>
        </w:rPr>
      </w:pPr>
    </w:p>
    <w:p w14:paraId="312CE14A">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71A3D39">
      <w:pPr>
        <w:spacing w:line="400" w:lineRule="exact"/>
        <w:rPr>
          <w:rFonts w:ascii="宋体" w:hAnsi="宋体"/>
          <w:color w:val="auto"/>
          <w:szCs w:val="21"/>
          <w:highlight w:val="none"/>
        </w:rPr>
      </w:pPr>
    </w:p>
    <w:p w14:paraId="2FA7758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661B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036AD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45C5593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617A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474BE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9784E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0401AE1">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443BAD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92ED73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603A99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2F15A02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4E6F284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E415B9E">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73BC73B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6A5F32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8C01E1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10322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72DEEC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9C36D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5D5087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4678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C50E5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1582AD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8"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8"/>
    </w:p>
    <w:p w14:paraId="18377F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82D085C">
      <w:pPr>
        <w:pStyle w:val="6"/>
        <w:keepNext w:val="0"/>
        <w:keepLines w:val="0"/>
        <w:spacing w:before="0" w:after="0" w:line="360" w:lineRule="auto"/>
        <w:ind w:left="420" w:leftChars="200"/>
        <w:rPr>
          <w:rFonts w:ascii="宋体" w:hAnsi="宋体"/>
          <w:b w:val="0"/>
          <w:color w:val="auto"/>
          <w:sz w:val="21"/>
          <w:szCs w:val="21"/>
          <w:highlight w:val="none"/>
        </w:rPr>
      </w:pPr>
      <w:bookmarkStart w:id="59" w:name="_Toc254970532"/>
      <w:bookmarkStart w:id="60" w:name="_Toc254970673"/>
      <w:r>
        <w:rPr>
          <w:rFonts w:hint="eastAsia" w:ascii="宋体" w:hAnsi="宋体"/>
          <w:b w:val="0"/>
          <w:color w:val="auto"/>
          <w:sz w:val="21"/>
          <w:szCs w:val="21"/>
          <w:highlight w:val="none"/>
        </w:rPr>
        <w:t>6.1本项目不允许转包。</w:t>
      </w:r>
    </w:p>
    <w:p w14:paraId="1617AF7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DE1B42C">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ABF986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9"/>
      <w:bookmarkEnd w:id="60"/>
    </w:p>
    <w:p w14:paraId="6822EDE1">
      <w:pPr>
        <w:spacing w:line="360" w:lineRule="auto"/>
        <w:ind w:firstLine="420" w:firstLineChars="200"/>
        <w:rPr>
          <w:rFonts w:ascii="宋体" w:hAnsi="宋体" w:cs="宋体"/>
          <w:color w:val="auto"/>
          <w:szCs w:val="21"/>
          <w:highlight w:val="none"/>
        </w:rPr>
      </w:pPr>
      <w:bookmarkStart w:id="61" w:name="_8.1提供相同品牌产品且通过资格审查、符合性审查的不同投标人参加同一合"/>
      <w:bookmarkEnd w:id="61"/>
      <w:r>
        <w:rPr>
          <w:rFonts w:hint="eastAsia" w:ascii="宋体" w:hAnsi="宋体" w:cs="宋体"/>
          <w:color w:val="auto"/>
          <w:szCs w:val="21"/>
          <w:highlight w:val="none"/>
        </w:rPr>
        <w:t>7.</w:t>
      </w:r>
      <w:r>
        <w:rPr>
          <w:rFonts w:ascii="宋体" w:hAnsi="宋体" w:cs="宋体"/>
          <w:color w:val="auto"/>
          <w:szCs w:val="21"/>
          <w:highlight w:val="none"/>
        </w:rPr>
        <w:t>1</w:t>
      </w:r>
      <w:bookmarkStart w:id="62"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2"/>
    <w:p w14:paraId="6F8C9D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4623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人须依照《中华人民共和国消费者权益保护法》规定赔偿采购人，且民事赔偿并不免除违法供应商的行政与刑事责任。</w:t>
      </w:r>
    </w:p>
    <w:p w14:paraId="5C553C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1772C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3F8E3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74283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83227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8DF5D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D731A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3EE8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025A7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43329C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A4DF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FF219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A0C75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91705F4">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9C06C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411AF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AB69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584C9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0281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92DDA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9AF2C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B0C8B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31153A4">
      <w:pPr>
        <w:spacing w:line="360" w:lineRule="auto"/>
        <w:ind w:firstLine="420" w:firstLineChars="200"/>
        <w:rPr>
          <w:rFonts w:ascii="宋体" w:hAnsi="宋体" w:cs="宋体"/>
          <w:color w:val="auto"/>
          <w:szCs w:val="21"/>
          <w:highlight w:val="none"/>
        </w:rPr>
      </w:pPr>
      <w:bookmarkStart w:id="63" w:name="_Toc254970534"/>
      <w:bookmarkStart w:id="64" w:name="_Toc254970675"/>
    </w:p>
    <w:p w14:paraId="1B2D26F0">
      <w:pPr>
        <w:spacing w:line="360" w:lineRule="auto"/>
        <w:ind w:left="1" w:firstLine="417" w:firstLineChars="199"/>
        <w:jc w:val="center"/>
        <w:rPr>
          <w:rFonts w:ascii="宋体" w:hAnsi="宋体"/>
          <w:color w:val="auto"/>
          <w:highlight w:val="none"/>
        </w:rPr>
      </w:pPr>
    </w:p>
    <w:p w14:paraId="67029A57">
      <w:pPr>
        <w:spacing w:line="360" w:lineRule="auto"/>
        <w:ind w:left="1" w:firstLine="417" w:firstLineChars="199"/>
        <w:jc w:val="center"/>
        <w:rPr>
          <w:rFonts w:ascii="宋体" w:hAnsi="宋体"/>
          <w:color w:val="auto"/>
          <w:highlight w:val="none"/>
        </w:rPr>
      </w:pPr>
    </w:p>
    <w:p w14:paraId="025F8C11">
      <w:pPr>
        <w:spacing w:line="360" w:lineRule="auto"/>
        <w:ind w:left="1" w:firstLine="417" w:firstLineChars="199"/>
        <w:jc w:val="center"/>
        <w:rPr>
          <w:rFonts w:ascii="宋体" w:hAnsi="宋体"/>
          <w:color w:val="auto"/>
          <w:highlight w:val="none"/>
        </w:rPr>
      </w:pPr>
    </w:p>
    <w:p w14:paraId="55043E76">
      <w:pPr>
        <w:spacing w:line="360" w:lineRule="auto"/>
        <w:ind w:left="1" w:firstLine="417" w:firstLineChars="199"/>
        <w:jc w:val="center"/>
        <w:rPr>
          <w:rFonts w:ascii="宋体" w:hAnsi="宋体"/>
          <w:color w:val="auto"/>
          <w:highlight w:val="none"/>
        </w:rPr>
      </w:pPr>
    </w:p>
    <w:p w14:paraId="2A7BB8E1">
      <w:pPr>
        <w:spacing w:line="360" w:lineRule="auto"/>
        <w:ind w:left="1" w:firstLine="417" w:firstLineChars="199"/>
        <w:jc w:val="center"/>
        <w:rPr>
          <w:rFonts w:ascii="宋体" w:hAnsi="宋体"/>
          <w:color w:val="auto"/>
          <w:highlight w:val="none"/>
        </w:rPr>
      </w:pPr>
    </w:p>
    <w:p w14:paraId="43114281">
      <w:pPr>
        <w:spacing w:line="360" w:lineRule="auto"/>
        <w:ind w:left="1" w:firstLine="417" w:firstLineChars="199"/>
        <w:jc w:val="center"/>
        <w:rPr>
          <w:rFonts w:ascii="宋体" w:hAnsi="宋体"/>
          <w:color w:val="auto"/>
          <w:highlight w:val="none"/>
        </w:rPr>
      </w:pPr>
    </w:p>
    <w:p w14:paraId="12CD092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3"/>
      <w:bookmarkEnd w:id="64"/>
    </w:p>
    <w:p w14:paraId="36055F8D">
      <w:pPr>
        <w:spacing w:line="360" w:lineRule="auto"/>
        <w:rPr>
          <w:rFonts w:ascii="宋体" w:hAnsi="宋体"/>
          <w:color w:val="auto"/>
          <w:szCs w:val="21"/>
          <w:highlight w:val="none"/>
        </w:rPr>
      </w:pPr>
    </w:p>
    <w:p w14:paraId="0024CB4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EE8AE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0E5CF0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5D50CE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采购需求；</w:t>
      </w:r>
    </w:p>
    <w:p w14:paraId="6EB3EB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05FAD2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6A749C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响应文件格式；</w:t>
      </w:r>
    </w:p>
    <w:p w14:paraId="537E05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合同条款及格式。</w:t>
      </w:r>
    </w:p>
    <w:p w14:paraId="54AB881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A4321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9E66ED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330C3EEE">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A6EA9F5">
      <w:pPr>
        <w:spacing w:line="360" w:lineRule="auto"/>
        <w:rPr>
          <w:rFonts w:ascii="宋体" w:hAnsi="宋体"/>
          <w:color w:val="auto"/>
          <w:szCs w:val="21"/>
          <w:highlight w:val="none"/>
        </w:rPr>
      </w:pPr>
    </w:p>
    <w:p w14:paraId="5F23B94A">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7B1590E9">
      <w:pPr>
        <w:spacing w:line="360" w:lineRule="auto"/>
        <w:rPr>
          <w:rFonts w:ascii="宋体" w:hAnsi="宋体"/>
          <w:color w:val="auto"/>
          <w:szCs w:val="21"/>
          <w:highlight w:val="none"/>
        </w:rPr>
      </w:pPr>
    </w:p>
    <w:p w14:paraId="1C5F244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96586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E48231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A0405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FB76AD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183D02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FF5156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7F9F23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D1631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F42B06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B73D0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3BC6FA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06E077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B1B4CC5">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9EBB95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50B006A">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15.4竞标报价要求</w:t>
      </w:r>
    </w:p>
    <w:p w14:paraId="1C05F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0EB3D63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48DDF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）供应商必须就本项目的单项内容作唯一报价。</w:t>
      </w:r>
    </w:p>
    <w:p w14:paraId="22F88A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竞标报价（包含首次报价、最后报价）超过本项目规定的采购预算金额或者最高限价的，其响应文件将按无效处理。</w:t>
      </w:r>
    </w:p>
    <w:p w14:paraId="037D6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5" w:name="_Hlk42592874"/>
      <w:r>
        <w:rPr>
          <w:rFonts w:hint="eastAsia" w:ascii="宋体" w:hAnsi="宋体" w:cs="宋体"/>
          <w:color w:val="auto"/>
          <w:szCs w:val="21"/>
          <w:highlight w:val="none"/>
        </w:rPr>
        <w:t>竞标报价（包含首次报价、最后报价）超过分项采购预算金额或者最高限价的（如有要求），其响应文件将按无效处理。</w:t>
      </w:r>
    </w:p>
    <w:p w14:paraId="20C19C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5"/>
    <w:p w14:paraId="6559F09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A8292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16.1竞标有效期是指为保证采购人有足够的时间在提交响应文件后完成评审、确定成交人、合同签订等工作而要求供应商提交的响应文件在一定时间内保持有效的期限。</w:t>
      </w:r>
    </w:p>
    <w:p w14:paraId="185B7D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13E1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479D8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10AFB2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E55D7F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3D02EDC">
      <w:pPr>
        <w:spacing w:line="360" w:lineRule="auto"/>
        <w:ind w:firstLine="420" w:firstLineChars="200"/>
        <w:rPr>
          <w:rFonts w:ascii="宋体" w:hAnsi="宋体" w:cs="宋体"/>
          <w:color w:val="auto"/>
          <w:szCs w:val="21"/>
          <w:highlight w:val="none"/>
        </w:rPr>
      </w:pPr>
      <w:bookmarkStart w:id="66" w:name="_Hlk66782243"/>
      <w:r>
        <w:rPr>
          <w:rFonts w:hint="eastAsia" w:ascii="宋体" w:hAnsi="宋体" w:cs="宋体"/>
          <w:color w:val="auto"/>
          <w:szCs w:val="21"/>
          <w:highlight w:val="none"/>
        </w:rPr>
        <w:t>未成交人的磋商保证金自成交通知书发出之日起5个工作日内退还；成交人的磋商保证金自签订合同之日起5个工作日内退还或者转为成交人的履约保证金</w:t>
      </w:r>
      <w:bookmarkEnd w:id="66"/>
      <w:r>
        <w:rPr>
          <w:rFonts w:hint="eastAsia" w:ascii="宋体" w:hAnsi="宋体" w:cs="宋体"/>
          <w:color w:val="auto"/>
          <w:szCs w:val="21"/>
          <w:highlight w:val="none"/>
        </w:rPr>
        <w:t xml:space="preserve">。 </w:t>
      </w:r>
    </w:p>
    <w:p w14:paraId="3C3BA2B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3690AAC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89EC3A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782321E">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7B4C5D3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134C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（4）除因不可抗力或者磋商文件认可的情形以外，成交人不与采购人签订合同的；</w:t>
      </w:r>
    </w:p>
    <w:p w14:paraId="75811B0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6D5374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0A31ED9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2023790">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18.1供应商应按照本项目竞争性磋商文件规定的格式和顺序和广西政府采购云平台的要求编制并加密</w:t>
      </w:r>
      <w:r>
        <w:rPr>
          <w:rFonts w:hint="eastAsia" w:ascii="宋体" w:hAnsi="宋体" w:cs="宋体"/>
          <w:color w:val="auto"/>
          <w:szCs w:val="21"/>
          <w:highlight w:val="none"/>
        </w:rPr>
        <w:t>。响应文件内容不完整、编排混乱导致响应文件被误读、漏读或者查找不到相关内容的，由此引发的后果由供应商承担。</w:t>
      </w:r>
    </w:p>
    <w:p w14:paraId="13425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74B274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28FA3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53F21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FB8C206">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D67354F">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033A0D1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39D22A3">
      <w:pPr>
        <w:spacing w:line="360" w:lineRule="auto"/>
        <w:ind w:firstLine="420" w:firstLineChars="200"/>
        <w:rPr>
          <w:rFonts w:hAnsi="宋体"/>
          <w:b/>
          <w:color w:val="auto"/>
          <w:highlight w:val="none"/>
        </w:rPr>
      </w:pPr>
      <w:r>
        <w:rPr>
          <w:rFonts w:hint="eastAsia" w:ascii="宋体" w:hAnsi="宋体" w:cs="宋体"/>
          <w:color w:val="auto"/>
          <w:szCs w:val="21"/>
          <w:highlight w:val="none"/>
        </w:rPr>
        <w:t>20.1供应商</w:t>
      </w:r>
      <w:r>
        <w:rPr>
          <w:rFonts w:hint="eastAsia" w:hAnsi="宋体"/>
          <w:bCs/>
          <w:color w:val="auto"/>
          <w:szCs w:val="21"/>
          <w:highlight w:val="none"/>
        </w:rPr>
        <w:t>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p>
    <w:p w14:paraId="340F6CA9">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未在规定时间内提交或者未按照磋商文件要求加密的电子响应文件，广西政府采购云平台将拒收。</w:t>
      </w:r>
    </w:p>
    <w:p w14:paraId="3E1AB3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0F18475">
      <w:pPr>
        <w:spacing w:line="360" w:lineRule="auto"/>
        <w:ind w:firstLine="420" w:firstLineChars="200"/>
        <w:rPr>
          <w:rFonts w:hAnsi="宋体"/>
          <w:bCs/>
          <w:color w:val="auto"/>
          <w:szCs w:val="21"/>
          <w:highlight w:val="none"/>
        </w:rPr>
      </w:pPr>
      <w:bookmarkStart w:id="67" w:name="_Toc254970684"/>
      <w:bookmarkStart w:id="68" w:name="_Toc254970543"/>
      <w:r>
        <w:rPr>
          <w:rFonts w:hint="eastAsia" w:ascii="宋体" w:hAnsi="宋体" w:cs="宋体"/>
          <w:color w:val="auto"/>
          <w:szCs w:val="21"/>
          <w:highlight w:val="none"/>
        </w:rPr>
        <w:t>21.1供应商应</w:t>
      </w:r>
      <w:r>
        <w:rPr>
          <w:rFonts w:hint="eastAsia" w:hAnsi="宋体"/>
          <w:bCs/>
          <w:color w:val="auto"/>
          <w:szCs w:val="21"/>
          <w:highlight w:val="none"/>
        </w:rPr>
        <w:t>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67"/>
    <w:bookmarkEnd w:id="68"/>
    <w:p w14:paraId="4FC4970D">
      <w:pPr>
        <w:pStyle w:val="153"/>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774B08C5">
      <w:pPr>
        <w:spacing w:line="360" w:lineRule="auto"/>
        <w:ind w:firstLine="482" w:firstLineChars="200"/>
        <w:rPr>
          <w:rFonts w:ascii="黑体" w:hAnsi="黑体" w:eastAsia="黑体" w:cs="宋体"/>
          <w:b/>
          <w:bCs/>
          <w:color w:val="auto"/>
          <w:sz w:val="24"/>
          <w:highlight w:val="none"/>
        </w:rPr>
      </w:pPr>
      <w:bookmarkStart w:id="69" w:name="_Hlk45702405"/>
      <w:r>
        <w:rPr>
          <w:rFonts w:hint="eastAsia" w:ascii="黑体" w:hAnsi="黑体" w:eastAsia="黑体" w:cs="宋体"/>
          <w:b/>
          <w:bCs/>
          <w:color w:val="auto"/>
          <w:sz w:val="24"/>
          <w:highlight w:val="none"/>
        </w:rPr>
        <w:t>22.响应文件的退回</w:t>
      </w:r>
    </w:p>
    <w:p w14:paraId="5FBAB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D41E2D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4C3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69"/>
    <w:p w14:paraId="40DA6D3B">
      <w:pPr>
        <w:spacing w:line="360" w:lineRule="auto"/>
        <w:rPr>
          <w:rFonts w:ascii="宋体" w:hAnsi="宋体"/>
          <w:color w:val="auto"/>
          <w:szCs w:val="21"/>
          <w:highlight w:val="none"/>
        </w:rPr>
      </w:pPr>
    </w:p>
    <w:p w14:paraId="1C22056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1DB989E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510E1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F5AD5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82522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抽取</w:t>
      </w:r>
      <w:r>
        <w:rPr>
          <w:rFonts w:hint="eastAsia" w:hAnsi="宋体"/>
          <w:bCs/>
          <w:color w:val="auto"/>
          <w:szCs w:val="21"/>
          <w:highlight w:val="none"/>
        </w:rPr>
        <w:t>评审专家。</w:t>
      </w:r>
    </w:p>
    <w:p w14:paraId="5C972E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5ECD1E1">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42FB2A2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47648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4D24D17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79EB03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商务/技术及其他要求允许负偏离的条款数详见“供应商须知前附表”。</w:t>
      </w:r>
    </w:p>
    <w:p w14:paraId="434F1132">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544B9EA">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EE3F35C">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04F9B81E">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09A615DF">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6BD13EAE">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27122E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2086B67C">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001CE5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.确定成交人及结果公告</w:t>
      </w:r>
    </w:p>
    <w:p w14:paraId="6D66E34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人，也可以书面授权磋商小组直接确定成交人。采购人逾期未确定成交人且不提出异议的，视为确定评审报告提出的排序第一的供应商为成交人。</w:t>
      </w:r>
    </w:p>
    <w:p w14:paraId="3DDCB4BC">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成交人</w:t>
      </w:r>
      <w:r>
        <w:rPr>
          <w:rFonts w:hint="eastAsia" w:ascii="宋体" w:hAnsi="宋体" w:cs="宋体"/>
          <w:color w:val="auto"/>
          <w:szCs w:val="21"/>
          <w:highlight w:val="none"/>
        </w:rPr>
        <w:t>确定后2个工作日内，在省级以上财政部门指定的媒体上公告成交结果，同时向成交人发出成交通知书。采购人或者采购代理机构发出成交通知书前，应当对成交人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人。排名第二的成交候选人因上述规定的同样原因被取消成交资格的，采购人可以确定排名第三的成交候选人为成交人，以此类推。以上信息查询记录及相关证据与磋商文件一并保存。</w:t>
      </w:r>
      <w:bookmarkStart w:id="70" w:name="_Hlk66782294"/>
      <w:r>
        <w:rPr>
          <w:rFonts w:hint="eastAsia" w:ascii="宋体" w:hAnsi="宋体" w:cs="Courier New"/>
          <w:color w:val="auto"/>
          <w:szCs w:val="21"/>
          <w:highlight w:val="none"/>
        </w:rPr>
        <w:t>成交人享受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政策的，采购人、采购代理机构应当随成交结果公开成交人的《中小企业声明函》。</w:t>
      </w:r>
      <w:bookmarkEnd w:id="70"/>
    </w:p>
    <w:p w14:paraId="254E815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D14770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3D9118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F157E6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75F43452">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EC19B8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913EB2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“供应商须知前附表”。成交人未按规定提交履约保证金的，视为拒绝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5FFED2E1">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.2在履约保证金退还日期前，若成交人的开户名称、开户银行、账号有变动的，请以书面形式通知履约保证金收取单位，否则由此产生的后果由成交人自行承担。</w:t>
      </w:r>
    </w:p>
    <w:p w14:paraId="37FC46B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1A3333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29.1签订电子采购合同：成交人领取电子成交通知书后，在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794B726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85C397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2D1BC2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人拒绝签订政府采购合同（包括但不限于放弃成交、因不可抗力不能履行合同而放弃签订合同），采购人可以按照评审报告推荐的成交候选人名单排序，确定下一候选人为成交人，也可以重新开展政府采购活动。如采购人无正当理由拒签合同的，给成交人造成损失的，成交人可追究采购人承担相应的法律责任。</w:t>
      </w:r>
    </w:p>
    <w:p w14:paraId="67D5753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E52B8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29.5采购人或成交人不得单方面向合同另一方提出任何磋商文件没有约定的条件或不合理的要求，作为签订合同的条件；也不得协商另行订立背离磋商文件和合同实质性内容的协议。</w:t>
      </w:r>
    </w:p>
    <w:p w14:paraId="3064087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25469C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663092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A415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2C291C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00B5285">
      <w:pPr>
        <w:pStyle w:val="7"/>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0068EA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D6566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15BF7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57C76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FA0B1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22EB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A5245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772F1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F28A0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32A0F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4F2D3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A6F4D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A0665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41777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DE7DA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E4983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（二）对采购过程或者成交结果提出的质疑，合格供应商符合法定数量时，可以从合格的成交候选人中另行确定成交人的，应当依法另行确定成交人；否则应当重新开展采购活动。</w:t>
      </w:r>
    </w:p>
    <w:p w14:paraId="1930D3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BD54745">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76626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AC2203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代理服务收取标准及缴费账户详见“供应商须知前附表”。</w:t>
      </w:r>
    </w:p>
    <w:p w14:paraId="59CA0E2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5903041">
      <w:pPr>
        <w:pStyle w:val="2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5385DF07">
      <w:pPr>
        <w:pStyle w:val="2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6CF0F5B">
      <w:pPr>
        <w:pStyle w:val="25"/>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C41DE44">
      <w:pPr>
        <w:pStyle w:val="2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3822E66">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EBB9E27">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3E56F84">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6F05447">
      <w:pPr>
        <w:pStyle w:val="25"/>
        <w:spacing w:line="360" w:lineRule="auto"/>
        <w:ind w:firstLine="420" w:firstLineChars="200"/>
        <w:contextualSpacing/>
        <w:rPr>
          <w:rFonts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1178F092">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7E6785DA">
      <w:pPr>
        <w:pStyle w:val="25"/>
        <w:spacing w:line="360" w:lineRule="auto"/>
        <w:ind w:firstLine="420" w:firstLineChars="200"/>
        <w:contextualSpacing/>
        <w:rPr>
          <w:rFonts w:hAnsi="宋体"/>
          <w:color w:val="auto"/>
          <w:sz w:val="21"/>
          <w:highlight w:val="none"/>
        </w:rPr>
      </w:pPr>
    </w:p>
    <w:p w14:paraId="2E45AC89">
      <w:pPr>
        <w:pStyle w:val="25"/>
        <w:spacing w:line="360" w:lineRule="auto"/>
        <w:ind w:firstLine="420" w:firstLineChars="200"/>
        <w:contextualSpacing/>
        <w:rPr>
          <w:rFonts w:hAnsi="宋体"/>
          <w:color w:val="auto"/>
          <w:sz w:val="21"/>
          <w:highlight w:val="none"/>
        </w:rPr>
      </w:pPr>
    </w:p>
    <w:p w14:paraId="155FE08D">
      <w:pPr>
        <w:pStyle w:val="25"/>
        <w:spacing w:line="360" w:lineRule="auto"/>
        <w:ind w:firstLine="420" w:firstLineChars="200"/>
        <w:contextualSpacing/>
        <w:rPr>
          <w:rFonts w:hAnsi="宋体"/>
          <w:color w:val="auto"/>
          <w:sz w:val="21"/>
          <w:highlight w:val="none"/>
        </w:rPr>
      </w:pPr>
    </w:p>
    <w:p w14:paraId="15262B0A">
      <w:pPr>
        <w:pStyle w:val="25"/>
        <w:spacing w:line="360" w:lineRule="auto"/>
        <w:ind w:firstLine="420" w:firstLineChars="200"/>
        <w:contextualSpacing/>
        <w:rPr>
          <w:rFonts w:hAnsi="宋体"/>
          <w:color w:val="auto"/>
          <w:sz w:val="21"/>
          <w:highlight w:val="none"/>
        </w:rPr>
      </w:pPr>
    </w:p>
    <w:p w14:paraId="25AAB7FF">
      <w:pPr>
        <w:pStyle w:val="25"/>
        <w:spacing w:before="340" w:after="340" w:line="360" w:lineRule="auto"/>
        <w:ind w:firstLine="883" w:firstLineChars="200"/>
        <w:jc w:val="center"/>
        <w:textAlignment w:val="center"/>
        <w:rPr>
          <w:color w:val="auto"/>
          <w:highlight w:val="none"/>
        </w:rPr>
      </w:pPr>
      <w:bookmarkStart w:id="71" w:name="_Toc74323458"/>
      <w:r>
        <w:rPr>
          <w:rFonts w:hint="eastAsia"/>
          <w:b/>
          <w:color w:val="auto"/>
          <w:sz w:val="44"/>
          <w:szCs w:val="44"/>
          <w:highlight w:val="none"/>
        </w:rPr>
        <w:t>第三章 采购需求</w:t>
      </w:r>
      <w:bookmarkEnd w:id="71"/>
    </w:p>
    <w:p w14:paraId="1886F88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070AE4A">
      <w:pPr>
        <w:spacing w:line="400" w:lineRule="exact"/>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149DBCEA">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1C1F807">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88306F2">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33A3CD92">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156E76B5">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6111F7F1">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“实质性要求”是指磋商文件中已经指明不满足则响应文件按无效处理的条款，或者不能负偏离的条款，或者采购需求中带“▲”的条款。</w:t>
      </w:r>
    </w:p>
    <w:p w14:paraId="7FB39099">
      <w:pPr>
        <w:spacing w:line="400" w:lineRule="exact"/>
        <w:ind w:firstLine="424" w:firstLineChars="202"/>
        <w:jc w:val="left"/>
        <w:rPr>
          <w:rFonts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供应商必须自行为其竞标标的侵犯他人的知识产权或者专利成果的行为承担相应法律责任。</w:t>
      </w:r>
    </w:p>
    <w:p w14:paraId="7403F68C">
      <w:pPr>
        <w:spacing w:line="400" w:lineRule="exact"/>
        <w:ind w:firstLine="310" w:firstLineChars="147"/>
        <w:jc w:val="left"/>
        <w:rPr>
          <w:rFonts w:ascii="宋体" w:hAnsi="宋体" w:cs="宋体"/>
          <w:b/>
          <w:bCs/>
          <w:color w:val="auto"/>
          <w:szCs w:val="21"/>
          <w:highlight w:val="none"/>
        </w:rPr>
      </w:pPr>
      <w:r>
        <w:rPr>
          <w:rFonts w:hint="eastAsia" w:ascii="宋体" w:hAnsi="宋体" w:cs="宋体"/>
          <w:b/>
          <w:bCs/>
          <w:color w:val="auto"/>
          <w:szCs w:val="21"/>
          <w:highlight w:val="none"/>
        </w:rPr>
        <w:t>▲4.采购预算：人民币叁佰壹拾叁万捌仟叁佰肆拾贰元伍角壹分（¥3138342.51元）</w:t>
      </w:r>
    </w:p>
    <w:p w14:paraId="2011E3C4">
      <w:pPr>
        <w:spacing w:line="400" w:lineRule="exact"/>
        <w:ind w:firstLine="310" w:firstLineChars="147"/>
        <w:jc w:val="left"/>
        <w:rPr>
          <w:rFonts w:ascii="宋体" w:hAnsi="宋体"/>
          <w:b/>
          <w:color w:val="auto"/>
          <w:szCs w:val="21"/>
          <w:highlight w:val="none"/>
        </w:rPr>
      </w:pPr>
      <w:r>
        <w:rPr>
          <w:rFonts w:hint="eastAsia" w:ascii="宋体" w:hAnsi="宋体"/>
          <w:b/>
          <w:color w:val="auto"/>
          <w:szCs w:val="21"/>
          <w:highlight w:val="none"/>
        </w:rPr>
        <w:t>本项目采购标的所属行业：建筑业</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965"/>
        <w:gridCol w:w="1539"/>
        <w:gridCol w:w="4201"/>
      </w:tblGrid>
      <w:tr w14:paraId="0E81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065" w:type="dxa"/>
            <w:gridSpan w:val="2"/>
            <w:vAlign w:val="center"/>
          </w:tcPr>
          <w:p w14:paraId="52F621D2">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539" w:type="dxa"/>
            <w:vAlign w:val="center"/>
          </w:tcPr>
          <w:p w14:paraId="1D4F6C3E">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4201" w:type="dxa"/>
            <w:vAlign w:val="center"/>
          </w:tcPr>
          <w:p w14:paraId="388A6071">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具体要求</w:t>
            </w:r>
          </w:p>
        </w:tc>
      </w:tr>
      <w:tr w14:paraId="00A8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7AB854F0">
            <w:pPr>
              <w:tabs>
                <w:tab w:val="left" w:pos="180"/>
                <w:tab w:val="left" w:pos="1620"/>
              </w:tabs>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▲一、</w:t>
            </w:r>
            <w:r>
              <w:rPr>
                <w:rFonts w:hint="eastAsia"/>
                <w:b/>
                <w:color w:val="auto"/>
                <w:highlight w:val="none"/>
              </w:rPr>
              <w:t>技术及其他要求</w:t>
            </w:r>
          </w:p>
        </w:tc>
      </w:tr>
      <w:tr w14:paraId="56EE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3065" w:type="dxa"/>
            <w:gridSpan w:val="2"/>
            <w:vAlign w:val="center"/>
          </w:tcPr>
          <w:p w14:paraId="01C41F31">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桂林航天工业学院新校区扩建项目星辰广场工程</w:t>
            </w:r>
          </w:p>
        </w:tc>
        <w:tc>
          <w:tcPr>
            <w:tcW w:w="1539" w:type="dxa"/>
            <w:vAlign w:val="center"/>
          </w:tcPr>
          <w:p w14:paraId="5F7D7E77">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201" w:type="dxa"/>
            <w:vAlign w:val="center"/>
          </w:tcPr>
          <w:p w14:paraId="6B7A301C">
            <w:pPr>
              <w:pStyle w:val="113"/>
              <w:spacing w:line="400" w:lineRule="exact"/>
              <w:ind w:firstLine="0" w:firstLineChars="0"/>
              <w:rPr>
                <w:rFonts w:ascii="宋体" w:hAnsi="宋体"/>
                <w:b/>
                <w:bCs/>
                <w:color w:val="auto"/>
                <w:highlight w:val="none"/>
              </w:rPr>
            </w:pPr>
            <w:r>
              <w:rPr>
                <w:rFonts w:hint="eastAsia" w:ascii="宋体" w:hAnsi="宋体"/>
                <w:b/>
                <w:bCs/>
                <w:color w:val="auto"/>
                <w:szCs w:val="21"/>
                <w:highlight w:val="none"/>
              </w:rPr>
              <w:t>（一）项目概况：星辰广场占地面积约8000平方米</w:t>
            </w:r>
            <w:r>
              <w:rPr>
                <w:rFonts w:hint="eastAsia" w:ascii="宋体" w:hAnsi="宋体"/>
                <w:b/>
                <w:bCs/>
                <w:color w:val="auto"/>
                <w:szCs w:val="21"/>
                <w:highlight w:val="none"/>
                <w:lang w:eastAsia="zh-CN"/>
              </w:rPr>
              <w:t>，</w:t>
            </w:r>
            <w:r>
              <w:rPr>
                <w:rFonts w:hint="eastAsia" w:ascii="宋体" w:hAnsi="宋体"/>
                <w:b/>
                <w:bCs/>
                <w:color w:val="auto"/>
                <w:szCs w:val="21"/>
                <w:highlight w:val="none"/>
              </w:rPr>
              <w:t>具体详见工程量清单及图纸。</w:t>
            </w:r>
          </w:p>
          <w:p w14:paraId="119B4E7E">
            <w:pPr>
              <w:pStyle w:val="113"/>
              <w:spacing w:line="400" w:lineRule="exact"/>
              <w:ind w:firstLine="0" w:firstLineChars="0"/>
              <w:rPr>
                <w:rFonts w:ascii="宋体" w:hAnsi="宋体"/>
                <w:b/>
                <w:color w:val="auto"/>
                <w:highlight w:val="none"/>
              </w:rPr>
            </w:pPr>
            <w:r>
              <w:rPr>
                <w:rFonts w:hint="eastAsia" w:ascii="宋体" w:hAnsi="宋体"/>
                <w:b/>
                <w:color w:val="auto"/>
                <w:highlight w:val="none"/>
              </w:rPr>
              <w:t>（二）质量等级要求：达到现行国家施工验收规范合格标准。</w:t>
            </w:r>
          </w:p>
          <w:p w14:paraId="6F688947">
            <w:pPr>
              <w:pStyle w:val="113"/>
              <w:spacing w:line="400" w:lineRule="exact"/>
              <w:ind w:firstLine="0" w:firstLineChars="0"/>
              <w:rPr>
                <w:rFonts w:ascii="宋体" w:hAnsi="宋体"/>
                <w:b/>
                <w:color w:val="auto"/>
                <w:highlight w:val="none"/>
              </w:rPr>
            </w:pPr>
            <w:r>
              <w:rPr>
                <w:rFonts w:hint="eastAsia" w:ascii="宋体" w:hAnsi="宋体"/>
                <w:b/>
                <w:color w:val="auto"/>
                <w:highlight w:val="none"/>
              </w:rPr>
              <w:t>（三）安全要求：符合国家及行业规定。</w:t>
            </w:r>
          </w:p>
          <w:p w14:paraId="39179F4E">
            <w:pPr>
              <w:pStyle w:val="113"/>
              <w:spacing w:line="400" w:lineRule="exact"/>
              <w:ind w:firstLine="0" w:firstLineChars="0"/>
              <w:rPr>
                <w:rFonts w:ascii="宋体" w:hAnsi="宋体"/>
                <w:b/>
                <w:color w:val="auto"/>
                <w:highlight w:val="none"/>
              </w:rPr>
            </w:pPr>
            <w:r>
              <w:rPr>
                <w:rFonts w:hint="eastAsia" w:ascii="宋体" w:hAnsi="宋体"/>
                <w:b/>
                <w:color w:val="auto"/>
                <w:highlight w:val="none"/>
              </w:rPr>
              <w:t>（四）技术要求：达到现行国家施工验收规范合格标准。</w:t>
            </w:r>
          </w:p>
          <w:p w14:paraId="3297EB38">
            <w:pPr>
              <w:pStyle w:val="113"/>
              <w:spacing w:line="400" w:lineRule="exact"/>
              <w:ind w:firstLine="0" w:firstLineChars="0"/>
              <w:rPr>
                <w:rFonts w:ascii="宋体" w:hAnsi="宋体"/>
                <w:b/>
                <w:color w:val="auto"/>
                <w:highlight w:val="none"/>
              </w:rPr>
            </w:pPr>
            <w:r>
              <w:rPr>
                <w:rFonts w:hint="eastAsia" w:ascii="宋体" w:hAnsi="宋体"/>
                <w:b/>
                <w:color w:val="auto"/>
                <w:highlight w:val="none"/>
              </w:rPr>
              <w:t>（五）需实现的功能或者目标：达到现行国家施工验收规范合格标准。</w:t>
            </w:r>
          </w:p>
          <w:p w14:paraId="6DDB1C4A">
            <w:pPr>
              <w:tabs>
                <w:tab w:val="left" w:pos="180"/>
                <w:tab w:val="left" w:pos="1620"/>
              </w:tabs>
              <w:spacing w:line="400" w:lineRule="exact"/>
              <w:rPr>
                <w:rFonts w:ascii="宋体" w:hAnsi="宋体" w:cs="宋体"/>
                <w:b/>
                <w:color w:val="auto"/>
                <w:szCs w:val="21"/>
                <w:highlight w:val="none"/>
              </w:rPr>
            </w:pPr>
            <w:bookmarkStart w:id="72" w:name="OLE_LINK13"/>
            <w:r>
              <w:rPr>
                <w:rFonts w:hint="eastAsia" w:ascii="宋体" w:hAnsi="宋体" w:cs="宋体"/>
                <w:b/>
                <w:color w:val="auto"/>
                <w:szCs w:val="21"/>
                <w:highlight w:val="none"/>
              </w:rPr>
              <w:t>（六）项目管理机构</w:t>
            </w:r>
            <w:bookmarkEnd w:id="72"/>
            <w:r>
              <w:rPr>
                <w:rFonts w:hint="eastAsia" w:ascii="宋体" w:hAnsi="宋体" w:cs="宋体"/>
                <w:b/>
                <w:color w:val="auto"/>
                <w:szCs w:val="21"/>
                <w:highlight w:val="none"/>
              </w:rPr>
              <w:t>人员</w:t>
            </w:r>
          </w:p>
          <w:p w14:paraId="00AB0CC9">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1.配备要求：</w:t>
            </w:r>
          </w:p>
          <w:p w14:paraId="3963DD73">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 1 \* GB3 \* MERGEFORMAT </w:instrText>
            </w:r>
            <w:r>
              <w:rPr>
                <w:rFonts w:hint="eastAsia" w:ascii="宋体" w:hAnsi="宋体" w:cs="宋体"/>
                <w:b/>
                <w:color w:val="auto"/>
                <w:szCs w:val="21"/>
                <w:highlight w:val="none"/>
              </w:rPr>
              <w:fldChar w:fldCharType="separate"/>
            </w:r>
            <w:r>
              <w:rPr>
                <w:rFonts w:hint="eastAsia" w:ascii="宋体" w:hAnsi="宋体" w:cs="宋体"/>
                <w:b/>
                <w:color w:val="auto"/>
                <w:szCs w:val="21"/>
                <w:highlight w:val="none"/>
              </w:rPr>
              <w:t>①</w:t>
            </w:r>
            <w:r>
              <w:rPr>
                <w:rFonts w:hint="eastAsia" w:ascii="宋体" w:hAnsi="宋体" w:cs="宋体"/>
                <w:b/>
                <w:color w:val="auto"/>
                <w:szCs w:val="21"/>
                <w:highlight w:val="none"/>
              </w:rPr>
              <w:fldChar w:fldCharType="end"/>
            </w:r>
            <w:r>
              <w:rPr>
                <w:rFonts w:hint="eastAsia" w:ascii="宋体" w:hAnsi="宋体" w:cs="宋体"/>
                <w:b/>
                <w:color w:val="auto"/>
                <w:szCs w:val="21"/>
                <w:highlight w:val="none"/>
              </w:rPr>
              <w:t>项目经理（1人）：供应商拟派本工程的项目经理必须具有建筑工程专业二级以上（含二级）注册建造师执业资格并具有有效的安全生产考核合格证（B类），且未在其他在建、已中标（或成交）未开工或已列为其他项目中标（或成交）候选人第一名的建造师作为项目经理（符合桂建管【2013】17号文及桂建管【2016】70号除外）。</w:t>
            </w:r>
          </w:p>
          <w:p w14:paraId="50C392CE">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②技术负责人（1人）：技术负责人须具有</w:t>
            </w:r>
            <w:r>
              <w:rPr>
                <w:rFonts w:hint="eastAsia" w:ascii="宋体" w:hAnsi="宋体" w:cs="宋体"/>
                <w:b/>
                <w:bCs/>
                <w:color w:val="auto"/>
                <w:szCs w:val="21"/>
                <w:highlight w:val="none"/>
              </w:rPr>
              <w:t>与本项目相关专业的</w:t>
            </w:r>
            <w:r>
              <w:rPr>
                <w:rFonts w:hint="eastAsia" w:ascii="宋体" w:hAnsi="宋体" w:cs="宋体"/>
                <w:b/>
                <w:color w:val="auto"/>
                <w:szCs w:val="21"/>
                <w:highlight w:val="none"/>
              </w:rPr>
              <w:t>工程师及以上职称。</w:t>
            </w:r>
          </w:p>
          <w:p w14:paraId="6458E21F">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③专职安全生产管理人员（1人）：专职安全生产管理人员须具有安全生产考核合格证书（C类）；</w:t>
            </w:r>
          </w:p>
          <w:p w14:paraId="1F1A3D66">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④施工员、质量员、材料员（各配备1人）：施工员、质量员、材料员须具有施工现场专业人员职业培训合格证书。</w:t>
            </w:r>
          </w:p>
          <w:p w14:paraId="0DC8E4CF">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2.供应商须按“第六章 响应文件格式”要求，于响应文件中必须提供“项目管理机构配备情况表”【含项目经理、技术负责人、专职安全生产管理人员、施工员、质量员、材料员的基本情况，并附以下证明材料：①项目经理提供建筑工程专业二级以上（含二级）注册建造师执业资格证书复印件及有效的安全生产考核合格证书复印件（B类），加盖供应商电子签章；②技术负责人提供</w:t>
            </w:r>
            <w:r>
              <w:rPr>
                <w:rFonts w:hint="eastAsia" w:ascii="宋体" w:hAnsi="宋体" w:cs="宋体"/>
                <w:b/>
                <w:bCs/>
                <w:color w:val="auto"/>
                <w:szCs w:val="21"/>
                <w:highlight w:val="none"/>
              </w:rPr>
              <w:t>与本项目相关专业的</w:t>
            </w:r>
            <w:r>
              <w:rPr>
                <w:rFonts w:hint="eastAsia" w:ascii="宋体" w:hAnsi="宋体" w:cs="宋体"/>
                <w:b/>
                <w:color w:val="auto"/>
                <w:szCs w:val="21"/>
                <w:highlight w:val="none"/>
              </w:rPr>
              <w:t>工程师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9月至响应文件递交截止时间止任意一个月供应商为以上项目管理机构人员交纳的社保证明材料复印件</w:t>
            </w:r>
            <w:r>
              <w:rPr>
                <w:rFonts w:hint="eastAsia"/>
                <w:b/>
                <w:color w:val="auto"/>
                <w:highlight w:val="none"/>
              </w:rPr>
              <w:t>或者劳动合同</w:t>
            </w:r>
            <w:r>
              <w:rPr>
                <w:rFonts w:hint="eastAsia" w:ascii="宋体" w:hAnsi="宋体" w:cs="宋体"/>
                <w:b/>
                <w:color w:val="auto"/>
                <w:szCs w:val="21"/>
                <w:highlight w:val="none"/>
              </w:rPr>
              <w:t>复印件，加盖供应商电子签章】。</w:t>
            </w:r>
          </w:p>
          <w:p w14:paraId="61793F56">
            <w:pPr>
              <w:pStyle w:val="63"/>
              <w:spacing w:line="400" w:lineRule="exact"/>
              <w:rPr>
                <w:rFonts w:ascii="宋体" w:hAnsi="宋体"/>
                <w:color w:val="auto"/>
                <w:highlight w:val="none"/>
              </w:rPr>
            </w:pPr>
            <w:r>
              <w:rPr>
                <w:rFonts w:hint="eastAsia" w:ascii="宋体" w:hAnsi="宋体" w:cs="宋体"/>
                <w:b/>
                <w:color w:val="auto"/>
                <w:szCs w:val="21"/>
                <w:highlight w:val="none"/>
              </w:rPr>
              <w:t>3. 供应商须按“第六章 响应文件格式”要求，于响应文件中提供“供应商关于拟派项目经理的承诺函”。</w:t>
            </w:r>
          </w:p>
        </w:tc>
      </w:tr>
      <w:tr w14:paraId="19F55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5689F4C1">
            <w:pPr>
              <w:spacing w:line="40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14:paraId="69D01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69BF608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（一）计划工期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44926A4">
            <w:pPr>
              <w:spacing w:line="400" w:lineRule="exact"/>
              <w:rPr>
                <w:rFonts w:ascii="宋体" w:hAnsi="宋体"/>
                <w:b/>
                <w:color w:val="auto"/>
                <w:szCs w:val="21"/>
                <w:highlight w:val="none"/>
              </w:rPr>
            </w:pPr>
            <w:r>
              <w:rPr>
                <w:rFonts w:hint="eastAsia" w:ascii="宋体" w:hAnsi="宋体"/>
                <w:b/>
                <w:color w:val="auto"/>
                <w:szCs w:val="21"/>
                <w:highlight w:val="none"/>
                <w:u w:val="single"/>
              </w:rPr>
              <w:t>100</w:t>
            </w:r>
            <w:r>
              <w:rPr>
                <w:rFonts w:hint="eastAsia" w:ascii="宋体" w:hAnsi="宋体"/>
                <w:b/>
                <w:color w:val="auto"/>
                <w:szCs w:val="21"/>
                <w:highlight w:val="none"/>
              </w:rPr>
              <w:t>天</w:t>
            </w:r>
          </w:p>
        </w:tc>
      </w:tr>
      <w:tr w14:paraId="52833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7273AF1">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（二）建设地点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5AA9270">
            <w:pPr>
              <w:spacing w:line="400" w:lineRule="exact"/>
              <w:rPr>
                <w:rFonts w:ascii="宋体" w:hAnsi="宋体"/>
                <w:b/>
                <w:color w:val="auto"/>
                <w:szCs w:val="21"/>
                <w:highlight w:val="none"/>
              </w:rPr>
            </w:pPr>
            <w:r>
              <w:rPr>
                <w:rFonts w:hint="eastAsia" w:ascii="宋体" w:hAnsi="宋体"/>
                <w:b/>
                <w:color w:val="auto"/>
                <w:szCs w:val="21"/>
                <w:highlight w:val="none"/>
              </w:rPr>
              <w:t>桂林航天工业学院（广西桂林市金鸡路2号）</w:t>
            </w:r>
          </w:p>
        </w:tc>
      </w:tr>
      <w:tr w14:paraId="52EAF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4F384788">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（三）合同签订时间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6EDEF66">
            <w:pPr>
              <w:spacing w:line="400" w:lineRule="exact"/>
              <w:rPr>
                <w:rFonts w:ascii="宋体" w:hAnsi="宋体"/>
                <w:b/>
                <w:color w:val="auto"/>
                <w:szCs w:val="21"/>
                <w:highlight w:val="none"/>
              </w:rPr>
            </w:pPr>
            <w:r>
              <w:rPr>
                <w:rFonts w:hint="eastAsia" w:ascii="宋体" w:hAnsi="宋体"/>
                <w:b/>
                <w:color w:val="auto"/>
                <w:szCs w:val="21"/>
                <w:highlight w:val="none"/>
              </w:rPr>
              <w:t xml:space="preserve">自成交通知书发出之日起 </w:t>
            </w:r>
            <w:r>
              <w:rPr>
                <w:rFonts w:hint="eastAsia" w:ascii="宋体" w:hAnsi="宋体"/>
                <w:b/>
                <w:color w:val="auto"/>
                <w:szCs w:val="21"/>
                <w:highlight w:val="none"/>
                <w:u w:val="single"/>
              </w:rPr>
              <w:t>25</w:t>
            </w:r>
            <w:r>
              <w:rPr>
                <w:rFonts w:hint="eastAsia" w:ascii="宋体" w:hAnsi="宋体"/>
                <w:b/>
                <w:color w:val="auto"/>
                <w:szCs w:val="21"/>
                <w:highlight w:val="none"/>
              </w:rPr>
              <w:t>日内</w:t>
            </w:r>
          </w:p>
        </w:tc>
      </w:tr>
      <w:tr w14:paraId="604F6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2"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14:paraId="4B94FBE0">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（四）付款条件（进度和方式）</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9DB5700">
            <w:pPr>
              <w:spacing w:line="400" w:lineRule="exact"/>
              <w:jc w:val="left"/>
              <w:rPr>
                <w:rFonts w:ascii="宋体" w:hAnsi="宋体"/>
                <w:b/>
                <w:color w:val="auto"/>
                <w:szCs w:val="21"/>
                <w:highlight w:val="none"/>
              </w:rPr>
            </w:pPr>
            <w:r>
              <w:rPr>
                <w:rFonts w:hint="eastAsia" w:ascii="宋体" w:hAnsi="宋体"/>
                <w:b/>
                <w:color w:val="auto"/>
                <w:highlight w:val="none"/>
              </w:rPr>
              <w:t>预付款：合同价款的30%（预付款支付期限：收到预付款担保后，采购人10个工作日之内付款；预付款扣回的方式：分两期扣回，每期扣回金额为预付款的50%，扣完为止）。 进度款：工程款原则上按期支付，合同内进度款支付限额为已完成工程量的 85%，增加工程进度款支付限额为已完成工程量的70%；工程完工验收达到质量要求，结算经采购人委托中介机构或区财政厅评审中心审定后，工程款支付至结算总价的97%；采购人按工程价款结算总额的3%预留工程质量保证金，待工程质量缺陷责任期满后返还。</w:t>
            </w:r>
          </w:p>
        </w:tc>
      </w:tr>
      <w:tr w14:paraId="0ED85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4F13E84">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（五）工程保修期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783BF9C">
            <w:pPr>
              <w:spacing w:line="400" w:lineRule="exact"/>
              <w:jc w:val="left"/>
              <w:rPr>
                <w:rFonts w:asciiTheme="majorEastAsia" w:hAnsiTheme="majorEastAsia" w:eastAsiaTheme="majorEastAsia"/>
                <w:b/>
                <w:color w:val="auto"/>
                <w:szCs w:val="22"/>
                <w:highlight w:val="none"/>
              </w:rPr>
            </w:pPr>
            <w:r>
              <w:rPr>
                <w:rFonts w:hint="eastAsia" w:ascii="宋体" w:hAnsi="宋体"/>
                <w:b/>
                <w:color w:val="auto"/>
                <w:szCs w:val="21"/>
                <w:highlight w:val="none"/>
              </w:rPr>
              <w:t>2年（所涉及的费用包含在报价中，采购人不再另行支付）。</w:t>
            </w:r>
          </w:p>
        </w:tc>
      </w:tr>
      <w:tr w14:paraId="4A206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3EA1D52">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（六）工程隐蔽部位覆盖前的检查</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3F1E56B">
            <w:pPr>
              <w:spacing w:line="400" w:lineRule="exact"/>
              <w:jc w:val="left"/>
              <w:rPr>
                <w:rFonts w:ascii="宋体" w:hAnsi="宋体"/>
                <w:b/>
                <w:color w:val="auto"/>
                <w:szCs w:val="21"/>
                <w:highlight w:val="none"/>
              </w:rPr>
            </w:pPr>
            <w:r>
              <w:rPr>
                <w:rFonts w:hint="eastAsia" w:ascii="宋体" w:hAnsi="宋体"/>
                <w:b/>
                <w:color w:val="auto"/>
                <w:szCs w:val="21"/>
                <w:highlight w:val="none"/>
              </w:rPr>
              <w:t>工程隐蔽或中间验收前12小时以书面形式通知采购人和监理工程师验收的内容、时间、地点，成交人准备验收记录单（最好是印制的表格）由双方签证。验收合格，成交人可进行隐蔽和继续施工；验收不合格，双方商定时限内修改后按合同规定顺序重新验收。</w:t>
            </w:r>
          </w:p>
        </w:tc>
      </w:tr>
      <w:tr w14:paraId="182B6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79D8F01">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（七）验收标准</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6131DD6">
            <w:pPr>
              <w:spacing w:line="400" w:lineRule="exact"/>
              <w:rPr>
                <w:rFonts w:ascii="Calibri" w:hAnsi="Calibri"/>
                <w:b/>
                <w:color w:val="auto"/>
                <w:szCs w:val="22"/>
                <w:highlight w:val="none"/>
              </w:rPr>
            </w:pPr>
            <w:r>
              <w:rPr>
                <w:rFonts w:hint="eastAsia" w:cs="宋体;SimSun"/>
                <w:b/>
                <w:color w:val="auto"/>
                <w:highlight w:val="none"/>
              </w:rPr>
              <w:t>按照竞争性磋商文件要求及响应文件承诺进行验收，施工达到现行国家施工验收规范合格标准</w:t>
            </w:r>
            <w:r>
              <w:rPr>
                <w:rFonts w:hint="eastAsia" w:ascii="宋体" w:hAnsi="宋体" w:cs="宋体"/>
                <w:b/>
                <w:color w:val="auto"/>
                <w:szCs w:val="21"/>
                <w:highlight w:val="none"/>
              </w:rPr>
              <w:t>。</w:t>
            </w:r>
          </w:p>
        </w:tc>
      </w:tr>
      <w:tr w14:paraId="1E37F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34C06CC">
            <w:pPr>
              <w:spacing w:line="360" w:lineRule="auto"/>
              <w:rPr>
                <w:rFonts w:ascii="宋体" w:hAnsi="宋体"/>
                <w:color w:val="auto"/>
                <w:szCs w:val="21"/>
                <w:highlight w:val="none"/>
              </w:rPr>
            </w:pPr>
            <w:r>
              <w:rPr>
                <w:rFonts w:hint="eastAsia" w:ascii="宋体" w:hAnsi="宋体"/>
                <w:b/>
                <w:bCs/>
                <w:color w:val="auto"/>
                <w:szCs w:val="21"/>
                <w:highlight w:val="none"/>
              </w:rPr>
              <w:t>三、与实现项目目标相关的其他要求</w:t>
            </w:r>
          </w:p>
        </w:tc>
      </w:tr>
      <w:tr w14:paraId="055C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F467D09">
            <w:pPr>
              <w:tabs>
                <w:tab w:val="left" w:pos="180"/>
                <w:tab w:val="left" w:pos="1620"/>
              </w:tabs>
              <w:spacing w:line="36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（一）施工组织设计要求</w:t>
            </w:r>
          </w:p>
          <w:p w14:paraId="669C40A8">
            <w:pPr>
              <w:tabs>
                <w:tab w:val="left" w:pos="180"/>
                <w:tab w:val="left" w:pos="1620"/>
              </w:tabs>
              <w:spacing w:line="36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供应商根据图纸、工程量清单，于响应文件中提供施工组织设计（包括但不限于：①总体概述；②主要施工方法；③施工进度计划和各阶段进度的保证措施；④劳动力和材料投入计划及其保证措施；⑤施工平面布置和临时设施布置；⑥关键施工技术、工艺及工程实施的重点、难点和解决方案；⑦安全文明施工措施；⑧质量保证与承诺；⑨新技术应用与承诺）。</w:t>
            </w:r>
          </w:p>
          <w:p w14:paraId="5E979751">
            <w:pPr>
              <w:tabs>
                <w:tab w:val="left" w:pos="180"/>
                <w:tab w:val="left" w:pos="1620"/>
              </w:tabs>
              <w:spacing w:line="36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（二）其他要求</w:t>
            </w:r>
          </w:p>
          <w:p w14:paraId="11FD9521">
            <w:pPr>
              <w:tabs>
                <w:tab w:val="left" w:pos="180"/>
                <w:tab w:val="left" w:pos="1620"/>
              </w:tabs>
              <w:spacing w:line="360" w:lineRule="exact"/>
              <w:ind w:firstLine="404" w:firstLineChars="200"/>
              <w:rPr>
                <w:rFonts w:cs="宋体" w:asciiTheme="majorEastAsia" w:hAnsiTheme="majorEastAsia" w:eastAsiaTheme="majorEastAsia"/>
                <w:color w:val="auto"/>
                <w:highlight w:val="none"/>
              </w:rPr>
            </w:pPr>
            <w:r>
              <w:rPr>
                <w:rFonts w:hint="eastAsia" w:asciiTheme="majorEastAsia" w:hAnsiTheme="majorEastAsia" w:eastAsiaTheme="majorEastAsia"/>
                <w:color w:val="auto"/>
                <w:spacing w:val="-4"/>
                <w:highlight w:val="none"/>
              </w:rPr>
              <w:t>供应商根据自身情况，于响应文件中提供</w:t>
            </w:r>
            <w:r>
              <w:rPr>
                <w:rFonts w:hint="eastAsia" w:asciiTheme="majorEastAsia" w:hAnsiTheme="majorEastAsia" w:eastAsiaTheme="majorEastAsia"/>
                <w:color w:val="auto"/>
                <w:highlight w:val="none"/>
              </w:rPr>
              <w:t>拟投入主要管理人员职称证、信誉及业绩复印件等证明材料</w:t>
            </w:r>
            <w:r>
              <w:rPr>
                <w:rFonts w:hint="eastAsia" w:cs="宋体" w:asciiTheme="majorEastAsia" w:hAnsiTheme="majorEastAsia" w:eastAsiaTheme="majorEastAsia"/>
                <w:color w:val="auto"/>
                <w:highlight w:val="none"/>
              </w:rPr>
              <w:t>。</w:t>
            </w:r>
          </w:p>
          <w:p w14:paraId="2A03ECF1">
            <w:pPr>
              <w:tabs>
                <w:tab w:val="left" w:pos="180"/>
                <w:tab w:val="left" w:pos="1620"/>
              </w:tabs>
              <w:spacing w:line="360" w:lineRule="exact"/>
              <w:rPr>
                <w:rFonts w:cs="宋体" w:asciiTheme="majorEastAsia" w:hAnsiTheme="majorEastAsia" w:eastAsiaTheme="majorEastAsia"/>
                <w:color w:val="auto"/>
                <w:highlight w:val="none"/>
              </w:rPr>
            </w:pPr>
            <w:r>
              <w:rPr>
                <w:rFonts w:hint="eastAsia" w:cs="宋体" w:asciiTheme="majorEastAsia" w:hAnsiTheme="majorEastAsia" w:eastAsiaTheme="majorEastAsia"/>
                <w:b/>
                <w:bCs/>
                <w:color w:val="auto"/>
                <w:highlight w:val="none"/>
              </w:rPr>
              <w:t>以上具体评审详见“第四章  评审程序、评审方法和评审标准”。</w:t>
            </w:r>
          </w:p>
        </w:tc>
      </w:tr>
    </w:tbl>
    <w:p w14:paraId="65D95E60">
      <w:pPr>
        <w:rPr>
          <w:color w:val="auto"/>
          <w:highlight w:val="none"/>
        </w:rPr>
      </w:pPr>
      <w:bookmarkStart w:id="73" w:name="_Toc74323459"/>
    </w:p>
    <w:p w14:paraId="60A15E66">
      <w:pPr>
        <w:pStyle w:val="2"/>
        <w:spacing w:before="0" w:after="0" w:line="360" w:lineRule="auto"/>
        <w:jc w:val="center"/>
        <w:rPr>
          <w:color w:val="auto"/>
          <w:highlight w:val="none"/>
        </w:rPr>
      </w:pPr>
    </w:p>
    <w:p w14:paraId="68DA21C6">
      <w:pPr>
        <w:rPr>
          <w:color w:val="auto"/>
          <w:highlight w:val="none"/>
        </w:rPr>
      </w:pPr>
    </w:p>
    <w:p w14:paraId="4E3E68D0">
      <w:pPr>
        <w:rPr>
          <w:color w:val="auto"/>
          <w:highlight w:val="none"/>
        </w:rPr>
      </w:pPr>
    </w:p>
    <w:p w14:paraId="147ECD29">
      <w:pPr>
        <w:pStyle w:val="7"/>
        <w:rPr>
          <w:color w:val="auto"/>
          <w:highlight w:val="none"/>
        </w:rPr>
      </w:pPr>
    </w:p>
    <w:p w14:paraId="7BD5F013">
      <w:pPr>
        <w:pStyle w:val="7"/>
        <w:rPr>
          <w:color w:val="auto"/>
          <w:highlight w:val="none"/>
        </w:rPr>
      </w:pPr>
    </w:p>
    <w:p w14:paraId="1625E1AC">
      <w:pPr>
        <w:rPr>
          <w:color w:val="auto"/>
          <w:highlight w:val="none"/>
        </w:rPr>
      </w:pPr>
    </w:p>
    <w:p w14:paraId="46933984">
      <w:pPr>
        <w:rPr>
          <w:color w:val="auto"/>
          <w:highlight w:val="none"/>
        </w:rPr>
      </w:pPr>
    </w:p>
    <w:p w14:paraId="0C0ABE8E">
      <w:pPr>
        <w:rPr>
          <w:color w:val="auto"/>
          <w:highlight w:val="none"/>
        </w:rPr>
      </w:pPr>
    </w:p>
    <w:p w14:paraId="73E8644C">
      <w:pPr>
        <w:pStyle w:val="2"/>
        <w:spacing w:before="0" w:after="0" w:line="360" w:lineRule="auto"/>
        <w:jc w:val="center"/>
        <w:rPr>
          <w:color w:val="auto"/>
          <w:highlight w:val="none"/>
        </w:rPr>
      </w:pPr>
      <w:r>
        <w:rPr>
          <w:rFonts w:hint="eastAsia"/>
          <w:color w:val="auto"/>
          <w:highlight w:val="none"/>
        </w:rPr>
        <w:t>第四章  评审程序、评审方法和评审标准</w:t>
      </w:r>
      <w:bookmarkEnd w:id="73"/>
    </w:p>
    <w:p w14:paraId="0F15124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4259A78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4C0F508">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DAEB4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23D712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C672D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B0F86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A7C0D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125D78A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CDB6D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5FBA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2604E6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（2）未按磋商文件规定的方式获取本磋商文件的供应商的；</w:t>
      </w:r>
    </w:p>
    <w:p w14:paraId="0F4BB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CE901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74360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w:t>
      </w:r>
      <w:r>
        <w:rPr>
          <w:color w:val="auto"/>
          <w:highlight w:val="none"/>
        </w:rPr>
        <w:t>为本项目提供过整体设计、规范编制或者项目管理、监理、检测等服务的供应商，不得再参加该采购项目的其他采购活动。</w:t>
      </w:r>
    </w:p>
    <w:p w14:paraId="0FBC007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5F07286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9A20850">
      <w:pPr>
        <w:spacing w:line="360" w:lineRule="auto"/>
        <w:ind w:firstLine="420" w:firstLineChars="200"/>
        <w:rPr>
          <w:rFonts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4FF1A3B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71A73A">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3FBAF38B">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F871D65">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EFCB9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00ED2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7062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28848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4B2F09A">
      <w:pPr>
        <w:tabs>
          <w:tab w:val="left" w:pos="483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5C7B89C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551468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09D5663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1ACA9D0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7218002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3B91877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3）提交的磋商保证金无效的或者未按照磋商文件的规定提交磋商保证金的（如要求提交磋商保证金的）；</w:t>
      </w:r>
    </w:p>
    <w:p w14:paraId="6506389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198AF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2A7C704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6）响应文件的实质性内容未使用中文表述、使用计量单位不符合磋商文件要求的；</w:t>
      </w:r>
    </w:p>
    <w:p w14:paraId="23F8892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7）响应文件中的文件资料因填写不齐全或者内容虚假或者出现其他情形而导致被磋商小组认定无效的；</w:t>
      </w:r>
    </w:p>
    <w:p w14:paraId="123616A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8）响应文件含有采购人不能接受的附加条件的；</w:t>
      </w:r>
    </w:p>
    <w:p w14:paraId="3572ED4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34EF38D0">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r>
        <w:rPr>
          <w:rFonts w:hint="eastAsia"/>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327ECFC3">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1）虚假竞标，或者出现其他情形而导致被磋商小组认定无效的；</w:t>
      </w:r>
    </w:p>
    <w:p w14:paraId="5810A40D">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bookmarkStart w:id="75"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5"/>
    </w:p>
    <w:p w14:paraId="521FD71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竞争性磋商文件明确不允许分包，响应文件拟分包的；</w:t>
      </w:r>
    </w:p>
    <w:p w14:paraId="0FBF37F4">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5B8DA26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15）法律、法规和磋商文件规定的其他无效情形。</w:t>
      </w:r>
    </w:p>
    <w:p w14:paraId="41423EB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3AC4CE2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5DAF11A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216B6BD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15D1D0F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4）竞标报价（包含首次报价、最后报价）超过本项目规定的采购预算金额或者最高限价的（如本项目公布了最高限价）；</w:t>
      </w:r>
      <w:bookmarkStart w:id="76" w:name="_Hlk42596405"/>
      <w:r>
        <w:rPr>
          <w:rFonts w:hint="eastAsia" w:ascii="宋体" w:hAnsi="宋体" w:cs="宋体"/>
          <w:b/>
          <w:color w:val="auto"/>
          <w:szCs w:val="21"/>
          <w:highlight w:val="none"/>
        </w:rPr>
        <w:t>竞标报价（包含首次报价、最后报价）</w:t>
      </w:r>
      <w:bookmarkEnd w:id="76"/>
      <w:bookmarkStart w:id="77" w:name="_Hlk42596276"/>
      <w:r>
        <w:rPr>
          <w:rFonts w:hint="eastAsia" w:ascii="宋体" w:hAnsi="宋体" w:cs="宋体"/>
          <w:b/>
          <w:color w:val="auto"/>
          <w:szCs w:val="21"/>
          <w:highlight w:val="none"/>
        </w:rPr>
        <w:t>超过磋商文件分项采购预算金额或者最高限价的</w:t>
      </w:r>
      <w:bookmarkEnd w:id="77"/>
      <w:r>
        <w:rPr>
          <w:rFonts w:hint="eastAsia" w:ascii="宋体" w:hAnsi="宋体" w:cs="宋体"/>
          <w:b/>
          <w:color w:val="auto"/>
          <w:szCs w:val="21"/>
          <w:highlight w:val="none"/>
        </w:rPr>
        <w:t>；（如本项目有要求并公布了分项采购预算金额或者最高限价）；</w:t>
      </w:r>
    </w:p>
    <w:p w14:paraId="6EF34A3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23ADB05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7DC36C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F85F45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8）安全文明施工费和规费、增值税不按广西区费用定额及造价管理相关文件规定报价的（园林绿化及仿古建筑工程除外）；（适用于房屋建筑和市政工程项目）</w:t>
      </w:r>
    </w:p>
    <w:p w14:paraId="2CF341C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9）供应商已标价工程量清单的项目编码（12位）、计量单位、工程量任何一处与工程量清单不一致的；（适用于房屋建筑和市政工程项目）</w:t>
      </w:r>
    </w:p>
    <w:p w14:paraId="75694F4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554075D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2D69C13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19C271D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13）未对竞标有效期作出响应或者响应文件承诺的竞标有效期不满足磋商文件要求的；</w:t>
      </w:r>
    </w:p>
    <w:p w14:paraId="72F64581">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14）</w:t>
      </w:r>
      <w:r>
        <w:rPr>
          <w:rFonts w:hint="eastAsia" w:ascii="宋体" w:hAnsi="宋体"/>
          <w:b/>
          <w:color w:val="auto"/>
          <w:szCs w:val="21"/>
          <w:highlight w:val="none"/>
        </w:rPr>
        <w:t>响应文件响应的标的数量及单位与竞争性磋商采购文件要求实质性不一致的；</w:t>
      </w:r>
    </w:p>
    <w:p w14:paraId="5A8EB007">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5）未响应磋商文件实质性要求的。</w:t>
      </w:r>
    </w:p>
    <w:p w14:paraId="2BEC59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71B15F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E253A0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436987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0EDAB97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DB05F9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6B58F3A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0A4B96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77BE11CA">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30700AF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D4D326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13B649F2">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A5ADD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25B5EB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如果供应商的最后报价与首次报价不一致的，不能只报竞标总报价，必须同时提供“已标价工程量清单”，否则作无效响应处理。</w:t>
      </w:r>
    </w:p>
    <w:p w14:paraId="0F36BD8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531C76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7846B47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717F22C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D05A1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5350BE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C9CABE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B0626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0A314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（2）经供应商确认修正后的竞标报价（包含首次报价、最后报价）超过本项目规定的采购预算金额或者最高限价的（如本项目公布了最高限价）；</w:t>
      </w:r>
    </w:p>
    <w:p w14:paraId="53F723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08C652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98E8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96D2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6320E7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DC2AD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85A2B3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89A00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6EC65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1347B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6697C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最终成交人的成交金额等于最后报价（如有修正，以确认修正后的最后报价为准）。</w:t>
      </w:r>
    </w:p>
    <w:p w14:paraId="6A40273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成交人荐原则</w:t>
      </w:r>
    </w:p>
    <w:p w14:paraId="5A94C876">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分由高到低顺序推荐（按技术得分由高到低排序，技术分得分相同的按照履约能力分由高到低排序）。评审得分、最后报价（不计算价格折扣）、技术得分、技术及其他要求偏离分均相同的，由磋商小组随机抽取推荐</w:t>
      </w:r>
      <w:r>
        <w:rPr>
          <w:rFonts w:hint="eastAsia" w:ascii="宋体" w:hAnsi="宋体"/>
          <w:color w:val="auto"/>
          <w:kern w:val="0"/>
          <w:szCs w:val="21"/>
          <w:highlight w:val="none"/>
        </w:rPr>
        <w:t>。</w:t>
      </w:r>
    </w:p>
    <w:p w14:paraId="3CA13221">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0007D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09CAF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w:t>
      </w:r>
      <w:r>
        <w:rPr>
          <w:rFonts w:hint="eastAsia"/>
          <w:color w:val="auto"/>
          <w:highlight w:val="none"/>
        </w:rPr>
        <w:t>履约能力</w:t>
      </w:r>
      <w:r>
        <w:rPr>
          <w:rFonts w:hint="eastAsia" w:ascii="宋体" w:hAnsi="宋体"/>
          <w:bCs/>
          <w:color w:val="auto"/>
          <w:szCs w:val="21"/>
          <w:highlight w:val="none"/>
        </w:rPr>
        <w:t>等方面内容按百分制打分。（计分方法按四舍五入取至百分位）</w:t>
      </w:r>
    </w:p>
    <w:tbl>
      <w:tblPr>
        <w:tblStyle w:val="45"/>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8"/>
        <w:gridCol w:w="6288"/>
        <w:gridCol w:w="851"/>
      </w:tblGrid>
      <w:tr w14:paraId="65F7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3E8C01F">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5087F5E">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7C35B20B">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14:paraId="5895C0F4">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分值</w:t>
            </w:r>
          </w:p>
        </w:tc>
      </w:tr>
      <w:tr w14:paraId="5A99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0E5A96">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5B4664DA">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tcPr>
          <w:p w14:paraId="588C18F3">
            <w:pPr>
              <w:spacing w:line="500" w:lineRule="exact"/>
              <w:ind w:firstLine="31" w:firstLineChars="15"/>
              <w:rPr>
                <w:rFonts w:asciiTheme="majorEastAsia" w:hAnsiTheme="majorEastAsia" w:eastAsiaTheme="majorEastAsia"/>
                <w:color w:val="auto"/>
                <w:szCs w:val="21"/>
                <w:highlight w:val="none"/>
              </w:rPr>
            </w:pPr>
            <w:r>
              <w:rPr>
                <w:rFonts w:hint="eastAsia" w:cs="Courier New" w:asciiTheme="majorEastAsia" w:hAnsiTheme="majorEastAsia" w:eastAsiaTheme="majorEastAsia"/>
                <w:bCs/>
                <w:color w:val="auto"/>
                <w:szCs w:val="21"/>
                <w:highlight w:val="none"/>
              </w:rPr>
              <w:t>（1）</w:t>
            </w:r>
            <w:r>
              <w:rPr>
                <w:rFonts w:hint="eastAsia" w:asciiTheme="majorEastAsia" w:hAnsiTheme="majorEastAsia" w:eastAsiaTheme="majorEastAsia"/>
                <w:color w:val="auto"/>
                <w:szCs w:val="21"/>
                <w:highlight w:val="none"/>
              </w:rPr>
              <w:t>最终成交人的成交金额等于最后报价（如有修正，以确认修正后的最后报价为准）。本项目为专门面向中小企业，不执行小微企业扣除。</w:t>
            </w:r>
          </w:p>
          <w:p w14:paraId="29AEABC0">
            <w:pPr>
              <w:pStyle w:val="25"/>
              <w:spacing w:line="500" w:lineRule="exact"/>
              <w:ind w:firstLine="31" w:firstLineChars="15"/>
              <w:rPr>
                <w:rFonts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（2）以进入比较与评价环节的最低的最后报价为基准价，基准价得分为</w:t>
            </w:r>
            <w:r>
              <w:rPr>
                <w:rFonts w:hint="eastAsia" w:asciiTheme="majorEastAsia" w:hAnsiTheme="majorEastAsia" w:eastAsiaTheme="majorEastAsia"/>
                <w:color w:val="auto"/>
                <w:kern w:val="2"/>
                <w:sz w:val="21"/>
                <w:highlight w:val="none"/>
                <w:u w:val="single"/>
              </w:rPr>
              <w:t>50</w:t>
            </w:r>
            <w:r>
              <w:rPr>
                <w:rFonts w:hint="eastAsia" w:asciiTheme="majorEastAsia" w:hAnsiTheme="majorEastAsia" w:eastAsiaTheme="majorEastAsia"/>
                <w:color w:val="auto"/>
                <w:kern w:val="2"/>
                <w:sz w:val="21"/>
                <w:highlight w:val="none"/>
              </w:rPr>
              <w:t>分。</w:t>
            </w:r>
          </w:p>
          <w:p w14:paraId="53814D18">
            <w:pPr>
              <w:pStyle w:val="25"/>
              <w:spacing w:line="500" w:lineRule="exact"/>
              <w:ind w:firstLine="31" w:firstLineChars="15"/>
              <w:rPr>
                <w:rFonts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（3）价格分计算公式：</w:t>
            </w:r>
          </w:p>
          <w:p w14:paraId="58A3BD30">
            <w:pPr>
              <w:pStyle w:val="25"/>
              <w:spacing w:line="500" w:lineRule="exact"/>
              <w:ind w:firstLine="31" w:firstLineChars="15"/>
              <w:rPr>
                <w:rFonts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报价得分=（基准价/最后报价）×</w:t>
            </w:r>
            <w:r>
              <w:rPr>
                <w:rFonts w:hint="eastAsia" w:asciiTheme="majorEastAsia" w:hAnsiTheme="majorEastAsia" w:eastAsiaTheme="majorEastAsia"/>
                <w:color w:val="auto"/>
                <w:kern w:val="2"/>
                <w:sz w:val="21"/>
                <w:highlight w:val="none"/>
                <w:u w:val="single"/>
              </w:rPr>
              <w:t>50</w:t>
            </w:r>
            <w:r>
              <w:rPr>
                <w:rFonts w:hint="eastAsia" w:asciiTheme="majorEastAsia" w:hAnsiTheme="majorEastAsia" w:eastAsiaTheme="majorEastAsia"/>
                <w:color w:val="auto"/>
                <w:kern w:val="2"/>
                <w:sz w:val="21"/>
                <w:highlight w:val="none"/>
              </w:rPr>
              <w:t>分</w:t>
            </w:r>
          </w:p>
        </w:tc>
        <w:tc>
          <w:tcPr>
            <w:tcW w:w="851" w:type="dxa"/>
            <w:tcBorders>
              <w:top w:val="single" w:color="auto" w:sz="4" w:space="0"/>
              <w:left w:val="single" w:color="auto" w:sz="4" w:space="0"/>
              <w:bottom w:val="single" w:color="auto" w:sz="4" w:space="0"/>
              <w:right w:val="single" w:color="auto" w:sz="4" w:space="0"/>
            </w:tcBorders>
            <w:vAlign w:val="center"/>
          </w:tcPr>
          <w:p w14:paraId="794F3DE7">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50分</w:t>
            </w:r>
          </w:p>
        </w:tc>
      </w:tr>
      <w:tr w14:paraId="21F6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49AE7719">
            <w:pPr>
              <w:widowControl/>
              <w:spacing w:line="360" w:lineRule="auto"/>
              <w:jc w:val="center"/>
              <w:rPr>
                <w:rFonts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642183FE">
            <w:pPr>
              <w:widowControl/>
              <w:spacing w:line="360" w:lineRule="auto"/>
              <w:jc w:val="center"/>
              <w:rPr>
                <w:rFonts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技术分【</w:t>
            </w:r>
            <w:r>
              <w:rPr>
                <w:rFonts w:hint="eastAsia" w:asciiTheme="majorEastAsia" w:hAnsiTheme="majorEastAsia" w:eastAsiaTheme="majorEastAsia"/>
                <w:color w:val="auto"/>
                <w:szCs w:val="21"/>
                <w:highlight w:val="none"/>
              </w:rPr>
              <w:t>施工组织设计】</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1D190AD7">
            <w:pPr>
              <w:spacing w:line="500" w:lineRule="exact"/>
              <w:jc w:val="center"/>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评审标准</w:t>
            </w:r>
          </w:p>
        </w:tc>
      </w:tr>
      <w:tr w14:paraId="5C18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7DE6D49">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5A50026">
            <w:pPr>
              <w:spacing w:line="360" w:lineRule="exact"/>
              <w:jc w:val="center"/>
              <w:rPr>
                <w:rFonts w:asciiTheme="majorEastAsia" w:hAnsiTheme="majorEastAsia" w:eastAsiaTheme="majorEastAsia"/>
                <w:bCs/>
                <w:color w:val="auto"/>
                <w:kern w:val="0"/>
                <w:szCs w:val="21"/>
                <w:highlight w:val="none"/>
              </w:rPr>
            </w:pPr>
            <w:r>
              <w:rPr>
                <w:rFonts w:hint="eastAsia" w:ascii="宋体" w:hAnsi="宋体" w:cs="宋体"/>
                <w:color w:val="auto"/>
                <w:highlight w:val="none"/>
              </w:rPr>
              <w:t>（1）总体概述分（3分）</w:t>
            </w:r>
          </w:p>
        </w:tc>
        <w:tc>
          <w:tcPr>
            <w:tcW w:w="6288" w:type="dxa"/>
            <w:tcBorders>
              <w:top w:val="single" w:color="auto" w:sz="4" w:space="0"/>
              <w:left w:val="single" w:color="auto" w:sz="4" w:space="0"/>
              <w:bottom w:val="single" w:color="auto" w:sz="4" w:space="0"/>
              <w:right w:val="single" w:color="auto" w:sz="4" w:space="0"/>
            </w:tcBorders>
            <w:vAlign w:val="center"/>
          </w:tcPr>
          <w:p w14:paraId="5A9FD8B9">
            <w:pPr>
              <w:pStyle w:val="7"/>
              <w:spacing w:line="500" w:lineRule="exact"/>
              <w:ind w:firstLine="0"/>
              <w:rPr>
                <w:rFonts w:ascii="宋体" w:hAnsi="宋体" w:cs="宋体"/>
                <w:color w:val="auto"/>
                <w:highlight w:val="none"/>
              </w:rPr>
            </w:pPr>
            <w:r>
              <w:rPr>
                <w:rFonts w:hint="eastAsia" w:ascii="宋体" w:hAnsi="宋体" w:cs="宋体"/>
                <w:color w:val="auto"/>
                <w:highlight w:val="none"/>
              </w:rPr>
              <w:t>一档（1分）：对项目总体有认识，有一定的措施但部分不具体有效；施工段划分较合理，符合规范要求。</w:t>
            </w:r>
          </w:p>
          <w:p w14:paraId="1C8F9B94">
            <w:pPr>
              <w:pStyle w:val="7"/>
              <w:spacing w:line="500" w:lineRule="exact"/>
              <w:ind w:firstLine="0"/>
              <w:rPr>
                <w:rFonts w:ascii="宋体" w:hAnsi="宋体" w:cs="宋体"/>
                <w:color w:val="auto"/>
                <w:highlight w:val="none"/>
              </w:rPr>
            </w:pPr>
            <w:r>
              <w:rPr>
                <w:rFonts w:hint="eastAsia" w:ascii="宋体" w:hAnsi="宋体" w:cs="宋体"/>
                <w:color w:val="auto"/>
                <w:highlight w:val="none"/>
              </w:rPr>
              <w:t>二档（2分）：在满足一档的基础上，对项目总体有一定认识，表达清晰、完整，措施具体有效；施工段划分清晰，符合规范要求。</w:t>
            </w:r>
          </w:p>
          <w:p w14:paraId="78770EF1">
            <w:pPr>
              <w:pStyle w:val="7"/>
              <w:spacing w:line="500" w:lineRule="exact"/>
              <w:ind w:firstLine="0"/>
              <w:rPr>
                <w:rFonts w:ascii="宋体" w:hAnsi="宋体" w:cs="宋体"/>
                <w:color w:val="auto"/>
                <w:highlight w:val="none"/>
              </w:rPr>
            </w:pPr>
            <w:r>
              <w:rPr>
                <w:rFonts w:hint="eastAsia" w:ascii="宋体" w:hAnsi="宋体" w:cs="宋体"/>
                <w:color w:val="auto"/>
                <w:highlight w:val="none"/>
              </w:rPr>
              <w:t>三档（3分）：在满足二档的基础上，对项目总体有深刻认识，表达清晰、完整、严谨、合理，措施先进、具体、有效、完善；施工段划分清晰、合理，符合规范要求。</w:t>
            </w:r>
          </w:p>
          <w:p w14:paraId="56B233BF">
            <w:pPr>
              <w:pStyle w:val="7"/>
              <w:spacing w:line="500" w:lineRule="exact"/>
              <w:ind w:firstLine="0"/>
              <w:rPr>
                <w:color w:val="auto"/>
                <w:highlight w:val="none"/>
              </w:rPr>
            </w:pPr>
            <w:r>
              <w:rPr>
                <w:rFonts w:hint="eastAsia" w:asciiTheme="majorEastAsia" w:hAnsiTheme="majorEastAsia" w:eastAsiaTheme="majorEastAsia"/>
                <w:color w:val="auto"/>
                <w:szCs w:val="21"/>
                <w:highlight w:val="none"/>
              </w:rPr>
              <w:t>注：施工组织设计中</w:t>
            </w:r>
            <w:r>
              <w:rPr>
                <w:rFonts w:hint="eastAsia"/>
                <w:color w:val="auto"/>
                <w:highlight w:val="none"/>
              </w:rPr>
              <w:t>未提供“</w:t>
            </w:r>
            <w:r>
              <w:rPr>
                <w:rFonts w:hint="eastAsia" w:ascii="宋体" w:hAnsi="宋体" w:cs="宋体"/>
                <w:color w:val="auto"/>
                <w:highlight w:val="none"/>
              </w:rPr>
              <w:t>总体概述”或所提供的</w:t>
            </w:r>
            <w:r>
              <w:rPr>
                <w:rFonts w:hint="eastAsia"/>
                <w:color w:val="auto"/>
                <w:highlight w:val="none"/>
              </w:rPr>
              <w:t>“</w:t>
            </w:r>
            <w:r>
              <w:rPr>
                <w:rFonts w:hint="eastAsia" w:ascii="宋体" w:hAnsi="宋体" w:cs="宋体"/>
                <w:color w:val="auto"/>
                <w:highlight w:val="none"/>
              </w:rPr>
              <w:t>总体概述”未达一档档次的，</w:t>
            </w:r>
            <w:r>
              <w:rPr>
                <w:rFonts w:hint="eastAsia"/>
                <w:color w:val="auto"/>
                <w:highlight w:val="none"/>
              </w:rPr>
              <w:t>“</w:t>
            </w:r>
            <w:r>
              <w:rPr>
                <w:rFonts w:hint="eastAsia" w:ascii="宋体" w:hAnsi="宋体" w:cs="宋体"/>
                <w:color w:val="auto"/>
                <w:highlight w:val="none"/>
              </w:rPr>
              <w:t>总体概述分”不予计分。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4B6C37D">
            <w:pPr>
              <w:spacing w:line="34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30分</w:t>
            </w:r>
          </w:p>
        </w:tc>
      </w:tr>
      <w:tr w14:paraId="4ACF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0025968F">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7272A50">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（2）主要施工方法分（3分）</w:t>
            </w:r>
          </w:p>
        </w:tc>
        <w:tc>
          <w:tcPr>
            <w:tcW w:w="6288" w:type="dxa"/>
            <w:tcBorders>
              <w:top w:val="single" w:color="auto" w:sz="4" w:space="0"/>
              <w:left w:val="single" w:color="auto" w:sz="4" w:space="0"/>
              <w:bottom w:val="single" w:color="auto" w:sz="4" w:space="0"/>
              <w:right w:val="single" w:color="auto" w:sz="4" w:space="0"/>
            </w:tcBorders>
            <w:vAlign w:val="center"/>
          </w:tcPr>
          <w:p w14:paraId="38F184D0">
            <w:pPr>
              <w:spacing w:line="500" w:lineRule="exact"/>
              <w:jc w:val="left"/>
              <w:rPr>
                <w:rFonts w:ascii="宋体" w:hAnsi="宋体" w:cs="宋体"/>
                <w:color w:val="auto"/>
                <w:highlight w:val="none"/>
              </w:rPr>
            </w:pPr>
            <w:r>
              <w:rPr>
                <w:rFonts w:hint="eastAsia" w:ascii="宋体" w:hAnsi="宋体" w:cs="宋体"/>
                <w:color w:val="auto"/>
                <w:highlight w:val="none"/>
              </w:rPr>
              <w:t>一档（1分）：各主要分部施工方法基本满足项目需求，有施工技术方案，基本能指导具体施工并确保安全。</w:t>
            </w:r>
          </w:p>
          <w:p w14:paraId="3398D2FE">
            <w:pPr>
              <w:spacing w:line="500" w:lineRule="exact"/>
              <w:jc w:val="left"/>
              <w:rPr>
                <w:rFonts w:ascii="宋体" w:hAnsi="宋体" w:cs="宋体"/>
                <w:color w:val="auto"/>
                <w:highlight w:val="none"/>
              </w:rPr>
            </w:pPr>
            <w:r>
              <w:rPr>
                <w:rFonts w:hint="eastAsia" w:ascii="宋体" w:hAnsi="宋体" w:cs="宋体"/>
                <w:color w:val="auto"/>
                <w:highlight w:val="none"/>
              </w:rPr>
              <w:t>二档（2分）：在满足一档的基础上，各主要分部施工方法满足项目需求，有较详尽的施工技术方案，工艺有一定的先进性、方法基本合理、可行，能指导具体施工并确保安全。</w:t>
            </w:r>
          </w:p>
          <w:p w14:paraId="5C8646AF">
            <w:pPr>
              <w:spacing w:line="500" w:lineRule="exact"/>
              <w:jc w:val="left"/>
              <w:rPr>
                <w:rFonts w:ascii="宋体" w:hAnsi="宋体" w:cs="宋体"/>
                <w:color w:val="auto"/>
                <w:highlight w:val="none"/>
              </w:rPr>
            </w:pPr>
            <w:r>
              <w:rPr>
                <w:rFonts w:hint="eastAsia" w:ascii="宋体" w:hAnsi="宋体" w:cs="宋体"/>
                <w:color w:val="auto"/>
                <w:highlight w:val="none"/>
              </w:rPr>
              <w:t>三档（3分）：在满足二档的基础上，各主要分部施工方法满足项目需求，有完善的施工技术方案，工艺先进、方法合理、可行，充分指导具体施工并确保安全，有利于工程施工。</w:t>
            </w:r>
          </w:p>
          <w:p w14:paraId="2F7E0243">
            <w:pPr>
              <w:spacing w:line="500" w:lineRule="exact"/>
              <w:jc w:val="left"/>
              <w:rPr>
                <w:color w:val="auto"/>
                <w:highlight w:val="none"/>
              </w:rPr>
            </w:pPr>
            <w:r>
              <w:rPr>
                <w:rFonts w:hint="eastAsia" w:asciiTheme="majorEastAsia" w:hAnsiTheme="majorEastAsia" w:eastAsiaTheme="majorEastAsia"/>
                <w:color w:val="auto"/>
                <w:szCs w:val="21"/>
                <w:highlight w:val="none"/>
              </w:rPr>
              <w:t>注：施工组织设计中</w:t>
            </w:r>
            <w:r>
              <w:rPr>
                <w:rFonts w:hint="eastAsia"/>
                <w:color w:val="auto"/>
                <w:highlight w:val="none"/>
              </w:rPr>
              <w:t>未</w:t>
            </w:r>
            <w:r>
              <w:rPr>
                <w:rFonts w:hint="eastAsia" w:asciiTheme="majorEastAsia" w:hAnsiTheme="majorEastAsia" w:eastAsiaTheme="majorEastAsia"/>
                <w:color w:val="auto"/>
                <w:szCs w:val="21"/>
                <w:highlight w:val="none"/>
              </w:rPr>
              <w:t>提供“主要施工方法”或所提供的“主要施工方法”未达一档档次的，“主要施工方法分”不予计分。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BF5A642">
            <w:pPr>
              <w:widowControl/>
              <w:spacing w:line="340" w:lineRule="exact"/>
              <w:jc w:val="left"/>
              <w:rPr>
                <w:rFonts w:asciiTheme="majorEastAsia" w:hAnsiTheme="majorEastAsia" w:eastAsiaTheme="majorEastAsia"/>
                <w:color w:val="auto"/>
                <w:szCs w:val="21"/>
                <w:highlight w:val="none"/>
              </w:rPr>
            </w:pPr>
          </w:p>
        </w:tc>
      </w:tr>
      <w:tr w14:paraId="1B4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58907B28">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5FBB052">
            <w:pPr>
              <w:spacing w:line="360" w:lineRule="exact"/>
              <w:jc w:val="left"/>
              <w:rPr>
                <w:rFonts w:cs="宋体" w:asciiTheme="majorEastAsia" w:hAnsiTheme="majorEastAsia" w:eastAsiaTheme="majorEastAsia"/>
                <w:color w:val="auto"/>
                <w:highlight w:val="none"/>
              </w:rPr>
            </w:pPr>
            <w:r>
              <w:rPr>
                <w:rFonts w:hint="eastAsia" w:ascii="宋体" w:hAnsi="宋体" w:cs="宋体"/>
                <w:color w:val="auto"/>
                <w:highlight w:val="none"/>
              </w:rPr>
              <w:t>（3）施工进度计划和各阶段进度的保证措施分（6分）</w:t>
            </w:r>
          </w:p>
        </w:tc>
        <w:tc>
          <w:tcPr>
            <w:tcW w:w="6288" w:type="dxa"/>
            <w:tcBorders>
              <w:top w:val="single" w:color="auto" w:sz="4" w:space="0"/>
              <w:left w:val="single" w:color="auto" w:sz="4" w:space="0"/>
              <w:bottom w:val="single" w:color="auto" w:sz="4" w:space="0"/>
              <w:right w:val="single" w:color="auto" w:sz="4" w:space="0"/>
            </w:tcBorders>
            <w:vAlign w:val="center"/>
          </w:tcPr>
          <w:p w14:paraId="7D7BCEBA">
            <w:pPr>
              <w:spacing w:line="500" w:lineRule="exact"/>
              <w:jc w:val="left"/>
              <w:rPr>
                <w:rFonts w:ascii="宋体" w:hAnsi="宋体" w:cs="宋体"/>
                <w:color w:val="auto"/>
                <w:highlight w:val="none"/>
              </w:rPr>
            </w:pPr>
            <w:r>
              <w:rPr>
                <w:rFonts w:hint="eastAsia" w:ascii="宋体" w:hAnsi="宋体" w:cs="宋体"/>
                <w:color w:val="auto"/>
                <w:highlight w:val="none"/>
              </w:rPr>
              <w:t>一档（2分）：关键线路基本准确，计划编制基本合理，关键节点的控制措施基本可行；</w:t>
            </w:r>
          </w:p>
          <w:p w14:paraId="3C26B631">
            <w:pPr>
              <w:spacing w:line="500" w:lineRule="exact"/>
              <w:jc w:val="left"/>
              <w:rPr>
                <w:rFonts w:ascii="宋体" w:hAnsi="宋体" w:cs="宋体"/>
                <w:color w:val="auto"/>
                <w:highlight w:val="none"/>
              </w:rPr>
            </w:pPr>
            <w:r>
              <w:rPr>
                <w:rFonts w:hint="eastAsia" w:ascii="宋体" w:hAnsi="宋体" w:cs="宋体"/>
                <w:color w:val="auto"/>
                <w:highlight w:val="none"/>
              </w:rPr>
              <w:t>二档（4分）：在满足一档的基础上，关键线路清晰、准确，计划编制合理、有一定的可行性，关键节点的控制措施基本可行，有一定的针对性；</w:t>
            </w:r>
          </w:p>
          <w:p w14:paraId="53A5D419">
            <w:pPr>
              <w:spacing w:line="500" w:lineRule="exact"/>
              <w:jc w:val="left"/>
              <w:rPr>
                <w:color w:val="auto"/>
                <w:highlight w:val="none"/>
              </w:rPr>
            </w:pPr>
            <w:r>
              <w:rPr>
                <w:rFonts w:hint="eastAsia" w:ascii="宋体" w:hAnsi="宋体" w:cs="宋体"/>
                <w:color w:val="auto"/>
                <w:highlight w:val="none"/>
              </w:rPr>
              <w:t xml:space="preserve">三档（6分）：在满足二档的基础上，关键线路清晰、准确、完整，计划编制合理、可行、针对性强，关键节点的控制措施有力、合理、可行、针对性强。 </w:t>
            </w:r>
          </w:p>
          <w:p w14:paraId="49D13001">
            <w:pPr>
              <w:spacing w:line="500" w:lineRule="exact"/>
              <w:jc w:val="left"/>
              <w:rPr>
                <w:color w:val="auto"/>
                <w:highlight w:val="none"/>
              </w:rPr>
            </w:pPr>
            <w:r>
              <w:rPr>
                <w:rFonts w:hint="eastAsia" w:asciiTheme="majorEastAsia" w:hAnsiTheme="majorEastAsia" w:eastAsiaTheme="majorEastAsia"/>
                <w:color w:val="auto"/>
                <w:szCs w:val="21"/>
                <w:highlight w:val="none"/>
              </w:rPr>
              <w:t>注：施工组织设计中未提供“施工进度计划和各阶段进度的保证措施”或所提供的“施工进度计划和各阶段进度的保证措施”未达一档档次的，“施工进度计划和各阶段进度的保证措施分”不予计分。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415394C">
            <w:pPr>
              <w:widowControl/>
              <w:spacing w:line="340" w:lineRule="exact"/>
              <w:jc w:val="left"/>
              <w:rPr>
                <w:rFonts w:asciiTheme="majorEastAsia" w:hAnsiTheme="majorEastAsia" w:eastAsiaTheme="majorEastAsia"/>
                <w:color w:val="auto"/>
                <w:szCs w:val="21"/>
                <w:highlight w:val="none"/>
              </w:rPr>
            </w:pPr>
          </w:p>
        </w:tc>
      </w:tr>
      <w:tr w14:paraId="151D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0F403585">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8A06BB6">
            <w:pPr>
              <w:spacing w:line="360" w:lineRule="exact"/>
              <w:jc w:val="center"/>
              <w:rPr>
                <w:rFonts w:ascii="宋体" w:hAnsi="宋体" w:cs="宋体"/>
                <w:color w:val="auto"/>
                <w:highlight w:val="none"/>
              </w:rPr>
            </w:pPr>
            <w:r>
              <w:rPr>
                <w:rFonts w:hint="eastAsia" w:ascii="宋体" w:hAnsi="宋体" w:cs="宋体"/>
                <w:color w:val="auto"/>
                <w:highlight w:val="none"/>
              </w:rPr>
              <w:t>（4）劳动力和材料投入计划及其保证措施分（</w:t>
            </w:r>
            <w:r>
              <w:rPr>
                <w:rFonts w:hint="eastAsia" w:asciiTheme="majorEastAsia" w:hAnsiTheme="majorEastAsia" w:eastAsiaTheme="majorEastAsia"/>
                <w:color w:val="auto"/>
                <w:szCs w:val="21"/>
                <w:highlight w:val="none"/>
              </w:rPr>
              <w:t>3分</w:t>
            </w:r>
            <w:r>
              <w:rPr>
                <w:rFonts w:hint="eastAsia" w:ascii="宋体" w:hAnsi="宋体" w:cs="宋体"/>
                <w:color w:val="auto"/>
                <w:highlight w:val="none"/>
              </w:rPr>
              <w:t>）</w:t>
            </w:r>
          </w:p>
        </w:tc>
        <w:tc>
          <w:tcPr>
            <w:tcW w:w="6288" w:type="dxa"/>
            <w:tcBorders>
              <w:top w:val="single" w:color="auto" w:sz="4" w:space="0"/>
              <w:left w:val="single" w:color="auto" w:sz="4" w:space="0"/>
              <w:bottom w:val="single" w:color="auto" w:sz="4" w:space="0"/>
              <w:right w:val="single" w:color="auto" w:sz="4" w:space="0"/>
            </w:tcBorders>
            <w:vAlign w:val="center"/>
          </w:tcPr>
          <w:p w14:paraId="7E15A207">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一档（1分）：投入计划与进度计划基本呼应，基本满足施工需要，调配投入计划基本合理；</w:t>
            </w:r>
          </w:p>
          <w:p w14:paraId="39DDDFC7">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二档（2分）：在满足一档的基础上，投入计划与进度计划呼应，满足施工需要，调配投入计划合理、准确；</w:t>
            </w:r>
          </w:p>
          <w:p w14:paraId="7F4C6800">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三档（3分）：在满足二档的基础上，投入计划与进度计划呼应，充分满足施工需要，调配投入计划合理、准确、切实可行。</w:t>
            </w:r>
          </w:p>
          <w:p w14:paraId="2441A557">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注：施工组织设计中未提供“劳动力和材料投入计划及其保证措施”或所提供的“劳动力和材料投入计划及其保证措施”未达一档档次的，“劳动力和材料投入计划及其保证措施分”不予计分。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0E427BF">
            <w:pPr>
              <w:widowControl/>
              <w:spacing w:line="340" w:lineRule="exact"/>
              <w:jc w:val="left"/>
              <w:rPr>
                <w:rFonts w:asciiTheme="majorEastAsia" w:hAnsiTheme="majorEastAsia" w:eastAsiaTheme="majorEastAsia"/>
                <w:color w:val="auto"/>
                <w:szCs w:val="21"/>
                <w:highlight w:val="none"/>
              </w:rPr>
            </w:pPr>
          </w:p>
        </w:tc>
      </w:tr>
      <w:tr w14:paraId="5017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5B1B7CE9">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D9E61B">
            <w:pPr>
              <w:spacing w:line="360" w:lineRule="exact"/>
              <w:jc w:val="left"/>
              <w:rPr>
                <w:rFonts w:ascii="宋体" w:hAnsi="宋体" w:cs="宋体"/>
                <w:color w:val="auto"/>
                <w:highlight w:val="none"/>
              </w:rPr>
            </w:pPr>
            <w:r>
              <w:rPr>
                <w:rFonts w:hint="eastAsia" w:ascii="宋体" w:hAnsi="宋体" w:cs="宋体"/>
                <w:color w:val="auto"/>
                <w:highlight w:val="none"/>
              </w:rPr>
              <w:t>（5）施工平面布置和临时设施布置分（</w:t>
            </w:r>
            <w:r>
              <w:rPr>
                <w:rFonts w:hint="eastAsia" w:asciiTheme="majorEastAsia" w:hAnsiTheme="majorEastAsia" w:eastAsiaTheme="majorEastAsia"/>
                <w:color w:val="auto"/>
                <w:szCs w:val="21"/>
                <w:highlight w:val="none"/>
              </w:rPr>
              <w:t>3分</w:t>
            </w:r>
            <w:r>
              <w:rPr>
                <w:rFonts w:hint="eastAsia" w:ascii="宋体" w:hAnsi="宋体" w:cs="宋体"/>
                <w:color w:val="auto"/>
                <w:highlight w:val="none"/>
              </w:rPr>
              <w:t>）</w:t>
            </w: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2C95BD49">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一档（1分）：总体布置基本合理，基本满足施工需要；</w:t>
            </w:r>
          </w:p>
          <w:p w14:paraId="7409119E">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二档（2分）：在满足一档的基础上，总体布置合理，能满足施工需要，基本符合安全、文明生产要求；</w:t>
            </w:r>
          </w:p>
          <w:p w14:paraId="30366573">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三档（3分）：在满足二档的基础上，总体布置合理且针对性强，充分满足施工需要，符合安全、文明生产要求。</w:t>
            </w:r>
          </w:p>
          <w:p w14:paraId="6D9E62F8">
            <w:pPr>
              <w:spacing w:line="500" w:lineRule="exact"/>
              <w:jc w:val="left"/>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注：施工组织设计中未提供“施工平面布置和临时设施布置”或所提供的“施工平面布置和临时设施布置”未达一档档次的，“施工平面布置和临时设施布置分”不予计分。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93396AF">
            <w:pPr>
              <w:widowControl/>
              <w:spacing w:line="340" w:lineRule="exact"/>
              <w:jc w:val="left"/>
              <w:rPr>
                <w:rFonts w:asciiTheme="majorEastAsia" w:hAnsiTheme="majorEastAsia" w:eastAsiaTheme="majorEastAsia"/>
                <w:color w:val="auto"/>
                <w:szCs w:val="21"/>
                <w:highlight w:val="none"/>
              </w:rPr>
            </w:pPr>
          </w:p>
        </w:tc>
      </w:tr>
      <w:tr w14:paraId="7668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088B6E0E">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D4677A7">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（6）关键施工技术、工艺及工程实施的重点、难点和解决方案分（3分）</w:t>
            </w:r>
          </w:p>
        </w:tc>
        <w:tc>
          <w:tcPr>
            <w:tcW w:w="6288" w:type="dxa"/>
            <w:tcBorders>
              <w:top w:val="single" w:color="auto" w:sz="4" w:space="0"/>
              <w:left w:val="single" w:color="auto" w:sz="4" w:space="0"/>
              <w:bottom w:val="single" w:color="auto" w:sz="4" w:space="0"/>
              <w:right w:val="single" w:color="auto" w:sz="4" w:space="0"/>
            </w:tcBorders>
            <w:vAlign w:val="center"/>
          </w:tcPr>
          <w:p w14:paraId="18771989">
            <w:pPr>
              <w:spacing w:line="500" w:lineRule="exact"/>
              <w:jc w:val="left"/>
              <w:rPr>
                <w:rFonts w:ascii="宋体" w:hAnsi="宋体" w:cs="宋体"/>
                <w:color w:val="auto"/>
                <w:highlight w:val="none"/>
              </w:rPr>
            </w:pPr>
            <w:r>
              <w:rPr>
                <w:rFonts w:hint="eastAsia" w:ascii="宋体" w:hAnsi="宋体" w:cs="宋体"/>
                <w:color w:val="auto"/>
                <w:highlight w:val="none"/>
              </w:rPr>
              <w:t xml:space="preserve">一档（1分）：对项目关键技术有一定了解，对重点、难点有建议，解决方案基本可行； </w:t>
            </w:r>
          </w:p>
          <w:p w14:paraId="6E7A4E1F">
            <w:pPr>
              <w:spacing w:line="500" w:lineRule="exact"/>
              <w:jc w:val="left"/>
              <w:rPr>
                <w:rFonts w:ascii="宋体" w:hAnsi="宋体" w:cs="宋体"/>
                <w:color w:val="auto"/>
                <w:highlight w:val="none"/>
              </w:rPr>
            </w:pPr>
            <w:r>
              <w:rPr>
                <w:rFonts w:hint="eastAsia" w:ascii="宋体" w:hAnsi="宋体" w:cs="宋体"/>
                <w:color w:val="auto"/>
                <w:highlight w:val="none"/>
              </w:rPr>
              <w:t>二档（2分）：在满足一档的基础上，对项目关键技术、工艺有深入的表达，对重点、难点有合理的建议，解决方案经济、安全、基本可行；</w:t>
            </w:r>
          </w:p>
          <w:p w14:paraId="3D6E152E">
            <w:pPr>
              <w:spacing w:line="500" w:lineRule="exact"/>
              <w:jc w:val="left"/>
              <w:rPr>
                <w:rFonts w:ascii="宋体" w:hAnsi="宋体" w:cs="宋体"/>
                <w:color w:val="auto"/>
                <w:highlight w:val="none"/>
              </w:rPr>
            </w:pPr>
            <w:r>
              <w:rPr>
                <w:rFonts w:hint="eastAsia" w:ascii="宋体" w:hAnsi="宋体" w:cs="宋体"/>
                <w:color w:val="auto"/>
                <w:highlight w:val="none"/>
              </w:rPr>
              <w:t xml:space="preserve">三档（3分）：在满足二档的基础上，对项目关键技术、工艺有深入的表达，对重点、难点有先进合理的施工措施并有可行的安全措施，解决方案完整、经济、安全、切实可行，措施得力。 </w:t>
            </w:r>
          </w:p>
          <w:p w14:paraId="79D92177">
            <w:pPr>
              <w:spacing w:line="500" w:lineRule="exact"/>
              <w:jc w:val="left"/>
              <w:rPr>
                <w:rFonts w:asciiTheme="majorEastAsia" w:hAnsiTheme="majorEastAsia" w:eastAsiaTheme="majorEastAsia"/>
                <w:color w:val="auto"/>
                <w:highlight w:val="none"/>
              </w:rPr>
            </w:pPr>
            <w:r>
              <w:rPr>
                <w:rFonts w:hint="eastAsia" w:asciiTheme="majorEastAsia" w:hAnsiTheme="majorEastAsia" w:eastAsiaTheme="majorEastAsia"/>
                <w:color w:val="auto"/>
                <w:szCs w:val="21"/>
                <w:highlight w:val="none"/>
              </w:rPr>
              <w:t>注：施工组织设计中未提供“关键施工技术、工艺及工程实施的重点、难点和解决方案”或所提供的“关键施工技术、工艺及工程实施的重点、难点和解决方案”未达一档档次的，“关键施工技术、工艺及工程实施的重点、难点和解决方案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E673B72">
            <w:pPr>
              <w:widowControl/>
              <w:spacing w:line="340" w:lineRule="exact"/>
              <w:jc w:val="left"/>
              <w:rPr>
                <w:rFonts w:asciiTheme="majorEastAsia" w:hAnsiTheme="majorEastAsia" w:eastAsiaTheme="majorEastAsia"/>
                <w:color w:val="auto"/>
                <w:szCs w:val="21"/>
                <w:highlight w:val="none"/>
              </w:rPr>
            </w:pPr>
          </w:p>
        </w:tc>
      </w:tr>
      <w:tr w14:paraId="413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1FAB1B0A">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DE88850">
            <w:pPr>
              <w:spacing w:line="360" w:lineRule="exact"/>
              <w:jc w:val="center"/>
              <w:rPr>
                <w:rFonts w:ascii="宋体" w:hAnsi="宋体" w:cs="宋体"/>
                <w:color w:val="auto"/>
                <w:highlight w:val="none"/>
              </w:rPr>
            </w:pPr>
            <w:r>
              <w:rPr>
                <w:rFonts w:hint="eastAsia" w:ascii="宋体" w:hAnsi="宋体" w:cs="宋体"/>
                <w:color w:val="auto"/>
                <w:highlight w:val="none"/>
              </w:rPr>
              <w:t>（7）安全文明施工措施分</w:t>
            </w:r>
          </w:p>
          <w:p w14:paraId="40C71CAF">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（3分）</w:t>
            </w:r>
          </w:p>
        </w:tc>
        <w:tc>
          <w:tcPr>
            <w:tcW w:w="6288" w:type="dxa"/>
            <w:tcBorders>
              <w:top w:val="single" w:color="auto" w:sz="4" w:space="0"/>
              <w:left w:val="single" w:color="auto" w:sz="4" w:space="0"/>
              <w:bottom w:val="single" w:color="auto" w:sz="4" w:space="0"/>
              <w:right w:val="single" w:color="auto" w:sz="4" w:space="0"/>
            </w:tcBorders>
            <w:vAlign w:val="center"/>
          </w:tcPr>
          <w:p w14:paraId="54879FED">
            <w:pPr>
              <w:spacing w:line="500" w:lineRule="exact"/>
              <w:jc w:val="left"/>
              <w:rPr>
                <w:rFonts w:ascii="宋体" w:hAnsi="宋体" w:cs="宋体"/>
                <w:color w:val="auto"/>
                <w:highlight w:val="none"/>
              </w:rPr>
            </w:pPr>
            <w:r>
              <w:rPr>
                <w:rFonts w:hint="eastAsia" w:ascii="宋体" w:hAnsi="宋体" w:cs="宋体"/>
                <w:color w:val="auto"/>
                <w:highlight w:val="none"/>
              </w:rPr>
              <w:t>一档（1分）：有基本合理的措施，采用规范正确；</w:t>
            </w:r>
          </w:p>
          <w:p w14:paraId="17A0BBA4">
            <w:pPr>
              <w:spacing w:line="500" w:lineRule="exact"/>
              <w:jc w:val="left"/>
              <w:rPr>
                <w:rFonts w:ascii="宋体" w:hAnsi="宋体" w:cs="宋体"/>
                <w:color w:val="auto"/>
                <w:highlight w:val="none"/>
              </w:rPr>
            </w:pPr>
            <w:r>
              <w:rPr>
                <w:rFonts w:hint="eastAsia" w:ascii="宋体" w:hAnsi="宋体" w:cs="宋体"/>
                <w:color w:val="auto"/>
                <w:highlight w:val="none"/>
              </w:rPr>
              <w:t xml:space="preserve">二档（2分）：在满足一档的基础上，针对项目实际情况，提供合理的措施且具体、完整，采用规范正确。 </w:t>
            </w:r>
          </w:p>
          <w:p w14:paraId="70AA6D38">
            <w:pPr>
              <w:spacing w:line="500" w:lineRule="exact"/>
              <w:jc w:val="left"/>
              <w:rPr>
                <w:rFonts w:ascii="宋体" w:hAnsi="宋体" w:cs="宋体"/>
                <w:color w:val="auto"/>
                <w:highlight w:val="none"/>
              </w:rPr>
            </w:pPr>
            <w:r>
              <w:rPr>
                <w:rFonts w:hint="eastAsia" w:ascii="宋体" w:hAnsi="宋体" w:cs="宋体"/>
                <w:color w:val="auto"/>
                <w:highlight w:val="none"/>
              </w:rPr>
              <w:t xml:space="preserve">三档（3分）：在满足二档的基础上，针对项目实际情况，提供先进、具体、完整、可行、针对性强的实施措施，采用规范正确、清晰。 </w:t>
            </w:r>
          </w:p>
          <w:p w14:paraId="1F1FA1F7">
            <w:pPr>
              <w:spacing w:line="500" w:lineRule="exact"/>
              <w:jc w:val="left"/>
              <w:rPr>
                <w:rFonts w:asciiTheme="majorEastAsia" w:hAnsiTheme="majorEastAsia" w:eastAsiaTheme="majorEastAsia"/>
                <w:color w:val="auto"/>
                <w:highlight w:val="none"/>
              </w:rPr>
            </w:pPr>
            <w:r>
              <w:rPr>
                <w:rFonts w:hint="eastAsia" w:asciiTheme="majorEastAsia" w:hAnsiTheme="majorEastAsia" w:eastAsiaTheme="majorEastAsia"/>
                <w:color w:val="auto"/>
                <w:szCs w:val="21"/>
                <w:highlight w:val="none"/>
              </w:rPr>
              <w:t>注：施工组织设计中未提供“</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”或所提供的“</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”未达一档档次的，“</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B8EFB83">
            <w:pPr>
              <w:widowControl/>
              <w:spacing w:line="340" w:lineRule="exact"/>
              <w:jc w:val="left"/>
              <w:rPr>
                <w:rFonts w:asciiTheme="majorEastAsia" w:hAnsiTheme="majorEastAsia" w:eastAsiaTheme="majorEastAsia"/>
                <w:color w:val="auto"/>
                <w:szCs w:val="21"/>
                <w:highlight w:val="none"/>
              </w:rPr>
            </w:pPr>
          </w:p>
        </w:tc>
      </w:tr>
      <w:tr w14:paraId="6AAE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05A9EA1">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B7699C8">
            <w:pPr>
              <w:spacing w:line="360" w:lineRule="exact"/>
              <w:jc w:val="center"/>
              <w:rPr>
                <w:rFonts w:ascii="宋体" w:hAnsi="宋体" w:cs="宋体"/>
                <w:color w:val="auto"/>
                <w:highlight w:val="none"/>
              </w:rPr>
            </w:pPr>
            <w:r>
              <w:rPr>
                <w:rFonts w:hint="eastAsia" w:ascii="宋体" w:hAnsi="宋体" w:cs="宋体"/>
                <w:color w:val="auto"/>
                <w:highlight w:val="none"/>
              </w:rPr>
              <w:t>（8）质量保证与承诺分</w:t>
            </w:r>
          </w:p>
          <w:p w14:paraId="3195A769">
            <w:pPr>
              <w:spacing w:line="360" w:lineRule="exact"/>
              <w:jc w:val="center"/>
              <w:rPr>
                <w:rFonts w:asciiTheme="majorEastAsia" w:hAnsiTheme="majorEastAsia" w:eastAsiaTheme="majorEastAsia"/>
                <w:bCs/>
                <w:color w:val="auto"/>
                <w:kern w:val="0"/>
                <w:szCs w:val="21"/>
                <w:highlight w:val="none"/>
              </w:rPr>
            </w:pPr>
            <w:r>
              <w:rPr>
                <w:rFonts w:hint="eastAsia" w:ascii="宋体" w:hAnsi="宋体" w:cs="宋体"/>
                <w:color w:val="auto"/>
                <w:highlight w:val="none"/>
              </w:rPr>
              <w:t>（3分）</w:t>
            </w:r>
          </w:p>
        </w:tc>
        <w:tc>
          <w:tcPr>
            <w:tcW w:w="6288" w:type="dxa"/>
            <w:tcBorders>
              <w:top w:val="single" w:color="auto" w:sz="4" w:space="0"/>
              <w:left w:val="single" w:color="auto" w:sz="4" w:space="0"/>
              <w:bottom w:val="single" w:color="auto" w:sz="4" w:space="0"/>
              <w:right w:val="single" w:color="auto" w:sz="4" w:space="0"/>
            </w:tcBorders>
            <w:vAlign w:val="center"/>
          </w:tcPr>
          <w:p w14:paraId="10163DF4">
            <w:pPr>
              <w:spacing w:line="500" w:lineRule="exact"/>
              <w:jc w:val="left"/>
              <w:rPr>
                <w:rFonts w:ascii="宋体" w:hAnsi="宋体" w:cs="宋体"/>
                <w:color w:val="auto"/>
                <w:highlight w:val="none"/>
              </w:rPr>
            </w:pPr>
            <w:r>
              <w:rPr>
                <w:rFonts w:hint="eastAsia" w:ascii="宋体" w:hAnsi="宋体" w:cs="宋体"/>
                <w:color w:val="auto"/>
                <w:highlight w:val="none"/>
              </w:rPr>
              <w:t xml:space="preserve">一档（1分）：针对项目实际提出质量保证措施，基本满足竞争性磋商文件的质量要求； </w:t>
            </w:r>
          </w:p>
          <w:p w14:paraId="1264A497">
            <w:pPr>
              <w:spacing w:line="500" w:lineRule="exact"/>
              <w:jc w:val="left"/>
              <w:rPr>
                <w:rFonts w:ascii="宋体" w:hAnsi="宋体" w:cs="宋体"/>
                <w:color w:val="auto"/>
                <w:highlight w:val="none"/>
              </w:rPr>
            </w:pPr>
            <w:r>
              <w:rPr>
                <w:rFonts w:hint="eastAsia" w:ascii="宋体" w:hAnsi="宋体" w:cs="宋体"/>
                <w:color w:val="auto"/>
                <w:highlight w:val="none"/>
              </w:rPr>
              <w:t>二档（2分）：在满足一档的基础上，针对项目实际提出具有一定可行性的质量保证措施，满足竞争性磋商文件的质量要求；</w:t>
            </w:r>
          </w:p>
          <w:p w14:paraId="5CEEC4F2">
            <w:pPr>
              <w:spacing w:line="500" w:lineRule="exact"/>
              <w:jc w:val="left"/>
              <w:rPr>
                <w:rFonts w:ascii="宋体" w:hAnsi="宋体" w:cs="宋体"/>
                <w:color w:val="auto"/>
                <w:highlight w:val="none"/>
              </w:rPr>
            </w:pPr>
            <w:r>
              <w:rPr>
                <w:rFonts w:hint="eastAsia" w:ascii="宋体" w:hAnsi="宋体" w:cs="宋体"/>
                <w:color w:val="auto"/>
                <w:highlight w:val="none"/>
              </w:rPr>
              <w:t>三档（3分）：在满足二档的基础上，针对项目实际提出先进、可行、具体的质量保证措施，超过竞争性磋商文件的质量要求及施工验收规范要求。</w:t>
            </w:r>
          </w:p>
          <w:p w14:paraId="5A0D4484">
            <w:pPr>
              <w:spacing w:line="500" w:lineRule="exact"/>
              <w:jc w:val="left"/>
              <w:rPr>
                <w:rFonts w:asciiTheme="majorEastAsia" w:hAnsiTheme="majorEastAsia" w:eastAsiaTheme="majorEastAsia"/>
                <w:color w:val="auto"/>
                <w:highlight w:val="none"/>
              </w:rPr>
            </w:pPr>
            <w:r>
              <w:rPr>
                <w:rFonts w:hint="eastAsia" w:asciiTheme="majorEastAsia" w:hAnsiTheme="majorEastAsia" w:eastAsiaTheme="majorEastAsia"/>
                <w:color w:val="auto"/>
                <w:szCs w:val="21"/>
                <w:highlight w:val="none"/>
              </w:rPr>
              <w:t>注：施工组织设计中未提供“质量保证与承诺”或所提供的“质量保证与承诺”未达一档档次的，“质量保证与承诺分”不予计分。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40D18BC">
            <w:pPr>
              <w:widowControl/>
              <w:spacing w:line="340" w:lineRule="exact"/>
              <w:jc w:val="left"/>
              <w:rPr>
                <w:rFonts w:asciiTheme="majorEastAsia" w:hAnsiTheme="majorEastAsia" w:eastAsiaTheme="majorEastAsia"/>
                <w:color w:val="auto"/>
                <w:szCs w:val="21"/>
                <w:highlight w:val="none"/>
              </w:rPr>
            </w:pPr>
          </w:p>
        </w:tc>
      </w:tr>
      <w:tr w14:paraId="72F4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763C5B7">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248B222">
            <w:pPr>
              <w:spacing w:line="360" w:lineRule="exact"/>
              <w:jc w:val="center"/>
              <w:rPr>
                <w:rFonts w:ascii="宋体" w:hAnsi="宋体" w:cs="宋体"/>
                <w:color w:val="auto"/>
                <w:highlight w:val="none"/>
              </w:rPr>
            </w:pPr>
            <w:r>
              <w:rPr>
                <w:rFonts w:hint="eastAsia" w:ascii="宋体" w:hAnsi="宋体" w:cs="宋体"/>
                <w:color w:val="auto"/>
                <w:highlight w:val="none"/>
              </w:rPr>
              <w:t>（9）新技术应用与承诺分</w:t>
            </w:r>
          </w:p>
          <w:p w14:paraId="7B207B18">
            <w:pPr>
              <w:spacing w:line="360" w:lineRule="exact"/>
              <w:jc w:val="center"/>
              <w:rPr>
                <w:rFonts w:asciiTheme="majorEastAsia" w:hAnsiTheme="majorEastAsia" w:eastAsiaTheme="majorEastAsia"/>
                <w:bCs/>
                <w:color w:val="auto"/>
                <w:kern w:val="0"/>
                <w:highlight w:val="none"/>
              </w:rPr>
            </w:pPr>
            <w:r>
              <w:rPr>
                <w:rFonts w:hint="eastAsia" w:ascii="宋体" w:hAnsi="宋体" w:cs="宋体"/>
                <w:color w:val="auto"/>
                <w:highlight w:val="none"/>
              </w:rPr>
              <w:t>（3分）</w:t>
            </w:r>
          </w:p>
        </w:tc>
        <w:tc>
          <w:tcPr>
            <w:tcW w:w="6288" w:type="dxa"/>
            <w:tcBorders>
              <w:top w:val="single" w:color="auto" w:sz="4" w:space="0"/>
              <w:left w:val="single" w:color="auto" w:sz="4" w:space="0"/>
              <w:bottom w:val="single" w:color="auto" w:sz="4" w:space="0"/>
              <w:right w:val="single" w:color="auto" w:sz="4" w:space="0"/>
            </w:tcBorders>
            <w:vAlign w:val="center"/>
          </w:tcPr>
          <w:p w14:paraId="6AD1BD9C">
            <w:pPr>
              <w:spacing w:line="500" w:lineRule="exact"/>
              <w:jc w:val="left"/>
              <w:rPr>
                <w:rFonts w:ascii="宋体" w:hAnsi="宋体" w:cs="宋体"/>
                <w:color w:val="auto"/>
                <w:highlight w:val="none"/>
              </w:rPr>
            </w:pPr>
            <w:r>
              <w:rPr>
                <w:rFonts w:hint="eastAsia" w:ascii="宋体" w:hAnsi="宋体" w:cs="宋体"/>
                <w:color w:val="auto"/>
                <w:highlight w:val="none"/>
              </w:rPr>
              <w:t xml:space="preserve">一档（1分）：有新技术措施，但验证材料不充分，对节约投资和工期可能有一定收益，对采用新技术可能产生的风险预见不足； </w:t>
            </w:r>
          </w:p>
          <w:p w14:paraId="3D3B21A3">
            <w:pPr>
              <w:spacing w:line="500" w:lineRule="exact"/>
              <w:jc w:val="left"/>
              <w:rPr>
                <w:rFonts w:ascii="宋体" w:hAnsi="宋体" w:cs="宋体"/>
                <w:color w:val="auto"/>
                <w:highlight w:val="none"/>
              </w:rPr>
            </w:pPr>
            <w:r>
              <w:rPr>
                <w:rFonts w:hint="eastAsia" w:ascii="宋体" w:hAnsi="宋体" w:cs="宋体"/>
                <w:color w:val="auto"/>
                <w:highlight w:val="none"/>
              </w:rPr>
              <w:t>二档（2分）：在满足一档的基础上，针对项目实际，提出采用新技术的具体措施。新技术的验证材料可靠，对节约投资和工期有保证措施；对采用新技术可能产生的风险有一定的预见；</w:t>
            </w:r>
          </w:p>
          <w:p w14:paraId="546E6EB4">
            <w:pPr>
              <w:spacing w:line="500" w:lineRule="exact"/>
              <w:jc w:val="left"/>
              <w:rPr>
                <w:color w:val="auto"/>
                <w:highlight w:val="none"/>
              </w:rPr>
            </w:pPr>
            <w:r>
              <w:rPr>
                <w:rFonts w:hint="eastAsia" w:ascii="宋体" w:hAnsi="宋体" w:cs="宋体"/>
                <w:color w:val="auto"/>
                <w:highlight w:val="none"/>
              </w:rPr>
              <w:t>三档（3分）：在满足二档的基础上，针对项目实际，提出采用新技术的具体措施；新技术的验证材料可靠，对节约投资和工期的保证措施得力、具体、严谨；对采用新技术可能产生的风险预见充分，对新技术的实施有安全生产的可靠方案。</w:t>
            </w:r>
          </w:p>
          <w:p w14:paraId="226D5ACC">
            <w:pPr>
              <w:spacing w:line="500" w:lineRule="exact"/>
              <w:jc w:val="left"/>
              <w:rPr>
                <w:color w:val="auto"/>
                <w:highlight w:val="none"/>
              </w:rPr>
            </w:pPr>
            <w:r>
              <w:rPr>
                <w:rFonts w:hint="eastAsia" w:asciiTheme="majorEastAsia" w:hAnsiTheme="majorEastAsia" w:eastAsiaTheme="majorEastAsia"/>
                <w:color w:val="auto"/>
                <w:szCs w:val="21"/>
                <w:highlight w:val="none"/>
              </w:rPr>
              <w:t>注：施工组织设计中未提供“</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”或所提供的“</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”未达一档档次的，“</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9F1AA95">
            <w:pPr>
              <w:widowControl/>
              <w:spacing w:line="340" w:lineRule="exact"/>
              <w:jc w:val="left"/>
              <w:rPr>
                <w:rFonts w:asciiTheme="majorEastAsia" w:hAnsiTheme="majorEastAsia" w:eastAsiaTheme="majorEastAsia"/>
                <w:color w:val="auto"/>
                <w:szCs w:val="21"/>
                <w:highlight w:val="none"/>
              </w:rPr>
            </w:pPr>
          </w:p>
        </w:tc>
      </w:tr>
      <w:tr w14:paraId="2A53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647D3DCD">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67B40352">
            <w:pPr>
              <w:widowControl/>
              <w:spacing w:line="360" w:lineRule="exact"/>
              <w:jc w:val="center"/>
              <w:rPr>
                <w:rFonts w:cs="Courier New" w:asciiTheme="majorEastAsia" w:hAnsiTheme="majorEastAsia" w:eastAsiaTheme="majorEastAsia"/>
                <w:bCs/>
                <w:color w:val="auto"/>
                <w:szCs w:val="21"/>
                <w:highlight w:val="none"/>
              </w:rPr>
            </w:pPr>
            <w:r>
              <w:rPr>
                <w:rFonts w:hint="eastAsia"/>
                <w:color w:val="auto"/>
                <w:highlight w:val="none"/>
              </w:rPr>
              <w:t>履约能力</w:t>
            </w:r>
            <w:r>
              <w:rPr>
                <w:rFonts w:hint="eastAsia" w:cs="Courier New" w:asciiTheme="majorEastAsia" w:hAnsiTheme="majorEastAsia" w:eastAsiaTheme="majorEastAsia"/>
                <w:bCs/>
                <w:color w:val="auto"/>
                <w:szCs w:val="21"/>
                <w:highlight w:val="none"/>
              </w:rPr>
              <w:t>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11BF73F0">
            <w:pPr>
              <w:widowControl/>
              <w:spacing w:line="50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评审标准</w:t>
            </w:r>
          </w:p>
        </w:tc>
      </w:tr>
      <w:tr w14:paraId="066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2ECFC69B">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1013551">
            <w:pPr>
              <w:widowControl/>
              <w:spacing w:line="36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3.1拟投入主要管理人员配置分（10分）</w:t>
            </w:r>
          </w:p>
        </w:tc>
        <w:tc>
          <w:tcPr>
            <w:tcW w:w="6288" w:type="dxa"/>
            <w:tcBorders>
              <w:top w:val="single" w:color="auto" w:sz="4" w:space="0"/>
              <w:left w:val="single" w:color="auto" w:sz="4" w:space="0"/>
              <w:bottom w:val="single" w:color="auto" w:sz="4" w:space="0"/>
              <w:right w:val="single" w:color="auto" w:sz="4" w:space="0"/>
            </w:tcBorders>
          </w:tcPr>
          <w:p w14:paraId="588C176F">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（1）项目经理职称分：供应商拟投入本项目的项目经理</w:t>
            </w:r>
            <w:r>
              <w:rPr>
                <w:rFonts w:hint="eastAsia" w:asciiTheme="majorEastAsia" w:hAnsiTheme="majorEastAsia" w:eastAsiaTheme="majorEastAsia" w:cstheme="majorEastAsia"/>
                <w:color w:val="auto"/>
                <w:highlight w:val="none"/>
              </w:rPr>
              <w:t>具有工程师职称的，得2分；具有高级工程师及以上职称的，得4分。</w:t>
            </w:r>
            <w:r>
              <w:rPr>
                <w:rFonts w:hint="eastAsia" w:asciiTheme="majorEastAsia" w:hAnsiTheme="majorEastAsia" w:eastAsiaTheme="majorEastAsia" w:cstheme="majorEastAsia"/>
                <w:color w:val="auto"/>
                <w:szCs w:val="22"/>
                <w:highlight w:val="none"/>
              </w:rPr>
              <w:t>本项最多得4分。</w:t>
            </w:r>
          </w:p>
          <w:p w14:paraId="25F0549B">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（2）供应商</w:t>
            </w:r>
            <w:r>
              <w:rPr>
                <w:rFonts w:hint="eastAsia" w:asciiTheme="majorEastAsia" w:hAnsiTheme="majorEastAsia" w:eastAsiaTheme="majorEastAsia" w:cstheme="majorEastAsia"/>
                <w:color w:val="auto"/>
                <w:highlight w:val="none"/>
              </w:rPr>
              <w:t>拟投入的项目管理机构（除项目经理、技术负责人外），</w:t>
            </w:r>
            <w:r>
              <w:rPr>
                <w:rFonts w:hint="eastAsia" w:asciiTheme="majorEastAsia" w:hAnsiTheme="majorEastAsia" w:eastAsiaTheme="majorEastAsia" w:cstheme="majorEastAsia"/>
                <w:color w:val="auto"/>
                <w:szCs w:val="22"/>
                <w:highlight w:val="none"/>
              </w:rPr>
              <w:t>每有1名具有工程师职称的，得1分，最多得3分；每有1名具有高级工程师及以上职称的，得2分，最多得6分。本项最多得6分。</w:t>
            </w:r>
          </w:p>
          <w:p w14:paraId="59AF9ABF">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注：供应商于响应文件中提供相应职称证书复印件，加盖供应商电子签章，否则不予认可。</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0F3D312">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20分</w:t>
            </w:r>
          </w:p>
        </w:tc>
      </w:tr>
      <w:tr w14:paraId="660F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2B2B42AC">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D1D7725">
            <w:pPr>
              <w:widowControl/>
              <w:spacing w:line="36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3.2信誉及业绩分（10分）</w:t>
            </w:r>
          </w:p>
        </w:tc>
        <w:tc>
          <w:tcPr>
            <w:tcW w:w="6288" w:type="dxa"/>
            <w:tcBorders>
              <w:top w:val="single" w:color="auto" w:sz="4" w:space="0"/>
              <w:left w:val="single" w:color="auto" w:sz="4" w:space="0"/>
              <w:bottom w:val="single" w:color="auto" w:sz="4" w:space="0"/>
              <w:right w:val="single" w:color="auto" w:sz="4" w:space="0"/>
            </w:tcBorders>
          </w:tcPr>
          <w:p w14:paraId="1A351333">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（1）信誉分（6分）</w:t>
            </w:r>
          </w:p>
          <w:p w14:paraId="5CC9B349">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①供应商近2年（即：自2023年12月1日以来）获得市级工程质量或安全文明工地奖（建筑施工安全文明标准化工地）的，每提供1个奖项得0.5分，最多得2分。</w:t>
            </w:r>
          </w:p>
          <w:p w14:paraId="167280EA">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②供应商近2年（即：自2023年12月1日以来）获得省级及以上工程质量或安全文明工地奖（建筑施工安全文明标准化工地）的，每提供1个奖项的，得1分，最多得4分。</w:t>
            </w:r>
          </w:p>
          <w:p w14:paraId="1A00178C">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注：</w:t>
            </w:r>
          </w:p>
          <w:p w14:paraId="1A2D70E9">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a.以上评分时间计算以获奖时间为准；</w:t>
            </w:r>
          </w:p>
          <w:p w14:paraId="271EDB05">
            <w:pPr>
              <w:spacing w:line="440" w:lineRule="exact"/>
              <w:rPr>
                <w:rFonts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color w:val="auto"/>
                <w:szCs w:val="22"/>
                <w:highlight w:val="none"/>
              </w:rPr>
              <w:t>b.供应商于响应文件中提供相应奖项证明材料，加盖供应商电子签章，否则不予认可。</w:t>
            </w:r>
          </w:p>
          <w:p w14:paraId="5ADEE220">
            <w:pPr>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2"/>
                <w:highlight w:val="none"/>
              </w:rPr>
              <w:t>（2）供应商近2年（自2023年12月1日以来）具有完成类似项目业绩的（供应商于响应文件中提供竣工验收意见书或验收报告等验收证明材料，加盖供应商电子签章，否则不予认可），每提供1项业绩得1分，最多得4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C644740">
            <w:pPr>
              <w:widowControl/>
              <w:jc w:val="left"/>
              <w:rPr>
                <w:rFonts w:cs="Tahoma" w:asciiTheme="majorEastAsia" w:hAnsiTheme="majorEastAsia" w:eastAsiaTheme="majorEastAsia"/>
                <w:color w:val="auto"/>
                <w:kern w:val="0"/>
                <w:szCs w:val="21"/>
                <w:highlight w:val="none"/>
              </w:rPr>
            </w:pPr>
          </w:p>
        </w:tc>
      </w:tr>
      <w:tr w14:paraId="7F40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83" w:type="dxa"/>
            <w:gridSpan w:val="3"/>
            <w:tcBorders>
              <w:top w:val="single" w:color="auto" w:sz="4" w:space="0"/>
              <w:left w:val="single" w:color="auto" w:sz="4" w:space="0"/>
              <w:bottom w:val="single" w:color="auto" w:sz="4" w:space="0"/>
              <w:right w:val="single" w:color="auto" w:sz="4" w:space="0"/>
            </w:tcBorders>
            <w:vAlign w:val="center"/>
          </w:tcPr>
          <w:p w14:paraId="0170FFDE">
            <w:pPr>
              <w:pStyle w:val="25"/>
              <w:spacing w:line="360" w:lineRule="auto"/>
              <w:jc w:val="left"/>
              <w:rPr>
                <w:rFonts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0949193D">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100分</w:t>
            </w:r>
          </w:p>
        </w:tc>
      </w:tr>
    </w:tbl>
    <w:p w14:paraId="359B3685">
      <w:pPr>
        <w:spacing w:line="400" w:lineRule="exact"/>
        <w:rPr>
          <w:rFonts w:ascii="宋体" w:hAnsi="宋体" w:cs="宋体"/>
          <w:color w:val="auto"/>
          <w:highlight w:val="none"/>
        </w:rPr>
      </w:pPr>
    </w:p>
    <w:p w14:paraId="489D986E">
      <w:pPr>
        <w:pStyle w:val="2"/>
        <w:jc w:val="center"/>
        <w:rPr>
          <w:color w:val="auto"/>
          <w:highlight w:val="none"/>
        </w:rPr>
      </w:pPr>
    </w:p>
    <w:p w14:paraId="44C3FABC">
      <w:pPr>
        <w:rPr>
          <w:color w:val="auto"/>
          <w:highlight w:val="none"/>
        </w:rPr>
      </w:pPr>
    </w:p>
    <w:p w14:paraId="11DE6E9E">
      <w:pPr>
        <w:rPr>
          <w:color w:val="auto"/>
          <w:highlight w:val="none"/>
        </w:rPr>
      </w:pPr>
    </w:p>
    <w:p w14:paraId="50F14E25">
      <w:pPr>
        <w:rPr>
          <w:color w:val="auto"/>
          <w:highlight w:val="none"/>
        </w:rPr>
      </w:pPr>
    </w:p>
    <w:p w14:paraId="122042A6">
      <w:pPr>
        <w:pStyle w:val="2"/>
        <w:jc w:val="center"/>
        <w:rPr>
          <w:color w:val="auto"/>
          <w:highlight w:val="none"/>
        </w:rPr>
      </w:pPr>
    </w:p>
    <w:p w14:paraId="4BBA3FAB">
      <w:pPr>
        <w:pStyle w:val="2"/>
        <w:jc w:val="center"/>
        <w:rPr>
          <w:color w:val="auto"/>
          <w:highlight w:val="none"/>
        </w:rPr>
      </w:pPr>
    </w:p>
    <w:p w14:paraId="330E155D">
      <w:pPr>
        <w:pStyle w:val="2"/>
        <w:jc w:val="center"/>
        <w:rPr>
          <w:color w:val="auto"/>
          <w:highlight w:val="none"/>
        </w:rPr>
      </w:pPr>
    </w:p>
    <w:p w14:paraId="5BD9ADB6">
      <w:pPr>
        <w:pStyle w:val="2"/>
        <w:jc w:val="center"/>
        <w:rPr>
          <w:color w:val="auto"/>
          <w:highlight w:val="none"/>
        </w:rPr>
      </w:pPr>
    </w:p>
    <w:p w14:paraId="6D7B6338">
      <w:pPr>
        <w:pStyle w:val="2"/>
        <w:jc w:val="center"/>
        <w:rPr>
          <w:color w:val="auto"/>
          <w:highlight w:val="none"/>
        </w:rPr>
      </w:pPr>
      <w:r>
        <w:rPr>
          <w:rFonts w:hint="eastAsia"/>
          <w:color w:val="auto"/>
          <w:highlight w:val="none"/>
        </w:rPr>
        <w:t>第五章 工程量清单及图纸</w:t>
      </w:r>
    </w:p>
    <w:p w14:paraId="2E64F045">
      <w:pPr>
        <w:pStyle w:val="2"/>
        <w:spacing w:before="0" w:after="0" w:line="360" w:lineRule="auto"/>
        <w:jc w:val="center"/>
        <w:rPr>
          <w:color w:val="auto"/>
          <w:highlight w:val="none"/>
        </w:rPr>
      </w:pPr>
      <w:r>
        <w:rPr>
          <w:color w:val="auto"/>
          <w:highlight w:val="none"/>
        </w:rPr>
        <w:br w:type="page"/>
      </w:r>
      <w:bookmarkStart w:id="78" w:name="_Toc78449869"/>
      <w:bookmarkStart w:id="79" w:name="_Toc407135284"/>
      <w:bookmarkStart w:id="80" w:name="_Toc1392571603"/>
      <w:bookmarkStart w:id="81" w:name="_Toc1386396751"/>
      <w:r>
        <w:rPr>
          <w:color w:val="auto"/>
          <w:highlight w:val="none"/>
        </w:rPr>
        <w:t>1</w:t>
      </w:r>
      <w:r>
        <w:rPr>
          <w:rFonts w:hint="eastAsia"/>
          <w:color w:val="auto"/>
          <w:highlight w:val="none"/>
        </w:rPr>
        <w:t>.</w:t>
      </w:r>
      <w:r>
        <w:rPr>
          <w:rFonts w:hint="eastAsia" w:cs="黑体"/>
          <w:color w:val="auto"/>
          <w:highlight w:val="none"/>
        </w:rPr>
        <w:t>工程量清单编制说明</w:t>
      </w:r>
      <w:bookmarkEnd w:id="78"/>
      <w:bookmarkEnd w:id="79"/>
      <w:bookmarkEnd w:id="80"/>
      <w:bookmarkEnd w:id="81"/>
    </w:p>
    <w:p w14:paraId="7B8469B6">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号）、磋商文件</w:t>
      </w:r>
      <w:r>
        <w:rPr>
          <w:rFonts w:hint="eastAsia" w:hAnsi="宋体" w:cs="宋体"/>
          <w:color w:val="auto"/>
          <w:highlight w:val="none"/>
        </w:rPr>
        <w:t>、施工图等编制。计算规范中没有的清单项目，应在本章第</w:t>
      </w:r>
      <w:r>
        <w:rPr>
          <w:color w:val="auto"/>
          <w:highlight w:val="none"/>
        </w:rPr>
        <w:t>1.4</w:t>
      </w:r>
      <w:r>
        <w:rPr>
          <w:rFonts w:hint="eastAsia" w:hAnsi="宋体" w:cs="宋体"/>
          <w:color w:val="auto"/>
          <w:highlight w:val="none"/>
        </w:rPr>
        <w:t>款约定。</w:t>
      </w:r>
    </w:p>
    <w:p w14:paraId="66291539">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00C4759B">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工程量清单是磋商文件的组成部分，是工程量清单计价的基础，作为编制招标控制价、竞标报价、计算或调整工程量、索赔等的依据之一。</w:t>
      </w:r>
    </w:p>
    <w:p w14:paraId="10BF4ADF">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color w:val="auto"/>
          <w:highlight w:val="none"/>
          <w:u w:val="single"/>
        </w:rPr>
        <w:t>无</w:t>
      </w:r>
      <w:r>
        <w:rPr>
          <w:rFonts w:hint="eastAsia" w:hAnsi="宋体" w:cs="宋体"/>
          <w:color w:val="auto"/>
          <w:highlight w:val="none"/>
        </w:rPr>
        <w:t>。</w:t>
      </w:r>
    </w:p>
    <w:p w14:paraId="3066C9E8">
      <w:pPr>
        <w:pStyle w:val="25"/>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1.</w:t>
      </w:r>
      <w:r>
        <w:rPr>
          <w:rFonts w:hint="eastAsia" w:ascii="Times New Roman" w:hAnsi="Times New Roman"/>
          <w:color w:val="auto"/>
          <w:sz w:val="21"/>
          <w:highlight w:val="none"/>
        </w:rPr>
        <w:t>5本工程暂列金额：无。</w:t>
      </w:r>
    </w:p>
    <w:p w14:paraId="708E0B78">
      <w:pPr>
        <w:spacing w:line="360" w:lineRule="auto"/>
        <w:ind w:firstLine="420" w:firstLineChars="200"/>
        <w:rPr>
          <w:color w:val="auto"/>
          <w:highlight w:val="none"/>
        </w:rPr>
      </w:pPr>
      <w:r>
        <w:rPr>
          <w:color w:val="auto"/>
          <w:highlight w:val="none"/>
        </w:rPr>
        <w:t>1.</w:t>
      </w:r>
      <w:r>
        <w:rPr>
          <w:rFonts w:hint="eastAsia"/>
          <w:color w:val="auto"/>
          <w:highlight w:val="none"/>
        </w:rPr>
        <w:t>6</w:t>
      </w:r>
      <w:r>
        <w:rPr>
          <w:rFonts w:hint="eastAsia" w:cs="宋体"/>
          <w:color w:val="auto"/>
          <w:highlight w:val="none"/>
        </w:rPr>
        <w:t>本工程部分材料和设备在磋商时作为暂估价计列，结算按实调整，具体内容详见《其他项目费用汇总表》（表</w:t>
      </w:r>
      <w:r>
        <w:rPr>
          <w:rFonts w:hint="eastAsia"/>
          <w:color w:val="auto"/>
          <w:highlight w:val="none"/>
        </w:rPr>
        <w:t>-11</w:t>
      </w:r>
      <w:r>
        <w:rPr>
          <w:rFonts w:hint="eastAsia" w:cs="宋体"/>
          <w:color w:val="auto"/>
          <w:highlight w:val="none"/>
        </w:rPr>
        <w:t>）。</w:t>
      </w:r>
    </w:p>
    <w:p w14:paraId="287BCF77">
      <w:pPr>
        <w:spacing w:line="360" w:lineRule="auto"/>
        <w:ind w:firstLine="420" w:firstLineChars="200"/>
        <w:rPr>
          <w:color w:val="auto"/>
          <w:highlight w:val="none"/>
        </w:rPr>
      </w:pPr>
      <w:r>
        <w:rPr>
          <w:color w:val="auto"/>
          <w:highlight w:val="none"/>
        </w:rPr>
        <w:t>1.</w:t>
      </w:r>
      <w:r>
        <w:rPr>
          <w:rFonts w:hint="eastAsia"/>
          <w:color w:val="auto"/>
          <w:highlight w:val="none"/>
        </w:rPr>
        <w:t>7</w:t>
      </w:r>
      <w:r>
        <w:rPr>
          <w:rFonts w:hint="eastAsia" w:cs="宋体"/>
          <w:color w:val="auto"/>
          <w:highlight w:val="none"/>
        </w:rPr>
        <w:t>磋商时暂估专业工程的价款属于暂估价，结算按实调整，具体内容详见《其他项目费用汇总表》（表</w:t>
      </w:r>
      <w:r>
        <w:rPr>
          <w:rFonts w:hint="eastAsia"/>
          <w:color w:val="auto"/>
          <w:highlight w:val="none"/>
        </w:rPr>
        <w:t>-11</w:t>
      </w:r>
      <w:r>
        <w:rPr>
          <w:rFonts w:hint="eastAsia" w:cs="宋体"/>
          <w:color w:val="auto"/>
          <w:highlight w:val="none"/>
        </w:rPr>
        <w:t>）。</w:t>
      </w:r>
    </w:p>
    <w:p w14:paraId="1A04FCEF">
      <w:pPr>
        <w:spacing w:line="360" w:lineRule="auto"/>
        <w:ind w:firstLine="420" w:firstLineChars="200"/>
        <w:rPr>
          <w:color w:val="auto"/>
          <w:highlight w:val="none"/>
        </w:rPr>
      </w:pPr>
      <w:r>
        <w:rPr>
          <w:color w:val="auto"/>
          <w:highlight w:val="none"/>
        </w:rPr>
        <w:t>1.</w:t>
      </w:r>
      <w:r>
        <w:rPr>
          <w:rFonts w:hint="eastAsia"/>
          <w:color w:val="auto"/>
          <w:highlight w:val="none"/>
        </w:rPr>
        <w:t>8其他</w:t>
      </w:r>
      <w:r>
        <w:rPr>
          <w:rFonts w:hint="eastAsia" w:cs="宋体"/>
          <w:color w:val="auto"/>
          <w:highlight w:val="none"/>
        </w:rPr>
        <w:t>需要说明的问题：</w:t>
      </w:r>
      <w:r>
        <w:rPr>
          <w:rFonts w:hint="eastAsia"/>
          <w:color w:val="auto"/>
          <w:highlight w:val="none"/>
          <w:u w:val="single"/>
        </w:rPr>
        <w:t>无</w:t>
      </w:r>
      <w:r>
        <w:rPr>
          <w:rFonts w:hint="eastAsia" w:cs="宋体"/>
          <w:color w:val="auto"/>
          <w:highlight w:val="none"/>
        </w:rPr>
        <w:t>。</w:t>
      </w:r>
    </w:p>
    <w:p w14:paraId="0E2F9048">
      <w:pPr>
        <w:spacing w:line="360" w:lineRule="auto"/>
        <w:ind w:firstLine="420" w:firstLineChars="200"/>
        <w:jc w:val="left"/>
        <w:rPr>
          <w:color w:val="auto"/>
          <w:highlight w:val="none"/>
        </w:rPr>
      </w:pPr>
      <w:r>
        <w:rPr>
          <w:color w:val="auto"/>
          <w:highlight w:val="none"/>
        </w:rPr>
        <w:t>1.</w:t>
      </w:r>
      <w:r>
        <w:rPr>
          <w:rFonts w:hint="eastAsia"/>
          <w:color w:val="auto"/>
          <w:highlight w:val="none"/>
        </w:rPr>
        <w:t>9</w:t>
      </w:r>
      <w:r>
        <w:rPr>
          <w:rFonts w:hint="eastAsia" w:cs="宋体"/>
          <w:color w:val="auto"/>
          <w:highlight w:val="none"/>
        </w:rPr>
        <w:t>工程量清单与磋商文件同时发布。一般计税法建设工程的工程量清单表格按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3CFF21A7">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3251ABD0">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59D6A082">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104EADE8">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建设项目建筑安装工程费汇总表（表</w:t>
      </w:r>
      <w:r>
        <w:rPr>
          <w:color w:val="auto"/>
          <w:highlight w:val="none"/>
        </w:rPr>
        <w:t>-02</w:t>
      </w:r>
      <w:r>
        <w:rPr>
          <w:rFonts w:hint="eastAsia" w:cs="宋体"/>
          <w:color w:val="auto"/>
          <w:highlight w:val="none"/>
        </w:rPr>
        <w:t>）</w:t>
      </w:r>
    </w:p>
    <w:p w14:paraId="0A4D9394">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单项工程建筑安装工程费汇总表（表</w:t>
      </w:r>
      <w:r>
        <w:rPr>
          <w:color w:val="auto"/>
          <w:highlight w:val="none"/>
        </w:rPr>
        <w:t>-03</w:t>
      </w:r>
      <w:r>
        <w:rPr>
          <w:rFonts w:hint="eastAsia" w:cs="宋体"/>
          <w:color w:val="auto"/>
          <w:highlight w:val="none"/>
        </w:rPr>
        <w:t>）</w:t>
      </w:r>
    </w:p>
    <w:p w14:paraId="5C965258">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单位工程建筑安装工程费汇总表（表</w:t>
      </w:r>
      <w:r>
        <w:rPr>
          <w:color w:val="auto"/>
          <w:highlight w:val="none"/>
        </w:rPr>
        <w:t>-04</w:t>
      </w:r>
      <w:r>
        <w:rPr>
          <w:rFonts w:hint="eastAsia" w:cs="宋体"/>
          <w:color w:val="auto"/>
          <w:highlight w:val="none"/>
        </w:rPr>
        <w:t>）</w:t>
      </w:r>
    </w:p>
    <w:p w14:paraId="16E3863A">
      <w:pPr>
        <w:spacing w:line="360" w:lineRule="auto"/>
        <w:ind w:firstLine="630" w:firstLineChars="300"/>
        <w:jc w:val="left"/>
        <w:rPr>
          <w:rFonts w:cs="宋体"/>
          <w:color w:val="auto"/>
          <w:highlight w:val="none"/>
        </w:rPr>
      </w:pPr>
      <w:r>
        <w:rPr>
          <w:color w:val="auto"/>
          <w:highlight w:val="none"/>
        </w:rPr>
        <w:t xml:space="preserve">1.7 </w:t>
      </w:r>
      <w:r>
        <w:rPr>
          <w:rFonts w:hint="eastAsia" w:cs="宋体"/>
          <w:color w:val="auto"/>
          <w:highlight w:val="none"/>
        </w:rPr>
        <w:t>分部分项工程和单价措施项目费用表（表</w:t>
      </w:r>
      <w:r>
        <w:rPr>
          <w:color w:val="auto"/>
          <w:highlight w:val="none"/>
        </w:rPr>
        <w:t>-08</w:t>
      </w:r>
      <w:r>
        <w:rPr>
          <w:rFonts w:hint="eastAsia" w:cs="宋体"/>
          <w:color w:val="auto"/>
          <w:highlight w:val="none"/>
        </w:rPr>
        <w:t>）</w:t>
      </w:r>
    </w:p>
    <w:p w14:paraId="3A562512">
      <w:pPr>
        <w:spacing w:line="360" w:lineRule="auto"/>
        <w:ind w:firstLine="630" w:firstLineChars="300"/>
        <w:jc w:val="left"/>
        <w:rPr>
          <w:rFonts w:cs="宋体"/>
          <w:color w:val="auto"/>
          <w:highlight w:val="none"/>
        </w:rPr>
      </w:pPr>
      <w:r>
        <w:rPr>
          <w:rFonts w:hint="eastAsia" w:cs="宋体"/>
          <w:color w:val="auto"/>
          <w:highlight w:val="none"/>
        </w:rPr>
        <w:t>1.8总价措施项目费用表（表-10）</w:t>
      </w:r>
    </w:p>
    <w:p w14:paraId="38FC8014">
      <w:pPr>
        <w:spacing w:line="360" w:lineRule="auto"/>
        <w:ind w:firstLine="630" w:firstLineChars="300"/>
        <w:jc w:val="left"/>
        <w:rPr>
          <w:color w:val="auto"/>
          <w:highlight w:val="none"/>
        </w:rPr>
      </w:pPr>
      <w:r>
        <w:rPr>
          <w:color w:val="auto"/>
          <w:highlight w:val="none"/>
        </w:rPr>
        <w:t>1.</w:t>
      </w:r>
      <w:r>
        <w:rPr>
          <w:rFonts w:hint="eastAsia"/>
          <w:color w:val="auto"/>
          <w:highlight w:val="none"/>
        </w:rPr>
        <w:t>9</w:t>
      </w:r>
      <w:r>
        <w:rPr>
          <w:rFonts w:hint="eastAsia" w:cs="宋体"/>
          <w:color w:val="auto"/>
          <w:highlight w:val="none"/>
        </w:rPr>
        <w:t>其他项目费用汇总表（表</w:t>
      </w:r>
      <w:r>
        <w:rPr>
          <w:color w:val="auto"/>
          <w:highlight w:val="none"/>
        </w:rPr>
        <w:t>-11</w:t>
      </w:r>
      <w:r>
        <w:rPr>
          <w:rFonts w:hint="eastAsia" w:cs="宋体"/>
          <w:color w:val="auto"/>
          <w:highlight w:val="none"/>
        </w:rPr>
        <w:t>）</w:t>
      </w:r>
    </w:p>
    <w:p w14:paraId="7E19D63F">
      <w:pPr>
        <w:spacing w:line="360" w:lineRule="auto"/>
        <w:ind w:firstLine="630" w:firstLineChars="300"/>
        <w:jc w:val="left"/>
        <w:rPr>
          <w:rFonts w:hint="eastAsia" w:cs="宋体"/>
          <w:color w:val="auto"/>
          <w:highlight w:val="none"/>
        </w:rPr>
      </w:pPr>
      <w:r>
        <w:rPr>
          <w:rFonts w:hint="eastAsia" w:cs="宋体"/>
          <w:color w:val="auto"/>
          <w:highlight w:val="none"/>
        </w:rPr>
        <w:t>1.10</w:t>
      </w:r>
      <w:r>
        <w:rPr>
          <w:rFonts w:hint="eastAsia" w:cs="宋体"/>
          <w:color w:val="auto"/>
          <w:highlight w:val="none"/>
          <w:lang w:val="en-US" w:eastAsia="zh-CN"/>
        </w:rPr>
        <w:t>本工程材料和工程设备一览表</w:t>
      </w:r>
      <w:r>
        <w:rPr>
          <w:rFonts w:hint="eastAsia" w:cs="宋体"/>
          <w:color w:val="auto"/>
          <w:highlight w:val="none"/>
        </w:rPr>
        <w:t>（表-</w:t>
      </w:r>
      <w:r>
        <w:rPr>
          <w:rFonts w:hint="eastAsia" w:cs="宋体"/>
          <w:color w:val="auto"/>
          <w:highlight w:val="none"/>
          <w:lang w:val="en-US" w:eastAsia="zh-CN"/>
        </w:rPr>
        <w:t>22</w:t>
      </w:r>
      <w:r>
        <w:rPr>
          <w:rFonts w:hint="eastAsia" w:cs="宋体"/>
          <w:color w:val="auto"/>
          <w:highlight w:val="none"/>
        </w:rPr>
        <w:t>）</w:t>
      </w:r>
    </w:p>
    <w:p w14:paraId="2E1D321D">
      <w:pPr>
        <w:spacing w:line="360" w:lineRule="auto"/>
        <w:ind w:firstLine="630" w:firstLineChars="300"/>
        <w:jc w:val="left"/>
        <w:rPr>
          <w:rFonts w:hint="eastAsia" w:eastAsia="宋体" w:cs="宋体"/>
          <w:color w:val="auto"/>
          <w:highlight w:val="none"/>
          <w:lang w:eastAsia="zh-CN"/>
        </w:rPr>
      </w:pPr>
      <w:r>
        <w:rPr>
          <w:rFonts w:hint="eastAsia" w:cs="宋体"/>
          <w:color w:val="auto"/>
          <w:highlight w:val="none"/>
          <w:lang w:eastAsia="zh-CN"/>
        </w:rPr>
        <w:t>具体详见上传的工程量清单。</w:t>
      </w:r>
    </w:p>
    <w:p w14:paraId="0C706676">
      <w:pPr>
        <w:pStyle w:val="3"/>
        <w:spacing w:before="0" w:after="0" w:line="360" w:lineRule="auto"/>
        <w:rPr>
          <w:color w:val="auto"/>
          <w:highlight w:val="none"/>
        </w:rPr>
      </w:pPr>
      <w:bookmarkStart w:id="82" w:name="_Toc347872619"/>
      <w:bookmarkStart w:id="83" w:name="_Toc990933621"/>
      <w:bookmarkStart w:id="84" w:name="_Toc78449870"/>
      <w:bookmarkStart w:id="85" w:name="_Toc407135285"/>
      <w:r>
        <w:rPr>
          <w:color w:val="auto"/>
          <w:highlight w:val="none"/>
        </w:rPr>
        <w:t>2</w:t>
      </w:r>
      <w:r>
        <w:rPr>
          <w:rFonts w:hint="eastAsia"/>
          <w:color w:val="auto"/>
          <w:highlight w:val="none"/>
        </w:rPr>
        <w:t>.</w:t>
      </w:r>
      <w:r>
        <w:rPr>
          <w:rFonts w:hint="eastAsia" w:cs="黑体"/>
          <w:color w:val="auto"/>
          <w:highlight w:val="none"/>
        </w:rPr>
        <w:t>招标控制价编制说明</w:t>
      </w:r>
      <w:bookmarkEnd w:id="82"/>
      <w:bookmarkEnd w:id="83"/>
      <w:bookmarkEnd w:id="84"/>
      <w:bookmarkEnd w:id="85"/>
    </w:p>
    <w:p w14:paraId="7E460AF5">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14:paraId="3F17E0A7">
      <w:pPr>
        <w:spacing w:line="360" w:lineRule="auto"/>
        <w:ind w:firstLine="420" w:firstLineChars="200"/>
        <w:rPr>
          <w:rFonts w:hAnsi="宋体"/>
          <w:color w:val="auto"/>
          <w:highlight w:val="none"/>
        </w:rPr>
      </w:pPr>
      <w:r>
        <w:rPr>
          <w:rFonts w:hint="eastAsia" w:cs="宋体"/>
          <w:color w:val="auto"/>
          <w:highlight w:val="none"/>
        </w:rPr>
        <w:t>（1）</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205A54E4">
      <w:pPr>
        <w:spacing w:line="360" w:lineRule="auto"/>
        <w:ind w:firstLine="420" w:firstLineChars="200"/>
      </w:pPr>
      <w:r>
        <w:rPr>
          <w:rFonts w:hint="eastAsia" w:cs="宋体"/>
          <w:color w:val="auto"/>
          <w:highlight w:val="none"/>
        </w:rPr>
        <w:t>（2）自治区住房城乡建设行政主管部门颁发的计价定额及有关规定：</w:t>
      </w:r>
      <w:r>
        <w:rPr>
          <w:rFonts w:hint="default" w:cs="宋体"/>
          <w:color w:val="auto"/>
          <w:highlight w:val="none"/>
          <w:u w:val="single"/>
          <w:lang w:val="en-US" w:eastAsia="zh-CN"/>
        </w:rPr>
        <w:t>2023年《广西壮族自治区安装工程消耗量定额》及相配套的费用定额</w:t>
      </w:r>
      <w:r>
        <w:rPr>
          <w:rFonts w:hint="eastAsia" w:cs="宋体"/>
          <w:color w:val="auto"/>
          <w:highlight w:val="none"/>
          <w:u w:val="single"/>
          <w:lang w:val="en-US" w:eastAsia="zh-CN"/>
        </w:rPr>
        <w:t>；</w:t>
      </w:r>
      <w:r>
        <w:rPr>
          <w:rFonts w:hint="default" w:cs="宋体"/>
          <w:color w:val="auto"/>
          <w:highlight w:val="none"/>
          <w:u w:val="single"/>
          <w:lang w:val="en-US" w:eastAsia="zh-CN"/>
        </w:rPr>
        <w:t>2021年《广西壮族自治区园林绿化及仿古建筑工程消耗量定额》及相配套的费用定额</w:t>
      </w:r>
      <w:r>
        <w:rPr>
          <w:rFonts w:hint="eastAsia" w:cs="宋体"/>
          <w:color w:val="auto"/>
          <w:highlight w:val="none"/>
          <w:u w:val="single"/>
          <w:lang w:val="en-US" w:eastAsia="zh-CN"/>
        </w:rPr>
        <w:t>；</w:t>
      </w:r>
      <w:r>
        <w:rPr>
          <w:rFonts w:hint="default" w:cs="宋体"/>
          <w:color w:val="auto"/>
          <w:highlight w:val="none"/>
          <w:u w:val="single"/>
          <w:lang w:val="en-US" w:eastAsia="zh-CN"/>
        </w:rPr>
        <w:t>2022年《广西壮族自治区市政工程消耗量定额》及相配套的费用定额</w:t>
      </w:r>
      <w:r>
        <w:rPr>
          <w:rFonts w:hint="eastAsia" w:cs="宋体"/>
          <w:color w:val="auto"/>
          <w:highlight w:val="none"/>
          <w:u w:val="single"/>
          <w:lang w:val="en-US" w:eastAsia="zh-CN"/>
        </w:rPr>
        <w:t>；</w:t>
      </w:r>
      <w:r>
        <w:rPr>
          <w:rFonts w:hint="default" w:cs="宋体"/>
          <w:color w:val="auto"/>
          <w:highlight w:val="none"/>
          <w:u w:val="single"/>
          <w:lang w:val="en-US" w:eastAsia="zh-CN"/>
        </w:rPr>
        <w:t>2024年《广西壮族自治区建筑工程消耗量定额》及相配套的费用定额</w:t>
      </w:r>
      <w:r>
        <w:rPr>
          <w:rFonts w:hint="eastAsia" w:cs="宋体"/>
          <w:color w:val="auto"/>
          <w:highlight w:val="none"/>
          <w:u w:val="single"/>
          <w:lang w:val="en-US" w:eastAsia="zh-CN"/>
        </w:rPr>
        <w:t>；</w:t>
      </w:r>
      <w:r>
        <w:rPr>
          <w:rFonts w:hint="default" w:cs="宋体"/>
          <w:color w:val="auto"/>
          <w:highlight w:val="none"/>
          <w:u w:val="single"/>
          <w:lang w:val="en-US" w:eastAsia="zh-CN"/>
        </w:rPr>
        <w:t>《关于调整建设工程定额人工费及有关费率的通知》（桂建标〔2023〕07号），规费、利润按弹性区间费率的中值计取；桂造价[2019]10号《广西壮族自治区建设工程造价管理总站文件实施关于调整税价计算适用增值税税率的通知》；桂建发[2023]06号《自治区住房城乡建设厅关于印发广西壮族自治区房屋建筑和市政基础设施工程安全生产责任保险计价规定的通知》</w:t>
      </w:r>
      <w:r>
        <w:rPr>
          <w:rFonts w:hint="eastAsia" w:ascii="??Regular" w:hAnsi="??Regular" w:eastAsia="??Regular" w:cs="??Regular"/>
          <w:color w:val="000000"/>
          <w:kern w:val="0"/>
          <w:sz w:val="18"/>
          <w:szCs w:val="18"/>
          <w:lang w:val="en-US" w:eastAsia="zh-CN" w:bidi="ar"/>
        </w:rPr>
        <w:t>。</w:t>
      </w:r>
      <w:r>
        <w:rPr>
          <w:rFonts w:hint="default" w:ascii="??Regular" w:hAnsi="??Regular" w:eastAsia="??Regular" w:cs="??Regular"/>
          <w:color w:val="000000"/>
          <w:kern w:val="0"/>
          <w:sz w:val="18"/>
          <w:szCs w:val="18"/>
          <w:lang w:val="en-US" w:eastAsia="zh-CN" w:bidi="ar"/>
        </w:rPr>
        <w:t xml:space="preserve"> </w:t>
      </w:r>
    </w:p>
    <w:p w14:paraId="6FEB3E69">
      <w:pPr>
        <w:spacing w:line="360" w:lineRule="auto"/>
        <w:ind w:firstLine="420" w:firstLineChars="200"/>
        <w:rPr>
          <w:color w:val="auto"/>
          <w:highlight w:val="none"/>
        </w:rPr>
      </w:pPr>
      <w:r>
        <w:rPr>
          <w:rFonts w:hint="eastAsia" w:hAnsi="宋体" w:cs="宋体"/>
          <w:color w:val="auto"/>
          <w:kern w:val="0"/>
          <w:highlight w:val="none"/>
          <w:lang w:val="en-US" w:eastAsia="zh-CN"/>
        </w:rPr>
        <w:t xml:space="preserve">   </w:t>
      </w: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rFonts w:hint="eastAsia" w:cs="宋体"/>
          <w:color w:val="auto"/>
          <w:highlight w:val="none"/>
          <w:u w:val="single"/>
        </w:rPr>
        <w:t>《建设工程工程量清单计价规范》(GB50500-2013)、《建设工程工程量清单计价规范》(GB50500-2013)广西壮族自治区实施细则</w:t>
      </w:r>
      <w:r>
        <w:rPr>
          <w:rFonts w:hint="eastAsia" w:cs="宋体"/>
          <w:color w:val="auto"/>
          <w:highlight w:val="none"/>
          <w:u w:val="single"/>
          <w:lang w:eastAsia="zh-CN"/>
        </w:rPr>
        <w:t>、《通用安装工程工程量计算规范》（GB50856-2013）</w:t>
      </w:r>
      <w:r>
        <w:rPr>
          <w:rFonts w:hint="eastAsia" w:ascii="宋体" w:hAnsi="宋体" w:cs="宋体"/>
          <w:color w:val="auto"/>
          <w:highlight w:val="none"/>
        </w:rPr>
        <w:t>。</w:t>
      </w:r>
    </w:p>
    <w:p w14:paraId="576CA9D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）本工程磋商文件及工程量清单；</w:t>
      </w:r>
    </w:p>
    <w:p w14:paraId="57885322">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426C0EA6">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035B058B">
      <w:pPr>
        <w:spacing w:line="360" w:lineRule="auto"/>
        <w:ind w:firstLine="420" w:firstLineChars="200"/>
        <w:rPr>
          <w:rFonts w:ascii="宋体" w:hAnsi="宋体" w:cs="宋体"/>
          <w:color w:val="auto"/>
          <w:highlight w:val="none"/>
          <w:u w:val="singl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w:t>
      </w:r>
      <w:r>
        <w:rPr>
          <w:rFonts w:hint="eastAsia" w:hAnsi="宋体" w:cs="宋体"/>
          <w:color w:val="auto"/>
          <w:highlight w:val="none"/>
          <w:u w:val="single"/>
        </w:rPr>
        <w:t>材料价格参照2025年第09期《桂林市建设工程造价信息》的信息价，造价信息上没有的材料价格通过市场询价确定</w:t>
      </w:r>
      <w:r>
        <w:rPr>
          <w:rFonts w:hint="eastAsia" w:ascii="宋体" w:hAnsi="宋体" w:cs="宋体"/>
          <w:color w:val="auto"/>
          <w:highlight w:val="none"/>
          <w:u w:val="single"/>
        </w:rPr>
        <w:t>。</w:t>
      </w:r>
    </w:p>
    <w:p w14:paraId="1BBF659B">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2059D7ED">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总价措施项目应根据拟定的磋商文件和常规施工方案按《计价规范》和《计算规范》规定编制。</w:t>
      </w:r>
    </w:p>
    <w:p w14:paraId="5F9A76F9">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6B5E6D47">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2A667A95">
      <w:pPr>
        <w:pStyle w:val="31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2EBF89E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21FFBF3D">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1527D647">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747B82B3">
      <w:pPr>
        <w:spacing w:line="360" w:lineRule="auto"/>
        <w:ind w:firstLine="420" w:firstLineChars="200"/>
        <w:rPr>
          <w:color w:val="auto"/>
          <w:highlight w:val="none"/>
        </w:rPr>
      </w:pPr>
      <w:r>
        <w:rPr>
          <w:rFonts w:hint="eastAsia"/>
          <w:color w:val="auto"/>
          <w:highlight w:val="none"/>
        </w:rPr>
        <w:t>（6）对建设单位创建优质工程的，鼓励在招标控制价和预算中按广西区工程建设定额规定计列工程优质费，并明确工程优质费不可竞争。</w:t>
      </w:r>
    </w:p>
    <w:p w14:paraId="1BC4A4E1">
      <w:pPr>
        <w:spacing w:line="360" w:lineRule="auto"/>
        <w:ind w:firstLine="420" w:firstLineChars="200"/>
        <w:rPr>
          <w:color w:val="auto"/>
          <w:highlight w:val="none"/>
        </w:rPr>
      </w:pPr>
      <w:r>
        <w:rPr>
          <w:color w:val="auto"/>
          <w:highlight w:val="none"/>
        </w:rPr>
        <w:t>2.</w:t>
      </w:r>
      <w:r>
        <w:rPr>
          <w:rFonts w:hint="eastAsia"/>
          <w:color w:val="auto"/>
          <w:highlight w:val="none"/>
        </w:rPr>
        <w:t>5其它需要说明的问题：</w:t>
      </w:r>
      <w:r>
        <w:rPr>
          <w:rFonts w:hint="eastAsia"/>
          <w:color w:val="auto"/>
          <w:highlight w:val="none"/>
          <w:u w:val="single"/>
        </w:rPr>
        <w:t>无。</w:t>
      </w:r>
    </w:p>
    <w:p w14:paraId="6CC17EA6">
      <w:pPr>
        <w:pStyle w:val="3"/>
        <w:spacing w:before="0" w:after="0" w:line="360" w:lineRule="auto"/>
        <w:rPr>
          <w:color w:val="auto"/>
          <w:highlight w:val="none"/>
        </w:rPr>
      </w:pPr>
      <w:bookmarkStart w:id="86" w:name="_Toc378483916"/>
      <w:bookmarkStart w:id="87" w:name="_Toc879821176"/>
      <w:bookmarkStart w:id="88" w:name="_Toc78449871"/>
      <w:bookmarkStart w:id="89" w:name="_Toc407135286"/>
      <w:r>
        <w:rPr>
          <w:color w:val="auto"/>
          <w:highlight w:val="none"/>
        </w:rPr>
        <w:t>3</w:t>
      </w:r>
      <w:r>
        <w:rPr>
          <w:rFonts w:hint="eastAsia"/>
          <w:color w:val="auto"/>
          <w:highlight w:val="none"/>
        </w:rPr>
        <w:t>.</w:t>
      </w:r>
      <w:r>
        <w:rPr>
          <w:rFonts w:hint="eastAsia" w:cs="黑体"/>
          <w:color w:val="auto"/>
          <w:highlight w:val="none"/>
        </w:rPr>
        <w:t>竞标报价（已标价工程量清单）编制说明</w:t>
      </w:r>
      <w:bookmarkEnd w:id="86"/>
      <w:bookmarkEnd w:id="87"/>
      <w:bookmarkEnd w:id="88"/>
      <w:bookmarkEnd w:id="89"/>
    </w:p>
    <w:p w14:paraId="7776D54D">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45857DA9">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供应商应按工程量清单填报价格。项目编码、项目名称及项目特征描述、计量单位、工程量必须与工程量清单一致，</w:t>
      </w:r>
      <w:r>
        <w:rPr>
          <w:rFonts w:hint="eastAsia" w:hAnsi="宋体" w:cs="宋体"/>
          <w:color w:val="auto"/>
          <w:highlight w:val="none"/>
        </w:rPr>
        <w:t>供应商不得对工程量清单项目进行增减调整。</w:t>
      </w:r>
    </w:p>
    <w:p w14:paraId="2E90C433">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综合单价中应包含磋商文件中划分的应由供应商承担的风险范围及其费用。</w:t>
      </w:r>
    </w:p>
    <w:p w14:paraId="701345CB">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13E14128">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w:t>
      </w:r>
    </w:p>
    <w:p w14:paraId="0F33CA0A">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5B0E64EB">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37D221A2">
      <w:pPr>
        <w:pStyle w:val="31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5B9A6C3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0C8788D5">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404514BC">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5D771397">
      <w:pPr>
        <w:spacing w:line="360" w:lineRule="auto"/>
        <w:ind w:firstLine="420" w:firstLineChars="200"/>
        <w:rPr>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14:paraId="09E1E074">
      <w:pPr>
        <w:spacing w:line="360" w:lineRule="auto"/>
        <w:ind w:firstLine="420" w:firstLineChars="200"/>
        <w:rPr>
          <w:color w:val="auto"/>
          <w:highlight w:val="none"/>
        </w:rPr>
      </w:pPr>
      <w:r>
        <w:rPr>
          <w:color w:val="auto"/>
          <w:highlight w:val="none"/>
        </w:rPr>
        <w:t>3.</w:t>
      </w:r>
      <w:r>
        <w:rPr>
          <w:rFonts w:hint="eastAsia"/>
          <w:color w:val="auto"/>
          <w:highlight w:val="none"/>
        </w:rPr>
        <w:t>7</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0838346">
      <w:pPr>
        <w:spacing w:line="360" w:lineRule="auto"/>
        <w:ind w:firstLine="420" w:firstLineChars="200"/>
        <w:rPr>
          <w:color w:val="auto"/>
          <w:highlight w:val="none"/>
        </w:rPr>
      </w:pPr>
      <w:r>
        <w:rPr>
          <w:color w:val="auto"/>
          <w:highlight w:val="none"/>
        </w:rPr>
        <w:t>3.</w:t>
      </w:r>
      <w:r>
        <w:rPr>
          <w:rFonts w:hint="eastAsia"/>
          <w:color w:val="auto"/>
          <w:highlight w:val="none"/>
        </w:rPr>
        <w:t>8</w:t>
      </w:r>
      <w:r>
        <w:rPr>
          <w:rFonts w:hint="eastAsia" w:cs="宋体"/>
          <w:color w:val="auto"/>
          <w:highlight w:val="none"/>
        </w:rPr>
        <w:t>竞标总价应当与分部分项工程费、措施项目费、其他项目费和规费、增值税的合计金额一致。</w:t>
      </w:r>
    </w:p>
    <w:p w14:paraId="7148D232">
      <w:pPr>
        <w:spacing w:line="360" w:lineRule="auto"/>
        <w:ind w:firstLine="420" w:firstLineChars="200"/>
        <w:rPr>
          <w:color w:val="auto"/>
          <w:highlight w:val="none"/>
        </w:rPr>
      </w:pPr>
      <w:r>
        <w:rPr>
          <w:color w:val="auto"/>
          <w:highlight w:val="none"/>
        </w:rPr>
        <w:t>3.</w:t>
      </w:r>
      <w:r>
        <w:rPr>
          <w:rFonts w:hint="eastAsia"/>
          <w:color w:val="auto"/>
          <w:highlight w:val="none"/>
        </w:rPr>
        <w:t>9</w:t>
      </w:r>
      <w:r>
        <w:rPr>
          <w:rFonts w:hint="eastAsia" w:cs="宋体"/>
          <w:color w:val="auto"/>
          <w:highlight w:val="none"/>
        </w:rPr>
        <w:t>供应商应按《允许调整价格的主要材料和工程设备一览表》的内容填报，不得擅自调整材料和设备名称型号规格、单位、风险系数、基准单价。</w:t>
      </w:r>
    </w:p>
    <w:p w14:paraId="68A3B702">
      <w:pPr>
        <w:spacing w:line="360" w:lineRule="auto"/>
        <w:ind w:firstLine="420" w:firstLineChars="200"/>
        <w:rPr>
          <w:rFonts w:hAnsi="宋体" w:cs="宋体"/>
          <w:color w:val="auto"/>
          <w:highlight w:val="none"/>
        </w:rPr>
      </w:pPr>
      <w:r>
        <w:rPr>
          <w:color w:val="auto"/>
          <w:highlight w:val="none"/>
        </w:rPr>
        <w:t>3.1</w:t>
      </w:r>
      <w:r>
        <w:rPr>
          <w:rFonts w:hint="eastAsia"/>
          <w:color w:val="auto"/>
          <w:highlight w:val="none"/>
        </w:rPr>
        <w:t>0</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应按磋商文件的要求，附上《综合单价分析表》（表</w:t>
      </w:r>
      <w:r>
        <w:rPr>
          <w:color w:val="auto"/>
          <w:highlight w:val="none"/>
        </w:rPr>
        <w:t>-09</w:t>
      </w:r>
      <w:r>
        <w:rPr>
          <w:rFonts w:hint="eastAsia" w:hAnsi="宋体" w:cs="宋体"/>
          <w:color w:val="auto"/>
          <w:highlight w:val="none"/>
        </w:rPr>
        <w:t>）。</w:t>
      </w:r>
    </w:p>
    <w:p w14:paraId="26995364">
      <w:pPr>
        <w:spacing w:line="360" w:lineRule="auto"/>
        <w:ind w:firstLine="420" w:firstLineChars="200"/>
        <w:rPr>
          <w:color w:val="auto"/>
          <w:highlight w:val="none"/>
          <w:u w:val="single"/>
        </w:rPr>
      </w:pPr>
      <w:r>
        <w:rPr>
          <w:rFonts w:hint="eastAsia" w:cs="宋体"/>
          <w:color w:val="auto"/>
          <w:highlight w:val="none"/>
        </w:rPr>
        <w:t>未尽事宜详见本工程工程量清单、招标控制价编制说明以及现行《计价规范》等有关规定执行。</w:t>
      </w:r>
    </w:p>
    <w:p w14:paraId="010A5784">
      <w:pPr>
        <w:spacing w:line="360" w:lineRule="auto"/>
        <w:ind w:firstLine="420" w:firstLineChars="200"/>
        <w:rPr>
          <w:rFonts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9B418F2">
      <w:pPr>
        <w:pStyle w:val="3"/>
        <w:spacing w:before="0" w:after="0" w:line="360" w:lineRule="auto"/>
        <w:rPr>
          <w:rFonts w:cs="黑体"/>
          <w:color w:val="auto"/>
          <w:highlight w:val="none"/>
        </w:rPr>
      </w:pPr>
      <w:r>
        <w:rPr>
          <w:rFonts w:hint="eastAsia" w:cs="黑体"/>
          <w:color w:val="auto"/>
          <w:highlight w:val="none"/>
        </w:rPr>
        <w:t>4.图纸（另</w:t>
      </w:r>
      <w:r>
        <w:rPr>
          <w:rFonts w:hint="eastAsia" w:cs="黑体"/>
          <w:color w:val="auto"/>
          <w:highlight w:val="none"/>
          <w:lang w:eastAsia="zh-CN"/>
        </w:rPr>
        <w:t>附</w:t>
      </w:r>
      <w:r>
        <w:rPr>
          <w:rFonts w:hint="eastAsia" w:cs="黑体"/>
          <w:color w:val="auto"/>
          <w:highlight w:val="none"/>
        </w:rPr>
        <w:t>）</w:t>
      </w:r>
    </w:p>
    <w:p w14:paraId="38363798">
      <w:pPr>
        <w:pStyle w:val="3"/>
        <w:spacing w:before="0" w:after="0" w:line="360" w:lineRule="auto"/>
        <w:jc w:val="center"/>
        <w:rPr>
          <w:color w:val="auto"/>
          <w:highlight w:val="none"/>
        </w:rPr>
      </w:pPr>
      <w:r>
        <w:rPr>
          <w:rFonts w:cs="黑体"/>
          <w:color w:val="auto"/>
          <w:highlight w:val="none"/>
        </w:rPr>
        <w:br w:type="page"/>
      </w:r>
    </w:p>
    <w:p w14:paraId="055E76E2">
      <w:pPr>
        <w:pStyle w:val="4"/>
        <w:spacing w:before="0" w:after="0" w:line="360" w:lineRule="auto"/>
        <w:rPr>
          <w:color w:val="auto"/>
          <w:highlight w:val="none"/>
        </w:rPr>
      </w:pPr>
    </w:p>
    <w:p w14:paraId="44754672">
      <w:pPr>
        <w:rPr>
          <w:color w:val="auto"/>
          <w:highlight w:val="none"/>
        </w:rPr>
      </w:pPr>
    </w:p>
    <w:p w14:paraId="34DF1E69">
      <w:pPr>
        <w:rPr>
          <w:color w:val="auto"/>
          <w:highlight w:val="none"/>
        </w:rPr>
      </w:pPr>
    </w:p>
    <w:p w14:paraId="24FA7132">
      <w:pPr>
        <w:rPr>
          <w:color w:val="auto"/>
          <w:highlight w:val="none"/>
        </w:rPr>
      </w:pPr>
    </w:p>
    <w:p w14:paraId="437E524E">
      <w:pPr>
        <w:rPr>
          <w:color w:val="auto"/>
          <w:highlight w:val="none"/>
        </w:rPr>
      </w:pPr>
    </w:p>
    <w:p w14:paraId="114E80CF">
      <w:pPr>
        <w:rPr>
          <w:color w:val="auto"/>
          <w:highlight w:val="none"/>
        </w:rPr>
      </w:pPr>
    </w:p>
    <w:p w14:paraId="3189171C">
      <w:pPr>
        <w:rPr>
          <w:color w:val="auto"/>
          <w:highlight w:val="none"/>
        </w:rPr>
      </w:pPr>
    </w:p>
    <w:p w14:paraId="5C451C51">
      <w:pPr>
        <w:rPr>
          <w:color w:val="auto"/>
          <w:highlight w:val="none"/>
        </w:rPr>
      </w:pPr>
    </w:p>
    <w:p w14:paraId="6414366E">
      <w:pPr>
        <w:rPr>
          <w:color w:val="auto"/>
          <w:highlight w:val="none"/>
        </w:rPr>
      </w:pPr>
    </w:p>
    <w:p w14:paraId="42DEA1C2">
      <w:pPr>
        <w:rPr>
          <w:color w:val="auto"/>
          <w:highlight w:val="none"/>
        </w:rPr>
      </w:pPr>
    </w:p>
    <w:p w14:paraId="0978C746">
      <w:pPr>
        <w:rPr>
          <w:color w:val="auto"/>
          <w:highlight w:val="none"/>
        </w:rPr>
      </w:pPr>
    </w:p>
    <w:p w14:paraId="2F3AB214">
      <w:pPr>
        <w:rPr>
          <w:color w:val="auto"/>
          <w:highlight w:val="none"/>
        </w:rPr>
      </w:pPr>
    </w:p>
    <w:p w14:paraId="11FADBB7">
      <w:pPr>
        <w:pStyle w:val="7"/>
        <w:rPr>
          <w:color w:val="auto"/>
          <w:highlight w:val="none"/>
        </w:rPr>
      </w:pPr>
    </w:p>
    <w:p w14:paraId="17D35D5B">
      <w:pPr>
        <w:pStyle w:val="7"/>
        <w:rPr>
          <w:color w:val="auto"/>
          <w:highlight w:val="none"/>
        </w:rPr>
      </w:pPr>
    </w:p>
    <w:p w14:paraId="1827AE49">
      <w:pPr>
        <w:pStyle w:val="7"/>
        <w:rPr>
          <w:color w:val="auto"/>
          <w:highlight w:val="none"/>
        </w:rPr>
      </w:pPr>
    </w:p>
    <w:p w14:paraId="2C3237F5">
      <w:pPr>
        <w:pStyle w:val="7"/>
        <w:rPr>
          <w:color w:val="auto"/>
          <w:highlight w:val="none"/>
        </w:rPr>
      </w:pPr>
    </w:p>
    <w:p w14:paraId="716CAF38">
      <w:pPr>
        <w:pStyle w:val="7"/>
        <w:rPr>
          <w:color w:val="auto"/>
          <w:highlight w:val="none"/>
        </w:rPr>
      </w:pPr>
    </w:p>
    <w:p w14:paraId="01741FF7">
      <w:pPr>
        <w:pStyle w:val="7"/>
        <w:rPr>
          <w:color w:val="auto"/>
          <w:highlight w:val="none"/>
        </w:rPr>
      </w:pPr>
    </w:p>
    <w:p w14:paraId="27BE99E2">
      <w:pPr>
        <w:rPr>
          <w:color w:val="auto"/>
          <w:highlight w:val="none"/>
        </w:rPr>
      </w:pPr>
    </w:p>
    <w:p w14:paraId="189D71ED">
      <w:pPr>
        <w:rPr>
          <w:color w:val="auto"/>
          <w:highlight w:val="none"/>
        </w:rPr>
      </w:pPr>
    </w:p>
    <w:p w14:paraId="526A5D25">
      <w:pPr>
        <w:pStyle w:val="2"/>
        <w:jc w:val="center"/>
        <w:rPr>
          <w:color w:val="auto"/>
          <w:highlight w:val="none"/>
        </w:rPr>
      </w:pPr>
      <w:bookmarkStart w:id="90" w:name="_Toc74323460"/>
      <w:r>
        <w:rPr>
          <w:rFonts w:hint="eastAsia"/>
          <w:color w:val="auto"/>
          <w:highlight w:val="none"/>
        </w:rPr>
        <w:t>第六章 响应文件格式</w:t>
      </w:r>
      <w:bookmarkEnd w:id="90"/>
    </w:p>
    <w:p w14:paraId="7C124D0B">
      <w:pPr>
        <w:spacing w:line="240" w:lineRule="atLeast"/>
        <w:rPr>
          <w:rFonts w:ascii="宋体" w:hAnsi="宋体"/>
          <w:b/>
          <w:color w:val="auto"/>
          <w:sz w:val="32"/>
          <w:szCs w:val="32"/>
          <w:highlight w:val="none"/>
        </w:rPr>
      </w:pPr>
    </w:p>
    <w:p w14:paraId="5CE8D9D4">
      <w:pPr>
        <w:spacing w:line="240" w:lineRule="atLeast"/>
        <w:rPr>
          <w:rFonts w:ascii="宋体" w:hAnsi="宋体"/>
          <w:b/>
          <w:color w:val="auto"/>
          <w:sz w:val="32"/>
          <w:szCs w:val="32"/>
          <w:highlight w:val="none"/>
        </w:rPr>
      </w:pPr>
    </w:p>
    <w:p w14:paraId="14C4CDA6">
      <w:pPr>
        <w:spacing w:line="240" w:lineRule="atLeast"/>
        <w:rPr>
          <w:rFonts w:ascii="宋体" w:hAnsi="宋体"/>
          <w:b/>
          <w:color w:val="auto"/>
          <w:sz w:val="32"/>
          <w:szCs w:val="32"/>
          <w:highlight w:val="none"/>
        </w:rPr>
      </w:pPr>
    </w:p>
    <w:p w14:paraId="2A4E2425">
      <w:pPr>
        <w:spacing w:line="240" w:lineRule="atLeast"/>
        <w:rPr>
          <w:rFonts w:ascii="宋体" w:hAnsi="宋体"/>
          <w:b/>
          <w:color w:val="auto"/>
          <w:sz w:val="32"/>
          <w:szCs w:val="32"/>
          <w:highlight w:val="none"/>
        </w:rPr>
      </w:pPr>
    </w:p>
    <w:p w14:paraId="5FF072E1">
      <w:pPr>
        <w:spacing w:line="240" w:lineRule="atLeast"/>
        <w:rPr>
          <w:rFonts w:ascii="宋体" w:hAnsi="宋体"/>
          <w:b/>
          <w:color w:val="auto"/>
          <w:sz w:val="32"/>
          <w:szCs w:val="32"/>
          <w:highlight w:val="none"/>
        </w:rPr>
      </w:pPr>
    </w:p>
    <w:p w14:paraId="06A991BC">
      <w:pPr>
        <w:spacing w:line="240" w:lineRule="atLeast"/>
        <w:rPr>
          <w:rFonts w:ascii="宋体" w:hAnsi="宋体"/>
          <w:b/>
          <w:color w:val="auto"/>
          <w:sz w:val="32"/>
          <w:szCs w:val="32"/>
          <w:highlight w:val="none"/>
        </w:rPr>
      </w:pPr>
    </w:p>
    <w:p w14:paraId="42E54DDE">
      <w:pPr>
        <w:spacing w:line="240" w:lineRule="atLeast"/>
        <w:rPr>
          <w:rFonts w:ascii="宋体" w:hAnsi="宋体"/>
          <w:b/>
          <w:color w:val="auto"/>
          <w:sz w:val="32"/>
          <w:szCs w:val="32"/>
          <w:highlight w:val="none"/>
        </w:rPr>
      </w:pPr>
    </w:p>
    <w:p w14:paraId="55E4E060">
      <w:pPr>
        <w:spacing w:line="240" w:lineRule="atLeast"/>
        <w:rPr>
          <w:rFonts w:ascii="宋体" w:hAnsi="宋体"/>
          <w:b/>
          <w:color w:val="auto"/>
          <w:sz w:val="32"/>
          <w:szCs w:val="32"/>
          <w:highlight w:val="none"/>
        </w:rPr>
      </w:pPr>
    </w:p>
    <w:p w14:paraId="60CD0115">
      <w:pPr>
        <w:spacing w:line="240" w:lineRule="atLeast"/>
        <w:rPr>
          <w:rFonts w:ascii="宋体" w:hAnsi="宋体"/>
          <w:b/>
          <w:color w:val="auto"/>
          <w:sz w:val="32"/>
          <w:szCs w:val="32"/>
          <w:highlight w:val="none"/>
        </w:rPr>
      </w:pPr>
    </w:p>
    <w:p w14:paraId="76607AC9">
      <w:pPr>
        <w:snapToGrid w:val="0"/>
        <w:spacing w:before="50" w:after="50"/>
        <w:outlineLvl w:val="1"/>
        <w:rPr>
          <w:rFonts w:ascii="宋体" w:hAnsi="宋体"/>
          <w:b/>
          <w:bCs/>
          <w:color w:val="auto"/>
          <w:sz w:val="24"/>
          <w:highlight w:val="none"/>
        </w:rPr>
      </w:pPr>
    </w:p>
    <w:p w14:paraId="1BD1E511">
      <w:pPr>
        <w:rPr>
          <w:b/>
          <w:color w:val="auto"/>
          <w:sz w:val="32"/>
          <w:szCs w:val="32"/>
          <w:highlight w:val="none"/>
        </w:rPr>
      </w:pPr>
      <w:bookmarkStart w:id="91" w:name="_Toc31728084"/>
      <w:bookmarkStart w:id="92" w:name="_Toc71366186"/>
      <w:bookmarkStart w:id="93" w:name="_Toc31723070"/>
      <w:bookmarkStart w:id="94" w:name="_Toc44229899"/>
      <w:bookmarkStart w:id="95" w:name="_Toc35611516"/>
      <w:bookmarkStart w:id="96" w:name="_Toc35611438"/>
      <w:r>
        <w:rPr>
          <w:rFonts w:hint="eastAsia"/>
          <w:b/>
          <w:color w:val="auto"/>
          <w:sz w:val="32"/>
          <w:szCs w:val="32"/>
          <w:highlight w:val="none"/>
        </w:rPr>
        <w:t>一、资格证明文件格式</w:t>
      </w:r>
      <w:bookmarkEnd w:id="91"/>
      <w:bookmarkEnd w:id="92"/>
      <w:bookmarkEnd w:id="93"/>
      <w:bookmarkEnd w:id="94"/>
      <w:bookmarkEnd w:id="95"/>
      <w:bookmarkEnd w:id="96"/>
    </w:p>
    <w:p w14:paraId="0EB56EE9">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2641AB8E">
      <w:pPr>
        <w:snapToGrid w:val="0"/>
        <w:spacing w:beforeLines="50" w:after="50"/>
        <w:jc w:val="center"/>
        <w:rPr>
          <w:rFonts w:ascii="宋体" w:hAnsi="宋体"/>
          <w:color w:val="auto"/>
          <w:sz w:val="44"/>
          <w:szCs w:val="44"/>
          <w:highlight w:val="none"/>
        </w:rPr>
      </w:pPr>
    </w:p>
    <w:p w14:paraId="50AC8398">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91D474E">
      <w:pPr>
        <w:snapToGrid w:val="0"/>
        <w:spacing w:beforeLines="50" w:after="50"/>
        <w:rPr>
          <w:rFonts w:ascii="宋体" w:hAnsi="宋体"/>
          <w:color w:val="auto"/>
          <w:sz w:val="24"/>
          <w:szCs w:val="20"/>
          <w:highlight w:val="none"/>
        </w:rPr>
      </w:pPr>
    </w:p>
    <w:p w14:paraId="1473D242">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9B0793F">
      <w:pPr>
        <w:snapToGrid w:val="0"/>
        <w:spacing w:beforeLines="50" w:after="50"/>
        <w:rPr>
          <w:rFonts w:ascii="宋体" w:hAnsi="宋体"/>
          <w:bCs/>
          <w:color w:val="auto"/>
          <w:sz w:val="24"/>
          <w:szCs w:val="20"/>
          <w:highlight w:val="none"/>
        </w:rPr>
      </w:pPr>
    </w:p>
    <w:p w14:paraId="5B66AEAD">
      <w:pPr>
        <w:snapToGrid w:val="0"/>
        <w:spacing w:beforeLines="50" w:after="50"/>
        <w:rPr>
          <w:rFonts w:ascii="宋体" w:hAnsi="宋体"/>
          <w:bCs/>
          <w:color w:val="auto"/>
          <w:sz w:val="24"/>
          <w:szCs w:val="20"/>
          <w:highlight w:val="none"/>
        </w:rPr>
      </w:pPr>
    </w:p>
    <w:p w14:paraId="7F28EFB6">
      <w:pPr>
        <w:snapToGrid w:val="0"/>
        <w:spacing w:beforeLines="50" w:after="50"/>
        <w:rPr>
          <w:rFonts w:ascii="宋体" w:hAnsi="宋体"/>
          <w:bCs/>
          <w:color w:val="auto"/>
          <w:sz w:val="24"/>
          <w:szCs w:val="20"/>
          <w:highlight w:val="none"/>
        </w:rPr>
      </w:pPr>
    </w:p>
    <w:p w14:paraId="56C610D6">
      <w:pPr>
        <w:snapToGrid w:val="0"/>
        <w:spacing w:beforeLines="50" w:after="50"/>
        <w:rPr>
          <w:rFonts w:ascii="宋体" w:hAnsi="宋体"/>
          <w:bCs/>
          <w:color w:val="auto"/>
          <w:sz w:val="24"/>
          <w:szCs w:val="20"/>
          <w:highlight w:val="none"/>
        </w:rPr>
      </w:pPr>
    </w:p>
    <w:p w14:paraId="6F718AA5">
      <w:pPr>
        <w:snapToGrid w:val="0"/>
        <w:spacing w:beforeLines="50" w:after="50"/>
        <w:rPr>
          <w:rFonts w:ascii="宋体" w:hAnsi="宋体"/>
          <w:bCs/>
          <w:color w:val="auto"/>
          <w:sz w:val="24"/>
          <w:szCs w:val="20"/>
          <w:highlight w:val="none"/>
        </w:rPr>
      </w:pPr>
    </w:p>
    <w:p w14:paraId="1FF25E3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C846ADD">
      <w:pPr>
        <w:snapToGrid w:val="0"/>
        <w:spacing w:beforeLines="50" w:after="50"/>
        <w:ind w:firstLine="720" w:firstLineChars="225"/>
        <w:rPr>
          <w:rFonts w:ascii="宋体" w:hAnsi="宋体" w:cs="仿宋_GB2312"/>
          <w:bCs/>
          <w:color w:val="auto"/>
          <w:sz w:val="32"/>
          <w:szCs w:val="32"/>
          <w:highlight w:val="none"/>
        </w:rPr>
      </w:pPr>
    </w:p>
    <w:p w14:paraId="16513045">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79E6D0E">
      <w:pPr>
        <w:snapToGrid w:val="0"/>
        <w:spacing w:beforeLines="50" w:after="50"/>
        <w:ind w:firstLine="720" w:firstLineChars="225"/>
        <w:rPr>
          <w:rFonts w:ascii="宋体" w:hAnsi="宋体" w:cs="仿宋_GB2312"/>
          <w:bCs/>
          <w:color w:val="auto"/>
          <w:sz w:val="32"/>
          <w:szCs w:val="32"/>
          <w:highlight w:val="none"/>
        </w:rPr>
      </w:pPr>
    </w:p>
    <w:p w14:paraId="1846ED66">
      <w:pPr>
        <w:snapToGrid w:val="0"/>
        <w:spacing w:beforeLines="50" w:after="50"/>
        <w:ind w:firstLine="720" w:firstLineChars="225"/>
        <w:rPr>
          <w:rFonts w:ascii="宋体" w:hAnsi="宋体" w:cs="仿宋_GB2312"/>
          <w:bCs/>
          <w:color w:val="auto"/>
          <w:sz w:val="32"/>
          <w:szCs w:val="32"/>
          <w:highlight w:val="none"/>
        </w:rPr>
      </w:pPr>
    </w:p>
    <w:p w14:paraId="7691436E">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3FD738D">
      <w:pPr>
        <w:snapToGrid w:val="0"/>
        <w:spacing w:beforeLines="50" w:after="50"/>
        <w:ind w:firstLine="640" w:firstLineChars="200"/>
        <w:rPr>
          <w:rFonts w:ascii="宋体" w:hAnsi="宋体" w:cs="仿宋_GB2312"/>
          <w:bCs/>
          <w:color w:val="auto"/>
          <w:sz w:val="32"/>
          <w:szCs w:val="32"/>
          <w:highlight w:val="none"/>
        </w:rPr>
      </w:pPr>
    </w:p>
    <w:p w14:paraId="3FC0089D">
      <w:pPr>
        <w:pStyle w:val="7"/>
        <w:snapToGrid w:val="0"/>
        <w:spacing w:before="50" w:after="50"/>
        <w:ind w:firstLine="720" w:firstLineChars="225"/>
        <w:rPr>
          <w:rFonts w:ascii="宋体" w:hAnsi="宋体" w:cs="仿宋_GB2312"/>
          <w:bCs/>
          <w:color w:val="auto"/>
          <w:sz w:val="32"/>
          <w:szCs w:val="32"/>
          <w:highlight w:val="none"/>
        </w:rPr>
      </w:pPr>
    </w:p>
    <w:p w14:paraId="0D1A87A8">
      <w:pPr>
        <w:pStyle w:val="7"/>
        <w:snapToGrid w:val="0"/>
        <w:spacing w:before="50" w:after="50"/>
        <w:ind w:firstLine="720" w:firstLineChars="225"/>
        <w:rPr>
          <w:rFonts w:ascii="宋体" w:hAnsi="宋体" w:cs="仿宋_GB2312"/>
          <w:bCs/>
          <w:color w:val="auto"/>
          <w:sz w:val="32"/>
          <w:szCs w:val="32"/>
          <w:highlight w:val="none"/>
        </w:rPr>
      </w:pPr>
    </w:p>
    <w:p w14:paraId="06E0996A">
      <w:pPr>
        <w:pStyle w:val="7"/>
        <w:snapToGrid w:val="0"/>
        <w:spacing w:before="50" w:after="50"/>
        <w:ind w:firstLine="1280" w:firstLineChars="400"/>
        <w:rPr>
          <w:rFonts w:ascii="宋体" w:hAnsi="宋体" w:cs="仿宋_GB2312"/>
          <w:bCs/>
          <w:color w:val="auto"/>
          <w:sz w:val="32"/>
          <w:szCs w:val="32"/>
          <w:highlight w:val="none"/>
        </w:rPr>
      </w:pPr>
    </w:p>
    <w:p w14:paraId="48DD069F">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44AEA69">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CC7D59F">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E867902">
      <w:pPr>
        <w:snapToGrid w:val="0"/>
        <w:spacing w:beforeLines="50" w:after="50"/>
        <w:rPr>
          <w:rFonts w:ascii="宋体" w:hAnsi="宋体"/>
          <w:color w:val="auto"/>
          <w:sz w:val="24"/>
          <w:szCs w:val="20"/>
          <w:highlight w:val="none"/>
        </w:rPr>
      </w:pPr>
    </w:p>
    <w:p w14:paraId="3AAD9F7A">
      <w:pPr>
        <w:spacing w:line="300" w:lineRule="auto"/>
        <w:rPr>
          <w:rFonts w:ascii="宋体" w:hAnsi="宋体"/>
          <w:color w:val="auto"/>
          <w:szCs w:val="21"/>
          <w:highlight w:val="none"/>
        </w:rPr>
      </w:pPr>
    </w:p>
    <w:p w14:paraId="46219C71">
      <w:pPr>
        <w:spacing w:line="300" w:lineRule="auto"/>
        <w:rPr>
          <w:rFonts w:ascii="宋体" w:hAnsi="宋体"/>
          <w:color w:val="auto"/>
          <w:szCs w:val="21"/>
          <w:highlight w:val="none"/>
        </w:rPr>
      </w:pPr>
    </w:p>
    <w:p w14:paraId="6A0A51AE">
      <w:pPr>
        <w:spacing w:line="300" w:lineRule="auto"/>
        <w:rPr>
          <w:rFonts w:ascii="宋体" w:hAnsi="宋体"/>
          <w:color w:val="auto"/>
          <w:szCs w:val="21"/>
          <w:highlight w:val="none"/>
        </w:rPr>
      </w:pPr>
    </w:p>
    <w:p w14:paraId="08C1136C">
      <w:pPr>
        <w:spacing w:line="300" w:lineRule="auto"/>
        <w:rPr>
          <w:rFonts w:ascii="宋体" w:hAnsi="宋体"/>
          <w:color w:val="auto"/>
          <w:szCs w:val="21"/>
          <w:highlight w:val="none"/>
        </w:rPr>
      </w:pPr>
    </w:p>
    <w:p w14:paraId="2E5F6E94">
      <w:pPr>
        <w:spacing w:line="300" w:lineRule="auto"/>
        <w:rPr>
          <w:rFonts w:ascii="宋体" w:hAnsi="宋体"/>
          <w:color w:val="auto"/>
          <w:szCs w:val="21"/>
          <w:highlight w:val="none"/>
        </w:rPr>
      </w:pPr>
    </w:p>
    <w:p w14:paraId="6AFA42A3">
      <w:pPr>
        <w:spacing w:line="300" w:lineRule="auto"/>
        <w:rPr>
          <w:rFonts w:ascii="宋体" w:hAnsi="宋体"/>
          <w:color w:val="auto"/>
          <w:szCs w:val="21"/>
          <w:highlight w:val="none"/>
        </w:rPr>
      </w:pPr>
    </w:p>
    <w:p w14:paraId="0B6C7E6E">
      <w:pPr>
        <w:spacing w:line="300" w:lineRule="auto"/>
        <w:rPr>
          <w:rFonts w:ascii="宋体" w:hAnsi="宋体"/>
          <w:color w:val="auto"/>
          <w:szCs w:val="21"/>
          <w:highlight w:val="none"/>
        </w:rPr>
      </w:pPr>
    </w:p>
    <w:p w14:paraId="73B33DA8">
      <w:pPr>
        <w:spacing w:line="300" w:lineRule="auto"/>
        <w:rPr>
          <w:rFonts w:ascii="宋体" w:hAnsi="宋体"/>
          <w:color w:val="auto"/>
          <w:szCs w:val="21"/>
          <w:highlight w:val="none"/>
        </w:rPr>
      </w:pPr>
    </w:p>
    <w:p w14:paraId="1663ACF7">
      <w:pPr>
        <w:spacing w:line="300" w:lineRule="auto"/>
        <w:rPr>
          <w:rFonts w:ascii="宋体" w:hAnsi="宋体"/>
          <w:color w:val="auto"/>
          <w:szCs w:val="21"/>
          <w:highlight w:val="none"/>
        </w:rPr>
      </w:pPr>
    </w:p>
    <w:p w14:paraId="231E25A9">
      <w:pPr>
        <w:spacing w:line="300" w:lineRule="auto"/>
        <w:rPr>
          <w:rFonts w:ascii="宋体" w:hAnsi="宋体"/>
          <w:color w:val="auto"/>
          <w:szCs w:val="21"/>
          <w:highlight w:val="none"/>
        </w:rPr>
      </w:pPr>
    </w:p>
    <w:p w14:paraId="007E074D">
      <w:pPr>
        <w:spacing w:line="300" w:lineRule="auto"/>
        <w:rPr>
          <w:rFonts w:ascii="宋体" w:hAnsi="宋体"/>
          <w:color w:val="auto"/>
          <w:szCs w:val="21"/>
          <w:highlight w:val="none"/>
        </w:rPr>
      </w:pPr>
    </w:p>
    <w:p w14:paraId="3AE73368">
      <w:pPr>
        <w:spacing w:line="300" w:lineRule="auto"/>
        <w:rPr>
          <w:rFonts w:ascii="宋体" w:hAnsi="宋体"/>
          <w:color w:val="auto"/>
          <w:szCs w:val="21"/>
          <w:highlight w:val="none"/>
        </w:rPr>
      </w:pPr>
    </w:p>
    <w:p w14:paraId="5A802480">
      <w:pPr>
        <w:spacing w:line="300" w:lineRule="auto"/>
        <w:rPr>
          <w:rFonts w:ascii="宋体" w:hAnsi="宋体"/>
          <w:color w:val="auto"/>
          <w:szCs w:val="21"/>
          <w:highlight w:val="none"/>
        </w:rPr>
      </w:pPr>
    </w:p>
    <w:p w14:paraId="65CB7D8E">
      <w:pPr>
        <w:spacing w:line="300" w:lineRule="auto"/>
        <w:rPr>
          <w:rFonts w:ascii="宋体" w:hAnsi="宋体"/>
          <w:color w:val="auto"/>
          <w:szCs w:val="21"/>
          <w:highlight w:val="none"/>
        </w:rPr>
      </w:pPr>
    </w:p>
    <w:p w14:paraId="743AC32B">
      <w:pPr>
        <w:spacing w:line="300" w:lineRule="auto"/>
        <w:rPr>
          <w:rFonts w:ascii="宋体" w:hAnsi="宋体"/>
          <w:color w:val="auto"/>
          <w:szCs w:val="21"/>
          <w:highlight w:val="none"/>
        </w:rPr>
      </w:pPr>
    </w:p>
    <w:p w14:paraId="0E97FA7E">
      <w:pPr>
        <w:spacing w:line="320" w:lineRule="exact"/>
        <w:jc w:val="left"/>
        <w:rPr>
          <w:rFonts w:ascii="宋体" w:hAnsi="宋体"/>
          <w:color w:val="auto"/>
          <w:szCs w:val="21"/>
          <w:highlight w:val="none"/>
        </w:rPr>
      </w:pPr>
      <w:r>
        <w:rPr>
          <w:rFonts w:ascii="宋体" w:hAnsi="宋体"/>
          <w:color w:val="auto"/>
          <w:szCs w:val="21"/>
          <w:highlight w:val="none"/>
        </w:rPr>
        <w:br w:type="page"/>
      </w:r>
    </w:p>
    <w:p w14:paraId="06C5BE27">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681B1A7">
      <w:pPr>
        <w:snapToGrid w:val="0"/>
        <w:spacing w:beforeLines="50" w:after="50" w:line="360" w:lineRule="auto"/>
        <w:jc w:val="center"/>
        <w:rPr>
          <w:rFonts w:ascii="宋体" w:hAnsi="宋体"/>
          <w:b/>
          <w:color w:val="auto"/>
          <w:sz w:val="24"/>
          <w:highlight w:val="none"/>
        </w:rPr>
      </w:pPr>
    </w:p>
    <w:p w14:paraId="3EAF2BFE">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1737DBA">
      <w:pPr>
        <w:spacing w:line="360" w:lineRule="auto"/>
        <w:contextualSpacing/>
        <w:jc w:val="center"/>
        <w:rPr>
          <w:rFonts w:ascii="宋体" w:hAnsi="宋体"/>
          <w:b/>
          <w:color w:val="auto"/>
          <w:sz w:val="24"/>
          <w:highlight w:val="none"/>
        </w:rPr>
      </w:pPr>
    </w:p>
    <w:tbl>
      <w:tblPr>
        <w:tblStyle w:val="4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B2D1BA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DBBAB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9EEA6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7442C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E8F8C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E773F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0C39D0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0B06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E560A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F9898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A91D3">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A602BD">
            <w:pPr>
              <w:widowControl/>
              <w:spacing w:line="360" w:lineRule="auto"/>
              <w:contextualSpacing/>
              <w:jc w:val="center"/>
              <w:rPr>
                <w:rFonts w:ascii="宋体" w:hAnsi="宋体" w:cs="宋体"/>
                <w:color w:val="auto"/>
                <w:kern w:val="0"/>
                <w:sz w:val="24"/>
                <w:highlight w:val="none"/>
              </w:rPr>
            </w:pPr>
          </w:p>
        </w:tc>
      </w:tr>
      <w:tr w14:paraId="15BB80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3C13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591D5">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E3EF05">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568FD6">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DBB53A">
            <w:pPr>
              <w:widowControl/>
              <w:spacing w:line="360" w:lineRule="auto"/>
              <w:contextualSpacing/>
              <w:jc w:val="center"/>
              <w:rPr>
                <w:rFonts w:ascii="宋体" w:hAnsi="宋体" w:cs="宋体"/>
                <w:color w:val="auto"/>
                <w:kern w:val="0"/>
                <w:sz w:val="24"/>
                <w:highlight w:val="none"/>
              </w:rPr>
            </w:pPr>
          </w:p>
        </w:tc>
      </w:tr>
      <w:tr w14:paraId="1013192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36A87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1F0D1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AA3AED">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53AF9B">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C31DCF">
            <w:pPr>
              <w:widowControl/>
              <w:spacing w:line="360" w:lineRule="auto"/>
              <w:contextualSpacing/>
              <w:jc w:val="center"/>
              <w:rPr>
                <w:rFonts w:ascii="宋体" w:hAnsi="宋体" w:cs="宋体"/>
                <w:color w:val="auto"/>
                <w:kern w:val="0"/>
                <w:sz w:val="24"/>
                <w:highlight w:val="none"/>
              </w:rPr>
            </w:pPr>
          </w:p>
        </w:tc>
      </w:tr>
      <w:tr w14:paraId="65F1F33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4716E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56EAD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F6FCDD">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2B6439">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A0C4CA">
            <w:pPr>
              <w:widowControl/>
              <w:spacing w:line="360" w:lineRule="auto"/>
              <w:contextualSpacing/>
              <w:jc w:val="center"/>
              <w:rPr>
                <w:rFonts w:ascii="宋体" w:hAnsi="宋体" w:cs="宋体"/>
                <w:color w:val="auto"/>
                <w:kern w:val="0"/>
                <w:sz w:val="24"/>
                <w:highlight w:val="none"/>
              </w:rPr>
            </w:pPr>
          </w:p>
        </w:tc>
      </w:tr>
    </w:tbl>
    <w:p w14:paraId="2AE9D21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4AA7D24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10B2C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C062B5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675C4C8">
      <w:pPr>
        <w:spacing w:line="360" w:lineRule="auto"/>
        <w:ind w:firstLine="420" w:firstLineChars="200"/>
        <w:contextualSpacing/>
        <w:jc w:val="left"/>
        <w:rPr>
          <w:rFonts w:ascii="宋体" w:hAnsi="宋体" w:cs="宋体"/>
          <w:color w:val="auto"/>
          <w:szCs w:val="21"/>
          <w:highlight w:val="none"/>
        </w:rPr>
      </w:pPr>
    </w:p>
    <w:p w14:paraId="1CB2D6E1">
      <w:pPr>
        <w:spacing w:line="360" w:lineRule="auto"/>
        <w:ind w:firstLine="560" w:firstLineChars="200"/>
        <w:contextualSpacing/>
        <w:jc w:val="left"/>
        <w:rPr>
          <w:rFonts w:ascii="宋体" w:hAnsi="宋体" w:cs="宋体"/>
          <w:color w:val="auto"/>
          <w:sz w:val="28"/>
          <w:szCs w:val="28"/>
          <w:highlight w:val="none"/>
        </w:rPr>
      </w:pPr>
    </w:p>
    <w:p w14:paraId="45ECBED3">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63731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38720F0F">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21178A83">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FB1A222">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2CE2028B">
      <w:pPr>
        <w:snapToGrid w:val="0"/>
        <w:spacing w:line="360" w:lineRule="auto"/>
        <w:jc w:val="center"/>
        <w:rPr>
          <w:rFonts w:ascii="宋体" w:hAnsi="宋体"/>
          <w:b/>
          <w:color w:val="auto"/>
          <w:sz w:val="24"/>
          <w:highlight w:val="none"/>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610BEA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99EC6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1994B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876C4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47C94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451623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D226A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03C85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83721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2B8DA3">
            <w:pPr>
              <w:widowControl/>
              <w:spacing w:line="360" w:lineRule="auto"/>
              <w:contextualSpacing/>
              <w:jc w:val="center"/>
              <w:rPr>
                <w:rFonts w:ascii="宋体" w:hAnsi="宋体" w:cs="宋体"/>
                <w:color w:val="auto"/>
                <w:kern w:val="0"/>
                <w:sz w:val="24"/>
                <w:highlight w:val="none"/>
              </w:rPr>
            </w:pPr>
          </w:p>
        </w:tc>
      </w:tr>
      <w:tr w14:paraId="7E1D99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439FA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5FE1C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33EFB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A55059">
            <w:pPr>
              <w:widowControl/>
              <w:spacing w:line="360" w:lineRule="auto"/>
              <w:contextualSpacing/>
              <w:jc w:val="center"/>
              <w:rPr>
                <w:rFonts w:ascii="宋体" w:hAnsi="宋体" w:cs="宋体"/>
                <w:color w:val="auto"/>
                <w:kern w:val="0"/>
                <w:sz w:val="24"/>
                <w:highlight w:val="none"/>
              </w:rPr>
            </w:pPr>
          </w:p>
        </w:tc>
      </w:tr>
      <w:tr w14:paraId="6C801B0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0C2A6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0C2C6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EE3E9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9EF14F">
            <w:pPr>
              <w:widowControl/>
              <w:spacing w:line="360" w:lineRule="auto"/>
              <w:contextualSpacing/>
              <w:jc w:val="center"/>
              <w:rPr>
                <w:rFonts w:ascii="宋体" w:hAnsi="宋体" w:cs="宋体"/>
                <w:color w:val="auto"/>
                <w:kern w:val="0"/>
                <w:sz w:val="24"/>
                <w:highlight w:val="none"/>
              </w:rPr>
            </w:pPr>
          </w:p>
        </w:tc>
      </w:tr>
      <w:tr w14:paraId="437384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B0BA7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804C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39387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A8097">
            <w:pPr>
              <w:widowControl/>
              <w:spacing w:line="360" w:lineRule="auto"/>
              <w:contextualSpacing/>
              <w:jc w:val="center"/>
              <w:rPr>
                <w:rFonts w:ascii="宋体" w:hAnsi="宋体" w:cs="宋体"/>
                <w:color w:val="auto"/>
                <w:kern w:val="0"/>
                <w:sz w:val="24"/>
                <w:highlight w:val="none"/>
              </w:rPr>
            </w:pPr>
          </w:p>
        </w:tc>
      </w:tr>
    </w:tbl>
    <w:p w14:paraId="38822CAB">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7B565B1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5D57E8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D80D40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9A1D94D">
      <w:pPr>
        <w:spacing w:line="360" w:lineRule="auto"/>
        <w:contextualSpacing/>
        <w:jc w:val="left"/>
        <w:rPr>
          <w:rFonts w:ascii="宋体" w:hAnsi="宋体"/>
          <w:color w:val="auto"/>
          <w:sz w:val="28"/>
          <w:szCs w:val="28"/>
          <w:highlight w:val="none"/>
        </w:rPr>
      </w:pPr>
    </w:p>
    <w:p w14:paraId="00CB2A49">
      <w:pPr>
        <w:spacing w:line="360" w:lineRule="auto"/>
        <w:contextualSpacing/>
        <w:jc w:val="left"/>
        <w:rPr>
          <w:rFonts w:ascii="宋体" w:hAnsi="宋体"/>
          <w:color w:val="auto"/>
          <w:sz w:val="28"/>
          <w:szCs w:val="28"/>
          <w:highlight w:val="none"/>
        </w:rPr>
      </w:pPr>
    </w:p>
    <w:p w14:paraId="0D9EC76F">
      <w:pPr>
        <w:spacing w:line="360" w:lineRule="auto"/>
        <w:contextualSpacing/>
        <w:jc w:val="left"/>
        <w:rPr>
          <w:color w:val="auto"/>
          <w:sz w:val="28"/>
          <w:szCs w:val="28"/>
          <w:highlight w:val="none"/>
        </w:rPr>
      </w:pPr>
    </w:p>
    <w:p w14:paraId="6C018764">
      <w:pPr>
        <w:spacing w:line="360" w:lineRule="auto"/>
        <w:contextualSpacing/>
        <w:jc w:val="left"/>
        <w:rPr>
          <w:color w:val="auto"/>
          <w:sz w:val="28"/>
          <w:szCs w:val="28"/>
          <w:highlight w:val="none"/>
        </w:rPr>
      </w:pPr>
    </w:p>
    <w:p w14:paraId="3BA5DD91">
      <w:pPr>
        <w:spacing w:line="360" w:lineRule="auto"/>
        <w:contextualSpacing/>
        <w:jc w:val="left"/>
        <w:rPr>
          <w:color w:val="auto"/>
          <w:sz w:val="28"/>
          <w:szCs w:val="28"/>
          <w:highlight w:val="none"/>
        </w:rPr>
      </w:pPr>
    </w:p>
    <w:p w14:paraId="56CD5720">
      <w:pPr>
        <w:spacing w:line="360" w:lineRule="auto"/>
        <w:contextualSpacing/>
        <w:jc w:val="left"/>
        <w:rPr>
          <w:rFonts w:ascii="宋体" w:hAnsi="宋体"/>
          <w:color w:val="auto"/>
          <w:sz w:val="28"/>
          <w:szCs w:val="28"/>
          <w:highlight w:val="none"/>
        </w:rPr>
      </w:pPr>
    </w:p>
    <w:p w14:paraId="42AD90E1">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48E0C3AF">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71789EEE">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6566FFD8">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D35F515">
      <w:pPr>
        <w:spacing w:line="320" w:lineRule="exact"/>
        <w:jc w:val="center"/>
        <w:rPr>
          <w:rFonts w:ascii="宋体" w:hAnsi="宋体"/>
          <w:color w:val="auto"/>
          <w:sz w:val="24"/>
          <w:szCs w:val="20"/>
          <w:highlight w:val="none"/>
        </w:rPr>
      </w:pPr>
    </w:p>
    <w:p w14:paraId="5BEB2E7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3F653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96212E">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项目的竞标，为便于贵方公正、择优地确定成交人及其服务，我方就本次竞标有关事项郑重声明如下：</w:t>
      </w:r>
    </w:p>
    <w:p w14:paraId="055A782F">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1804DAD">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FF02DEC">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8C81184">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D8D976B">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80A5D7A">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3D15E08">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7E2D4CD">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4BB5506">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B72C003">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62BB134">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C634B75">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723F359">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B6C5DE0">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47AB533">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71CFA6E">
      <w:pPr>
        <w:spacing w:line="380" w:lineRule="exact"/>
        <w:ind w:firstLine="420"/>
        <w:rPr>
          <w:rFonts w:ascii="宋体" w:hAnsi="宋体" w:cs="宋体"/>
          <w:color w:val="auto"/>
          <w:kern w:val="0"/>
          <w:sz w:val="24"/>
          <w:highlight w:val="none"/>
        </w:rPr>
      </w:pPr>
      <w:r>
        <w:rPr>
          <w:rFonts w:hint="eastAsia" w:ascii="宋体" w:hAnsi="宋体"/>
          <w:color w:val="auto"/>
          <w:sz w:val="24"/>
          <w:highlight w:val="none"/>
        </w:rPr>
        <w:t>6.</w:t>
      </w:r>
      <w:r>
        <w:rPr>
          <w:rFonts w:hint="eastAsia" w:ascii="宋体" w:hAnsi="宋体" w:cs="宋体"/>
          <w:color w:val="auto"/>
          <w:kern w:val="0"/>
          <w:sz w:val="24"/>
          <w:highlight w:val="none"/>
        </w:rPr>
        <w:t>如我方成交，我方保证在领取成交通知书后五个工作日内，按本项目竞争性磋商文件的规定及标准向贵单位一次性足额支付代理服务费。代理服务费发票我方选择开具：□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70B97F3B">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开具增值税</w:t>
      </w:r>
      <w:r>
        <w:rPr>
          <w:rFonts w:hint="eastAsia" w:ascii="宋体" w:hAnsi="宋体" w:cs="宋体"/>
          <w:b/>
          <w:color w:val="auto"/>
          <w:kern w:val="0"/>
          <w:sz w:val="24"/>
          <w:highlight w:val="none"/>
        </w:rPr>
        <w:t>普通</w:t>
      </w:r>
      <w:r>
        <w:rPr>
          <w:rFonts w:hint="eastAsia" w:ascii="宋体" w:hAnsi="宋体" w:cs="宋体"/>
          <w:color w:val="auto"/>
          <w:kern w:val="0"/>
          <w:sz w:val="24"/>
          <w:highlight w:val="none"/>
        </w:rPr>
        <w:t>发票开票信息：</w:t>
      </w:r>
    </w:p>
    <w:p w14:paraId="43AC550E">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E035503">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74B6CEF7">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开具增值税</w:t>
      </w:r>
      <w:r>
        <w:rPr>
          <w:rFonts w:hint="eastAsia" w:ascii="宋体" w:hAnsi="宋体" w:cs="宋体"/>
          <w:b/>
          <w:color w:val="auto"/>
          <w:kern w:val="0"/>
          <w:sz w:val="24"/>
          <w:highlight w:val="none"/>
        </w:rPr>
        <w:t>专用</w:t>
      </w:r>
      <w:r>
        <w:rPr>
          <w:rFonts w:hint="eastAsia" w:ascii="宋体" w:hAnsi="宋体" w:cs="宋体"/>
          <w:color w:val="auto"/>
          <w:kern w:val="0"/>
          <w:sz w:val="24"/>
          <w:highlight w:val="none"/>
        </w:rPr>
        <w:t>发票开票信息：</w:t>
      </w:r>
    </w:p>
    <w:p w14:paraId="7B917EFC">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3C5164E9">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②纳税人识别号：_</w:t>
      </w:r>
      <w:r>
        <w:rPr>
          <w:rFonts w:hint="eastAsia" w:ascii="宋体" w:hAnsi="宋体" w:cs="宋体"/>
          <w:color w:val="auto"/>
          <w:kern w:val="0"/>
          <w:sz w:val="24"/>
          <w:highlight w:val="none"/>
          <w:u w:val="single"/>
        </w:rPr>
        <w:t xml:space="preserve">               </w:t>
      </w:r>
    </w:p>
    <w:p w14:paraId="7D64A8BE">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③税局登记地址：</w:t>
      </w:r>
      <w:r>
        <w:rPr>
          <w:rFonts w:hint="eastAsia" w:ascii="宋体" w:hAnsi="宋体" w:cs="宋体"/>
          <w:color w:val="auto"/>
          <w:kern w:val="0"/>
          <w:sz w:val="24"/>
          <w:highlight w:val="none"/>
          <w:u w:val="single"/>
        </w:rPr>
        <w:t xml:space="preserve">               </w:t>
      </w:r>
    </w:p>
    <w:p w14:paraId="48061281">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④税局登记电话：</w:t>
      </w:r>
      <w:r>
        <w:rPr>
          <w:rFonts w:hint="eastAsia" w:ascii="宋体" w:hAnsi="宋体" w:cs="宋体"/>
          <w:color w:val="auto"/>
          <w:kern w:val="0"/>
          <w:sz w:val="24"/>
          <w:highlight w:val="none"/>
          <w:u w:val="single"/>
        </w:rPr>
        <w:t xml:space="preserve">               </w:t>
      </w:r>
    </w:p>
    <w:p w14:paraId="626960FF">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⑤开户银行：</w:t>
      </w:r>
      <w:r>
        <w:rPr>
          <w:rFonts w:hint="eastAsia" w:ascii="宋体" w:hAnsi="宋体" w:cs="宋体"/>
          <w:color w:val="auto"/>
          <w:kern w:val="0"/>
          <w:sz w:val="24"/>
          <w:highlight w:val="none"/>
          <w:u w:val="single"/>
        </w:rPr>
        <w:t xml:space="preserve">               </w:t>
      </w:r>
    </w:p>
    <w:p w14:paraId="08BD84F3">
      <w:pPr>
        <w:pStyle w:val="63"/>
        <w:spacing w:line="380" w:lineRule="exact"/>
        <w:rPr>
          <w:color w:val="auto"/>
          <w:sz w:val="24"/>
          <w:highlight w:val="none"/>
        </w:rPr>
      </w:pPr>
      <w:r>
        <w:rPr>
          <w:rFonts w:hint="eastAsia" w:ascii="宋体" w:hAnsi="宋体" w:cs="宋体"/>
          <w:color w:val="auto"/>
          <w:kern w:val="0"/>
          <w:sz w:val="24"/>
          <w:highlight w:val="none"/>
        </w:rPr>
        <w:t xml:space="preserve">    ⑥银行账户：</w:t>
      </w:r>
      <w:r>
        <w:rPr>
          <w:rFonts w:hint="eastAsia" w:ascii="宋体" w:hAnsi="宋体" w:cs="宋体"/>
          <w:color w:val="auto"/>
          <w:kern w:val="0"/>
          <w:sz w:val="24"/>
          <w:highlight w:val="none"/>
          <w:u w:val="single"/>
        </w:rPr>
        <w:t xml:space="preserve">               </w:t>
      </w:r>
    </w:p>
    <w:p w14:paraId="0E2469A3">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8D38DB2">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F34F135">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6FF9F0C">
      <w:pPr>
        <w:pStyle w:val="25"/>
        <w:spacing w:line="380" w:lineRule="exact"/>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90E9FBB">
      <w:pPr>
        <w:pStyle w:val="25"/>
        <w:spacing w:line="380" w:lineRule="exact"/>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C893BDF">
      <w:pPr>
        <w:pStyle w:val="20"/>
        <w:tabs>
          <w:tab w:val="left" w:pos="939"/>
        </w:tabs>
        <w:spacing w:line="3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473FC62">
      <w:pPr>
        <w:pStyle w:val="20"/>
        <w:tabs>
          <w:tab w:val="left" w:pos="939"/>
        </w:tabs>
        <w:spacing w:line="38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0AF1D0EC">
      <w:pPr>
        <w:pStyle w:val="20"/>
        <w:tabs>
          <w:tab w:val="left" w:pos="939"/>
        </w:tabs>
        <w:spacing w:line="3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A6FD0BA">
      <w:pPr>
        <w:spacing w:line="360" w:lineRule="auto"/>
        <w:ind w:firstLine="482" w:firstLineChars="200"/>
        <w:contextualSpacing/>
        <w:jc w:val="left"/>
        <w:rPr>
          <w:rFonts w:ascii="宋体" w:hAnsi="宋体"/>
          <w:b/>
          <w:color w:val="auto"/>
          <w:sz w:val="24"/>
          <w:highlight w:val="none"/>
        </w:rPr>
      </w:pPr>
    </w:p>
    <w:p w14:paraId="25CDD88C">
      <w:pPr>
        <w:spacing w:line="360" w:lineRule="auto"/>
        <w:contextualSpacing/>
        <w:jc w:val="left"/>
        <w:rPr>
          <w:rFonts w:ascii="宋体" w:hAnsi="宋体" w:cs="宋体"/>
          <w:color w:val="auto"/>
          <w:szCs w:val="21"/>
          <w:highlight w:val="none"/>
        </w:rPr>
      </w:pPr>
    </w:p>
    <w:p w14:paraId="6F797578">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F071860">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213382D7">
      <w:pPr>
        <w:pStyle w:val="20"/>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年    月    日</w:t>
      </w:r>
    </w:p>
    <w:p w14:paraId="7F547E75">
      <w:pPr>
        <w:pStyle w:val="7"/>
        <w:overflowPunct w:val="0"/>
        <w:spacing w:line="520" w:lineRule="exact"/>
        <w:ind w:firstLine="0"/>
        <w:jc w:val="center"/>
        <w:rPr>
          <w:color w:val="auto"/>
          <w:sz w:val="24"/>
          <w:highlight w:val="none"/>
        </w:rPr>
      </w:pPr>
      <w:r>
        <w:rPr>
          <w:rFonts w:hint="eastAsia"/>
          <w:color w:val="auto"/>
          <w:sz w:val="24"/>
          <w:highlight w:val="none"/>
        </w:rPr>
        <w:br w:type="page"/>
      </w:r>
    </w:p>
    <w:p w14:paraId="35503D39">
      <w:pPr>
        <w:spacing w:line="360" w:lineRule="auto"/>
        <w:ind w:firstLine="562" w:firstLineChars="200"/>
        <w:jc w:val="center"/>
        <w:rPr>
          <w:rFonts w:cs="宋体"/>
          <w:b/>
          <w:bCs/>
          <w:color w:val="auto"/>
          <w:sz w:val="28"/>
          <w:szCs w:val="28"/>
          <w:highlight w:val="none"/>
        </w:rPr>
      </w:pPr>
    </w:p>
    <w:p w14:paraId="650C463A">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在人员、设备、资金等方面具有相应的履约能力承诺函</w:t>
      </w:r>
    </w:p>
    <w:p w14:paraId="2A74A4AC">
      <w:pPr>
        <w:spacing w:line="520" w:lineRule="exact"/>
        <w:ind w:left="-10" w:firstLine="520" w:firstLineChars="217"/>
        <w:jc w:val="left"/>
        <w:rPr>
          <w:rFonts w:cs="宋体"/>
          <w:bCs/>
          <w:color w:val="auto"/>
          <w:sz w:val="24"/>
          <w:highlight w:val="none"/>
        </w:rPr>
      </w:pPr>
      <w:r>
        <w:rPr>
          <w:rFonts w:hint="eastAsia" w:cs="宋体"/>
          <w:bCs/>
          <w:color w:val="auto"/>
          <w:sz w:val="24"/>
          <w:highlight w:val="none"/>
        </w:rPr>
        <w:t>我公司郑重承诺：在参加本次</w:t>
      </w:r>
      <w:r>
        <w:rPr>
          <w:rFonts w:hint="eastAsia" w:cs="宋体"/>
          <w:bCs/>
          <w:color w:val="auto"/>
          <w:sz w:val="24"/>
          <w:highlight w:val="none"/>
          <w:u w:val="single"/>
        </w:rPr>
        <w:t>桂林航天工业学院新校区扩建项目星辰广场工程</w:t>
      </w:r>
      <w:r>
        <w:rPr>
          <w:rFonts w:hint="eastAsia" w:cs="宋体"/>
          <w:bCs/>
          <w:color w:val="auto"/>
          <w:sz w:val="24"/>
          <w:highlight w:val="none"/>
        </w:rPr>
        <w:t>（项目编号：</w:t>
      </w:r>
      <w:r>
        <w:rPr>
          <w:rFonts w:hint="eastAsia" w:cs="宋体"/>
          <w:bCs/>
          <w:color w:val="auto"/>
          <w:sz w:val="24"/>
          <w:highlight w:val="none"/>
          <w:u w:val="single"/>
        </w:rPr>
        <w:t>GXZC2025-C2-003843-YZLZ</w:t>
      </w:r>
      <w:r>
        <w:rPr>
          <w:rFonts w:hint="eastAsia" w:cs="宋体"/>
          <w:bCs/>
          <w:color w:val="auto"/>
          <w:sz w:val="24"/>
          <w:highlight w:val="none"/>
        </w:rPr>
        <w:t>）竞争性磋商项目中，在人员、设备、资金等方面具有相应的履约能力。</w:t>
      </w:r>
    </w:p>
    <w:p w14:paraId="73B76EC4">
      <w:pPr>
        <w:spacing w:line="520" w:lineRule="exact"/>
        <w:ind w:left="-10" w:firstLine="520" w:firstLineChars="217"/>
        <w:jc w:val="left"/>
        <w:rPr>
          <w:color w:val="auto"/>
          <w:sz w:val="24"/>
          <w:highlight w:val="none"/>
        </w:rPr>
      </w:pPr>
      <w:r>
        <w:rPr>
          <w:rFonts w:hint="eastAsia" w:ascii="宋体" w:hAnsi="宋体" w:cs="仿宋_GB2312"/>
          <w:color w:val="auto"/>
          <w:sz w:val="24"/>
          <w:highlight w:val="none"/>
        </w:rPr>
        <w:t>本单位对上述承诺的真实性负责。如有虚假，将依法承担相应责任。</w:t>
      </w:r>
    </w:p>
    <w:p w14:paraId="2424D106">
      <w:pPr>
        <w:spacing w:line="520" w:lineRule="exact"/>
        <w:ind w:left="-10" w:firstLine="455" w:firstLineChars="217"/>
        <w:jc w:val="left"/>
        <w:rPr>
          <w:color w:val="auto"/>
          <w:szCs w:val="21"/>
          <w:highlight w:val="none"/>
        </w:rPr>
      </w:pPr>
    </w:p>
    <w:p w14:paraId="3916E04F">
      <w:pPr>
        <w:spacing w:line="520" w:lineRule="exact"/>
        <w:jc w:val="left"/>
        <w:rPr>
          <w:color w:val="auto"/>
          <w:highlight w:val="none"/>
        </w:rPr>
      </w:pPr>
    </w:p>
    <w:p w14:paraId="5DB1C38D">
      <w:pPr>
        <w:spacing w:line="360" w:lineRule="auto"/>
        <w:ind w:firstLine="4410" w:firstLineChars="2100"/>
        <w:jc w:val="left"/>
        <w:rPr>
          <w:rFonts w:cs="宋体"/>
          <w:color w:val="auto"/>
          <w:highlight w:val="none"/>
        </w:rPr>
      </w:pPr>
    </w:p>
    <w:p w14:paraId="68800B1D">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7BC5DDDA">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3ED02E7C">
      <w:pPr>
        <w:spacing w:line="360" w:lineRule="auto"/>
        <w:ind w:firstLine="2730" w:firstLineChars="130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11F873E2">
      <w:pPr>
        <w:spacing w:line="360" w:lineRule="auto"/>
        <w:ind w:right="420"/>
        <w:contextualSpacing/>
        <w:jc w:val="left"/>
        <w:rPr>
          <w:rFonts w:ascii="宋体" w:hAnsi="宋体"/>
          <w:b/>
          <w:bCs/>
          <w:color w:val="auto"/>
          <w:sz w:val="32"/>
          <w:szCs w:val="32"/>
          <w:highlight w:val="none"/>
        </w:rPr>
      </w:pPr>
    </w:p>
    <w:p w14:paraId="248A91EB">
      <w:pPr>
        <w:spacing w:line="360" w:lineRule="auto"/>
        <w:ind w:right="420"/>
        <w:contextualSpacing/>
        <w:jc w:val="left"/>
        <w:rPr>
          <w:rFonts w:ascii="宋体" w:hAnsi="宋体"/>
          <w:b/>
          <w:bCs/>
          <w:color w:val="auto"/>
          <w:sz w:val="32"/>
          <w:szCs w:val="32"/>
          <w:highlight w:val="none"/>
        </w:rPr>
      </w:pPr>
    </w:p>
    <w:p w14:paraId="7CCD4CDD">
      <w:pPr>
        <w:spacing w:line="360" w:lineRule="auto"/>
        <w:ind w:right="420"/>
        <w:contextualSpacing/>
        <w:jc w:val="left"/>
        <w:rPr>
          <w:rFonts w:ascii="宋体" w:hAnsi="宋体"/>
          <w:b/>
          <w:bCs/>
          <w:color w:val="auto"/>
          <w:sz w:val="32"/>
          <w:szCs w:val="32"/>
          <w:highlight w:val="none"/>
        </w:rPr>
      </w:pPr>
    </w:p>
    <w:p w14:paraId="027FD1B9">
      <w:pPr>
        <w:spacing w:line="360" w:lineRule="auto"/>
        <w:ind w:right="420"/>
        <w:contextualSpacing/>
        <w:jc w:val="left"/>
        <w:rPr>
          <w:rFonts w:ascii="宋体" w:hAnsi="宋体"/>
          <w:b/>
          <w:bCs/>
          <w:color w:val="auto"/>
          <w:sz w:val="32"/>
          <w:szCs w:val="32"/>
          <w:highlight w:val="none"/>
        </w:rPr>
      </w:pPr>
    </w:p>
    <w:p w14:paraId="775E8349">
      <w:pPr>
        <w:spacing w:line="360" w:lineRule="auto"/>
        <w:ind w:right="420"/>
        <w:contextualSpacing/>
        <w:jc w:val="left"/>
        <w:rPr>
          <w:rFonts w:ascii="宋体" w:hAnsi="宋体"/>
          <w:b/>
          <w:bCs/>
          <w:color w:val="auto"/>
          <w:sz w:val="32"/>
          <w:szCs w:val="32"/>
          <w:highlight w:val="none"/>
        </w:rPr>
      </w:pPr>
    </w:p>
    <w:p w14:paraId="2B0433C2">
      <w:pPr>
        <w:spacing w:line="360" w:lineRule="auto"/>
        <w:ind w:right="420"/>
        <w:contextualSpacing/>
        <w:jc w:val="left"/>
        <w:rPr>
          <w:rFonts w:ascii="宋体" w:hAnsi="宋体"/>
          <w:b/>
          <w:bCs/>
          <w:color w:val="auto"/>
          <w:sz w:val="32"/>
          <w:szCs w:val="32"/>
          <w:highlight w:val="none"/>
        </w:rPr>
      </w:pPr>
    </w:p>
    <w:p w14:paraId="5F8F3C78">
      <w:pPr>
        <w:spacing w:line="360" w:lineRule="auto"/>
        <w:ind w:right="420"/>
        <w:contextualSpacing/>
        <w:jc w:val="left"/>
        <w:rPr>
          <w:rFonts w:ascii="宋体" w:hAnsi="宋体"/>
          <w:b/>
          <w:bCs/>
          <w:color w:val="auto"/>
          <w:sz w:val="32"/>
          <w:szCs w:val="32"/>
          <w:highlight w:val="none"/>
        </w:rPr>
      </w:pPr>
    </w:p>
    <w:p w14:paraId="78FA8A61">
      <w:pPr>
        <w:spacing w:line="360" w:lineRule="auto"/>
        <w:ind w:right="420"/>
        <w:contextualSpacing/>
        <w:jc w:val="left"/>
        <w:rPr>
          <w:rFonts w:ascii="宋体" w:hAnsi="宋体"/>
          <w:b/>
          <w:bCs/>
          <w:color w:val="auto"/>
          <w:sz w:val="32"/>
          <w:szCs w:val="32"/>
          <w:highlight w:val="none"/>
        </w:rPr>
      </w:pPr>
    </w:p>
    <w:p w14:paraId="1A6B2190">
      <w:pPr>
        <w:spacing w:line="360" w:lineRule="auto"/>
        <w:ind w:right="420"/>
        <w:contextualSpacing/>
        <w:jc w:val="left"/>
        <w:rPr>
          <w:rFonts w:ascii="宋体" w:hAnsi="宋体"/>
          <w:b/>
          <w:bCs/>
          <w:color w:val="auto"/>
          <w:sz w:val="32"/>
          <w:szCs w:val="32"/>
          <w:highlight w:val="none"/>
        </w:rPr>
      </w:pPr>
    </w:p>
    <w:p w14:paraId="50572252">
      <w:pPr>
        <w:pStyle w:val="7"/>
        <w:rPr>
          <w:color w:val="auto"/>
          <w:highlight w:val="none"/>
        </w:rPr>
      </w:pPr>
    </w:p>
    <w:p w14:paraId="0538CA4F">
      <w:pPr>
        <w:pStyle w:val="7"/>
        <w:rPr>
          <w:color w:val="auto"/>
          <w:highlight w:val="none"/>
        </w:rPr>
      </w:pPr>
    </w:p>
    <w:p w14:paraId="4F255BC9">
      <w:pPr>
        <w:pStyle w:val="7"/>
        <w:rPr>
          <w:color w:val="auto"/>
          <w:highlight w:val="none"/>
        </w:rPr>
      </w:pPr>
    </w:p>
    <w:p w14:paraId="0BEC9445">
      <w:pPr>
        <w:pStyle w:val="7"/>
        <w:rPr>
          <w:color w:val="auto"/>
          <w:highlight w:val="none"/>
        </w:rPr>
      </w:pPr>
    </w:p>
    <w:p w14:paraId="6A8117F2">
      <w:pPr>
        <w:pStyle w:val="7"/>
        <w:rPr>
          <w:color w:val="auto"/>
          <w:highlight w:val="none"/>
        </w:rPr>
      </w:pPr>
    </w:p>
    <w:p w14:paraId="2955E79A">
      <w:pPr>
        <w:pStyle w:val="7"/>
        <w:rPr>
          <w:color w:val="auto"/>
          <w:highlight w:val="none"/>
        </w:rPr>
      </w:pPr>
    </w:p>
    <w:p w14:paraId="459F4A5E">
      <w:pPr>
        <w:pStyle w:val="7"/>
        <w:rPr>
          <w:color w:val="auto"/>
          <w:highlight w:val="none"/>
        </w:rPr>
      </w:pPr>
    </w:p>
    <w:p w14:paraId="0A675DAF">
      <w:pPr>
        <w:pStyle w:val="7"/>
        <w:rPr>
          <w:color w:val="auto"/>
          <w:highlight w:val="none"/>
        </w:rPr>
      </w:pPr>
    </w:p>
    <w:p w14:paraId="66FD3364">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3EB476E">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32A035C6">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0E65736">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B235959">
      <w:pPr>
        <w:snapToGrid w:val="0"/>
        <w:spacing w:beforeLines="50" w:after="50"/>
        <w:rPr>
          <w:rFonts w:ascii="宋体" w:hAnsi="宋体"/>
          <w:color w:val="auto"/>
          <w:sz w:val="24"/>
          <w:szCs w:val="20"/>
          <w:highlight w:val="none"/>
        </w:rPr>
      </w:pPr>
    </w:p>
    <w:p w14:paraId="3433CDC8">
      <w:pPr>
        <w:snapToGrid w:val="0"/>
        <w:spacing w:beforeLines="50" w:after="50"/>
        <w:rPr>
          <w:rFonts w:ascii="宋体" w:hAnsi="宋体"/>
          <w:color w:val="auto"/>
          <w:sz w:val="24"/>
          <w:szCs w:val="20"/>
          <w:highlight w:val="none"/>
        </w:rPr>
      </w:pPr>
    </w:p>
    <w:p w14:paraId="728E0B3B">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ED6FD3E">
      <w:pPr>
        <w:snapToGrid w:val="0"/>
        <w:spacing w:beforeLines="50" w:after="50"/>
        <w:rPr>
          <w:rFonts w:ascii="宋体" w:hAnsi="宋体"/>
          <w:bCs/>
          <w:color w:val="auto"/>
          <w:sz w:val="24"/>
          <w:szCs w:val="20"/>
          <w:highlight w:val="none"/>
        </w:rPr>
      </w:pPr>
    </w:p>
    <w:p w14:paraId="05277910">
      <w:pPr>
        <w:snapToGrid w:val="0"/>
        <w:spacing w:beforeLines="50" w:after="50"/>
        <w:rPr>
          <w:rFonts w:ascii="宋体" w:hAnsi="宋体"/>
          <w:bCs/>
          <w:color w:val="auto"/>
          <w:sz w:val="24"/>
          <w:szCs w:val="20"/>
          <w:highlight w:val="none"/>
        </w:rPr>
      </w:pPr>
    </w:p>
    <w:p w14:paraId="062F37F4">
      <w:pPr>
        <w:snapToGrid w:val="0"/>
        <w:spacing w:beforeLines="50" w:after="50"/>
        <w:rPr>
          <w:rFonts w:ascii="宋体" w:hAnsi="宋体"/>
          <w:bCs/>
          <w:color w:val="auto"/>
          <w:sz w:val="24"/>
          <w:szCs w:val="20"/>
          <w:highlight w:val="none"/>
        </w:rPr>
      </w:pPr>
    </w:p>
    <w:p w14:paraId="5DE493A0">
      <w:pPr>
        <w:snapToGrid w:val="0"/>
        <w:spacing w:beforeLines="50" w:after="50"/>
        <w:rPr>
          <w:rFonts w:ascii="宋体" w:hAnsi="宋体"/>
          <w:bCs/>
          <w:color w:val="auto"/>
          <w:sz w:val="24"/>
          <w:szCs w:val="20"/>
          <w:highlight w:val="none"/>
        </w:rPr>
      </w:pPr>
    </w:p>
    <w:p w14:paraId="225B5B9D">
      <w:pPr>
        <w:snapToGrid w:val="0"/>
        <w:spacing w:beforeLines="50" w:after="50"/>
        <w:rPr>
          <w:rFonts w:ascii="宋体" w:hAnsi="宋体"/>
          <w:bCs/>
          <w:color w:val="auto"/>
          <w:sz w:val="24"/>
          <w:szCs w:val="20"/>
          <w:highlight w:val="none"/>
        </w:rPr>
      </w:pPr>
    </w:p>
    <w:p w14:paraId="64736B2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039D04">
      <w:pPr>
        <w:snapToGrid w:val="0"/>
        <w:spacing w:beforeLines="50" w:after="50"/>
        <w:ind w:firstLine="720" w:firstLineChars="225"/>
        <w:rPr>
          <w:rFonts w:ascii="宋体" w:hAnsi="宋体" w:cs="仿宋_GB2312"/>
          <w:bCs/>
          <w:color w:val="auto"/>
          <w:sz w:val="32"/>
          <w:szCs w:val="32"/>
          <w:highlight w:val="none"/>
        </w:rPr>
      </w:pPr>
    </w:p>
    <w:p w14:paraId="50C9947A">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FDD871F">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BFEDA90">
      <w:pPr>
        <w:snapToGrid w:val="0"/>
        <w:spacing w:beforeLines="50" w:after="50"/>
        <w:ind w:firstLine="720" w:firstLineChars="225"/>
        <w:rPr>
          <w:rFonts w:ascii="宋体" w:hAnsi="宋体" w:cs="仿宋_GB2312"/>
          <w:bCs/>
          <w:color w:val="auto"/>
          <w:sz w:val="32"/>
          <w:szCs w:val="32"/>
          <w:highlight w:val="none"/>
        </w:rPr>
      </w:pPr>
    </w:p>
    <w:p w14:paraId="161668E2">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AD25FA8">
      <w:pPr>
        <w:pStyle w:val="7"/>
        <w:snapToGrid w:val="0"/>
        <w:spacing w:before="50" w:after="50"/>
        <w:ind w:firstLine="640" w:firstLineChars="200"/>
        <w:rPr>
          <w:rFonts w:ascii="宋体" w:hAnsi="宋体" w:cs="仿宋_GB2312"/>
          <w:bCs/>
          <w:color w:val="auto"/>
          <w:sz w:val="32"/>
          <w:szCs w:val="32"/>
          <w:highlight w:val="none"/>
        </w:rPr>
      </w:pPr>
    </w:p>
    <w:p w14:paraId="7AB20322">
      <w:pPr>
        <w:pStyle w:val="7"/>
        <w:snapToGrid w:val="0"/>
        <w:spacing w:before="50" w:after="50"/>
        <w:ind w:firstLine="720" w:firstLineChars="225"/>
        <w:rPr>
          <w:rFonts w:ascii="宋体" w:hAnsi="宋体" w:cs="仿宋_GB2312"/>
          <w:bCs/>
          <w:color w:val="auto"/>
          <w:sz w:val="32"/>
          <w:szCs w:val="32"/>
          <w:highlight w:val="none"/>
        </w:rPr>
      </w:pPr>
    </w:p>
    <w:p w14:paraId="7BFB9668">
      <w:pPr>
        <w:pStyle w:val="7"/>
        <w:snapToGrid w:val="0"/>
        <w:spacing w:before="50" w:after="50"/>
        <w:ind w:firstLine="0"/>
        <w:rPr>
          <w:rFonts w:ascii="宋体" w:hAnsi="宋体" w:cs="仿宋_GB2312"/>
          <w:bCs/>
          <w:color w:val="auto"/>
          <w:sz w:val="32"/>
          <w:szCs w:val="32"/>
          <w:highlight w:val="none"/>
        </w:rPr>
      </w:pPr>
    </w:p>
    <w:p w14:paraId="56FC5526">
      <w:pPr>
        <w:pStyle w:val="7"/>
        <w:snapToGrid w:val="0"/>
        <w:spacing w:before="50" w:after="50"/>
        <w:ind w:firstLine="1280" w:firstLineChars="400"/>
        <w:rPr>
          <w:rFonts w:ascii="宋体" w:hAnsi="宋体" w:cs="仿宋_GB2312"/>
          <w:bCs/>
          <w:color w:val="auto"/>
          <w:sz w:val="32"/>
          <w:szCs w:val="32"/>
          <w:highlight w:val="none"/>
        </w:rPr>
      </w:pPr>
    </w:p>
    <w:p w14:paraId="1946BEBE">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065E8E0">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AB1E728">
      <w:pPr>
        <w:spacing w:line="520" w:lineRule="exact"/>
        <w:jc w:val="center"/>
        <w:rPr>
          <w:rFonts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56224E09">
      <w:pPr>
        <w:spacing w:line="520" w:lineRule="exact"/>
        <w:jc w:val="center"/>
        <w:rPr>
          <w:rFonts w:ascii="宋体" w:hAnsi="宋体" w:cs="方正小标宋简体"/>
          <w:b/>
          <w:bCs/>
          <w:color w:val="auto"/>
          <w:sz w:val="32"/>
          <w:szCs w:val="32"/>
          <w:highlight w:val="none"/>
        </w:rPr>
      </w:pPr>
    </w:p>
    <w:p w14:paraId="5C5DCDC4">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F92DFFB">
      <w:pPr>
        <w:spacing w:line="520" w:lineRule="exact"/>
        <w:jc w:val="center"/>
        <w:rPr>
          <w:rFonts w:ascii="宋体" w:hAnsi="宋体" w:cs="方正小标宋简体"/>
          <w:b/>
          <w:bCs/>
          <w:color w:val="auto"/>
          <w:sz w:val="32"/>
          <w:szCs w:val="32"/>
          <w:highlight w:val="none"/>
        </w:rPr>
      </w:pPr>
    </w:p>
    <w:p w14:paraId="3967B5A3">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4A11B93C">
      <w:pPr>
        <w:pStyle w:val="216"/>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97" w:name="bookmark2065"/>
      <w:bookmarkEnd w:id="97"/>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rPr>
        <w:t>竞标报价表</w:t>
      </w:r>
      <w:r>
        <w:rPr>
          <w:rFonts w:hint="eastAsia" w:ascii="Times New Roman" w:hAnsi="Times New Roman" w:cs="Times New Roman"/>
          <w:color w:val="auto"/>
          <w:szCs w:val="21"/>
          <w:highlight w:val="none"/>
          <w:u w:val="single"/>
        </w:rPr>
        <w:t>；</w:t>
      </w:r>
      <w:r>
        <w:rPr>
          <w:rFonts w:ascii="Times New Roman" w:hAnsi="Times New Roman" w:cs="Times New Roman"/>
          <w:color w:val="auto"/>
          <w:szCs w:val="21"/>
          <w:highlight w:val="none"/>
        </w:rPr>
        <w:t>工期</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rPr>
        <w:t>竞标报价表</w:t>
      </w:r>
      <w:r>
        <w:rPr>
          <w:rFonts w:ascii="Times New Roman" w:hAnsi="Times New Roman" w:cs="Times New Roman"/>
          <w:color w:val="auto"/>
          <w:szCs w:val="21"/>
          <w:highlight w:val="none"/>
        </w:rPr>
        <w:t>，按合同约定实施和完成承包工程，修补工程中的任何缺陷，</w:t>
      </w:r>
      <w:r>
        <w:rPr>
          <w:rFonts w:hint="eastAsia" w:ascii="Times New Roman" w:hAnsi="Times New Roman" w:cs="Times New Roman"/>
          <w:color w:val="auto"/>
          <w:szCs w:val="21"/>
          <w:highlight w:val="none"/>
        </w:rPr>
        <w:t>承诺质量等级：</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rPr>
        <w:t>竞标报价表</w:t>
      </w:r>
      <w:r>
        <w:rPr>
          <w:rFonts w:ascii="Times New Roman" w:hAnsi="Times New Roman" w:cs="Times New Roman"/>
          <w:color w:val="auto"/>
          <w:szCs w:val="21"/>
          <w:highlight w:val="none"/>
          <w:lang w:val="en-US" w:bidi="en-US"/>
        </w:rPr>
        <w:t>。</w:t>
      </w:r>
    </w:p>
    <w:p w14:paraId="2238AB1B">
      <w:pPr>
        <w:pStyle w:val="216"/>
        <w:numPr>
          <w:ilvl w:val="0"/>
          <w:numId w:val="1"/>
        </w:numPr>
        <w:tabs>
          <w:tab w:val="left" w:pos="762"/>
        </w:tabs>
        <w:ind w:firstLine="420"/>
        <w:rPr>
          <w:rFonts w:ascii="Times New Roman" w:hAnsi="Times New Roman" w:cs="Times New Roman"/>
          <w:color w:val="auto"/>
          <w:szCs w:val="21"/>
          <w:highlight w:val="none"/>
        </w:rPr>
      </w:pPr>
      <w:bookmarkStart w:id="98" w:name="bookmark2066"/>
      <w:bookmarkEnd w:id="98"/>
      <w:bookmarkStart w:id="99" w:name="bookmark2067"/>
      <w:bookmarkEnd w:id="99"/>
      <w:bookmarkStart w:id="100" w:name="bookmark2068"/>
      <w:bookmarkEnd w:id="100"/>
      <w:r>
        <w:rPr>
          <w:rFonts w:hint="eastAsia"/>
          <w:color w:val="auto"/>
          <w:highlight w:val="none"/>
        </w:rPr>
        <w:t>我方承认竞标函附录是我方竞标函的组成部分。</w:t>
      </w:r>
    </w:p>
    <w:p w14:paraId="2BB23388">
      <w:pPr>
        <w:pStyle w:val="216"/>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391C2058">
      <w:pPr>
        <w:pStyle w:val="216"/>
        <w:tabs>
          <w:tab w:val="left" w:pos="903"/>
        </w:tabs>
        <w:ind w:firstLine="420"/>
        <w:rPr>
          <w:rFonts w:ascii="Times New Roman" w:hAnsi="Times New Roman" w:cs="Times New Roman"/>
          <w:color w:val="auto"/>
          <w:szCs w:val="21"/>
          <w:highlight w:val="none"/>
        </w:rPr>
      </w:pPr>
      <w:bookmarkStart w:id="101" w:name="bookmark2069"/>
      <w:r>
        <w:rPr>
          <w:rFonts w:ascii="Times New Roman" w:hAnsi="Times New Roman" w:cs="Times New Roman"/>
          <w:color w:val="auto"/>
          <w:szCs w:val="21"/>
          <w:highlight w:val="none"/>
        </w:rPr>
        <w:t>（</w:t>
      </w:r>
      <w:bookmarkEnd w:id="101"/>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7C2932EF">
      <w:pPr>
        <w:pStyle w:val="216"/>
        <w:tabs>
          <w:tab w:val="left" w:pos="903"/>
        </w:tabs>
        <w:ind w:firstLine="420"/>
        <w:rPr>
          <w:rFonts w:ascii="Times New Roman" w:hAnsi="Times New Roman" w:cs="Times New Roman"/>
          <w:color w:val="auto"/>
          <w:szCs w:val="21"/>
          <w:highlight w:val="none"/>
        </w:rPr>
      </w:pPr>
      <w:bookmarkStart w:id="102" w:name="bookmark2070"/>
      <w:r>
        <w:rPr>
          <w:rFonts w:ascii="Times New Roman" w:hAnsi="Times New Roman" w:cs="Times New Roman"/>
          <w:color w:val="auto"/>
          <w:szCs w:val="21"/>
          <w:highlight w:val="none"/>
        </w:rPr>
        <w:t>（</w:t>
      </w:r>
      <w:bookmarkEnd w:id="102"/>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2B1D8EB3">
      <w:pPr>
        <w:pStyle w:val="216"/>
        <w:tabs>
          <w:tab w:val="left" w:pos="903"/>
        </w:tabs>
        <w:ind w:firstLine="420"/>
        <w:rPr>
          <w:rFonts w:ascii="Times New Roman" w:hAnsi="Times New Roman" w:cs="Times New Roman"/>
          <w:color w:val="auto"/>
          <w:szCs w:val="21"/>
          <w:highlight w:val="none"/>
        </w:rPr>
      </w:pPr>
      <w:bookmarkStart w:id="103" w:name="bookmark2071"/>
      <w:r>
        <w:rPr>
          <w:rFonts w:ascii="Times New Roman" w:hAnsi="Times New Roman" w:cs="Times New Roman"/>
          <w:color w:val="auto"/>
          <w:szCs w:val="21"/>
          <w:highlight w:val="none"/>
        </w:rPr>
        <w:t>（</w:t>
      </w:r>
      <w:bookmarkEnd w:id="103"/>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0E05A36E">
      <w:pPr>
        <w:pStyle w:val="216"/>
        <w:tabs>
          <w:tab w:val="left" w:pos="903"/>
        </w:tabs>
        <w:ind w:firstLine="420"/>
        <w:rPr>
          <w:rFonts w:ascii="Times New Roman" w:hAnsi="Times New Roman" w:cs="Times New Roman"/>
          <w:color w:val="auto"/>
          <w:szCs w:val="21"/>
          <w:highlight w:val="none"/>
        </w:rPr>
      </w:pPr>
      <w:bookmarkStart w:id="104" w:name="bookmark2072"/>
      <w:r>
        <w:rPr>
          <w:rFonts w:ascii="Times New Roman" w:hAnsi="Times New Roman" w:cs="Times New Roman"/>
          <w:color w:val="auto"/>
          <w:szCs w:val="21"/>
          <w:highlight w:val="none"/>
        </w:rPr>
        <w:t>（</w:t>
      </w:r>
      <w:bookmarkEnd w:id="104"/>
      <w:r>
        <w:rPr>
          <w:rFonts w:ascii="Times New Roman" w:hAnsi="Times New Roman" w:cs="Times New Roman"/>
          <w:color w:val="auto"/>
          <w:szCs w:val="21"/>
          <w:highlight w:val="none"/>
        </w:rPr>
        <w:t>4）我方承诺在合同约定的期限内完成并移交全部合同工程。</w:t>
      </w:r>
    </w:p>
    <w:p w14:paraId="7B3325ED">
      <w:pPr>
        <w:pStyle w:val="216"/>
        <w:numPr>
          <w:ilvl w:val="0"/>
          <w:numId w:val="1"/>
        </w:numPr>
        <w:tabs>
          <w:tab w:val="left" w:pos="762"/>
        </w:tabs>
        <w:ind w:firstLine="440"/>
        <w:rPr>
          <w:rFonts w:ascii="Times New Roman" w:hAnsi="Times New Roman" w:cs="Times New Roman"/>
          <w:color w:val="auto"/>
          <w:szCs w:val="21"/>
          <w:highlight w:val="none"/>
        </w:rPr>
      </w:pPr>
      <w:bookmarkStart w:id="105" w:name="bookmark2073"/>
      <w:bookmarkEnd w:id="105"/>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66930D4B">
      <w:pPr>
        <w:spacing w:line="360" w:lineRule="auto"/>
        <w:ind w:firstLine="420" w:firstLineChars="200"/>
        <w:rPr>
          <w:color w:val="auto"/>
          <w:szCs w:val="21"/>
          <w:highlight w:val="none"/>
        </w:rPr>
      </w:pPr>
      <w:bookmarkStart w:id="106" w:name="bookmark2074"/>
      <w:bookmarkEnd w:id="106"/>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4FB06224">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4621740">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75C059B">
      <w:pPr>
        <w:spacing w:line="360" w:lineRule="auto"/>
        <w:jc w:val="center"/>
        <w:rPr>
          <w:rFonts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154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24BE8D1">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vAlign w:val="center"/>
          </w:tcPr>
          <w:p w14:paraId="02AB75DF">
            <w:pPr>
              <w:jc w:val="center"/>
              <w:rPr>
                <w:color w:val="auto"/>
                <w:highlight w:val="none"/>
              </w:rPr>
            </w:pPr>
            <w:r>
              <w:rPr>
                <w:rFonts w:hint="eastAsia" w:cs="宋体"/>
                <w:color w:val="auto"/>
                <w:highlight w:val="none"/>
              </w:rPr>
              <w:t>条款内容</w:t>
            </w:r>
          </w:p>
        </w:tc>
        <w:tc>
          <w:tcPr>
            <w:tcW w:w="2126" w:type="dxa"/>
            <w:vAlign w:val="center"/>
          </w:tcPr>
          <w:p w14:paraId="22612097">
            <w:pPr>
              <w:jc w:val="center"/>
              <w:rPr>
                <w:color w:val="auto"/>
                <w:highlight w:val="none"/>
              </w:rPr>
            </w:pPr>
            <w:r>
              <w:rPr>
                <w:rFonts w:hint="eastAsia" w:cs="宋体"/>
                <w:color w:val="auto"/>
                <w:highlight w:val="none"/>
              </w:rPr>
              <w:t>合同条款号</w:t>
            </w:r>
          </w:p>
        </w:tc>
        <w:tc>
          <w:tcPr>
            <w:tcW w:w="1984" w:type="dxa"/>
            <w:vAlign w:val="center"/>
          </w:tcPr>
          <w:p w14:paraId="4935E04E">
            <w:pPr>
              <w:jc w:val="center"/>
              <w:rPr>
                <w:color w:val="auto"/>
                <w:highlight w:val="none"/>
              </w:rPr>
            </w:pPr>
            <w:r>
              <w:rPr>
                <w:rFonts w:hint="eastAsia" w:cs="宋体"/>
                <w:color w:val="auto"/>
                <w:highlight w:val="none"/>
              </w:rPr>
              <w:t>约定内容</w:t>
            </w:r>
          </w:p>
        </w:tc>
        <w:tc>
          <w:tcPr>
            <w:tcW w:w="1843" w:type="dxa"/>
            <w:vAlign w:val="center"/>
          </w:tcPr>
          <w:p w14:paraId="5F1C8F78">
            <w:pPr>
              <w:jc w:val="center"/>
              <w:rPr>
                <w:color w:val="auto"/>
                <w:highlight w:val="none"/>
              </w:rPr>
            </w:pPr>
            <w:r>
              <w:rPr>
                <w:rFonts w:hint="eastAsia" w:cs="宋体"/>
                <w:color w:val="auto"/>
                <w:highlight w:val="none"/>
              </w:rPr>
              <w:t>供应商响应情况</w:t>
            </w:r>
          </w:p>
        </w:tc>
      </w:tr>
      <w:tr w14:paraId="5557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BD1F74">
            <w:pPr>
              <w:jc w:val="center"/>
              <w:rPr>
                <w:color w:val="auto"/>
                <w:highlight w:val="none"/>
              </w:rPr>
            </w:pPr>
            <w:r>
              <w:rPr>
                <w:color w:val="auto"/>
                <w:highlight w:val="none"/>
              </w:rPr>
              <w:t>1</w:t>
            </w:r>
          </w:p>
        </w:tc>
        <w:tc>
          <w:tcPr>
            <w:tcW w:w="1985" w:type="dxa"/>
            <w:vAlign w:val="center"/>
          </w:tcPr>
          <w:p w14:paraId="62328335">
            <w:pPr>
              <w:rPr>
                <w:color w:val="auto"/>
                <w:highlight w:val="none"/>
              </w:rPr>
            </w:pPr>
            <w:r>
              <w:rPr>
                <w:rFonts w:hint="eastAsia" w:cs="宋体"/>
                <w:color w:val="auto"/>
                <w:highlight w:val="none"/>
              </w:rPr>
              <w:t>项目经理</w:t>
            </w:r>
          </w:p>
        </w:tc>
        <w:tc>
          <w:tcPr>
            <w:tcW w:w="2126" w:type="dxa"/>
            <w:tcMar>
              <w:left w:w="170" w:type="dxa"/>
            </w:tcMar>
            <w:vAlign w:val="center"/>
          </w:tcPr>
          <w:p w14:paraId="1B45DEE9">
            <w:pPr>
              <w:jc w:val="center"/>
              <w:rPr>
                <w:color w:val="auto"/>
                <w:highlight w:val="none"/>
              </w:rPr>
            </w:pPr>
            <w:r>
              <w:rPr>
                <w:rFonts w:hint="eastAsia" w:cs="宋体"/>
                <w:color w:val="auto"/>
                <w:highlight w:val="none"/>
              </w:rPr>
              <w:t>专用条款</w:t>
            </w:r>
          </w:p>
        </w:tc>
        <w:tc>
          <w:tcPr>
            <w:tcW w:w="1984" w:type="dxa"/>
            <w:vAlign w:val="center"/>
          </w:tcPr>
          <w:p w14:paraId="1766868F">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vAlign w:val="center"/>
          </w:tcPr>
          <w:p w14:paraId="3EF77311">
            <w:pPr>
              <w:jc w:val="center"/>
              <w:rPr>
                <w:color w:val="auto"/>
                <w:highlight w:val="none"/>
              </w:rPr>
            </w:pPr>
          </w:p>
        </w:tc>
      </w:tr>
      <w:tr w14:paraId="1EC1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CC2D5A">
            <w:pPr>
              <w:jc w:val="center"/>
              <w:rPr>
                <w:color w:val="auto"/>
                <w:highlight w:val="none"/>
              </w:rPr>
            </w:pPr>
            <w:r>
              <w:rPr>
                <w:color w:val="auto"/>
                <w:highlight w:val="none"/>
              </w:rPr>
              <w:t>2</w:t>
            </w:r>
          </w:p>
        </w:tc>
        <w:tc>
          <w:tcPr>
            <w:tcW w:w="1985" w:type="dxa"/>
            <w:vAlign w:val="center"/>
          </w:tcPr>
          <w:p w14:paraId="7254E7FB">
            <w:pPr>
              <w:rPr>
                <w:color w:val="auto"/>
                <w:highlight w:val="none"/>
              </w:rPr>
            </w:pPr>
            <w:r>
              <w:rPr>
                <w:rFonts w:hint="eastAsia" w:cs="宋体"/>
                <w:color w:val="auto"/>
                <w:highlight w:val="none"/>
              </w:rPr>
              <w:t>竞标有效期</w:t>
            </w:r>
          </w:p>
        </w:tc>
        <w:tc>
          <w:tcPr>
            <w:tcW w:w="2126" w:type="dxa"/>
            <w:tcMar>
              <w:left w:w="170" w:type="dxa"/>
            </w:tcMar>
            <w:vAlign w:val="center"/>
          </w:tcPr>
          <w:p w14:paraId="4296AF98">
            <w:pPr>
              <w:rPr>
                <w:color w:val="auto"/>
                <w:highlight w:val="none"/>
              </w:rPr>
            </w:pPr>
          </w:p>
        </w:tc>
        <w:tc>
          <w:tcPr>
            <w:tcW w:w="1984" w:type="dxa"/>
            <w:vAlign w:val="center"/>
          </w:tcPr>
          <w:p w14:paraId="2A214D03">
            <w:pPr>
              <w:jc w:val="center"/>
              <w:rPr>
                <w:color w:val="auto"/>
                <w:highlight w:val="none"/>
                <w:u w:val="single"/>
              </w:rPr>
            </w:pPr>
          </w:p>
        </w:tc>
        <w:tc>
          <w:tcPr>
            <w:tcW w:w="1843" w:type="dxa"/>
            <w:vAlign w:val="center"/>
          </w:tcPr>
          <w:p w14:paraId="0186FE2D">
            <w:pPr>
              <w:jc w:val="center"/>
              <w:rPr>
                <w:color w:val="auto"/>
                <w:highlight w:val="none"/>
              </w:rPr>
            </w:pPr>
          </w:p>
        </w:tc>
      </w:tr>
      <w:tr w14:paraId="25D9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E7CE154">
            <w:pPr>
              <w:jc w:val="center"/>
              <w:rPr>
                <w:color w:val="auto"/>
                <w:highlight w:val="none"/>
              </w:rPr>
            </w:pPr>
            <w:r>
              <w:rPr>
                <w:color w:val="auto"/>
                <w:highlight w:val="none"/>
              </w:rPr>
              <w:t>3</w:t>
            </w:r>
          </w:p>
        </w:tc>
        <w:tc>
          <w:tcPr>
            <w:tcW w:w="1985" w:type="dxa"/>
            <w:vAlign w:val="center"/>
          </w:tcPr>
          <w:p w14:paraId="12F50D00">
            <w:pPr>
              <w:rPr>
                <w:color w:val="auto"/>
                <w:highlight w:val="none"/>
              </w:rPr>
            </w:pPr>
            <w:r>
              <w:rPr>
                <w:rFonts w:hint="eastAsia" w:cs="宋体"/>
                <w:color w:val="auto"/>
                <w:highlight w:val="none"/>
              </w:rPr>
              <w:t>工期</w:t>
            </w:r>
          </w:p>
        </w:tc>
        <w:tc>
          <w:tcPr>
            <w:tcW w:w="2126" w:type="dxa"/>
            <w:tcMar>
              <w:left w:w="170" w:type="dxa"/>
            </w:tcMar>
            <w:vAlign w:val="center"/>
          </w:tcPr>
          <w:p w14:paraId="1C0BC0BF">
            <w:pPr>
              <w:jc w:val="center"/>
              <w:rPr>
                <w:color w:val="auto"/>
                <w:highlight w:val="none"/>
              </w:rPr>
            </w:pPr>
            <w:r>
              <w:rPr>
                <w:rFonts w:hint="eastAsia" w:cs="宋体"/>
                <w:color w:val="auto"/>
                <w:highlight w:val="none"/>
              </w:rPr>
              <w:t>专用条款</w:t>
            </w:r>
          </w:p>
        </w:tc>
        <w:tc>
          <w:tcPr>
            <w:tcW w:w="1984" w:type="dxa"/>
            <w:vAlign w:val="center"/>
          </w:tcPr>
          <w:p w14:paraId="04339AAA">
            <w:pPr>
              <w:jc w:val="center"/>
              <w:rPr>
                <w:color w:val="auto"/>
                <w:highlight w:val="none"/>
              </w:rPr>
            </w:pPr>
            <w:r>
              <w:rPr>
                <w:color w:val="auto"/>
                <w:highlight w:val="none"/>
                <w:u w:val="single"/>
              </w:rPr>
              <w:t xml:space="preserve">          </w:t>
            </w:r>
            <w:r>
              <w:rPr>
                <w:rFonts w:hint="eastAsia" w:cs="宋体"/>
                <w:color w:val="auto"/>
                <w:highlight w:val="none"/>
              </w:rPr>
              <w:t>天</w:t>
            </w:r>
          </w:p>
        </w:tc>
        <w:tc>
          <w:tcPr>
            <w:tcW w:w="1843" w:type="dxa"/>
            <w:vAlign w:val="center"/>
          </w:tcPr>
          <w:p w14:paraId="78529611">
            <w:pPr>
              <w:jc w:val="center"/>
              <w:rPr>
                <w:color w:val="auto"/>
                <w:highlight w:val="none"/>
              </w:rPr>
            </w:pPr>
          </w:p>
        </w:tc>
      </w:tr>
      <w:tr w14:paraId="7D59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FE3E299">
            <w:pPr>
              <w:jc w:val="center"/>
              <w:rPr>
                <w:color w:val="auto"/>
                <w:highlight w:val="none"/>
              </w:rPr>
            </w:pPr>
            <w:r>
              <w:rPr>
                <w:color w:val="auto"/>
                <w:highlight w:val="none"/>
              </w:rPr>
              <w:t>4</w:t>
            </w:r>
          </w:p>
        </w:tc>
        <w:tc>
          <w:tcPr>
            <w:tcW w:w="1985" w:type="dxa"/>
            <w:vAlign w:val="center"/>
          </w:tcPr>
          <w:p w14:paraId="2E431E13">
            <w:pPr>
              <w:rPr>
                <w:color w:val="auto"/>
                <w:highlight w:val="none"/>
              </w:rPr>
            </w:pPr>
            <w:r>
              <w:rPr>
                <w:rFonts w:hint="eastAsia" w:cs="宋体"/>
                <w:color w:val="auto"/>
                <w:highlight w:val="none"/>
              </w:rPr>
              <w:t>缺陷责任期</w:t>
            </w:r>
          </w:p>
        </w:tc>
        <w:tc>
          <w:tcPr>
            <w:tcW w:w="2126" w:type="dxa"/>
            <w:tcMar>
              <w:left w:w="170" w:type="dxa"/>
            </w:tcMar>
            <w:vAlign w:val="center"/>
          </w:tcPr>
          <w:p w14:paraId="19D3ED97">
            <w:pPr>
              <w:jc w:val="center"/>
              <w:rPr>
                <w:color w:val="auto"/>
                <w:highlight w:val="none"/>
              </w:rPr>
            </w:pPr>
            <w:r>
              <w:rPr>
                <w:rFonts w:hint="eastAsia" w:cs="宋体"/>
                <w:color w:val="auto"/>
                <w:highlight w:val="none"/>
              </w:rPr>
              <w:t>专用条款</w:t>
            </w:r>
          </w:p>
        </w:tc>
        <w:tc>
          <w:tcPr>
            <w:tcW w:w="1984" w:type="dxa"/>
            <w:vAlign w:val="center"/>
          </w:tcPr>
          <w:p w14:paraId="7700DE74">
            <w:pPr>
              <w:jc w:val="center"/>
              <w:rPr>
                <w:color w:val="auto"/>
                <w:highlight w:val="none"/>
              </w:rPr>
            </w:pPr>
          </w:p>
        </w:tc>
        <w:tc>
          <w:tcPr>
            <w:tcW w:w="1843" w:type="dxa"/>
            <w:vAlign w:val="center"/>
          </w:tcPr>
          <w:p w14:paraId="77EBB0B5">
            <w:pPr>
              <w:jc w:val="center"/>
              <w:rPr>
                <w:color w:val="auto"/>
                <w:highlight w:val="none"/>
              </w:rPr>
            </w:pPr>
          </w:p>
        </w:tc>
      </w:tr>
      <w:tr w14:paraId="01CB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545DBFE">
            <w:pPr>
              <w:jc w:val="center"/>
              <w:rPr>
                <w:color w:val="auto"/>
                <w:highlight w:val="none"/>
              </w:rPr>
            </w:pPr>
            <w:r>
              <w:rPr>
                <w:color w:val="auto"/>
                <w:highlight w:val="none"/>
              </w:rPr>
              <w:t>5</w:t>
            </w:r>
          </w:p>
        </w:tc>
        <w:tc>
          <w:tcPr>
            <w:tcW w:w="1985" w:type="dxa"/>
            <w:vAlign w:val="center"/>
          </w:tcPr>
          <w:p w14:paraId="60C98AEE">
            <w:pPr>
              <w:rPr>
                <w:color w:val="auto"/>
                <w:highlight w:val="none"/>
              </w:rPr>
            </w:pPr>
            <w:r>
              <w:rPr>
                <w:rFonts w:hint="eastAsia" w:cs="宋体"/>
                <w:color w:val="auto"/>
                <w:highlight w:val="none"/>
              </w:rPr>
              <w:t>发包人支付担保</w:t>
            </w:r>
          </w:p>
        </w:tc>
        <w:tc>
          <w:tcPr>
            <w:tcW w:w="2126" w:type="dxa"/>
            <w:tcMar>
              <w:left w:w="170" w:type="dxa"/>
            </w:tcMar>
            <w:vAlign w:val="center"/>
          </w:tcPr>
          <w:p w14:paraId="3E773825">
            <w:pPr>
              <w:jc w:val="center"/>
              <w:rPr>
                <w:color w:val="auto"/>
                <w:highlight w:val="none"/>
              </w:rPr>
            </w:pPr>
            <w:r>
              <w:rPr>
                <w:rFonts w:hint="eastAsia" w:cs="宋体"/>
                <w:color w:val="auto"/>
                <w:highlight w:val="none"/>
              </w:rPr>
              <w:t>专用条款</w:t>
            </w:r>
          </w:p>
        </w:tc>
        <w:tc>
          <w:tcPr>
            <w:tcW w:w="1984" w:type="dxa"/>
            <w:vAlign w:val="center"/>
          </w:tcPr>
          <w:p w14:paraId="1F217C0C">
            <w:pPr>
              <w:jc w:val="center"/>
              <w:rPr>
                <w:color w:val="auto"/>
                <w:highlight w:val="none"/>
              </w:rPr>
            </w:pPr>
          </w:p>
        </w:tc>
        <w:tc>
          <w:tcPr>
            <w:tcW w:w="1843" w:type="dxa"/>
            <w:vAlign w:val="center"/>
          </w:tcPr>
          <w:p w14:paraId="12E39728">
            <w:pPr>
              <w:jc w:val="center"/>
              <w:rPr>
                <w:color w:val="auto"/>
                <w:highlight w:val="none"/>
              </w:rPr>
            </w:pPr>
          </w:p>
        </w:tc>
      </w:tr>
      <w:tr w14:paraId="3D0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F715A9F">
            <w:pPr>
              <w:jc w:val="center"/>
              <w:rPr>
                <w:color w:val="auto"/>
                <w:highlight w:val="none"/>
              </w:rPr>
            </w:pPr>
            <w:r>
              <w:rPr>
                <w:color w:val="auto"/>
                <w:highlight w:val="none"/>
              </w:rPr>
              <w:t>6</w:t>
            </w:r>
          </w:p>
        </w:tc>
        <w:tc>
          <w:tcPr>
            <w:tcW w:w="1985" w:type="dxa"/>
            <w:vAlign w:val="center"/>
          </w:tcPr>
          <w:p w14:paraId="3C2440F4">
            <w:pPr>
              <w:rPr>
                <w:color w:val="auto"/>
                <w:highlight w:val="none"/>
              </w:rPr>
            </w:pPr>
            <w:r>
              <w:rPr>
                <w:rFonts w:hint="eastAsia" w:cs="宋体"/>
                <w:color w:val="auto"/>
                <w:highlight w:val="none"/>
              </w:rPr>
              <w:t>承包人履约担保金额</w:t>
            </w:r>
          </w:p>
        </w:tc>
        <w:tc>
          <w:tcPr>
            <w:tcW w:w="2126" w:type="dxa"/>
            <w:tcMar>
              <w:left w:w="170" w:type="dxa"/>
            </w:tcMar>
            <w:vAlign w:val="center"/>
          </w:tcPr>
          <w:p w14:paraId="6ADB7639">
            <w:pPr>
              <w:jc w:val="center"/>
              <w:rPr>
                <w:color w:val="auto"/>
                <w:highlight w:val="none"/>
              </w:rPr>
            </w:pPr>
            <w:r>
              <w:rPr>
                <w:rFonts w:hint="eastAsia" w:cs="宋体"/>
                <w:color w:val="auto"/>
                <w:highlight w:val="none"/>
              </w:rPr>
              <w:t>专用条款</w:t>
            </w:r>
          </w:p>
        </w:tc>
        <w:tc>
          <w:tcPr>
            <w:tcW w:w="1984" w:type="dxa"/>
            <w:vAlign w:val="center"/>
          </w:tcPr>
          <w:p w14:paraId="6281DBA8">
            <w:pPr>
              <w:jc w:val="center"/>
              <w:rPr>
                <w:color w:val="auto"/>
                <w:highlight w:val="none"/>
              </w:rPr>
            </w:pPr>
          </w:p>
        </w:tc>
        <w:tc>
          <w:tcPr>
            <w:tcW w:w="1843" w:type="dxa"/>
            <w:vAlign w:val="center"/>
          </w:tcPr>
          <w:p w14:paraId="17FD0AC3">
            <w:pPr>
              <w:jc w:val="center"/>
              <w:rPr>
                <w:color w:val="auto"/>
                <w:highlight w:val="none"/>
              </w:rPr>
            </w:pPr>
          </w:p>
        </w:tc>
      </w:tr>
      <w:tr w14:paraId="232F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689B31">
            <w:pPr>
              <w:jc w:val="center"/>
              <w:rPr>
                <w:color w:val="auto"/>
                <w:highlight w:val="none"/>
              </w:rPr>
            </w:pPr>
            <w:r>
              <w:rPr>
                <w:color w:val="auto"/>
                <w:highlight w:val="none"/>
              </w:rPr>
              <w:t>7</w:t>
            </w:r>
          </w:p>
        </w:tc>
        <w:tc>
          <w:tcPr>
            <w:tcW w:w="1985" w:type="dxa"/>
            <w:vAlign w:val="center"/>
          </w:tcPr>
          <w:p w14:paraId="38875108">
            <w:pPr>
              <w:rPr>
                <w:color w:val="auto"/>
                <w:highlight w:val="none"/>
              </w:rPr>
            </w:pPr>
            <w:r>
              <w:rPr>
                <w:rFonts w:hint="eastAsia" w:cs="宋体"/>
                <w:color w:val="auto"/>
                <w:highlight w:val="none"/>
              </w:rPr>
              <w:t>分包</w:t>
            </w:r>
          </w:p>
        </w:tc>
        <w:tc>
          <w:tcPr>
            <w:tcW w:w="2126" w:type="dxa"/>
            <w:tcMar>
              <w:left w:w="170" w:type="dxa"/>
            </w:tcMar>
            <w:vAlign w:val="center"/>
          </w:tcPr>
          <w:p w14:paraId="68A6E633">
            <w:pPr>
              <w:jc w:val="center"/>
              <w:rPr>
                <w:color w:val="auto"/>
                <w:highlight w:val="none"/>
              </w:rPr>
            </w:pPr>
            <w:r>
              <w:rPr>
                <w:rFonts w:hint="eastAsia" w:cs="宋体"/>
                <w:color w:val="auto"/>
                <w:highlight w:val="none"/>
              </w:rPr>
              <w:t>专用条款</w:t>
            </w:r>
          </w:p>
        </w:tc>
        <w:tc>
          <w:tcPr>
            <w:tcW w:w="1984" w:type="dxa"/>
            <w:vAlign w:val="center"/>
          </w:tcPr>
          <w:p w14:paraId="5A819A91">
            <w:pPr>
              <w:jc w:val="center"/>
              <w:rPr>
                <w:color w:val="auto"/>
                <w:highlight w:val="none"/>
              </w:rPr>
            </w:pPr>
            <w:r>
              <w:rPr>
                <w:rFonts w:hint="eastAsia" w:cs="宋体"/>
                <w:color w:val="auto"/>
                <w:highlight w:val="none"/>
              </w:rPr>
              <w:t>见分包项目情况表</w:t>
            </w:r>
          </w:p>
        </w:tc>
        <w:tc>
          <w:tcPr>
            <w:tcW w:w="1843" w:type="dxa"/>
            <w:vAlign w:val="center"/>
          </w:tcPr>
          <w:p w14:paraId="57046694">
            <w:pPr>
              <w:jc w:val="center"/>
              <w:rPr>
                <w:color w:val="auto"/>
                <w:highlight w:val="none"/>
              </w:rPr>
            </w:pPr>
          </w:p>
        </w:tc>
      </w:tr>
      <w:tr w14:paraId="0E63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F09390B">
            <w:pPr>
              <w:jc w:val="center"/>
              <w:rPr>
                <w:color w:val="auto"/>
                <w:highlight w:val="none"/>
              </w:rPr>
            </w:pPr>
            <w:r>
              <w:rPr>
                <w:color w:val="auto"/>
                <w:highlight w:val="none"/>
              </w:rPr>
              <w:t>8</w:t>
            </w:r>
          </w:p>
        </w:tc>
        <w:tc>
          <w:tcPr>
            <w:tcW w:w="1985" w:type="dxa"/>
            <w:vAlign w:val="center"/>
          </w:tcPr>
          <w:p w14:paraId="62727866">
            <w:pPr>
              <w:rPr>
                <w:color w:val="auto"/>
                <w:highlight w:val="none"/>
              </w:rPr>
            </w:pPr>
            <w:r>
              <w:rPr>
                <w:rFonts w:hint="eastAsia" w:cs="宋体"/>
                <w:color w:val="auto"/>
                <w:highlight w:val="none"/>
              </w:rPr>
              <w:t>逾期竣工违约金</w:t>
            </w:r>
          </w:p>
        </w:tc>
        <w:tc>
          <w:tcPr>
            <w:tcW w:w="2126" w:type="dxa"/>
            <w:tcMar>
              <w:left w:w="170" w:type="dxa"/>
            </w:tcMar>
            <w:vAlign w:val="center"/>
          </w:tcPr>
          <w:p w14:paraId="28FC0B82">
            <w:pPr>
              <w:jc w:val="center"/>
              <w:rPr>
                <w:color w:val="auto"/>
                <w:highlight w:val="none"/>
              </w:rPr>
            </w:pPr>
            <w:r>
              <w:rPr>
                <w:rFonts w:hint="eastAsia" w:cs="宋体"/>
                <w:color w:val="auto"/>
                <w:highlight w:val="none"/>
              </w:rPr>
              <w:t>专用条款</w:t>
            </w:r>
          </w:p>
        </w:tc>
        <w:tc>
          <w:tcPr>
            <w:tcW w:w="1984" w:type="dxa"/>
            <w:vAlign w:val="center"/>
          </w:tcPr>
          <w:p w14:paraId="69629B14">
            <w:pPr>
              <w:rPr>
                <w:color w:val="auto"/>
                <w:highlight w:val="none"/>
              </w:rPr>
            </w:pPr>
          </w:p>
        </w:tc>
        <w:tc>
          <w:tcPr>
            <w:tcW w:w="1843" w:type="dxa"/>
            <w:vAlign w:val="center"/>
          </w:tcPr>
          <w:p w14:paraId="54170515">
            <w:pPr>
              <w:jc w:val="center"/>
              <w:rPr>
                <w:color w:val="auto"/>
                <w:highlight w:val="none"/>
              </w:rPr>
            </w:pPr>
          </w:p>
        </w:tc>
      </w:tr>
      <w:tr w14:paraId="3A58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08D533D">
            <w:pPr>
              <w:jc w:val="center"/>
              <w:rPr>
                <w:color w:val="auto"/>
                <w:highlight w:val="none"/>
              </w:rPr>
            </w:pPr>
            <w:r>
              <w:rPr>
                <w:color w:val="auto"/>
                <w:highlight w:val="none"/>
              </w:rPr>
              <w:t>9</w:t>
            </w:r>
          </w:p>
        </w:tc>
        <w:tc>
          <w:tcPr>
            <w:tcW w:w="1985" w:type="dxa"/>
            <w:vAlign w:val="center"/>
          </w:tcPr>
          <w:p w14:paraId="45F929A2">
            <w:pPr>
              <w:rPr>
                <w:color w:val="auto"/>
                <w:highlight w:val="none"/>
              </w:rPr>
            </w:pPr>
            <w:r>
              <w:rPr>
                <w:rFonts w:hint="eastAsia" w:cs="宋体"/>
                <w:color w:val="auto"/>
                <w:highlight w:val="none"/>
              </w:rPr>
              <w:t>逾期竣工违约金最高限额</w:t>
            </w:r>
          </w:p>
        </w:tc>
        <w:tc>
          <w:tcPr>
            <w:tcW w:w="2126" w:type="dxa"/>
            <w:tcMar>
              <w:left w:w="170" w:type="dxa"/>
            </w:tcMar>
            <w:vAlign w:val="center"/>
          </w:tcPr>
          <w:p w14:paraId="5B7CA45E">
            <w:pPr>
              <w:jc w:val="center"/>
              <w:rPr>
                <w:color w:val="auto"/>
                <w:highlight w:val="none"/>
              </w:rPr>
            </w:pPr>
            <w:r>
              <w:rPr>
                <w:rFonts w:hint="eastAsia" w:cs="宋体"/>
                <w:color w:val="auto"/>
                <w:highlight w:val="none"/>
              </w:rPr>
              <w:t>专用条款</w:t>
            </w:r>
          </w:p>
        </w:tc>
        <w:tc>
          <w:tcPr>
            <w:tcW w:w="1984" w:type="dxa"/>
            <w:vAlign w:val="center"/>
          </w:tcPr>
          <w:p w14:paraId="03CE8F50">
            <w:pPr>
              <w:rPr>
                <w:color w:val="auto"/>
                <w:highlight w:val="none"/>
              </w:rPr>
            </w:pPr>
          </w:p>
        </w:tc>
        <w:tc>
          <w:tcPr>
            <w:tcW w:w="1843" w:type="dxa"/>
            <w:vAlign w:val="center"/>
          </w:tcPr>
          <w:p w14:paraId="2E32A4B0">
            <w:pPr>
              <w:jc w:val="center"/>
              <w:rPr>
                <w:color w:val="auto"/>
                <w:highlight w:val="none"/>
              </w:rPr>
            </w:pPr>
          </w:p>
        </w:tc>
      </w:tr>
      <w:tr w14:paraId="0B05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6B0ADAF">
            <w:pPr>
              <w:jc w:val="center"/>
              <w:rPr>
                <w:color w:val="auto"/>
                <w:highlight w:val="none"/>
              </w:rPr>
            </w:pPr>
            <w:r>
              <w:rPr>
                <w:color w:val="auto"/>
                <w:highlight w:val="none"/>
              </w:rPr>
              <w:t>10</w:t>
            </w:r>
          </w:p>
        </w:tc>
        <w:tc>
          <w:tcPr>
            <w:tcW w:w="1985" w:type="dxa"/>
            <w:vAlign w:val="center"/>
          </w:tcPr>
          <w:p w14:paraId="13B9E045">
            <w:pPr>
              <w:rPr>
                <w:color w:val="auto"/>
                <w:highlight w:val="none"/>
              </w:rPr>
            </w:pPr>
            <w:r>
              <w:rPr>
                <w:rFonts w:hint="eastAsia" w:cs="宋体"/>
                <w:color w:val="auto"/>
                <w:highlight w:val="none"/>
              </w:rPr>
              <w:t>质量标准</w:t>
            </w:r>
          </w:p>
        </w:tc>
        <w:tc>
          <w:tcPr>
            <w:tcW w:w="2126" w:type="dxa"/>
            <w:tcMar>
              <w:left w:w="170" w:type="dxa"/>
            </w:tcMar>
            <w:vAlign w:val="center"/>
          </w:tcPr>
          <w:p w14:paraId="0DBC9C42">
            <w:pPr>
              <w:jc w:val="center"/>
              <w:rPr>
                <w:color w:val="auto"/>
                <w:highlight w:val="none"/>
              </w:rPr>
            </w:pPr>
            <w:r>
              <w:rPr>
                <w:rFonts w:hint="eastAsia" w:cs="宋体"/>
                <w:color w:val="auto"/>
                <w:highlight w:val="none"/>
              </w:rPr>
              <w:t>专用条款</w:t>
            </w:r>
          </w:p>
        </w:tc>
        <w:tc>
          <w:tcPr>
            <w:tcW w:w="1984" w:type="dxa"/>
            <w:vAlign w:val="center"/>
          </w:tcPr>
          <w:p w14:paraId="43386E88">
            <w:pPr>
              <w:jc w:val="center"/>
              <w:rPr>
                <w:color w:val="auto"/>
                <w:highlight w:val="none"/>
              </w:rPr>
            </w:pPr>
          </w:p>
        </w:tc>
        <w:tc>
          <w:tcPr>
            <w:tcW w:w="1843" w:type="dxa"/>
            <w:vAlign w:val="center"/>
          </w:tcPr>
          <w:p w14:paraId="258E0EC2">
            <w:pPr>
              <w:jc w:val="center"/>
              <w:rPr>
                <w:color w:val="auto"/>
                <w:highlight w:val="none"/>
              </w:rPr>
            </w:pPr>
          </w:p>
        </w:tc>
      </w:tr>
      <w:tr w14:paraId="26F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27F1EA">
            <w:pPr>
              <w:jc w:val="center"/>
              <w:rPr>
                <w:color w:val="auto"/>
                <w:highlight w:val="none"/>
              </w:rPr>
            </w:pPr>
            <w:r>
              <w:rPr>
                <w:color w:val="auto"/>
                <w:highlight w:val="none"/>
              </w:rPr>
              <w:t>11</w:t>
            </w:r>
          </w:p>
        </w:tc>
        <w:tc>
          <w:tcPr>
            <w:tcW w:w="1985" w:type="dxa"/>
            <w:vAlign w:val="center"/>
          </w:tcPr>
          <w:p w14:paraId="3695692E">
            <w:pPr>
              <w:rPr>
                <w:color w:val="auto"/>
                <w:highlight w:val="none"/>
              </w:rPr>
            </w:pPr>
            <w:r>
              <w:rPr>
                <w:rFonts w:hint="eastAsia" w:cs="宋体"/>
                <w:color w:val="auto"/>
                <w:highlight w:val="none"/>
              </w:rPr>
              <w:t>预付款额度</w:t>
            </w:r>
          </w:p>
        </w:tc>
        <w:tc>
          <w:tcPr>
            <w:tcW w:w="2126" w:type="dxa"/>
            <w:tcMar>
              <w:left w:w="170" w:type="dxa"/>
            </w:tcMar>
            <w:vAlign w:val="center"/>
          </w:tcPr>
          <w:p w14:paraId="088DEB1C">
            <w:pPr>
              <w:jc w:val="center"/>
              <w:rPr>
                <w:color w:val="auto"/>
                <w:highlight w:val="none"/>
              </w:rPr>
            </w:pPr>
            <w:r>
              <w:rPr>
                <w:rFonts w:hint="eastAsia" w:cs="宋体"/>
                <w:color w:val="auto"/>
                <w:highlight w:val="none"/>
              </w:rPr>
              <w:t>专用条款</w:t>
            </w:r>
          </w:p>
        </w:tc>
        <w:tc>
          <w:tcPr>
            <w:tcW w:w="1984" w:type="dxa"/>
            <w:vAlign w:val="center"/>
          </w:tcPr>
          <w:p w14:paraId="78CD1A72">
            <w:pPr>
              <w:jc w:val="center"/>
              <w:rPr>
                <w:color w:val="auto"/>
                <w:highlight w:val="none"/>
              </w:rPr>
            </w:pPr>
          </w:p>
        </w:tc>
        <w:tc>
          <w:tcPr>
            <w:tcW w:w="1843" w:type="dxa"/>
            <w:vAlign w:val="center"/>
          </w:tcPr>
          <w:p w14:paraId="452ABA09">
            <w:pPr>
              <w:jc w:val="center"/>
              <w:rPr>
                <w:color w:val="auto"/>
                <w:highlight w:val="none"/>
              </w:rPr>
            </w:pPr>
          </w:p>
        </w:tc>
      </w:tr>
      <w:tr w14:paraId="4B5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DFC86DB">
            <w:pPr>
              <w:jc w:val="center"/>
              <w:rPr>
                <w:color w:val="auto"/>
                <w:highlight w:val="none"/>
              </w:rPr>
            </w:pPr>
            <w:r>
              <w:rPr>
                <w:color w:val="auto"/>
                <w:highlight w:val="none"/>
              </w:rPr>
              <w:t>12</w:t>
            </w:r>
          </w:p>
        </w:tc>
        <w:tc>
          <w:tcPr>
            <w:tcW w:w="1985" w:type="dxa"/>
            <w:vAlign w:val="center"/>
          </w:tcPr>
          <w:p w14:paraId="22B7B967">
            <w:pPr>
              <w:rPr>
                <w:color w:val="auto"/>
                <w:highlight w:val="none"/>
              </w:rPr>
            </w:pPr>
            <w:r>
              <w:rPr>
                <w:rFonts w:hint="eastAsia" w:cs="宋体"/>
                <w:color w:val="auto"/>
                <w:highlight w:val="none"/>
              </w:rPr>
              <w:t>预付款保函金额</w:t>
            </w:r>
          </w:p>
        </w:tc>
        <w:tc>
          <w:tcPr>
            <w:tcW w:w="2126" w:type="dxa"/>
            <w:tcMar>
              <w:left w:w="170" w:type="dxa"/>
            </w:tcMar>
            <w:vAlign w:val="center"/>
          </w:tcPr>
          <w:p w14:paraId="79EAF51B">
            <w:pPr>
              <w:jc w:val="center"/>
              <w:rPr>
                <w:color w:val="auto"/>
                <w:highlight w:val="none"/>
              </w:rPr>
            </w:pPr>
            <w:r>
              <w:rPr>
                <w:rFonts w:hint="eastAsia" w:cs="宋体"/>
                <w:color w:val="auto"/>
                <w:highlight w:val="none"/>
              </w:rPr>
              <w:t>专用条款</w:t>
            </w:r>
          </w:p>
        </w:tc>
        <w:tc>
          <w:tcPr>
            <w:tcW w:w="1984" w:type="dxa"/>
            <w:vAlign w:val="center"/>
          </w:tcPr>
          <w:p w14:paraId="03F0C744">
            <w:pPr>
              <w:jc w:val="center"/>
              <w:rPr>
                <w:color w:val="auto"/>
                <w:highlight w:val="none"/>
              </w:rPr>
            </w:pPr>
          </w:p>
        </w:tc>
        <w:tc>
          <w:tcPr>
            <w:tcW w:w="1843" w:type="dxa"/>
            <w:vAlign w:val="center"/>
          </w:tcPr>
          <w:p w14:paraId="1A25F39D">
            <w:pPr>
              <w:jc w:val="center"/>
              <w:rPr>
                <w:color w:val="auto"/>
                <w:highlight w:val="none"/>
              </w:rPr>
            </w:pPr>
          </w:p>
        </w:tc>
      </w:tr>
      <w:tr w14:paraId="38AC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F58ABB2">
            <w:pPr>
              <w:jc w:val="center"/>
              <w:rPr>
                <w:color w:val="auto"/>
                <w:highlight w:val="none"/>
              </w:rPr>
            </w:pPr>
            <w:r>
              <w:rPr>
                <w:color w:val="auto"/>
                <w:highlight w:val="none"/>
              </w:rPr>
              <w:t>13</w:t>
            </w:r>
          </w:p>
        </w:tc>
        <w:tc>
          <w:tcPr>
            <w:tcW w:w="1985" w:type="dxa"/>
            <w:vAlign w:val="center"/>
          </w:tcPr>
          <w:p w14:paraId="69E9D628">
            <w:pPr>
              <w:rPr>
                <w:color w:val="auto"/>
                <w:highlight w:val="none"/>
              </w:rPr>
            </w:pPr>
            <w:r>
              <w:rPr>
                <w:rFonts w:hint="eastAsia" w:cs="宋体"/>
                <w:color w:val="auto"/>
                <w:highlight w:val="none"/>
              </w:rPr>
              <w:t>质量保证金额度</w:t>
            </w:r>
          </w:p>
        </w:tc>
        <w:tc>
          <w:tcPr>
            <w:tcW w:w="2126" w:type="dxa"/>
            <w:tcMar>
              <w:left w:w="170" w:type="dxa"/>
            </w:tcMar>
            <w:vAlign w:val="center"/>
          </w:tcPr>
          <w:p w14:paraId="5A30056F">
            <w:pPr>
              <w:jc w:val="center"/>
              <w:rPr>
                <w:color w:val="auto"/>
                <w:highlight w:val="none"/>
              </w:rPr>
            </w:pPr>
            <w:r>
              <w:rPr>
                <w:rFonts w:hint="eastAsia" w:cs="宋体"/>
                <w:color w:val="auto"/>
                <w:highlight w:val="none"/>
              </w:rPr>
              <w:t>专用条款</w:t>
            </w:r>
          </w:p>
        </w:tc>
        <w:tc>
          <w:tcPr>
            <w:tcW w:w="1984" w:type="dxa"/>
            <w:vAlign w:val="center"/>
          </w:tcPr>
          <w:p w14:paraId="4E302E06">
            <w:pPr>
              <w:jc w:val="center"/>
              <w:rPr>
                <w:color w:val="auto"/>
                <w:highlight w:val="none"/>
              </w:rPr>
            </w:pPr>
          </w:p>
        </w:tc>
        <w:tc>
          <w:tcPr>
            <w:tcW w:w="1843" w:type="dxa"/>
            <w:vAlign w:val="center"/>
          </w:tcPr>
          <w:p w14:paraId="415C0C73">
            <w:pPr>
              <w:jc w:val="center"/>
              <w:rPr>
                <w:color w:val="auto"/>
                <w:highlight w:val="none"/>
              </w:rPr>
            </w:pPr>
          </w:p>
        </w:tc>
      </w:tr>
      <w:tr w14:paraId="1D33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03A66E">
            <w:pPr>
              <w:jc w:val="center"/>
              <w:rPr>
                <w:color w:val="auto"/>
                <w:highlight w:val="none"/>
              </w:rPr>
            </w:pPr>
            <w:r>
              <w:rPr>
                <w:color w:val="auto"/>
                <w:highlight w:val="none"/>
              </w:rPr>
              <w:t>……</w:t>
            </w:r>
          </w:p>
        </w:tc>
        <w:tc>
          <w:tcPr>
            <w:tcW w:w="1985" w:type="dxa"/>
            <w:vAlign w:val="center"/>
          </w:tcPr>
          <w:p w14:paraId="17878BB8">
            <w:pPr>
              <w:jc w:val="center"/>
              <w:rPr>
                <w:color w:val="auto"/>
                <w:highlight w:val="none"/>
              </w:rPr>
            </w:pPr>
            <w:r>
              <w:rPr>
                <w:color w:val="auto"/>
                <w:highlight w:val="none"/>
              </w:rPr>
              <w:t>……</w:t>
            </w:r>
          </w:p>
        </w:tc>
        <w:tc>
          <w:tcPr>
            <w:tcW w:w="2126" w:type="dxa"/>
            <w:tcMar>
              <w:left w:w="170" w:type="dxa"/>
            </w:tcMar>
            <w:vAlign w:val="center"/>
          </w:tcPr>
          <w:p w14:paraId="0FBF8E96">
            <w:pPr>
              <w:rPr>
                <w:color w:val="auto"/>
                <w:highlight w:val="none"/>
              </w:rPr>
            </w:pPr>
          </w:p>
        </w:tc>
        <w:tc>
          <w:tcPr>
            <w:tcW w:w="1984" w:type="dxa"/>
            <w:vAlign w:val="center"/>
          </w:tcPr>
          <w:p w14:paraId="5C6D40FB">
            <w:pPr>
              <w:jc w:val="center"/>
              <w:rPr>
                <w:color w:val="auto"/>
                <w:highlight w:val="none"/>
              </w:rPr>
            </w:pPr>
          </w:p>
        </w:tc>
        <w:tc>
          <w:tcPr>
            <w:tcW w:w="1843" w:type="dxa"/>
            <w:vAlign w:val="center"/>
          </w:tcPr>
          <w:p w14:paraId="6F573353">
            <w:pPr>
              <w:jc w:val="center"/>
              <w:rPr>
                <w:color w:val="auto"/>
                <w:highlight w:val="none"/>
              </w:rPr>
            </w:pPr>
          </w:p>
        </w:tc>
      </w:tr>
      <w:tr w14:paraId="6F83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C524A02">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6AD294D2">
      <w:pPr>
        <w:spacing w:line="360" w:lineRule="auto"/>
        <w:ind w:right="-817" w:rightChars="-389" w:firstLine="2640" w:firstLineChars="1100"/>
        <w:contextualSpacing/>
        <w:rPr>
          <w:rFonts w:ascii="宋体" w:hAnsi="宋体" w:cs="仿宋_GB2312"/>
          <w:color w:val="auto"/>
          <w:sz w:val="24"/>
          <w:highlight w:val="none"/>
        </w:rPr>
      </w:pPr>
    </w:p>
    <w:p w14:paraId="6D317F05">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B26C739">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49112B">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ED7B60F">
      <w:pPr>
        <w:spacing w:line="360" w:lineRule="auto"/>
        <w:jc w:val="center"/>
        <w:rPr>
          <w:rFonts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0334E01F">
      <w:pPr>
        <w:spacing w:line="440" w:lineRule="exact"/>
        <w:jc w:val="center"/>
        <w:rPr>
          <w:rFonts w:ascii="方正小标宋简体" w:hAnsi="方正小标宋简体" w:eastAsia="方正小标宋简体" w:cs="方正小标宋简体"/>
          <w:bCs/>
          <w:color w:val="auto"/>
          <w:sz w:val="32"/>
          <w:szCs w:val="32"/>
          <w:highlight w:val="none"/>
        </w:rPr>
      </w:pPr>
    </w:p>
    <w:p w14:paraId="6B8E2AF3">
      <w:pPr>
        <w:spacing w:line="360" w:lineRule="auto"/>
        <w:ind w:firstLine="720" w:firstLineChars="300"/>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0F9B517">
      <w:pPr>
        <w:spacing w:line="360" w:lineRule="auto"/>
        <w:ind w:firstLine="720" w:firstLineChars="30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2B24BE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6"/>
        <w:gridCol w:w="1878"/>
        <w:gridCol w:w="3918"/>
      </w:tblGrid>
      <w:tr w14:paraId="6E8A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33B5A523">
            <w:pPr>
              <w:spacing w:line="460" w:lineRule="exact"/>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56" w:type="dxa"/>
            <w:tcBorders>
              <w:top w:val="single" w:color="auto" w:sz="4" w:space="0"/>
              <w:left w:val="single" w:color="auto" w:sz="4" w:space="0"/>
              <w:bottom w:val="single" w:color="auto" w:sz="4" w:space="0"/>
              <w:right w:val="single" w:color="auto" w:sz="4" w:space="0"/>
            </w:tcBorders>
            <w:vAlign w:val="center"/>
          </w:tcPr>
          <w:p w14:paraId="257EEAC7">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878" w:type="dxa"/>
            <w:tcBorders>
              <w:top w:val="single" w:color="auto" w:sz="4" w:space="0"/>
              <w:left w:val="single" w:color="auto" w:sz="4" w:space="0"/>
              <w:bottom w:val="single" w:color="auto" w:sz="4" w:space="0"/>
              <w:right w:val="single" w:color="auto" w:sz="4" w:space="0"/>
            </w:tcBorders>
            <w:vAlign w:val="center"/>
          </w:tcPr>
          <w:p w14:paraId="495427FE">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918" w:type="dxa"/>
            <w:tcBorders>
              <w:top w:val="single" w:color="auto" w:sz="4" w:space="0"/>
              <w:left w:val="single" w:color="auto" w:sz="4" w:space="0"/>
              <w:bottom w:val="single" w:color="auto" w:sz="4" w:space="0"/>
              <w:right w:val="single" w:color="auto" w:sz="4" w:space="0"/>
            </w:tcBorders>
            <w:vAlign w:val="center"/>
          </w:tcPr>
          <w:p w14:paraId="499736D8">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磋商报价（即工程总造价）</w:t>
            </w:r>
          </w:p>
        </w:tc>
      </w:tr>
      <w:tr w14:paraId="5DF4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412623F0">
            <w:pPr>
              <w:spacing w:line="460" w:lineRule="exact"/>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4004BE77">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桂林航天工业学院新校区扩建项目星辰广场工程</w:t>
            </w:r>
          </w:p>
        </w:tc>
        <w:tc>
          <w:tcPr>
            <w:tcW w:w="1878" w:type="dxa"/>
            <w:tcBorders>
              <w:top w:val="single" w:color="auto" w:sz="4" w:space="0"/>
              <w:left w:val="single" w:color="auto" w:sz="4" w:space="0"/>
              <w:bottom w:val="single" w:color="auto" w:sz="4" w:space="0"/>
              <w:right w:val="single" w:color="auto" w:sz="4" w:space="0"/>
            </w:tcBorders>
            <w:vAlign w:val="center"/>
          </w:tcPr>
          <w:p w14:paraId="6CBC2FBD">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918" w:type="dxa"/>
            <w:tcBorders>
              <w:top w:val="single" w:color="auto" w:sz="4" w:space="0"/>
              <w:left w:val="single" w:color="auto" w:sz="4" w:space="0"/>
              <w:bottom w:val="single" w:color="auto" w:sz="4" w:space="0"/>
              <w:right w:val="single" w:color="auto" w:sz="4" w:space="0"/>
            </w:tcBorders>
            <w:vAlign w:val="center"/>
          </w:tcPr>
          <w:p w14:paraId="33F6E953">
            <w:pPr>
              <w:spacing w:line="460" w:lineRule="exact"/>
              <w:ind w:left="480" w:right="680" w:rightChars="324" w:hanging="480" w:hanging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大写：</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r>
              <w:rPr>
                <w:rFonts w:hint="eastAsia" w:ascii="方正粗黑宋简体" w:hAnsi="方正粗黑宋简体" w:eastAsia="方正粗黑宋简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3BF1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4"/>
            <w:tcBorders>
              <w:top w:val="single" w:color="auto" w:sz="4" w:space="0"/>
              <w:left w:val="single" w:color="auto" w:sz="4" w:space="0"/>
              <w:bottom w:val="single" w:color="auto" w:sz="4" w:space="0"/>
              <w:right w:val="single" w:color="auto" w:sz="4" w:space="0"/>
            </w:tcBorders>
            <w:vAlign w:val="center"/>
          </w:tcPr>
          <w:p w14:paraId="2A98396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承诺工期：</w:t>
            </w:r>
            <w:r>
              <w:rPr>
                <w:rFonts w:hint="eastAsia" w:ascii="宋体" w:hAnsi="宋体" w:cs="仿宋_GB2312"/>
                <w:color w:val="auto"/>
                <w:sz w:val="24"/>
                <w:highlight w:val="none"/>
                <w:u w:val="single"/>
              </w:rPr>
              <w:t xml:space="preserve">                        </w:t>
            </w:r>
          </w:p>
          <w:p w14:paraId="7D740B1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承诺质量等级：</w:t>
            </w:r>
            <w:r>
              <w:rPr>
                <w:rFonts w:hint="eastAsia" w:ascii="宋体" w:hAnsi="宋体" w:cs="仿宋_GB2312"/>
                <w:color w:val="auto"/>
                <w:sz w:val="24"/>
                <w:highlight w:val="none"/>
                <w:u w:val="single"/>
              </w:rPr>
              <w:t xml:space="preserve">                     </w:t>
            </w:r>
          </w:p>
        </w:tc>
      </w:tr>
    </w:tbl>
    <w:p w14:paraId="310C8612">
      <w:pPr>
        <w:spacing w:line="360" w:lineRule="auto"/>
        <w:contextualSpacing/>
        <w:jc w:val="left"/>
        <w:rPr>
          <w:rFonts w:ascii="宋体" w:hAnsi="宋体" w:cs="仿宋_GB2312"/>
          <w:color w:val="auto"/>
          <w:sz w:val="24"/>
          <w:highlight w:val="none"/>
        </w:rPr>
      </w:pPr>
    </w:p>
    <w:p w14:paraId="542B13C0">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5DD9BE4">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1E48BA8">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5670D53">
      <w:pPr>
        <w:spacing w:line="360" w:lineRule="auto"/>
        <w:ind w:firstLine="480" w:firstLineChars="200"/>
        <w:contextualSpacing/>
        <w:jc w:val="left"/>
        <w:rPr>
          <w:rFonts w:ascii="宋体" w:hAnsi="宋体" w:cs="仿宋_GB2312"/>
          <w:color w:val="auto"/>
          <w:sz w:val="24"/>
          <w:highlight w:val="none"/>
        </w:rPr>
      </w:pPr>
    </w:p>
    <w:p w14:paraId="0C65B6AA">
      <w:pPr>
        <w:spacing w:line="360" w:lineRule="auto"/>
        <w:ind w:right="-817" w:rightChars="-389"/>
        <w:contextualSpacing/>
        <w:rPr>
          <w:rFonts w:ascii="宋体" w:hAnsi="宋体" w:cs="仿宋_GB2312"/>
          <w:color w:val="auto"/>
          <w:sz w:val="24"/>
          <w:highlight w:val="none"/>
        </w:rPr>
      </w:pPr>
    </w:p>
    <w:p w14:paraId="5336D6E0">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4434E5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3169103">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0D52F56">
      <w:pPr>
        <w:spacing w:line="360" w:lineRule="auto"/>
        <w:contextualSpacing/>
        <w:jc w:val="center"/>
        <w:rPr>
          <w:rFonts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0B9A450F">
      <w:pPr>
        <w:spacing w:line="560" w:lineRule="exact"/>
        <w:ind w:firstLine="420" w:firstLineChars="200"/>
        <w:rPr>
          <w:color w:val="auto"/>
          <w:highlight w:val="none"/>
        </w:rPr>
      </w:pPr>
      <w:r>
        <w:rPr>
          <w:color w:val="auto"/>
          <w:highlight w:val="none"/>
        </w:rPr>
        <w:t xml:space="preserve">1. </w:t>
      </w:r>
      <w:r>
        <w:rPr>
          <w:rFonts w:hint="eastAsia" w:cs="宋体"/>
          <w:color w:val="auto"/>
          <w:highlight w:val="none"/>
        </w:rPr>
        <w:t>已标价工程量清单应按第五章</w:t>
      </w:r>
      <w:r>
        <w:rPr>
          <w:rFonts w:hint="eastAsia"/>
          <w:color w:val="auto"/>
          <w:highlight w:val="none"/>
        </w:rPr>
        <w:t>“工程量清单及图纸”</w:t>
      </w:r>
      <w:r>
        <w:rPr>
          <w:rFonts w:hint="eastAsia" w:cs="宋体"/>
          <w:color w:val="auto"/>
          <w:highlight w:val="none"/>
        </w:rPr>
        <w:t>中的相关表格及竞标报价说明填写。构成合同文件的已标价工程量清单包括第五章</w:t>
      </w:r>
      <w:r>
        <w:rPr>
          <w:rFonts w:hint="eastAsia"/>
          <w:color w:val="auto"/>
          <w:highlight w:val="none"/>
        </w:rPr>
        <w:t>“工程量清单及图纸”</w:t>
      </w:r>
      <w:r>
        <w:rPr>
          <w:rFonts w:hint="eastAsia" w:cs="宋体"/>
          <w:color w:val="auto"/>
          <w:highlight w:val="none"/>
        </w:rPr>
        <w:t>有关工程量清单、竞标报价以及其他说明的内容。</w:t>
      </w:r>
    </w:p>
    <w:p w14:paraId="5F1D4370">
      <w:pPr>
        <w:tabs>
          <w:tab w:val="left" w:pos="7980"/>
        </w:tabs>
        <w:spacing w:line="560" w:lineRule="exact"/>
        <w:ind w:firstLine="420" w:firstLineChars="200"/>
        <w:rPr>
          <w:rFonts w:ascii="宋体" w:hAnsi="宋体" w:cs="宋体"/>
          <w:color w:val="auto"/>
          <w:highlight w:val="none"/>
        </w:rPr>
      </w:pPr>
      <w:r>
        <w:rPr>
          <w:rFonts w:hint="eastAsia" w:ascii="宋体" w:hAnsi="宋体" w:cs="宋体"/>
          <w:color w:val="auto"/>
          <w:highlight w:val="none"/>
        </w:rPr>
        <w:t>2. 一般计税法建设工程已标价工程量清单表格按</w:t>
      </w:r>
      <w:r>
        <w:rPr>
          <w:rFonts w:hint="eastAsia" w:ascii="宋体"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附件“增值税一般计税方法工程计价表”要求提供，简易计税法表格按《&lt;建设工程工程量清单计价规范&gt;（GB50500-2013）广西壮族自治区实施细则》要求的表格提供，但规费和税费按照</w:t>
      </w:r>
      <w:r>
        <w:rPr>
          <w:rFonts w:hint="eastAsia" w:ascii="宋体" w:hAnsi="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调整，具体内容包括：</w:t>
      </w:r>
    </w:p>
    <w:p w14:paraId="08631A55">
      <w:pPr>
        <w:spacing w:line="560" w:lineRule="exact"/>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6390F72F">
      <w:pPr>
        <w:spacing w:line="560" w:lineRule="exact"/>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3F666F4D">
      <w:pPr>
        <w:spacing w:line="560" w:lineRule="exact"/>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3B9ABE11">
      <w:pPr>
        <w:spacing w:line="560" w:lineRule="exact"/>
        <w:ind w:firstLine="630" w:firstLineChars="300"/>
        <w:rPr>
          <w:color w:val="auto"/>
          <w:highlight w:val="none"/>
        </w:rPr>
      </w:pPr>
      <w:r>
        <w:rPr>
          <w:color w:val="auto"/>
          <w:highlight w:val="none"/>
        </w:rPr>
        <w:t xml:space="preserve">1.4 </w:t>
      </w:r>
      <w:r>
        <w:rPr>
          <w:rFonts w:hint="eastAsia" w:cs="宋体"/>
          <w:color w:val="auto"/>
          <w:highlight w:val="none"/>
        </w:rPr>
        <w:t>建设项目建筑安装工程费汇总表（表</w:t>
      </w:r>
      <w:r>
        <w:rPr>
          <w:color w:val="auto"/>
          <w:highlight w:val="none"/>
        </w:rPr>
        <w:t>-02</w:t>
      </w:r>
      <w:r>
        <w:rPr>
          <w:rFonts w:hint="eastAsia" w:cs="宋体"/>
          <w:color w:val="auto"/>
          <w:highlight w:val="none"/>
        </w:rPr>
        <w:t>）</w:t>
      </w:r>
    </w:p>
    <w:p w14:paraId="735FA53B">
      <w:pPr>
        <w:spacing w:line="560" w:lineRule="exact"/>
        <w:ind w:firstLine="630" w:firstLineChars="300"/>
        <w:rPr>
          <w:color w:val="auto"/>
          <w:highlight w:val="none"/>
        </w:rPr>
      </w:pPr>
      <w:r>
        <w:rPr>
          <w:color w:val="auto"/>
          <w:highlight w:val="none"/>
        </w:rPr>
        <w:t xml:space="preserve">1.5 </w:t>
      </w:r>
      <w:r>
        <w:rPr>
          <w:rFonts w:hint="eastAsia" w:cs="宋体"/>
          <w:color w:val="auto"/>
          <w:highlight w:val="none"/>
        </w:rPr>
        <w:t>单项工程建筑安装工程费汇总表（表</w:t>
      </w:r>
      <w:r>
        <w:rPr>
          <w:color w:val="auto"/>
          <w:highlight w:val="none"/>
        </w:rPr>
        <w:t>-03</w:t>
      </w:r>
      <w:r>
        <w:rPr>
          <w:rFonts w:hint="eastAsia" w:cs="宋体"/>
          <w:color w:val="auto"/>
          <w:highlight w:val="none"/>
        </w:rPr>
        <w:t>）</w:t>
      </w:r>
    </w:p>
    <w:p w14:paraId="5AC832E4">
      <w:pPr>
        <w:spacing w:line="560" w:lineRule="exact"/>
        <w:ind w:firstLine="630" w:firstLineChars="300"/>
        <w:rPr>
          <w:color w:val="auto"/>
          <w:highlight w:val="none"/>
        </w:rPr>
      </w:pPr>
      <w:r>
        <w:rPr>
          <w:color w:val="auto"/>
          <w:highlight w:val="none"/>
        </w:rPr>
        <w:t xml:space="preserve">1.6 </w:t>
      </w:r>
      <w:r>
        <w:rPr>
          <w:rFonts w:hint="eastAsia" w:cs="宋体"/>
          <w:color w:val="auto"/>
          <w:highlight w:val="none"/>
        </w:rPr>
        <w:t>单位工程建筑安装工程费汇总表（表</w:t>
      </w:r>
      <w:r>
        <w:rPr>
          <w:color w:val="auto"/>
          <w:highlight w:val="none"/>
        </w:rPr>
        <w:t>-04</w:t>
      </w:r>
      <w:r>
        <w:rPr>
          <w:rFonts w:hint="eastAsia" w:cs="宋体"/>
          <w:color w:val="auto"/>
          <w:highlight w:val="none"/>
        </w:rPr>
        <w:t>）</w:t>
      </w:r>
    </w:p>
    <w:p w14:paraId="1DD9045E">
      <w:pPr>
        <w:spacing w:line="560" w:lineRule="exact"/>
        <w:ind w:firstLine="630" w:firstLineChars="300"/>
        <w:rPr>
          <w:color w:val="auto"/>
          <w:highlight w:val="none"/>
        </w:rPr>
      </w:pPr>
      <w:r>
        <w:rPr>
          <w:color w:val="auto"/>
          <w:highlight w:val="none"/>
        </w:rPr>
        <w:t xml:space="preserve">1.7 </w:t>
      </w:r>
      <w:r>
        <w:rPr>
          <w:rFonts w:hint="eastAsia" w:cs="宋体"/>
          <w:color w:val="auto"/>
          <w:highlight w:val="none"/>
        </w:rPr>
        <w:t>分部分项工程和单价措施项目费用表（表</w:t>
      </w:r>
      <w:r>
        <w:rPr>
          <w:color w:val="auto"/>
          <w:highlight w:val="none"/>
        </w:rPr>
        <w:t>-08</w:t>
      </w:r>
      <w:r>
        <w:rPr>
          <w:rFonts w:hint="eastAsia" w:cs="宋体"/>
          <w:color w:val="auto"/>
          <w:highlight w:val="none"/>
        </w:rPr>
        <w:t>）</w:t>
      </w:r>
    </w:p>
    <w:p w14:paraId="246A21F2">
      <w:pPr>
        <w:spacing w:line="560" w:lineRule="exact"/>
        <w:ind w:firstLine="630" w:firstLineChars="300"/>
        <w:rPr>
          <w:color w:val="auto"/>
          <w:highlight w:val="none"/>
        </w:rPr>
      </w:pPr>
      <w:r>
        <w:rPr>
          <w:color w:val="auto"/>
          <w:highlight w:val="none"/>
        </w:rPr>
        <w:t xml:space="preserve">1.8 </w:t>
      </w:r>
      <w:r>
        <w:rPr>
          <w:rFonts w:hint="eastAsia" w:cs="宋体"/>
          <w:color w:val="auto"/>
          <w:highlight w:val="none"/>
        </w:rPr>
        <w:t>综合单价分析表（表</w:t>
      </w:r>
      <w:r>
        <w:rPr>
          <w:color w:val="auto"/>
          <w:highlight w:val="none"/>
        </w:rPr>
        <w:t>-09</w:t>
      </w:r>
      <w:r>
        <w:rPr>
          <w:rFonts w:hint="eastAsia" w:cs="宋体"/>
          <w:color w:val="auto"/>
          <w:highlight w:val="none"/>
        </w:rPr>
        <w:t>）</w:t>
      </w:r>
    </w:p>
    <w:p w14:paraId="6A1A03F2">
      <w:pPr>
        <w:spacing w:line="560" w:lineRule="exact"/>
        <w:ind w:firstLine="630" w:firstLineChars="300"/>
        <w:rPr>
          <w:rFonts w:cs="宋体"/>
          <w:color w:val="auto"/>
          <w:highlight w:val="none"/>
        </w:rPr>
      </w:pPr>
      <w:r>
        <w:rPr>
          <w:color w:val="auto"/>
          <w:highlight w:val="none"/>
        </w:rPr>
        <w:t xml:space="preserve">1.9 </w:t>
      </w:r>
      <w:r>
        <w:rPr>
          <w:rFonts w:hint="eastAsia" w:cs="宋体"/>
          <w:color w:val="auto"/>
          <w:highlight w:val="none"/>
        </w:rPr>
        <w:t>总价措施项目费用表（表</w:t>
      </w:r>
      <w:r>
        <w:rPr>
          <w:color w:val="auto"/>
          <w:highlight w:val="none"/>
        </w:rPr>
        <w:t>-</w:t>
      </w:r>
      <w:r>
        <w:rPr>
          <w:rFonts w:hint="eastAsia"/>
          <w:color w:val="auto"/>
          <w:highlight w:val="none"/>
        </w:rPr>
        <w:t>10</w:t>
      </w:r>
      <w:r>
        <w:rPr>
          <w:rFonts w:hint="eastAsia" w:cs="宋体"/>
          <w:color w:val="auto"/>
          <w:highlight w:val="none"/>
        </w:rPr>
        <w:t>）</w:t>
      </w:r>
    </w:p>
    <w:p w14:paraId="5251FCB7">
      <w:pPr>
        <w:spacing w:line="560" w:lineRule="exact"/>
        <w:ind w:firstLine="630" w:firstLineChars="300"/>
        <w:rPr>
          <w:rFonts w:hint="eastAsia" w:cs="宋体"/>
          <w:color w:val="auto"/>
          <w:highlight w:val="none"/>
        </w:rPr>
      </w:pPr>
      <w:r>
        <w:rPr>
          <w:color w:val="auto"/>
          <w:highlight w:val="none"/>
        </w:rPr>
        <w:t xml:space="preserve">1.10 </w:t>
      </w:r>
      <w:r>
        <w:rPr>
          <w:rFonts w:hint="eastAsia" w:cs="宋体"/>
          <w:color w:val="auto"/>
          <w:highlight w:val="none"/>
        </w:rPr>
        <w:t>其他项目费用汇总表（表</w:t>
      </w:r>
      <w:r>
        <w:rPr>
          <w:color w:val="auto"/>
          <w:highlight w:val="none"/>
        </w:rPr>
        <w:t>-11</w:t>
      </w:r>
      <w:r>
        <w:rPr>
          <w:rFonts w:hint="eastAsia" w:cs="宋体"/>
          <w:color w:val="auto"/>
          <w:highlight w:val="none"/>
        </w:rPr>
        <w:t>）</w:t>
      </w:r>
    </w:p>
    <w:p w14:paraId="74EB147F">
      <w:pPr>
        <w:spacing w:line="560" w:lineRule="exact"/>
        <w:ind w:firstLine="630" w:firstLineChars="300"/>
        <w:rPr>
          <w:rFonts w:hint="eastAsia" w:cs="宋体"/>
          <w:color w:val="auto"/>
          <w:highlight w:val="none"/>
          <w:lang w:val="en-US" w:eastAsia="zh-CN"/>
        </w:rPr>
      </w:pPr>
      <w:r>
        <w:rPr>
          <w:rFonts w:hint="eastAsia" w:cs="宋体"/>
          <w:color w:val="auto"/>
          <w:highlight w:val="none"/>
          <w:lang w:val="en-US" w:eastAsia="zh-CN"/>
        </w:rPr>
        <w:t>1.11本工程材料和工程设备一览表（表-22）</w:t>
      </w:r>
    </w:p>
    <w:p w14:paraId="7F06B0AE">
      <w:pPr>
        <w:spacing w:line="560" w:lineRule="exact"/>
        <w:ind w:firstLine="630" w:firstLineChars="300"/>
        <w:rPr>
          <w:rFonts w:hint="eastAsia" w:cs="宋体"/>
          <w:color w:val="auto"/>
          <w:highlight w:val="none"/>
          <w:lang w:val="en-US" w:eastAsia="zh-CN"/>
        </w:rPr>
      </w:pPr>
    </w:p>
    <w:p w14:paraId="753C7DA2">
      <w:pPr>
        <w:spacing w:line="560" w:lineRule="exact"/>
        <w:rPr>
          <w:color w:val="auto"/>
          <w:highlight w:val="none"/>
        </w:rPr>
      </w:pPr>
      <w:r>
        <w:rPr>
          <w:rFonts w:hint="eastAsia" w:cs="宋体"/>
          <w:color w:val="auto"/>
          <w:highlight w:val="none"/>
        </w:rPr>
        <w:t>备注：</w:t>
      </w:r>
    </w:p>
    <w:p w14:paraId="7681CE40">
      <w:pPr>
        <w:spacing w:line="560" w:lineRule="exact"/>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）供应商在上传竞标报价文件时应上传纸质投标总价封面的原件扫描件。竞标总价封面必须经供应商盖章，并由法定代表人（或其授权人）签字（或盖章），同时由编制人签字盖专用章。</w:t>
      </w:r>
      <w:bookmarkStart w:id="766" w:name="_GoBack"/>
      <w:bookmarkEnd w:id="766"/>
    </w:p>
    <w:p w14:paraId="339EA563">
      <w:pPr>
        <w:spacing w:line="560" w:lineRule="exact"/>
        <w:ind w:firstLine="420" w:firstLineChars="200"/>
        <w:rPr>
          <w:rFonts w:cs="宋体"/>
          <w:color w:val="auto"/>
          <w:highlight w:val="none"/>
        </w:rPr>
      </w:pPr>
      <w:r>
        <w:rPr>
          <w:rFonts w:hint="eastAsia" w:cs="宋体"/>
          <w:color w:val="auto"/>
          <w:highlight w:val="none"/>
        </w:rPr>
        <w:t>（</w:t>
      </w:r>
      <w:r>
        <w:rPr>
          <w:rFonts w:hint="eastAsia"/>
          <w:color w:val="auto"/>
          <w:highlight w:val="none"/>
        </w:rPr>
        <w:t>2</w:t>
      </w:r>
      <w:r>
        <w:rPr>
          <w:rFonts w:hint="eastAsia" w:cs="宋体"/>
          <w:color w:val="auto"/>
          <w:highlight w:val="none"/>
        </w:rPr>
        <w:t>）已标价工程量清单表格要严格按照招标工程量清单给出的表格要求和内容填报。如本工程在合同中约定采用造价信息价差调整法，1.</w:t>
      </w:r>
      <w:r>
        <w:rPr>
          <w:color w:val="auto"/>
          <w:highlight w:val="none"/>
        </w:rPr>
        <w:t>1</w:t>
      </w:r>
      <w:r>
        <w:rPr>
          <w:rFonts w:hint="eastAsia"/>
          <w:color w:val="auto"/>
          <w:highlight w:val="none"/>
        </w:rPr>
        <w:t>1</w:t>
      </w:r>
      <w:r>
        <w:rPr>
          <w:rFonts w:hint="eastAsia" w:cs="宋体"/>
          <w:color w:val="auto"/>
          <w:highlight w:val="none"/>
        </w:rPr>
        <w:t>允许调整价格的主要材料和工程设备一览表载明的主要材料和工程设备为本工程允许调整的材料和工程设备，招标工程量清单必须提供该表格，且不能提供空白表。</w:t>
      </w:r>
    </w:p>
    <w:p w14:paraId="5805E09B">
      <w:pPr>
        <w:spacing w:line="560" w:lineRule="exact"/>
        <w:ind w:firstLine="420" w:firstLineChars="200"/>
        <w:contextualSpacing/>
        <w:jc w:val="left"/>
        <w:rPr>
          <w:rFonts w:hAnsi="宋体" w:cs="宋体"/>
          <w:color w:val="auto"/>
          <w:kern w:val="0"/>
          <w:highlight w:val="none"/>
        </w:rPr>
      </w:pPr>
      <w:r>
        <w:rPr>
          <w:rFonts w:hint="eastAsia" w:cs="宋体"/>
          <w:color w:val="auto"/>
          <w:highlight w:val="none"/>
        </w:rPr>
        <w:t>注：</w:t>
      </w:r>
      <w:r>
        <w:rPr>
          <w:rFonts w:hint="eastAsia" w:hAnsi="宋体" w:cs="宋体"/>
          <w:color w:val="auto"/>
          <w:kern w:val="0"/>
          <w:highlight w:val="none"/>
        </w:rPr>
        <w:t>因2021年《广西壮族自治区园林绿化及仿古建筑工程费用定额》采用全费用综合单价形式，故园林绿化及仿古建筑工程的已标价工程量清单</w:t>
      </w:r>
      <w:r>
        <w:rPr>
          <w:rFonts w:hint="eastAsia" w:cs="黑体"/>
          <w:color w:val="auto"/>
          <w:highlight w:val="none"/>
        </w:rPr>
        <w:t>采用</w:t>
      </w:r>
      <w:r>
        <w:rPr>
          <w:rFonts w:hint="eastAsia" w:hAnsi="宋体" w:cs="宋体"/>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5419B8D1">
      <w:pPr>
        <w:spacing w:line="360" w:lineRule="auto"/>
        <w:ind w:right="420"/>
        <w:contextualSpacing/>
        <w:jc w:val="center"/>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2CC55085">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22A70EA">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B946D9E">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D8FC179">
      <w:pPr>
        <w:snapToGrid w:val="0"/>
        <w:spacing w:beforeLines="50" w:after="50"/>
        <w:rPr>
          <w:rFonts w:ascii="宋体" w:hAnsi="宋体"/>
          <w:color w:val="auto"/>
          <w:sz w:val="24"/>
          <w:szCs w:val="20"/>
          <w:highlight w:val="none"/>
        </w:rPr>
      </w:pPr>
    </w:p>
    <w:p w14:paraId="49C536E7">
      <w:pPr>
        <w:snapToGrid w:val="0"/>
        <w:spacing w:beforeLines="50" w:after="50"/>
        <w:rPr>
          <w:rFonts w:ascii="宋体" w:hAnsi="宋体"/>
          <w:color w:val="auto"/>
          <w:sz w:val="24"/>
          <w:szCs w:val="20"/>
          <w:highlight w:val="none"/>
        </w:rPr>
      </w:pPr>
    </w:p>
    <w:p w14:paraId="1A63276B">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DA89FD6">
      <w:pPr>
        <w:snapToGrid w:val="0"/>
        <w:spacing w:beforeLines="50" w:after="50"/>
        <w:rPr>
          <w:rFonts w:ascii="宋体" w:hAnsi="宋体"/>
          <w:bCs/>
          <w:color w:val="auto"/>
          <w:sz w:val="24"/>
          <w:szCs w:val="20"/>
          <w:highlight w:val="none"/>
        </w:rPr>
      </w:pPr>
    </w:p>
    <w:p w14:paraId="7349A585">
      <w:pPr>
        <w:snapToGrid w:val="0"/>
        <w:spacing w:beforeLines="50" w:after="50"/>
        <w:rPr>
          <w:rFonts w:ascii="宋体" w:hAnsi="宋体"/>
          <w:bCs/>
          <w:color w:val="auto"/>
          <w:sz w:val="24"/>
          <w:szCs w:val="20"/>
          <w:highlight w:val="none"/>
        </w:rPr>
      </w:pPr>
    </w:p>
    <w:p w14:paraId="65A0BA1B">
      <w:pPr>
        <w:snapToGrid w:val="0"/>
        <w:spacing w:beforeLines="50" w:after="50"/>
        <w:rPr>
          <w:rFonts w:ascii="宋体" w:hAnsi="宋体"/>
          <w:bCs/>
          <w:color w:val="auto"/>
          <w:sz w:val="24"/>
          <w:szCs w:val="20"/>
          <w:highlight w:val="none"/>
        </w:rPr>
      </w:pPr>
    </w:p>
    <w:p w14:paraId="782C68FC">
      <w:pPr>
        <w:snapToGrid w:val="0"/>
        <w:spacing w:beforeLines="50" w:after="50"/>
        <w:rPr>
          <w:rFonts w:ascii="宋体" w:hAnsi="宋体"/>
          <w:bCs/>
          <w:color w:val="auto"/>
          <w:sz w:val="24"/>
          <w:szCs w:val="20"/>
          <w:highlight w:val="none"/>
        </w:rPr>
      </w:pPr>
    </w:p>
    <w:p w14:paraId="5999E000">
      <w:pPr>
        <w:snapToGrid w:val="0"/>
        <w:spacing w:beforeLines="50" w:after="50"/>
        <w:rPr>
          <w:rFonts w:ascii="宋体" w:hAnsi="宋体"/>
          <w:bCs/>
          <w:color w:val="auto"/>
          <w:sz w:val="24"/>
          <w:szCs w:val="20"/>
          <w:highlight w:val="none"/>
        </w:rPr>
      </w:pPr>
    </w:p>
    <w:p w14:paraId="26C4D3F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D1F033F">
      <w:pPr>
        <w:snapToGrid w:val="0"/>
        <w:spacing w:beforeLines="50" w:after="50"/>
        <w:ind w:firstLine="720" w:firstLineChars="225"/>
        <w:rPr>
          <w:rFonts w:ascii="宋体" w:hAnsi="宋体" w:cs="仿宋_GB2312"/>
          <w:bCs/>
          <w:color w:val="auto"/>
          <w:sz w:val="32"/>
          <w:szCs w:val="32"/>
          <w:highlight w:val="none"/>
        </w:rPr>
      </w:pPr>
    </w:p>
    <w:p w14:paraId="5867533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2276B03">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F73462C">
      <w:pPr>
        <w:snapToGrid w:val="0"/>
        <w:spacing w:beforeLines="50" w:after="50"/>
        <w:ind w:firstLine="720" w:firstLineChars="225"/>
        <w:rPr>
          <w:rFonts w:ascii="宋体" w:hAnsi="宋体" w:cs="仿宋_GB2312"/>
          <w:bCs/>
          <w:color w:val="auto"/>
          <w:sz w:val="32"/>
          <w:szCs w:val="32"/>
          <w:highlight w:val="none"/>
        </w:rPr>
      </w:pPr>
    </w:p>
    <w:p w14:paraId="7A2B8384">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2D76B6B">
      <w:pPr>
        <w:pStyle w:val="7"/>
        <w:snapToGrid w:val="0"/>
        <w:spacing w:before="50" w:after="50"/>
        <w:ind w:firstLine="640" w:firstLineChars="200"/>
        <w:rPr>
          <w:rFonts w:ascii="宋体" w:hAnsi="宋体" w:cs="仿宋_GB2312"/>
          <w:bCs/>
          <w:color w:val="auto"/>
          <w:sz w:val="32"/>
          <w:szCs w:val="32"/>
          <w:highlight w:val="none"/>
        </w:rPr>
      </w:pPr>
    </w:p>
    <w:p w14:paraId="3DC9213C">
      <w:pPr>
        <w:pStyle w:val="7"/>
        <w:snapToGrid w:val="0"/>
        <w:spacing w:before="50" w:after="50"/>
        <w:ind w:firstLine="720" w:firstLineChars="225"/>
        <w:rPr>
          <w:rFonts w:ascii="宋体" w:hAnsi="宋体" w:cs="仿宋_GB2312"/>
          <w:bCs/>
          <w:color w:val="auto"/>
          <w:sz w:val="32"/>
          <w:szCs w:val="32"/>
          <w:highlight w:val="none"/>
        </w:rPr>
      </w:pPr>
    </w:p>
    <w:p w14:paraId="6987D22C">
      <w:pPr>
        <w:pStyle w:val="7"/>
        <w:snapToGrid w:val="0"/>
        <w:spacing w:before="50" w:after="50"/>
        <w:ind w:firstLine="0"/>
        <w:rPr>
          <w:rFonts w:ascii="宋体" w:hAnsi="宋体" w:cs="仿宋_GB2312"/>
          <w:bCs/>
          <w:color w:val="auto"/>
          <w:sz w:val="32"/>
          <w:szCs w:val="32"/>
          <w:highlight w:val="none"/>
        </w:rPr>
      </w:pPr>
    </w:p>
    <w:p w14:paraId="16B93A9A">
      <w:pPr>
        <w:pStyle w:val="7"/>
        <w:snapToGrid w:val="0"/>
        <w:spacing w:before="50" w:after="50"/>
        <w:ind w:firstLine="1280" w:firstLineChars="400"/>
        <w:rPr>
          <w:rFonts w:ascii="宋体" w:hAnsi="宋体" w:cs="仿宋_GB2312"/>
          <w:bCs/>
          <w:color w:val="auto"/>
          <w:sz w:val="32"/>
          <w:szCs w:val="32"/>
          <w:highlight w:val="none"/>
        </w:rPr>
      </w:pPr>
    </w:p>
    <w:p w14:paraId="46EB0507">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72DCF66">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6071514">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C5D70A3">
      <w:pPr>
        <w:spacing w:line="400" w:lineRule="exact"/>
        <w:rPr>
          <w:rFonts w:ascii="仿宋_GB2312" w:hAnsi="仿宋_GB2312" w:eastAsia="仿宋_GB2312" w:cs="仿宋_GB2312"/>
          <w:color w:val="auto"/>
          <w:sz w:val="32"/>
          <w:szCs w:val="32"/>
          <w:highlight w:val="none"/>
        </w:rPr>
      </w:pPr>
    </w:p>
    <w:p w14:paraId="6DE02583">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415FDCE">
      <w:pPr>
        <w:spacing w:line="360" w:lineRule="auto"/>
        <w:ind w:firstLine="640" w:firstLineChars="200"/>
        <w:contextualSpacing/>
        <w:rPr>
          <w:rFonts w:ascii="仿宋_GB2312" w:hAnsi="仿宋_GB2312" w:eastAsia="仿宋_GB2312" w:cs="仿宋_GB2312"/>
          <w:color w:val="auto"/>
          <w:sz w:val="32"/>
          <w:szCs w:val="32"/>
          <w:highlight w:val="none"/>
        </w:rPr>
      </w:pPr>
    </w:p>
    <w:p w14:paraId="483BD84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C84825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5B9892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83E3D5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5BE744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1AD0F8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B5104F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2A4755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3F529E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638E6E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C1F39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B829C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6087E2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90F2C2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D97089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37381763">
      <w:pPr>
        <w:spacing w:line="360" w:lineRule="auto"/>
        <w:ind w:firstLine="480" w:firstLineChars="200"/>
        <w:contextualSpacing/>
        <w:rPr>
          <w:rFonts w:ascii="宋体" w:hAnsi="宋体" w:cs="仿宋_GB2312"/>
          <w:color w:val="auto"/>
          <w:sz w:val="24"/>
          <w:highlight w:val="none"/>
        </w:rPr>
      </w:pPr>
    </w:p>
    <w:p w14:paraId="253B4E5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293BEEE">
      <w:pPr>
        <w:spacing w:line="360" w:lineRule="auto"/>
        <w:contextualSpacing/>
        <w:rPr>
          <w:rFonts w:ascii="宋体" w:hAnsi="宋体" w:cs="仿宋_GB2312"/>
          <w:color w:val="auto"/>
          <w:sz w:val="24"/>
          <w:highlight w:val="none"/>
        </w:rPr>
      </w:pPr>
    </w:p>
    <w:p w14:paraId="1D3BA21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42BD5142">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7BB02545">
      <w:pPr>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p>
    <w:p w14:paraId="4684A96E">
      <w:pPr>
        <w:spacing w:line="520" w:lineRule="exact"/>
        <w:jc w:val="center"/>
        <w:rPr>
          <w:rFonts w:ascii="方正小标宋简体" w:hAnsi="方正小标宋简体" w:eastAsia="方正小标宋简体" w:cs="方正小标宋简体"/>
          <w:bCs/>
          <w:color w:val="auto"/>
          <w:sz w:val="44"/>
          <w:szCs w:val="44"/>
          <w:highlight w:val="none"/>
        </w:rPr>
      </w:pPr>
    </w:p>
    <w:p w14:paraId="769D9F3A">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2EB3B7DD">
      <w:pPr>
        <w:spacing w:line="360" w:lineRule="auto"/>
        <w:ind w:left="540"/>
        <w:contextualSpacing/>
        <w:rPr>
          <w:rFonts w:ascii="仿宋_GB2312" w:hAnsi="仿宋_GB2312" w:eastAsia="仿宋_GB2312" w:cs="仿宋_GB2312"/>
          <w:color w:val="auto"/>
          <w:sz w:val="32"/>
          <w:szCs w:val="32"/>
          <w:highlight w:val="none"/>
        </w:rPr>
      </w:pPr>
    </w:p>
    <w:p w14:paraId="1273A7F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949644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9AD576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920576A">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F3E3AB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822B38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DD19A2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7D2B2998">
      <w:pPr>
        <w:spacing w:line="360" w:lineRule="auto"/>
        <w:ind w:left="540"/>
        <w:contextualSpacing/>
        <w:rPr>
          <w:rFonts w:ascii="宋体" w:hAnsi="宋体" w:cs="仿宋_GB2312"/>
          <w:color w:val="auto"/>
          <w:sz w:val="24"/>
          <w:highlight w:val="none"/>
        </w:rPr>
      </w:pPr>
    </w:p>
    <w:p w14:paraId="2B707037">
      <w:pPr>
        <w:spacing w:line="360" w:lineRule="auto"/>
        <w:ind w:left="540"/>
        <w:contextualSpacing/>
        <w:rPr>
          <w:rFonts w:ascii="宋体" w:hAnsi="宋体" w:cs="仿宋_GB2312"/>
          <w:color w:val="auto"/>
          <w:sz w:val="24"/>
          <w:highlight w:val="none"/>
        </w:rPr>
      </w:pPr>
    </w:p>
    <w:p w14:paraId="02F72C72">
      <w:pPr>
        <w:spacing w:line="360" w:lineRule="auto"/>
        <w:ind w:left="540"/>
        <w:contextualSpacing/>
        <w:rPr>
          <w:rFonts w:ascii="宋体" w:hAnsi="宋体" w:cs="仿宋_GB2312"/>
          <w:color w:val="auto"/>
          <w:sz w:val="24"/>
          <w:highlight w:val="none"/>
        </w:rPr>
      </w:pPr>
    </w:p>
    <w:p w14:paraId="6C33465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7830BEC">
      <w:pPr>
        <w:spacing w:line="360" w:lineRule="auto"/>
        <w:ind w:left="540"/>
        <w:contextualSpacing/>
        <w:rPr>
          <w:rFonts w:ascii="宋体" w:hAnsi="宋体" w:cs="仿宋_GB2312"/>
          <w:color w:val="auto"/>
          <w:sz w:val="24"/>
          <w:highlight w:val="none"/>
        </w:rPr>
      </w:pPr>
    </w:p>
    <w:p w14:paraId="3EE30BDD">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3AED4E22">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86E891B">
      <w:pPr>
        <w:spacing w:line="360" w:lineRule="auto"/>
        <w:contextualSpacing/>
        <w:jc w:val="center"/>
        <w:rPr>
          <w:rFonts w:ascii="宋体" w:hAnsi="宋体" w:cs="仿宋_GB2312"/>
          <w:b/>
          <w:color w:val="auto"/>
          <w:sz w:val="24"/>
          <w:highlight w:val="none"/>
        </w:rPr>
      </w:pPr>
    </w:p>
    <w:p w14:paraId="4C908D6F">
      <w:pPr>
        <w:spacing w:line="360" w:lineRule="auto"/>
        <w:contextualSpacing/>
        <w:jc w:val="left"/>
        <w:rPr>
          <w:rFonts w:ascii="宋体" w:hAnsi="宋体" w:cs="仿宋_GB2312"/>
          <w:color w:val="auto"/>
          <w:sz w:val="24"/>
          <w:highlight w:val="none"/>
        </w:rPr>
      </w:pPr>
    </w:p>
    <w:p w14:paraId="5A8FFA55">
      <w:pPr>
        <w:spacing w:line="360" w:lineRule="auto"/>
        <w:contextualSpacing/>
        <w:jc w:val="left"/>
        <w:rPr>
          <w:rFonts w:ascii="宋体" w:hAnsi="宋体" w:cs="仿宋_GB2312"/>
          <w:color w:val="auto"/>
          <w:sz w:val="24"/>
          <w:highlight w:val="none"/>
        </w:rPr>
      </w:pPr>
    </w:p>
    <w:p w14:paraId="75E50F93">
      <w:pPr>
        <w:adjustRightInd w:val="0"/>
        <w:snapToGrid w:val="0"/>
        <w:spacing w:line="300" w:lineRule="auto"/>
        <w:jc w:val="left"/>
        <w:rPr>
          <w:rFonts w:ascii="宋体" w:hAnsi="宋体"/>
          <w:b/>
          <w:color w:val="auto"/>
          <w:szCs w:val="21"/>
          <w:highlight w:val="none"/>
        </w:rPr>
      </w:pPr>
    </w:p>
    <w:p w14:paraId="1C6E814B">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107" w:name="_Hlk65853643"/>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授权委托书</w:t>
      </w:r>
    </w:p>
    <w:p w14:paraId="41977581">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9F2058E">
      <w:pPr>
        <w:spacing w:line="520" w:lineRule="exact"/>
        <w:rPr>
          <w:rFonts w:ascii="仿宋_GB2312" w:hAnsi="仿宋_GB2312" w:eastAsia="仿宋_GB2312" w:cs="仿宋_GB2312"/>
          <w:color w:val="auto"/>
          <w:sz w:val="32"/>
          <w:szCs w:val="32"/>
          <w:highlight w:val="none"/>
        </w:rPr>
      </w:pPr>
    </w:p>
    <w:p w14:paraId="549DB4FE">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D5E5D4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59ECC018">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61BF0BF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4CA937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4D2DDD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FF02268">
      <w:pPr>
        <w:spacing w:line="360" w:lineRule="auto"/>
        <w:rPr>
          <w:rFonts w:ascii="宋体" w:hAnsi="宋体" w:cs="仿宋_GB2312"/>
          <w:color w:val="auto"/>
          <w:sz w:val="24"/>
          <w:highlight w:val="none"/>
        </w:rPr>
      </w:pPr>
    </w:p>
    <w:p w14:paraId="4925B82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B57BDC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58B0ED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5B6EA0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5B8E8173">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A34BF42">
      <w:pPr>
        <w:spacing w:line="360" w:lineRule="auto"/>
        <w:rPr>
          <w:rFonts w:ascii="宋体" w:hAnsi="宋体" w:cs="仿宋_GB2312"/>
          <w:color w:val="auto"/>
          <w:sz w:val="24"/>
          <w:highlight w:val="none"/>
        </w:rPr>
      </w:pPr>
    </w:p>
    <w:p w14:paraId="25A84207">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07FD143">
      <w:pPr>
        <w:spacing w:line="360" w:lineRule="auto"/>
        <w:ind w:firstLine="420" w:firstLineChars="200"/>
        <w:jc w:val="left"/>
        <w:rPr>
          <w:rFonts w:ascii="仿宋_GB2312" w:hAnsi="仿宋_GB2312" w:eastAsia="仿宋_GB2312" w:cs="仿宋_GB2312"/>
          <w:color w:val="auto"/>
          <w:szCs w:val="21"/>
          <w:highlight w:val="none"/>
        </w:rPr>
      </w:pPr>
    </w:p>
    <w:p w14:paraId="67797188">
      <w:pPr>
        <w:spacing w:line="500" w:lineRule="exact"/>
        <w:jc w:val="center"/>
        <w:rPr>
          <w:b/>
          <w:bCs/>
          <w:color w:val="auto"/>
          <w:sz w:val="44"/>
          <w:szCs w:val="44"/>
          <w:highlight w:val="none"/>
        </w:rPr>
      </w:pPr>
      <w:r>
        <w:rPr>
          <w:rFonts w:ascii="仿宋_GB2312" w:hAnsi="仿宋_GB2312" w:eastAsia="仿宋_GB2312" w:cs="仿宋_GB2312"/>
          <w:color w:val="auto"/>
          <w:szCs w:val="21"/>
          <w:highlight w:val="none"/>
        </w:rPr>
        <w:br w:type="page"/>
      </w:r>
      <w:bookmarkEnd w:id="107"/>
      <w:r>
        <w:rPr>
          <w:rFonts w:hint="eastAsia"/>
          <w:b/>
          <w:bCs/>
          <w:color w:val="auto"/>
          <w:sz w:val="44"/>
          <w:szCs w:val="44"/>
          <w:highlight w:val="none"/>
        </w:rPr>
        <w:t>技术及其他要求、商务要求响应承诺表格式</w:t>
      </w:r>
    </w:p>
    <w:p w14:paraId="654A4685">
      <w:pPr>
        <w:pStyle w:val="7"/>
        <w:rPr>
          <w:color w:val="auto"/>
          <w:highlight w:val="none"/>
        </w:rPr>
      </w:pPr>
    </w:p>
    <w:tbl>
      <w:tblPr>
        <w:tblStyle w:val="45"/>
        <w:tblpPr w:leftFromText="180" w:rightFromText="180" w:vertAnchor="text" w:horzAnchor="margin" w:tblpY="221"/>
        <w:tblOverlap w:val="never"/>
        <w:tblW w:w="96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55"/>
        <w:gridCol w:w="6914"/>
      </w:tblGrid>
      <w:tr w14:paraId="6B81F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755" w:type="dxa"/>
            <w:tcBorders>
              <w:top w:val="single" w:color="auto" w:sz="4" w:space="0"/>
              <w:left w:val="single" w:color="auto" w:sz="4" w:space="0"/>
              <w:bottom w:val="single" w:color="auto" w:sz="4" w:space="0"/>
              <w:right w:val="single" w:color="auto" w:sz="4" w:space="0"/>
            </w:tcBorders>
            <w:vAlign w:val="center"/>
          </w:tcPr>
          <w:p w14:paraId="11830BF6">
            <w:pPr>
              <w:snapToGrid w:val="0"/>
              <w:spacing w:beforeLines="50" w:line="360" w:lineRule="auto"/>
              <w:jc w:val="center"/>
              <w:rPr>
                <w:color w:val="auto"/>
                <w:sz w:val="24"/>
                <w:highlight w:val="none"/>
              </w:rPr>
            </w:pPr>
            <w:r>
              <w:rPr>
                <w:rFonts w:hint="eastAsia"/>
                <w:color w:val="auto"/>
                <w:sz w:val="24"/>
                <w:highlight w:val="none"/>
              </w:rPr>
              <w:t>项</w:t>
            </w:r>
            <w:r>
              <w:rPr>
                <w:rFonts w:hint="eastAsia"/>
                <w:color w:val="auto"/>
                <w:sz w:val="24"/>
                <w:highlight w:val="none"/>
                <w:lang w:val="en-US" w:eastAsia="zh-CN"/>
              </w:rPr>
              <w:t xml:space="preserve"> </w:t>
            </w:r>
            <w:r>
              <w:rPr>
                <w:rFonts w:hint="eastAsia"/>
                <w:color w:val="auto"/>
                <w:sz w:val="24"/>
                <w:highlight w:val="none"/>
              </w:rPr>
              <w:t>目</w:t>
            </w:r>
          </w:p>
        </w:tc>
        <w:tc>
          <w:tcPr>
            <w:tcW w:w="6913" w:type="dxa"/>
            <w:tcBorders>
              <w:top w:val="single" w:color="auto" w:sz="4" w:space="0"/>
              <w:left w:val="single" w:color="auto" w:sz="4" w:space="0"/>
              <w:bottom w:val="single" w:color="auto" w:sz="4" w:space="0"/>
              <w:right w:val="single" w:color="auto" w:sz="4" w:space="0"/>
            </w:tcBorders>
            <w:vAlign w:val="center"/>
          </w:tcPr>
          <w:p w14:paraId="6C027E31">
            <w:pPr>
              <w:snapToGrid w:val="0"/>
              <w:spacing w:beforeLines="50" w:line="360" w:lineRule="auto"/>
              <w:jc w:val="center"/>
              <w:rPr>
                <w:color w:val="auto"/>
                <w:sz w:val="24"/>
                <w:highlight w:val="none"/>
              </w:rPr>
            </w:pPr>
            <w:r>
              <w:rPr>
                <w:rFonts w:hint="eastAsia"/>
                <w:color w:val="auto"/>
                <w:sz w:val="24"/>
                <w:highlight w:val="none"/>
              </w:rPr>
              <w:t>对应第三章</w:t>
            </w:r>
            <w:r>
              <w:rPr>
                <w:color w:val="auto"/>
                <w:sz w:val="24"/>
                <w:highlight w:val="none"/>
              </w:rPr>
              <w:t xml:space="preserve"> </w:t>
            </w:r>
            <w:r>
              <w:rPr>
                <w:rFonts w:hint="eastAsia"/>
                <w:color w:val="auto"/>
                <w:sz w:val="24"/>
                <w:highlight w:val="none"/>
              </w:rPr>
              <w:t>采购需求“技术及其他要求”及</w:t>
            </w:r>
            <w:r>
              <w:rPr>
                <w:color w:val="auto"/>
                <w:sz w:val="24"/>
                <w:highlight w:val="none"/>
              </w:rPr>
              <w:t>“</w:t>
            </w:r>
            <w:r>
              <w:rPr>
                <w:rFonts w:hint="eastAsia"/>
                <w:color w:val="auto"/>
                <w:sz w:val="24"/>
                <w:highlight w:val="none"/>
              </w:rPr>
              <w:t>商务要求</w:t>
            </w:r>
            <w:r>
              <w:rPr>
                <w:color w:val="auto"/>
                <w:sz w:val="24"/>
                <w:highlight w:val="none"/>
              </w:rPr>
              <w:t>”</w:t>
            </w:r>
            <w:r>
              <w:rPr>
                <w:rFonts w:hint="eastAsia"/>
                <w:color w:val="auto"/>
                <w:sz w:val="24"/>
                <w:highlight w:val="none"/>
              </w:rPr>
              <w:t>，</w:t>
            </w:r>
            <w:r>
              <w:rPr>
                <w:color w:val="auto"/>
                <w:sz w:val="24"/>
                <w:highlight w:val="none"/>
              </w:rPr>
              <w:t xml:space="preserve"> </w:t>
            </w:r>
            <w:r>
              <w:rPr>
                <w:rFonts w:hint="eastAsia"/>
                <w:color w:val="auto"/>
                <w:sz w:val="24"/>
                <w:highlight w:val="none"/>
              </w:rPr>
              <w:t>供应商的响应承诺情况</w:t>
            </w:r>
          </w:p>
        </w:tc>
      </w:tr>
      <w:tr w14:paraId="4F15E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14:paraId="79B003BA">
            <w:pPr>
              <w:snapToGrid w:val="0"/>
              <w:spacing w:beforeLines="50" w:line="360" w:lineRule="auto"/>
              <w:jc w:val="left"/>
              <w:rPr>
                <w:b/>
                <w:color w:val="auto"/>
                <w:sz w:val="24"/>
                <w:highlight w:val="none"/>
              </w:rPr>
            </w:pPr>
            <w:r>
              <w:rPr>
                <w:rFonts w:hint="eastAsia"/>
                <w:b/>
                <w:color w:val="auto"/>
                <w:sz w:val="24"/>
                <w:highlight w:val="none"/>
              </w:rPr>
              <w:t>一、</w:t>
            </w:r>
            <w:r>
              <w:rPr>
                <w:rFonts w:hint="eastAsia"/>
                <w:b/>
                <w:color w:val="auto"/>
                <w:highlight w:val="none"/>
              </w:rPr>
              <w:t>技术及其他要求</w:t>
            </w:r>
          </w:p>
        </w:tc>
      </w:tr>
      <w:tr w14:paraId="41A00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49A5C22C">
            <w:pPr>
              <w:spacing w:line="320" w:lineRule="exact"/>
              <w:jc w:val="center"/>
              <w:rPr>
                <w:b/>
                <w:color w:val="auto"/>
                <w:szCs w:val="21"/>
                <w:highlight w:val="none"/>
              </w:rPr>
            </w:pPr>
            <w:r>
              <w:rPr>
                <w:rFonts w:hint="eastAsia" w:ascii="宋体" w:hAnsi="宋体"/>
                <w:b/>
                <w:bCs/>
                <w:color w:val="auto"/>
                <w:szCs w:val="21"/>
                <w:highlight w:val="none"/>
              </w:rPr>
              <w:t>1.项目概况</w:t>
            </w:r>
          </w:p>
        </w:tc>
        <w:tc>
          <w:tcPr>
            <w:tcW w:w="6913" w:type="dxa"/>
            <w:tcBorders>
              <w:top w:val="single" w:color="auto" w:sz="4" w:space="0"/>
              <w:left w:val="single" w:color="auto" w:sz="4" w:space="0"/>
              <w:bottom w:val="single" w:color="auto" w:sz="4" w:space="0"/>
              <w:right w:val="single" w:color="auto" w:sz="4" w:space="0"/>
            </w:tcBorders>
          </w:tcPr>
          <w:p w14:paraId="2CCD73C9">
            <w:pPr>
              <w:spacing w:line="320" w:lineRule="exact"/>
              <w:jc w:val="left"/>
              <w:rPr>
                <w:b/>
                <w:color w:val="auto"/>
                <w:szCs w:val="21"/>
                <w:highlight w:val="none"/>
              </w:rPr>
            </w:pPr>
          </w:p>
        </w:tc>
      </w:tr>
      <w:tr w14:paraId="25804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69288E64">
            <w:pPr>
              <w:spacing w:line="320" w:lineRule="exact"/>
              <w:jc w:val="center"/>
              <w:rPr>
                <w:b/>
                <w:color w:val="auto"/>
                <w:szCs w:val="21"/>
                <w:highlight w:val="none"/>
              </w:rPr>
            </w:pPr>
            <w:r>
              <w:rPr>
                <w:rFonts w:hint="eastAsia" w:ascii="宋体" w:hAnsi="宋体"/>
                <w:b/>
                <w:color w:val="auto"/>
                <w:highlight w:val="none"/>
              </w:rPr>
              <w:t>2.质量等级要求</w:t>
            </w:r>
          </w:p>
        </w:tc>
        <w:tc>
          <w:tcPr>
            <w:tcW w:w="6913" w:type="dxa"/>
            <w:tcBorders>
              <w:top w:val="single" w:color="auto" w:sz="4" w:space="0"/>
              <w:left w:val="single" w:color="auto" w:sz="4" w:space="0"/>
              <w:bottom w:val="single" w:color="auto" w:sz="4" w:space="0"/>
              <w:right w:val="single" w:color="auto" w:sz="4" w:space="0"/>
            </w:tcBorders>
            <w:vAlign w:val="center"/>
          </w:tcPr>
          <w:p w14:paraId="5DE3C801">
            <w:pPr>
              <w:spacing w:line="320" w:lineRule="exact"/>
              <w:rPr>
                <w:b/>
                <w:color w:val="auto"/>
                <w:szCs w:val="21"/>
                <w:highlight w:val="none"/>
              </w:rPr>
            </w:pPr>
          </w:p>
        </w:tc>
      </w:tr>
      <w:tr w14:paraId="25283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6FB98836">
            <w:pPr>
              <w:spacing w:line="320" w:lineRule="exact"/>
              <w:jc w:val="center"/>
              <w:rPr>
                <w:b/>
                <w:color w:val="auto"/>
                <w:szCs w:val="21"/>
                <w:highlight w:val="none"/>
              </w:rPr>
            </w:pPr>
            <w:r>
              <w:rPr>
                <w:rFonts w:hint="eastAsia" w:ascii="宋体" w:hAnsi="宋体"/>
                <w:b/>
                <w:color w:val="auto"/>
                <w:highlight w:val="none"/>
              </w:rPr>
              <w:t>3.安全要求</w:t>
            </w:r>
          </w:p>
        </w:tc>
        <w:tc>
          <w:tcPr>
            <w:tcW w:w="6913" w:type="dxa"/>
            <w:tcBorders>
              <w:top w:val="single" w:color="auto" w:sz="4" w:space="0"/>
              <w:left w:val="single" w:color="auto" w:sz="4" w:space="0"/>
              <w:bottom w:val="single" w:color="auto" w:sz="4" w:space="0"/>
              <w:right w:val="single" w:color="auto" w:sz="4" w:space="0"/>
            </w:tcBorders>
          </w:tcPr>
          <w:p w14:paraId="621D9279">
            <w:pPr>
              <w:spacing w:line="320" w:lineRule="exact"/>
              <w:rPr>
                <w:b/>
                <w:color w:val="auto"/>
                <w:szCs w:val="21"/>
                <w:highlight w:val="none"/>
              </w:rPr>
            </w:pPr>
          </w:p>
        </w:tc>
      </w:tr>
      <w:tr w14:paraId="0D1C9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0F02197D">
            <w:pPr>
              <w:spacing w:line="320" w:lineRule="exact"/>
              <w:jc w:val="center"/>
              <w:rPr>
                <w:b/>
                <w:color w:val="auto"/>
                <w:szCs w:val="21"/>
                <w:highlight w:val="none"/>
              </w:rPr>
            </w:pPr>
            <w:r>
              <w:rPr>
                <w:rFonts w:hint="eastAsia" w:ascii="宋体" w:hAnsi="宋体"/>
                <w:b/>
                <w:color w:val="auto"/>
                <w:highlight w:val="none"/>
              </w:rPr>
              <w:t>4.技术要求</w:t>
            </w:r>
          </w:p>
        </w:tc>
        <w:tc>
          <w:tcPr>
            <w:tcW w:w="6913" w:type="dxa"/>
            <w:tcBorders>
              <w:top w:val="single" w:color="auto" w:sz="4" w:space="0"/>
              <w:left w:val="single" w:color="auto" w:sz="4" w:space="0"/>
              <w:bottom w:val="single" w:color="auto" w:sz="4" w:space="0"/>
              <w:right w:val="single" w:color="auto" w:sz="4" w:space="0"/>
            </w:tcBorders>
          </w:tcPr>
          <w:p w14:paraId="05F20F1F">
            <w:pPr>
              <w:pStyle w:val="30"/>
              <w:spacing w:line="320" w:lineRule="exact"/>
              <w:rPr>
                <w:b/>
                <w:color w:val="auto"/>
                <w:kern w:val="2"/>
                <w:sz w:val="21"/>
                <w:highlight w:val="none"/>
              </w:rPr>
            </w:pPr>
          </w:p>
        </w:tc>
      </w:tr>
      <w:tr w14:paraId="6B444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1969492A">
            <w:pPr>
              <w:spacing w:line="320" w:lineRule="exact"/>
              <w:jc w:val="center"/>
              <w:rPr>
                <w:rFonts w:ascii="宋体" w:hAnsi="宋体" w:cs="宋体"/>
                <w:b/>
                <w:color w:val="auto"/>
                <w:szCs w:val="21"/>
                <w:highlight w:val="none"/>
              </w:rPr>
            </w:pPr>
            <w:r>
              <w:rPr>
                <w:rFonts w:hint="eastAsia" w:ascii="宋体" w:hAnsi="宋体"/>
                <w:b/>
                <w:color w:val="auto"/>
                <w:highlight w:val="none"/>
              </w:rPr>
              <w:t>5.需实现的功能或者目标</w:t>
            </w:r>
          </w:p>
        </w:tc>
        <w:tc>
          <w:tcPr>
            <w:tcW w:w="6913" w:type="dxa"/>
            <w:tcBorders>
              <w:top w:val="single" w:color="auto" w:sz="4" w:space="0"/>
              <w:left w:val="single" w:color="auto" w:sz="4" w:space="0"/>
              <w:bottom w:val="single" w:color="auto" w:sz="4" w:space="0"/>
              <w:right w:val="single" w:color="auto" w:sz="4" w:space="0"/>
            </w:tcBorders>
          </w:tcPr>
          <w:p w14:paraId="28436BAF">
            <w:pPr>
              <w:pStyle w:val="30"/>
              <w:spacing w:line="320" w:lineRule="exact"/>
              <w:rPr>
                <w:b/>
                <w:color w:val="auto"/>
                <w:kern w:val="2"/>
                <w:sz w:val="21"/>
                <w:highlight w:val="none"/>
              </w:rPr>
            </w:pPr>
          </w:p>
        </w:tc>
      </w:tr>
      <w:tr w14:paraId="03348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620526CE">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6.项目管理机构人员</w:t>
            </w:r>
          </w:p>
        </w:tc>
        <w:tc>
          <w:tcPr>
            <w:tcW w:w="6913" w:type="dxa"/>
            <w:tcBorders>
              <w:top w:val="single" w:color="auto" w:sz="4" w:space="0"/>
              <w:left w:val="single" w:color="auto" w:sz="4" w:space="0"/>
              <w:bottom w:val="single" w:color="auto" w:sz="4" w:space="0"/>
              <w:right w:val="single" w:color="auto" w:sz="4" w:space="0"/>
            </w:tcBorders>
          </w:tcPr>
          <w:p w14:paraId="57B93981">
            <w:pPr>
              <w:pStyle w:val="30"/>
              <w:spacing w:line="320" w:lineRule="exact"/>
              <w:rPr>
                <w:b/>
                <w:color w:val="auto"/>
                <w:kern w:val="2"/>
                <w:sz w:val="21"/>
                <w:highlight w:val="none"/>
              </w:rPr>
            </w:pPr>
          </w:p>
        </w:tc>
      </w:tr>
      <w:tr w14:paraId="126C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14:paraId="122ABE47">
            <w:pPr>
              <w:spacing w:line="320" w:lineRule="exact"/>
              <w:jc w:val="left"/>
              <w:rPr>
                <w:b/>
                <w:color w:val="auto"/>
                <w:szCs w:val="21"/>
                <w:highlight w:val="none"/>
              </w:rPr>
            </w:pPr>
            <w:r>
              <w:rPr>
                <w:rFonts w:hint="eastAsia"/>
                <w:b/>
                <w:color w:val="auto"/>
                <w:szCs w:val="21"/>
                <w:highlight w:val="none"/>
              </w:rPr>
              <w:t>二、</w:t>
            </w:r>
            <w:r>
              <w:rPr>
                <w:rFonts w:hint="eastAsia" w:ascii="宋体" w:hAnsi="宋体"/>
                <w:b/>
                <w:color w:val="auto"/>
                <w:szCs w:val="21"/>
                <w:highlight w:val="none"/>
              </w:rPr>
              <w:t>商务要求</w:t>
            </w:r>
          </w:p>
        </w:tc>
      </w:tr>
      <w:tr w14:paraId="3AB68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3BA5A6D3">
            <w:pPr>
              <w:spacing w:line="400" w:lineRule="exact"/>
              <w:jc w:val="center"/>
              <w:rPr>
                <w:rFonts w:ascii="宋体" w:hAnsi="宋体"/>
                <w:b/>
                <w:color w:val="auto"/>
                <w:szCs w:val="21"/>
                <w:highlight w:val="none"/>
              </w:rPr>
            </w:pPr>
            <w:r>
              <w:rPr>
                <w:rFonts w:hint="eastAsia" w:ascii="宋体" w:hAnsi="宋体" w:cs="宋体"/>
                <w:b/>
                <w:color w:val="auto"/>
                <w:szCs w:val="21"/>
                <w:highlight w:val="none"/>
              </w:rPr>
              <w:t>1.计划工期</w:t>
            </w:r>
          </w:p>
        </w:tc>
        <w:tc>
          <w:tcPr>
            <w:tcW w:w="6913" w:type="dxa"/>
            <w:tcBorders>
              <w:top w:val="single" w:color="auto" w:sz="4" w:space="0"/>
              <w:left w:val="single" w:color="auto" w:sz="4" w:space="0"/>
              <w:bottom w:val="single" w:color="auto" w:sz="4" w:space="0"/>
              <w:right w:val="single" w:color="auto" w:sz="4" w:space="0"/>
            </w:tcBorders>
          </w:tcPr>
          <w:p w14:paraId="6749DCD1">
            <w:pPr>
              <w:spacing w:line="320" w:lineRule="exact"/>
              <w:jc w:val="left"/>
              <w:rPr>
                <w:b/>
                <w:color w:val="auto"/>
                <w:szCs w:val="21"/>
                <w:highlight w:val="none"/>
              </w:rPr>
            </w:pPr>
          </w:p>
        </w:tc>
      </w:tr>
      <w:tr w14:paraId="223C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553F430C">
            <w:pPr>
              <w:spacing w:line="400" w:lineRule="exact"/>
              <w:jc w:val="center"/>
              <w:rPr>
                <w:rFonts w:ascii="宋体" w:hAnsi="宋体"/>
                <w:b/>
                <w:color w:val="auto"/>
                <w:szCs w:val="21"/>
                <w:highlight w:val="none"/>
              </w:rPr>
            </w:pPr>
            <w:r>
              <w:rPr>
                <w:rFonts w:hint="eastAsia" w:ascii="宋体" w:hAnsi="宋体"/>
                <w:b/>
                <w:color w:val="auto"/>
                <w:szCs w:val="21"/>
                <w:highlight w:val="none"/>
              </w:rPr>
              <w:t>2.建设地点</w:t>
            </w:r>
          </w:p>
        </w:tc>
        <w:tc>
          <w:tcPr>
            <w:tcW w:w="6913" w:type="dxa"/>
            <w:tcBorders>
              <w:top w:val="single" w:color="auto" w:sz="4" w:space="0"/>
              <w:left w:val="single" w:color="auto" w:sz="4" w:space="0"/>
              <w:bottom w:val="single" w:color="auto" w:sz="4" w:space="0"/>
              <w:right w:val="single" w:color="auto" w:sz="4" w:space="0"/>
            </w:tcBorders>
          </w:tcPr>
          <w:p w14:paraId="23C9F925">
            <w:pPr>
              <w:spacing w:line="320" w:lineRule="exact"/>
              <w:jc w:val="left"/>
              <w:rPr>
                <w:b/>
                <w:color w:val="auto"/>
                <w:szCs w:val="21"/>
                <w:highlight w:val="none"/>
              </w:rPr>
            </w:pPr>
          </w:p>
        </w:tc>
      </w:tr>
      <w:tr w14:paraId="788C1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15CFA03B">
            <w:pPr>
              <w:spacing w:line="400" w:lineRule="exact"/>
              <w:jc w:val="center"/>
              <w:rPr>
                <w:rFonts w:ascii="宋体" w:hAnsi="宋体"/>
                <w:b/>
                <w:color w:val="auto"/>
                <w:szCs w:val="21"/>
                <w:highlight w:val="none"/>
              </w:rPr>
            </w:pPr>
            <w:r>
              <w:rPr>
                <w:rFonts w:hint="eastAsia" w:ascii="宋体" w:hAnsi="宋体"/>
                <w:b/>
                <w:color w:val="auto"/>
                <w:szCs w:val="21"/>
                <w:highlight w:val="none"/>
              </w:rPr>
              <w:t>3.合同签订时间</w:t>
            </w:r>
          </w:p>
        </w:tc>
        <w:tc>
          <w:tcPr>
            <w:tcW w:w="6913" w:type="dxa"/>
            <w:tcBorders>
              <w:top w:val="single" w:color="auto" w:sz="4" w:space="0"/>
              <w:left w:val="single" w:color="auto" w:sz="4" w:space="0"/>
              <w:bottom w:val="single" w:color="auto" w:sz="4" w:space="0"/>
              <w:right w:val="single" w:color="auto" w:sz="4" w:space="0"/>
            </w:tcBorders>
          </w:tcPr>
          <w:p w14:paraId="38E6544F">
            <w:pPr>
              <w:spacing w:line="320" w:lineRule="exact"/>
              <w:jc w:val="left"/>
              <w:rPr>
                <w:b/>
                <w:color w:val="auto"/>
                <w:szCs w:val="21"/>
                <w:highlight w:val="none"/>
              </w:rPr>
            </w:pPr>
          </w:p>
        </w:tc>
      </w:tr>
      <w:tr w14:paraId="6726D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755" w:type="dxa"/>
            <w:tcBorders>
              <w:top w:val="single" w:color="auto" w:sz="4" w:space="0"/>
              <w:left w:val="single" w:color="auto" w:sz="4" w:space="0"/>
              <w:bottom w:val="single" w:color="auto" w:sz="4" w:space="0"/>
              <w:right w:val="single" w:color="auto" w:sz="4" w:space="0"/>
            </w:tcBorders>
            <w:vAlign w:val="center"/>
          </w:tcPr>
          <w:p w14:paraId="71B7822A">
            <w:pPr>
              <w:spacing w:line="400" w:lineRule="exact"/>
              <w:jc w:val="center"/>
              <w:rPr>
                <w:rFonts w:ascii="宋体" w:hAnsi="宋体"/>
                <w:b/>
                <w:color w:val="auto"/>
                <w:szCs w:val="21"/>
                <w:highlight w:val="none"/>
              </w:rPr>
            </w:pPr>
            <w:r>
              <w:rPr>
                <w:rFonts w:hint="eastAsia" w:ascii="宋体" w:hAnsi="宋体"/>
                <w:b/>
                <w:color w:val="auto"/>
                <w:szCs w:val="21"/>
                <w:highlight w:val="none"/>
              </w:rPr>
              <w:t>4.付款条件（进度和方式）</w:t>
            </w:r>
          </w:p>
        </w:tc>
        <w:tc>
          <w:tcPr>
            <w:tcW w:w="6913" w:type="dxa"/>
            <w:tcBorders>
              <w:top w:val="single" w:color="auto" w:sz="4" w:space="0"/>
              <w:left w:val="single" w:color="auto" w:sz="4" w:space="0"/>
              <w:bottom w:val="single" w:color="auto" w:sz="4" w:space="0"/>
              <w:right w:val="single" w:color="auto" w:sz="4" w:space="0"/>
            </w:tcBorders>
          </w:tcPr>
          <w:p w14:paraId="64274851">
            <w:pPr>
              <w:spacing w:line="320" w:lineRule="exact"/>
              <w:jc w:val="left"/>
              <w:rPr>
                <w:b/>
                <w:color w:val="auto"/>
                <w:szCs w:val="21"/>
                <w:highlight w:val="none"/>
              </w:rPr>
            </w:pPr>
          </w:p>
        </w:tc>
      </w:tr>
      <w:tr w14:paraId="2649C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14:paraId="5D53D4B0">
            <w:pPr>
              <w:spacing w:line="400" w:lineRule="exact"/>
              <w:jc w:val="center"/>
              <w:rPr>
                <w:rFonts w:ascii="宋体" w:hAnsi="宋体"/>
                <w:b/>
                <w:color w:val="auto"/>
                <w:szCs w:val="21"/>
                <w:highlight w:val="none"/>
              </w:rPr>
            </w:pPr>
            <w:r>
              <w:rPr>
                <w:rFonts w:hint="eastAsia" w:ascii="宋体" w:hAnsi="宋体"/>
                <w:b/>
                <w:color w:val="auto"/>
                <w:szCs w:val="21"/>
                <w:highlight w:val="none"/>
              </w:rPr>
              <w:t>5.工程保修期</w:t>
            </w:r>
          </w:p>
        </w:tc>
        <w:tc>
          <w:tcPr>
            <w:tcW w:w="6913" w:type="dxa"/>
            <w:tcBorders>
              <w:top w:val="single" w:color="auto" w:sz="4" w:space="0"/>
              <w:left w:val="single" w:color="auto" w:sz="4" w:space="0"/>
              <w:bottom w:val="single" w:color="auto" w:sz="4" w:space="0"/>
              <w:right w:val="single" w:color="auto" w:sz="4" w:space="0"/>
            </w:tcBorders>
          </w:tcPr>
          <w:p w14:paraId="3BF42ED3">
            <w:pPr>
              <w:spacing w:line="320" w:lineRule="exact"/>
              <w:jc w:val="left"/>
              <w:rPr>
                <w:b/>
                <w:color w:val="auto"/>
                <w:szCs w:val="21"/>
                <w:highlight w:val="none"/>
              </w:rPr>
            </w:pPr>
          </w:p>
        </w:tc>
      </w:tr>
      <w:tr w14:paraId="1306A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755" w:type="dxa"/>
            <w:tcBorders>
              <w:top w:val="single" w:color="auto" w:sz="4" w:space="0"/>
              <w:left w:val="single" w:color="auto" w:sz="4" w:space="0"/>
              <w:bottom w:val="single" w:color="auto" w:sz="4" w:space="0"/>
              <w:right w:val="single" w:color="auto" w:sz="4" w:space="0"/>
            </w:tcBorders>
            <w:vAlign w:val="center"/>
          </w:tcPr>
          <w:p w14:paraId="75878C15">
            <w:pPr>
              <w:spacing w:line="400" w:lineRule="exact"/>
              <w:jc w:val="center"/>
              <w:rPr>
                <w:rFonts w:ascii="宋体" w:hAnsi="宋体"/>
                <w:b/>
                <w:color w:val="auto"/>
                <w:szCs w:val="21"/>
                <w:highlight w:val="none"/>
              </w:rPr>
            </w:pPr>
            <w:r>
              <w:rPr>
                <w:rFonts w:hint="eastAsia" w:ascii="宋体" w:hAnsi="宋体"/>
                <w:b/>
                <w:color w:val="auto"/>
                <w:szCs w:val="21"/>
                <w:highlight w:val="none"/>
              </w:rPr>
              <w:t>6.工程隐蔽部位覆盖前的检查</w:t>
            </w:r>
          </w:p>
        </w:tc>
        <w:tc>
          <w:tcPr>
            <w:tcW w:w="6913" w:type="dxa"/>
            <w:tcBorders>
              <w:top w:val="single" w:color="auto" w:sz="4" w:space="0"/>
              <w:left w:val="single" w:color="auto" w:sz="4" w:space="0"/>
              <w:bottom w:val="single" w:color="auto" w:sz="4" w:space="0"/>
              <w:right w:val="single" w:color="auto" w:sz="4" w:space="0"/>
            </w:tcBorders>
          </w:tcPr>
          <w:p w14:paraId="75E37B3D">
            <w:pPr>
              <w:spacing w:line="320" w:lineRule="exact"/>
              <w:jc w:val="left"/>
              <w:rPr>
                <w:b/>
                <w:color w:val="auto"/>
                <w:szCs w:val="21"/>
                <w:highlight w:val="none"/>
              </w:rPr>
            </w:pPr>
          </w:p>
        </w:tc>
      </w:tr>
      <w:tr w14:paraId="6287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755" w:type="dxa"/>
            <w:tcBorders>
              <w:top w:val="single" w:color="auto" w:sz="4" w:space="0"/>
              <w:left w:val="single" w:color="auto" w:sz="4" w:space="0"/>
              <w:bottom w:val="single" w:color="auto" w:sz="4" w:space="0"/>
              <w:right w:val="single" w:color="auto" w:sz="4" w:space="0"/>
            </w:tcBorders>
            <w:vAlign w:val="center"/>
          </w:tcPr>
          <w:p w14:paraId="0B9477C0">
            <w:pPr>
              <w:spacing w:line="400" w:lineRule="exact"/>
              <w:jc w:val="center"/>
              <w:rPr>
                <w:rFonts w:ascii="宋体" w:hAnsi="宋体"/>
                <w:b/>
                <w:color w:val="auto"/>
                <w:szCs w:val="21"/>
                <w:highlight w:val="none"/>
              </w:rPr>
            </w:pPr>
            <w:r>
              <w:rPr>
                <w:rFonts w:hint="eastAsia" w:ascii="宋体" w:hAnsi="宋体"/>
                <w:b/>
                <w:color w:val="auto"/>
                <w:szCs w:val="21"/>
                <w:highlight w:val="none"/>
              </w:rPr>
              <w:t>7.验收标准</w:t>
            </w:r>
          </w:p>
        </w:tc>
        <w:tc>
          <w:tcPr>
            <w:tcW w:w="6913" w:type="dxa"/>
            <w:tcBorders>
              <w:top w:val="single" w:color="auto" w:sz="4" w:space="0"/>
              <w:left w:val="single" w:color="auto" w:sz="4" w:space="0"/>
              <w:bottom w:val="single" w:color="auto" w:sz="4" w:space="0"/>
              <w:right w:val="single" w:color="auto" w:sz="4" w:space="0"/>
            </w:tcBorders>
          </w:tcPr>
          <w:p w14:paraId="7C067387">
            <w:pPr>
              <w:spacing w:line="320" w:lineRule="exact"/>
              <w:jc w:val="left"/>
              <w:rPr>
                <w:b/>
                <w:color w:val="auto"/>
                <w:szCs w:val="21"/>
                <w:highlight w:val="none"/>
              </w:rPr>
            </w:pPr>
          </w:p>
        </w:tc>
      </w:tr>
    </w:tbl>
    <w:p w14:paraId="373EE710">
      <w:pPr>
        <w:pStyle w:val="17"/>
        <w:spacing w:after="0" w:line="340" w:lineRule="exact"/>
        <w:contextualSpacing/>
        <w:rPr>
          <w:color w:val="auto"/>
          <w:kern w:val="0"/>
          <w:sz w:val="24"/>
          <w:szCs w:val="24"/>
          <w:highlight w:val="none"/>
        </w:rPr>
      </w:pPr>
      <w:r>
        <w:rPr>
          <w:rFonts w:hint="eastAsia"/>
          <w:color w:val="auto"/>
          <w:kern w:val="0"/>
          <w:sz w:val="24"/>
          <w:szCs w:val="24"/>
          <w:highlight w:val="none"/>
        </w:rPr>
        <w:t>注：</w:t>
      </w:r>
    </w:p>
    <w:p w14:paraId="19B76AC3">
      <w:pPr>
        <w:pStyle w:val="17"/>
        <w:spacing w:after="0" w:line="340" w:lineRule="exact"/>
        <w:contextualSpacing/>
        <w:rPr>
          <w:color w:val="auto"/>
          <w:kern w:val="0"/>
          <w:sz w:val="24"/>
          <w:szCs w:val="24"/>
          <w:highlight w:val="none"/>
        </w:rPr>
      </w:pPr>
      <w:r>
        <w:rPr>
          <w:color w:val="auto"/>
          <w:kern w:val="0"/>
          <w:sz w:val="24"/>
          <w:szCs w:val="24"/>
          <w:highlight w:val="none"/>
        </w:rPr>
        <w:t xml:space="preserve">  </w:t>
      </w:r>
      <w:r>
        <w:rPr>
          <w:rFonts w:hint="eastAsia"/>
          <w:color w:val="auto"/>
          <w:kern w:val="0"/>
          <w:sz w:val="24"/>
          <w:szCs w:val="24"/>
          <w:highlight w:val="none"/>
        </w:rPr>
        <w:t>说明：应对照磋商文件</w:t>
      </w:r>
      <w:r>
        <w:rPr>
          <w:color w:val="auto"/>
          <w:kern w:val="0"/>
          <w:sz w:val="24"/>
          <w:szCs w:val="24"/>
          <w:highlight w:val="none"/>
        </w:rPr>
        <w:t>“</w:t>
      </w:r>
      <w:r>
        <w:rPr>
          <w:rFonts w:hint="eastAsia"/>
          <w:color w:val="auto"/>
          <w:kern w:val="0"/>
          <w:sz w:val="24"/>
          <w:szCs w:val="24"/>
          <w:highlight w:val="none"/>
        </w:rPr>
        <w:t>第三章</w:t>
      </w:r>
      <w:r>
        <w:rPr>
          <w:color w:val="auto"/>
          <w:kern w:val="0"/>
          <w:sz w:val="24"/>
          <w:szCs w:val="24"/>
          <w:highlight w:val="none"/>
        </w:rPr>
        <w:t xml:space="preserve"> </w:t>
      </w:r>
      <w:r>
        <w:rPr>
          <w:rFonts w:hint="eastAsia"/>
          <w:color w:val="auto"/>
          <w:kern w:val="0"/>
          <w:sz w:val="24"/>
          <w:szCs w:val="24"/>
          <w:highlight w:val="none"/>
        </w:rPr>
        <w:t>采购需求</w:t>
      </w:r>
      <w:r>
        <w:rPr>
          <w:color w:val="auto"/>
          <w:kern w:val="0"/>
          <w:sz w:val="24"/>
          <w:szCs w:val="24"/>
          <w:highlight w:val="none"/>
        </w:rPr>
        <w:t>”</w:t>
      </w:r>
      <w:r>
        <w:rPr>
          <w:rFonts w:hint="eastAsia"/>
          <w:color w:val="auto"/>
          <w:kern w:val="0"/>
          <w:sz w:val="24"/>
          <w:szCs w:val="24"/>
          <w:highlight w:val="none"/>
        </w:rPr>
        <w:t>中的“技术及其他要求”及“商务要求”逐条明确响应承诺。</w:t>
      </w:r>
    </w:p>
    <w:p w14:paraId="34866A39">
      <w:pPr>
        <w:spacing w:line="340" w:lineRule="exact"/>
        <w:ind w:right="-817" w:rightChars="-389"/>
        <w:contextualSpacing/>
        <w:jc w:val="center"/>
        <w:rPr>
          <w:color w:val="auto"/>
          <w:sz w:val="24"/>
          <w:highlight w:val="none"/>
        </w:rPr>
      </w:pPr>
      <w:r>
        <w:rPr>
          <w:rFonts w:hint="eastAsia"/>
          <w:color w:val="auto"/>
          <w:sz w:val="24"/>
          <w:highlight w:val="none"/>
        </w:rPr>
        <w:t>法定代表人或者委托代理人（签字或者电子签名）：</w:t>
      </w:r>
    </w:p>
    <w:p w14:paraId="13128EFD">
      <w:pPr>
        <w:spacing w:line="340" w:lineRule="exact"/>
        <w:ind w:right="-817" w:rightChars="-389" w:firstLine="2880" w:firstLineChars="1200"/>
        <w:contextualSpacing/>
        <w:rPr>
          <w:color w:val="auto"/>
          <w:sz w:val="24"/>
          <w:highlight w:val="none"/>
        </w:rPr>
      </w:pPr>
      <w:r>
        <w:rPr>
          <w:rFonts w:hint="eastAsia"/>
          <w:color w:val="auto"/>
          <w:sz w:val="24"/>
          <w:highlight w:val="none"/>
        </w:rPr>
        <w:t>供应商（电子签章）：</w:t>
      </w:r>
      <w:r>
        <w:rPr>
          <w:color w:val="auto"/>
          <w:sz w:val="24"/>
          <w:highlight w:val="none"/>
        </w:rPr>
        <w:t xml:space="preserve">      </w:t>
      </w:r>
    </w:p>
    <w:p w14:paraId="5B16EFBE">
      <w:pPr>
        <w:spacing w:line="340" w:lineRule="exact"/>
        <w:ind w:right="-817" w:rightChars="-389" w:firstLine="2880" w:firstLineChars="1200"/>
        <w:contextualSpacing/>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56207F06">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项目管理机构配备情况表</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889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0788E6B3">
            <w:pPr>
              <w:ind w:left="223" w:hanging="222" w:hangingChars="106"/>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5DC8ADC8">
            <w:pPr>
              <w:ind w:left="223" w:hanging="222" w:hangingChars="106"/>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1F1BBA48">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1AF3615A">
            <w:pPr>
              <w:ind w:left="223" w:hanging="222" w:hangingChars="106"/>
              <w:jc w:val="center"/>
              <w:rPr>
                <w:color w:val="auto"/>
                <w:highlight w:val="none"/>
              </w:rPr>
            </w:pPr>
            <w:r>
              <w:rPr>
                <w:rFonts w:hint="eastAsia"/>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08762617">
            <w:pPr>
              <w:ind w:left="223" w:hanging="222" w:hangingChars="106"/>
              <w:jc w:val="center"/>
              <w:rPr>
                <w:color w:val="auto"/>
                <w:highlight w:val="none"/>
              </w:rPr>
            </w:pPr>
            <w:r>
              <w:rPr>
                <w:rFonts w:hint="eastAsia"/>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7FDE724">
            <w:pPr>
              <w:jc w:val="left"/>
              <w:rPr>
                <w:color w:val="auto"/>
                <w:highlight w:val="none"/>
              </w:rPr>
            </w:pPr>
            <w:r>
              <w:rPr>
                <w:rFonts w:hint="eastAsia"/>
                <w:color w:val="auto"/>
                <w:highlight w:val="none"/>
              </w:rPr>
              <w:t>承担完工、在建工程情况</w:t>
            </w:r>
          </w:p>
        </w:tc>
      </w:tr>
      <w:tr w14:paraId="78A4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0F92537A">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2B7E9A17">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4ACFAE7F">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9ED6DBF">
            <w:pPr>
              <w:widowControl/>
              <w:jc w:val="left"/>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953CD16">
            <w:pPr>
              <w:ind w:left="223" w:hanging="222" w:hangingChars="106"/>
              <w:jc w:val="center"/>
              <w:rPr>
                <w:color w:val="auto"/>
                <w:highlight w:val="none"/>
              </w:rPr>
            </w:pPr>
            <w:r>
              <w:rPr>
                <w:rFonts w:hint="eastAsia"/>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41B2C806">
            <w:pPr>
              <w:ind w:left="223" w:hanging="222" w:hangingChars="106"/>
              <w:jc w:val="center"/>
              <w:rPr>
                <w:color w:val="auto"/>
                <w:highlight w:val="none"/>
              </w:rPr>
            </w:pPr>
            <w:r>
              <w:rPr>
                <w:rFonts w:hint="eastAsia"/>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5C16F703">
            <w:pPr>
              <w:ind w:left="223" w:hanging="222" w:hangingChars="106"/>
              <w:jc w:val="center"/>
              <w:rPr>
                <w:color w:val="auto"/>
                <w:highlight w:val="none"/>
              </w:rPr>
            </w:pPr>
            <w:r>
              <w:rPr>
                <w:rFonts w:hint="eastAsia"/>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2CF18242">
            <w:pPr>
              <w:ind w:left="223" w:hanging="222" w:hangingChars="106"/>
              <w:jc w:val="center"/>
              <w:rPr>
                <w:color w:val="auto"/>
                <w:highlight w:val="none"/>
              </w:rPr>
            </w:pPr>
            <w:r>
              <w:rPr>
                <w:rFonts w:hint="eastAsia"/>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222EA6CF">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276" w:type="dxa"/>
            <w:tcBorders>
              <w:top w:val="single" w:color="auto" w:sz="4" w:space="0"/>
              <w:left w:val="single" w:color="auto" w:sz="4" w:space="0"/>
              <w:bottom w:val="single" w:color="auto" w:sz="4" w:space="0"/>
              <w:right w:val="single" w:color="auto" w:sz="4" w:space="0"/>
            </w:tcBorders>
            <w:vAlign w:val="center"/>
          </w:tcPr>
          <w:p w14:paraId="11445894">
            <w:pPr>
              <w:jc w:val="center"/>
              <w:rPr>
                <w:color w:val="auto"/>
                <w:highlight w:val="none"/>
              </w:rPr>
            </w:pPr>
            <w:r>
              <w:rPr>
                <w:rFonts w:hint="eastAsia"/>
                <w:color w:val="auto"/>
                <w:highlight w:val="none"/>
              </w:rPr>
              <w:t>主要项目</w:t>
            </w:r>
          </w:p>
          <w:p w14:paraId="1FD7BB9C">
            <w:pPr>
              <w:jc w:val="center"/>
              <w:rPr>
                <w:color w:val="auto"/>
                <w:highlight w:val="none"/>
              </w:rPr>
            </w:pPr>
            <w:r>
              <w:rPr>
                <w:rFonts w:hint="eastAsia"/>
                <w:color w:val="auto"/>
                <w:highlight w:val="none"/>
              </w:rPr>
              <w:t>名称</w:t>
            </w:r>
          </w:p>
        </w:tc>
      </w:tr>
      <w:tr w14:paraId="34BF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BD3079D">
            <w:pPr>
              <w:pStyle w:val="139"/>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eastAsia="en-US" w:bidi="en-US"/>
              </w:rPr>
              <w:t>1.</w:t>
            </w:r>
            <w:r>
              <w:rPr>
                <w:rFonts w:hint="eastAsia"/>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1A61021F">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5658DC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A6E4F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56E4BB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DF20A98">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EC72689">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190FC5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7969C78">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A1089E3">
            <w:pPr>
              <w:ind w:left="223" w:hanging="222" w:hangingChars="106"/>
              <w:jc w:val="center"/>
              <w:rPr>
                <w:color w:val="auto"/>
                <w:szCs w:val="21"/>
                <w:highlight w:val="none"/>
              </w:rPr>
            </w:pPr>
          </w:p>
        </w:tc>
      </w:tr>
      <w:tr w14:paraId="547C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5A56281F">
            <w:pPr>
              <w:pStyle w:val="139"/>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bidi="en-US"/>
              </w:rPr>
              <w:t>2.</w:t>
            </w:r>
            <w:r>
              <w:rPr>
                <w:rFonts w:hint="eastAsia"/>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284CF028">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FF93383">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EB9000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81706A">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BB7FCA8">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2E3B13">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7C6C218">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0B9B5FF">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EB1098D">
            <w:pPr>
              <w:ind w:left="223" w:hanging="222" w:hangingChars="106"/>
              <w:jc w:val="center"/>
              <w:rPr>
                <w:color w:val="auto"/>
                <w:szCs w:val="21"/>
                <w:highlight w:val="none"/>
              </w:rPr>
            </w:pPr>
          </w:p>
        </w:tc>
      </w:tr>
      <w:tr w14:paraId="35E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CAE6FF3">
            <w:pPr>
              <w:pStyle w:val="139"/>
              <w:spacing w:line="240" w:lineRule="auto"/>
              <w:ind w:firstLine="0"/>
              <w:rPr>
                <w:rFonts w:ascii="Times New Roman" w:hAnsi="Times New Roman" w:eastAsia="Times New Roman" w:cs="Times New Roman"/>
                <w:color w:val="auto"/>
                <w:kern w:val="2"/>
                <w:sz w:val="21"/>
                <w:szCs w:val="21"/>
                <w:highlight w:val="none"/>
                <w:lang w:val="en-US" w:bidi="en-US"/>
              </w:rPr>
            </w:pPr>
            <w:r>
              <w:rPr>
                <w:rFonts w:ascii="Times New Roman" w:hAnsi="Times New Roman" w:eastAsia="Times New Roman" w:cs="Times New Roman"/>
                <w:color w:val="auto"/>
                <w:kern w:val="2"/>
                <w:sz w:val="21"/>
                <w:szCs w:val="21"/>
                <w:highlight w:val="none"/>
                <w:lang w:val="en-US" w:bidi="en-US"/>
              </w:rPr>
              <w:t>4.</w:t>
            </w:r>
            <w:r>
              <w:rPr>
                <w:rFonts w:hint="eastAsia"/>
                <w:color w:val="auto"/>
                <w:highlight w:val="none"/>
              </w:rPr>
              <w:t xml:space="preserve"> </w:t>
            </w:r>
            <w:r>
              <w:rPr>
                <w:rFonts w:hint="eastAsia"/>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14A4BA6F">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1F56C81">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49C1C8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91FE65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51FD014">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91C5B5F">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372FED2">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D4B501E">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DBA0B4C">
            <w:pPr>
              <w:ind w:left="223" w:hanging="222" w:hangingChars="106"/>
              <w:jc w:val="center"/>
              <w:rPr>
                <w:color w:val="auto"/>
                <w:szCs w:val="21"/>
                <w:highlight w:val="none"/>
              </w:rPr>
            </w:pPr>
          </w:p>
        </w:tc>
      </w:tr>
      <w:tr w14:paraId="7C9F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F695CF3">
            <w:pPr>
              <w:pStyle w:val="139"/>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eastAsia="en-US" w:bidi="en-US"/>
              </w:rPr>
              <w:t>3.</w:t>
            </w:r>
            <w:r>
              <w:rPr>
                <w:rFonts w:hint="eastAsia"/>
                <w:color w:val="auto"/>
                <w:kern w:val="2"/>
                <w:sz w:val="21"/>
                <w:szCs w:val="21"/>
                <w:highlight w:val="none"/>
                <w:lang w:val="en-US"/>
              </w:rPr>
              <w:t xml:space="preserve"> </w:t>
            </w:r>
            <w:r>
              <w:rPr>
                <w:rFonts w:hint="eastAsia"/>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5CCC4D59">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6C018A1">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A05DB7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92BF54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B31A564">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E0DD4FA">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6D7B03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38F5625">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86D5FE">
            <w:pPr>
              <w:ind w:left="223" w:hanging="222" w:hangingChars="106"/>
              <w:jc w:val="center"/>
              <w:rPr>
                <w:color w:val="auto"/>
                <w:szCs w:val="21"/>
                <w:highlight w:val="none"/>
              </w:rPr>
            </w:pPr>
          </w:p>
        </w:tc>
      </w:tr>
      <w:tr w14:paraId="7C3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8B1F83D">
            <w:pPr>
              <w:jc w:val="left"/>
              <w:rPr>
                <w:color w:val="auto"/>
                <w:szCs w:val="21"/>
                <w:highlight w:val="none"/>
              </w:rPr>
            </w:pPr>
            <w:r>
              <w:rPr>
                <w:color w:val="auto"/>
                <w:szCs w:val="21"/>
                <w:highlight w:val="none"/>
              </w:rPr>
              <w:t xml:space="preserve">5. </w:t>
            </w:r>
            <w:r>
              <w:rPr>
                <w:rFonts w:hint="eastAsia"/>
                <w:color w:val="auto"/>
                <w:szCs w:val="21"/>
                <w:highlight w:val="none"/>
              </w:rPr>
              <w:t>质量员</w:t>
            </w:r>
          </w:p>
        </w:tc>
        <w:tc>
          <w:tcPr>
            <w:tcW w:w="670" w:type="dxa"/>
            <w:tcBorders>
              <w:top w:val="single" w:color="auto" w:sz="4" w:space="0"/>
              <w:left w:val="single" w:color="auto" w:sz="4" w:space="0"/>
              <w:bottom w:val="single" w:color="auto" w:sz="4" w:space="0"/>
              <w:right w:val="single" w:color="auto" w:sz="4" w:space="0"/>
            </w:tcBorders>
            <w:vAlign w:val="center"/>
          </w:tcPr>
          <w:p w14:paraId="09CD62BB">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A4CC0B3">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5E75B8">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4E8E8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8D0CAA8">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DBAFD91">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1028D4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C42062E">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7F22069">
            <w:pPr>
              <w:ind w:left="223" w:hanging="222" w:hangingChars="106"/>
              <w:jc w:val="center"/>
              <w:rPr>
                <w:color w:val="auto"/>
                <w:szCs w:val="21"/>
                <w:highlight w:val="none"/>
              </w:rPr>
            </w:pPr>
          </w:p>
        </w:tc>
      </w:tr>
      <w:tr w14:paraId="7B9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58F5CB6A">
            <w:pPr>
              <w:jc w:val="left"/>
              <w:rPr>
                <w:color w:val="auto"/>
                <w:szCs w:val="21"/>
                <w:highlight w:val="none"/>
              </w:rPr>
            </w:pPr>
            <w:r>
              <w:rPr>
                <w:color w:val="auto"/>
                <w:szCs w:val="21"/>
                <w:highlight w:val="none"/>
              </w:rPr>
              <w:t>6.</w:t>
            </w:r>
            <w:r>
              <w:rPr>
                <w:rFonts w:hint="eastAsia"/>
                <w:color w:val="auto"/>
                <w:szCs w:val="21"/>
                <w:highlight w:val="none"/>
              </w:rPr>
              <w:t>材料员</w:t>
            </w:r>
          </w:p>
        </w:tc>
        <w:tc>
          <w:tcPr>
            <w:tcW w:w="670" w:type="dxa"/>
            <w:tcBorders>
              <w:top w:val="single" w:color="auto" w:sz="4" w:space="0"/>
              <w:left w:val="single" w:color="auto" w:sz="4" w:space="0"/>
              <w:bottom w:val="single" w:color="auto" w:sz="4" w:space="0"/>
              <w:right w:val="single" w:color="auto" w:sz="4" w:space="0"/>
            </w:tcBorders>
            <w:vAlign w:val="center"/>
          </w:tcPr>
          <w:p w14:paraId="7B86B1E5">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9559733">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49842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56048CC">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3CB4E2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E3947EA">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6781D00">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7797E04">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E56DD9">
            <w:pPr>
              <w:ind w:left="223" w:hanging="222" w:hangingChars="106"/>
              <w:jc w:val="center"/>
              <w:rPr>
                <w:color w:val="auto"/>
                <w:szCs w:val="21"/>
                <w:highlight w:val="none"/>
              </w:rPr>
            </w:pPr>
          </w:p>
        </w:tc>
      </w:tr>
      <w:tr w14:paraId="5981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8B43E93">
            <w:pPr>
              <w:jc w:val="left"/>
              <w:rPr>
                <w:color w:val="auto"/>
                <w:szCs w:val="21"/>
                <w:highlight w:val="none"/>
              </w:rPr>
            </w:pPr>
            <w:r>
              <w:rPr>
                <w:rFonts w:hint="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6A5238A9">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5A53F2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DBD578D">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BCD1B3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D5F2C9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541208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EBE5D0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E25A533">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78F684F">
            <w:pPr>
              <w:ind w:left="223" w:hanging="222" w:hangingChars="106"/>
              <w:jc w:val="center"/>
              <w:rPr>
                <w:color w:val="auto"/>
                <w:szCs w:val="21"/>
                <w:highlight w:val="none"/>
              </w:rPr>
            </w:pPr>
          </w:p>
        </w:tc>
      </w:tr>
      <w:tr w14:paraId="00FB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08583D5E">
            <w:pPr>
              <w:ind w:left="223" w:hanging="222" w:hangingChars="106"/>
              <w:jc w:val="left"/>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41AFC609">
      <w:pPr>
        <w:spacing w:line="360" w:lineRule="auto"/>
        <w:jc w:val="left"/>
        <w:rPr>
          <w:rFonts w:ascii="宋体" w:hAnsi="宋体"/>
          <w:b/>
          <w:color w:val="auto"/>
          <w:szCs w:val="21"/>
          <w:highlight w:val="none"/>
        </w:rPr>
      </w:pPr>
      <w:r>
        <w:rPr>
          <w:rFonts w:hint="eastAsia" w:ascii="宋体" w:hAnsi="宋体"/>
          <w:b/>
          <w:color w:val="auto"/>
          <w:szCs w:val="21"/>
          <w:highlight w:val="none"/>
        </w:rPr>
        <w:t>备注：</w:t>
      </w:r>
    </w:p>
    <w:p w14:paraId="796F252C">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1.本表所列岗位的所有管理人员的情况均应如实填写。可按以上格式扩展为多页填写。</w:t>
      </w:r>
    </w:p>
    <w:p w14:paraId="0709892A">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b/>
          <w:color w:val="auto"/>
          <w:szCs w:val="21"/>
          <w:highlight w:val="none"/>
        </w:rPr>
        <w:t>附以下证明材料：①项目经理提供建筑工程专业二级以上（含二级）注册建造师执业资格证书复印件及有效的安全生产考核合格证书复印件（B类），加盖供应商电子签章；②技术负责人提供</w:t>
      </w:r>
      <w:r>
        <w:rPr>
          <w:rFonts w:hint="eastAsia" w:ascii="宋体" w:hAnsi="宋体" w:cs="宋体"/>
          <w:b/>
          <w:bCs/>
          <w:color w:val="auto"/>
          <w:szCs w:val="21"/>
          <w:highlight w:val="none"/>
        </w:rPr>
        <w:t>与本项目相关专业的</w:t>
      </w:r>
      <w:r>
        <w:rPr>
          <w:rFonts w:hint="eastAsia" w:asciiTheme="majorEastAsia" w:hAnsiTheme="majorEastAsia" w:eastAsiaTheme="majorEastAsia"/>
          <w:b/>
          <w:bCs/>
          <w:color w:val="auto"/>
          <w:highlight w:val="none"/>
        </w:rPr>
        <w:t>工程师</w:t>
      </w:r>
      <w:r>
        <w:rPr>
          <w:rFonts w:hint="eastAsia" w:ascii="宋体" w:hAnsi="宋体" w:cs="宋体"/>
          <w:b/>
          <w:color w:val="auto"/>
          <w:szCs w:val="21"/>
          <w:highlight w:val="none"/>
        </w:rPr>
        <w:t>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9月至响应文件递交截止时间止任意一个月供应商为以上项目管理机构人员交纳的社保证明复印件</w:t>
      </w:r>
      <w:r>
        <w:rPr>
          <w:rFonts w:hint="eastAsia"/>
          <w:b/>
          <w:color w:val="auto"/>
          <w:highlight w:val="none"/>
        </w:rPr>
        <w:t>或者劳动合同</w:t>
      </w:r>
      <w:r>
        <w:rPr>
          <w:rFonts w:hint="eastAsia" w:ascii="宋体" w:hAnsi="宋体" w:cs="宋体"/>
          <w:b/>
          <w:color w:val="auto"/>
          <w:szCs w:val="21"/>
          <w:highlight w:val="none"/>
        </w:rPr>
        <w:t>复印件，加盖供应商电子签章</w:t>
      </w:r>
      <w:r>
        <w:rPr>
          <w:rFonts w:hint="eastAsia" w:ascii="宋体" w:hAnsi="宋体"/>
          <w:b/>
          <w:color w:val="auto"/>
          <w:szCs w:val="21"/>
          <w:highlight w:val="none"/>
        </w:rPr>
        <w:t>。</w:t>
      </w:r>
    </w:p>
    <w:p w14:paraId="074D2601">
      <w:pPr>
        <w:spacing w:line="360" w:lineRule="auto"/>
        <w:ind w:firstLine="480" w:firstLineChars="200"/>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3494C0EF">
      <w:pPr>
        <w:spacing w:line="360" w:lineRule="auto"/>
        <w:ind w:firstLine="560" w:firstLineChars="200"/>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78A192CA">
      <w:pPr>
        <w:spacing w:line="500" w:lineRule="exact"/>
        <w:jc w:val="center"/>
        <w:rPr>
          <w:rFonts w:cs="宋体"/>
          <w:b/>
          <w:bCs/>
          <w:color w:val="auto"/>
          <w:sz w:val="28"/>
          <w:szCs w:val="28"/>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供应商关于拟派项目经理的承诺函</w:t>
      </w:r>
    </w:p>
    <w:p w14:paraId="718B9FC4">
      <w:pPr>
        <w:spacing w:line="520" w:lineRule="exact"/>
        <w:ind w:left="-10" w:firstLine="520" w:firstLineChars="217"/>
        <w:jc w:val="left"/>
        <w:rPr>
          <w:rFonts w:cs="宋体"/>
          <w:bCs/>
          <w:color w:val="auto"/>
          <w:sz w:val="24"/>
          <w:highlight w:val="none"/>
        </w:rPr>
      </w:pPr>
    </w:p>
    <w:p w14:paraId="45EDB784">
      <w:pPr>
        <w:pStyle w:val="16"/>
        <w:spacing w:line="560" w:lineRule="exact"/>
        <w:ind w:firstLine="480" w:firstLineChars="200"/>
        <w:rPr>
          <w:rFonts w:cs="宋体"/>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不存在其他在建、已中标（或成交）未开工或已列为其他项目中标（或成交）候选人第一名的建造师（符合桂建管【2013】17号文及桂建管【2016】70号除外）。</w:t>
      </w:r>
    </w:p>
    <w:p w14:paraId="5312B389">
      <w:pPr>
        <w:spacing w:line="560" w:lineRule="exact"/>
        <w:ind w:left="-10" w:firstLine="520" w:firstLineChars="217"/>
        <w:jc w:val="left"/>
        <w:rPr>
          <w:rFonts w:cs="宋体"/>
          <w:bCs/>
          <w:color w:val="auto"/>
          <w:sz w:val="24"/>
          <w:highlight w:val="none"/>
        </w:rPr>
      </w:pPr>
      <w:r>
        <w:rPr>
          <w:rFonts w:hint="eastAsia" w:cs="宋体"/>
          <w:bCs/>
          <w:color w:val="auto"/>
          <w:sz w:val="24"/>
          <w:highlight w:val="none"/>
        </w:rPr>
        <w:t>本单位对上述承诺的真实性负责。如有虚假，将依法承担相应责任。</w:t>
      </w:r>
    </w:p>
    <w:p w14:paraId="4D68D179">
      <w:pPr>
        <w:spacing w:line="560" w:lineRule="exact"/>
        <w:ind w:left="-10" w:firstLine="455" w:firstLineChars="217"/>
        <w:jc w:val="left"/>
        <w:rPr>
          <w:color w:val="auto"/>
          <w:szCs w:val="21"/>
          <w:highlight w:val="none"/>
        </w:rPr>
      </w:pPr>
    </w:p>
    <w:p w14:paraId="551F9D13">
      <w:pPr>
        <w:spacing w:line="520" w:lineRule="exact"/>
        <w:jc w:val="left"/>
        <w:rPr>
          <w:color w:val="auto"/>
          <w:highlight w:val="none"/>
        </w:rPr>
      </w:pPr>
    </w:p>
    <w:p w14:paraId="15049176">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109E6B33">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52B169C5">
      <w:pPr>
        <w:spacing w:line="360" w:lineRule="auto"/>
        <w:ind w:firstLine="2730" w:firstLineChars="130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73CA2797">
      <w:pPr>
        <w:spacing w:line="500" w:lineRule="exact"/>
        <w:jc w:val="center"/>
        <w:rPr>
          <w:rFonts w:ascii="宋体" w:hAnsi="宋体"/>
          <w:b/>
          <w:color w:val="auto"/>
          <w:sz w:val="32"/>
          <w:szCs w:val="32"/>
          <w:highlight w:val="none"/>
        </w:rPr>
      </w:pPr>
    </w:p>
    <w:p w14:paraId="7B8CC44C">
      <w:pPr>
        <w:spacing w:line="500" w:lineRule="exact"/>
        <w:jc w:val="center"/>
        <w:rPr>
          <w:rFonts w:ascii="宋体" w:hAnsi="宋体"/>
          <w:b/>
          <w:color w:val="auto"/>
          <w:sz w:val="32"/>
          <w:szCs w:val="32"/>
          <w:highlight w:val="none"/>
        </w:rPr>
      </w:pPr>
    </w:p>
    <w:p w14:paraId="3461496E">
      <w:pPr>
        <w:spacing w:line="500" w:lineRule="exact"/>
        <w:jc w:val="center"/>
        <w:rPr>
          <w:rFonts w:ascii="宋体" w:hAnsi="宋体"/>
          <w:b/>
          <w:color w:val="auto"/>
          <w:sz w:val="32"/>
          <w:szCs w:val="32"/>
          <w:highlight w:val="none"/>
        </w:rPr>
      </w:pPr>
    </w:p>
    <w:p w14:paraId="5C10A974">
      <w:pPr>
        <w:spacing w:line="500" w:lineRule="exact"/>
        <w:jc w:val="center"/>
        <w:rPr>
          <w:rFonts w:ascii="宋体" w:hAnsi="宋体"/>
          <w:b/>
          <w:color w:val="auto"/>
          <w:sz w:val="32"/>
          <w:szCs w:val="32"/>
          <w:highlight w:val="none"/>
        </w:rPr>
      </w:pPr>
    </w:p>
    <w:p w14:paraId="17B66259">
      <w:pPr>
        <w:spacing w:line="500" w:lineRule="exact"/>
        <w:jc w:val="center"/>
        <w:rPr>
          <w:rFonts w:ascii="宋体" w:hAnsi="宋体"/>
          <w:b/>
          <w:color w:val="auto"/>
          <w:sz w:val="32"/>
          <w:szCs w:val="32"/>
          <w:highlight w:val="none"/>
        </w:rPr>
      </w:pPr>
    </w:p>
    <w:p w14:paraId="469CA1A5">
      <w:pPr>
        <w:spacing w:line="500" w:lineRule="exact"/>
        <w:jc w:val="center"/>
        <w:rPr>
          <w:rFonts w:ascii="宋体" w:hAnsi="宋体"/>
          <w:b/>
          <w:color w:val="auto"/>
          <w:sz w:val="32"/>
          <w:szCs w:val="32"/>
          <w:highlight w:val="none"/>
        </w:rPr>
      </w:pPr>
    </w:p>
    <w:p w14:paraId="4CF590D4">
      <w:pPr>
        <w:spacing w:line="500" w:lineRule="exact"/>
        <w:jc w:val="center"/>
        <w:rPr>
          <w:rFonts w:ascii="宋体" w:hAnsi="宋体"/>
          <w:b/>
          <w:color w:val="auto"/>
          <w:sz w:val="32"/>
          <w:szCs w:val="32"/>
          <w:highlight w:val="none"/>
        </w:rPr>
      </w:pPr>
    </w:p>
    <w:p w14:paraId="54C8C626">
      <w:pPr>
        <w:spacing w:line="500" w:lineRule="exact"/>
        <w:jc w:val="center"/>
        <w:rPr>
          <w:rFonts w:ascii="宋体" w:hAnsi="宋体"/>
          <w:b/>
          <w:color w:val="auto"/>
          <w:sz w:val="32"/>
          <w:szCs w:val="32"/>
          <w:highlight w:val="none"/>
        </w:rPr>
      </w:pPr>
    </w:p>
    <w:p w14:paraId="4103A5A0">
      <w:pPr>
        <w:spacing w:line="500" w:lineRule="exact"/>
        <w:jc w:val="center"/>
        <w:rPr>
          <w:rFonts w:ascii="宋体" w:hAnsi="宋体"/>
          <w:b/>
          <w:color w:val="auto"/>
          <w:sz w:val="32"/>
          <w:szCs w:val="32"/>
          <w:highlight w:val="none"/>
        </w:rPr>
      </w:pPr>
    </w:p>
    <w:p w14:paraId="68F6AEB4">
      <w:pPr>
        <w:spacing w:line="500" w:lineRule="exact"/>
        <w:jc w:val="center"/>
        <w:rPr>
          <w:rFonts w:ascii="宋体" w:hAnsi="宋体"/>
          <w:b/>
          <w:color w:val="auto"/>
          <w:sz w:val="32"/>
          <w:szCs w:val="32"/>
          <w:highlight w:val="none"/>
        </w:rPr>
      </w:pPr>
    </w:p>
    <w:p w14:paraId="7E9FFBBE">
      <w:pPr>
        <w:spacing w:line="500" w:lineRule="exact"/>
        <w:jc w:val="center"/>
        <w:rPr>
          <w:rFonts w:ascii="宋体" w:hAnsi="宋体"/>
          <w:b/>
          <w:color w:val="auto"/>
          <w:sz w:val="32"/>
          <w:szCs w:val="32"/>
          <w:highlight w:val="none"/>
        </w:rPr>
      </w:pPr>
    </w:p>
    <w:p w14:paraId="242F5642">
      <w:pPr>
        <w:spacing w:line="500" w:lineRule="exact"/>
        <w:jc w:val="center"/>
        <w:rPr>
          <w:rFonts w:ascii="宋体" w:hAnsi="宋体"/>
          <w:b/>
          <w:color w:val="auto"/>
          <w:sz w:val="32"/>
          <w:szCs w:val="32"/>
          <w:highlight w:val="none"/>
        </w:rPr>
      </w:pPr>
    </w:p>
    <w:p w14:paraId="6EC2938E">
      <w:pPr>
        <w:spacing w:line="500" w:lineRule="exact"/>
        <w:jc w:val="center"/>
        <w:rPr>
          <w:rFonts w:ascii="宋体" w:hAnsi="宋体"/>
          <w:b/>
          <w:color w:val="auto"/>
          <w:sz w:val="32"/>
          <w:szCs w:val="32"/>
          <w:highlight w:val="none"/>
        </w:rPr>
      </w:pPr>
    </w:p>
    <w:p w14:paraId="7D23142B">
      <w:pPr>
        <w:spacing w:line="500" w:lineRule="exact"/>
        <w:jc w:val="center"/>
        <w:rPr>
          <w:rFonts w:ascii="宋体" w:hAnsi="宋体"/>
          <w:b/>
          <w:color w:val="auto"/>
          <w:sz w:val="32"/>
          <w:szCs w:val="32"/>
          <w:highlight w:val="none"/>
        </w:rPr>
      </w:pPr>
    </w:p>
    <w:p w14:paraId="47B1E8A9">
      <w:pPr>
        <w:spacing w:line="500" w:lineRule="exact"/>
        <w:jc w:val="center"/>
        <w:rPr>
          <w:rFonts w:ascii="宋体" w:hAnsi="宋体"/>
          <w:b/>
          <w:color w:val="auto"/>
          <w:sz w:val="32"/>
          <w:szCs w:val="32"/>
          <w:highlight w:val="none"/>
        </w:rPr>
      </w:pPr>
    </w:p>
    <w:p w14:paraId="066DBD9D">
      <w:pPr>
        <w:spacing w:line="500" w:lineRule="exact"/>
        <w:jc w:val="center"/>
        <w:rPr>
          <w:rFonts w:ascii="方正小标宋简体" w:hAnsi="方正小标宋简体" w:eastAsia="方正小标宋简体" w:cs="方正小标宋简体"/>
          <w:bCs/>
          <w:color w:val="auto"/>
          <w:sz w:val="44"/>
          <w:szCs w:val="44"/>
          <w:highlight w:val="none"/>
        </w:rPr>
      </w:pPr>
    </w:p>
    <w:p w14:paraId="18542FFF">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76B82C45">
      <w:pPr>
        <w:spacing w:line="360" w:lineRule="auto"/>
        <w:ind w:firstLine="420" w:firstLineChars="200"/>
        <w:rPr>
          <w:color w:val="auto"/>
          <w:highlight w:val="none"/>
        </w:rPr>
      </w:pPr>
    </w:p>
    <w:p w14:paraId="3E891654">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w:t>
      </w:r>
      <w:r>
        <w:rPr>
          <w:rFonts w:hint="eastAsia" w:ascii="宋体" w:hAnsi="宋体"/>
          <w:color w:val="auto"/>
          <w:highlight w:val="none"/>
        </w:rPr>
        <w:t>应</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5BEA1C7C">
      <w:pPr>
        <w:spacing w:line="360" w:lineRule="exact"/>
        <w:ind w:firstLine="420" w:firstLineChars="200"/>
        <w:rPr>
          <w:color w:val="auto"/>
          <w:highlight w:val="none"/>
        </w:rPr>
      </w:pPr>
      <w:r>
        <w:rPr>
          <w:rFonts w:hint="eastAsia"/>
          <w:color w:val="auto"/>
          <w:highlight w:val="none"/>
        </w:rPr>
        <w:t>（1）</w:t>
      </w:r>
      <w:r>
        <w:rPr>
          <w:rFonts w:hint="eastAsia" w:ascii="宋体" w:hAnsi="宋体" w:cs="宋体"/>
          <w:color w:val="auto"/>
          <w:highlight w:val="none"/>
        </w:rPr>
        <w:t>总体概述</w:t>
      </w:r>
      <w:r>
        <w:rPr>
          <w:rFonts w:hint="eastAsia" w:ascii="宋体" w:hAnsi="宋体"/>
          <w:bCs/>
          <w:color w:val="auto"/>
          <w:kern w:val="0"/>
          <w:highlight w:val="none"/>
        </w:rPr>
        <w:t>；</w:t>
      </w:r>
    </w:p>
    <w:p w14:paraId="3F9273FF">
      <w:pPr>
        <w:spacing w:line="360" w:lineRule="exact"/>
        <w:ind w:firstLine="420" w:firstLineChars="200"/>
        <w:rPr>
          <w:color w:val="auto"/>
          <w:highlight w:val="none"/>
        </w:rPr>
      </w:pPr>
      <w:r>
        <w:rPr>
          <w:rFonts w:hint="eastAsia"/>
          <w:color w:val="auto"/>
          <w:highlight w:val="none"/>
        </w:rPr>
        <w:t>（2）</w:t>
      </w:r>
      <w:r>
        <w:rPr>
          <w:rFonts w:hint="eastAsia" w:ascii="宋体" w:hAnsi="宋体" w:cs="宋体"/>
          <w:color w:val="auto"/>
          <w:highlight w:val="none"/>
        </w:rPr>
        <w:t>主要施工方法</w:t>
      </w:r>
      <w:r>
        <w:rPr>
          <w:rFonts w:hint="eastAsia"/>
          <w:color w:val="auto"/>
          <w:highlight w:val="none"/>
        </w:rPr>
        <w:t>；</w:t>
      </w:r>
    </w:p>
    <w:p w14:paraId="3A4133C5">
      <w:pPr>
        <w:spacing w:line="360" w:lineRule="exact"/>
        <w:ind w:firstLine="420" w:firstLineChars="200"/>
        <w:rPr>
          <w:color w:val="auto"/>
          <w:highlight w:val="none"/>
        </w:rPr>
      </w:pPr>
      <w:r>
        <w:rPr>
          <w:rFonts w:hint="eastAsia"/>
          <w:color w:val="auto"/>
          <w:highlight w:val="none"/>
        </w:rPr>
        <w:t>（3）</w:t>
      </w:r>
      <w:r>
        <w:rPr>
          <w:rFonts w:hint="eastAsia" w:ascii="宋体" w:hAnsi="宋体" w:cs="宋体"/>
          <w:color w:val="auto"/>
          <w:highlight w:val="none"/>
        </w:rPr>
        <w:t>施工进度计划和各阶段进度的保证措施</w:t>
      </w:r>
      <w:r>
        <w:rPr>
          <w:rFonts w:hint="eastAsia" w:ascii="宋体" w:hAnsi="宋体" w:cs="宋体"/>
          <w:color w:val="auto"/>
          <w:spacing w:val="5"/>
          <w:highlight w:val="none"/>
        </w:rPr>
        <w:t>；</w:t>
      </w:r>
    </w:p>
    <w:p w14:paraId="7078FD57">
      <w:pPr>
        <w:spacing w:line="360" w:lineRule="exact"/>
        <w:ind w:firstLine="420" w:firstLineChars="200"/>
        <w:rPr>
          <w:color w:val="auto"/>
          <w:highlight w:val="none"/>
        </w:rPr>
      </w:pPr>
      <w:r>
        <w:rPr>
          <w:rFonts w:hint="eastAsia"/>
          <w:color w:val="auto"/>
          <w:highlight w:val="none"/>
        </w:rPr>
        <w:t>（4）</w:t>
      </w:r>
      <w:r>
        <w:rPr>
          <w:rFonts w:hint="eastAsia" w:ascii="宋体" w:hAnsi="宋体" w:cs="宋体"/>
          <w:color w:val="auto"/>
          <w:highlight w:val="none"/>
        </w:rPr>
        <w:t>劳动力和材料投入计划及其保证措施</w:t>
      </w:r>
      <w:r>
        <w:rPr>
          <w:rFonts w:hint="eastAsia"/>
          <w:color w:val="auto"/>
          <w:highlight w:val="none"/>
        </w:rPr>
        <w:t>；</w:t>
      </w:r>
    </w:p>
    <w:p w14:paraId="24D194AD">
      <w:pPr>
        <w:spacing w:line="360" w:lineRule="exact"/>
        <w:ind w:firstLine="420" w:firstLineChars="200"/>
        <w:jc w:val="left"/>
        <w:rPr>
          <w:color w:val="auto"/>
          <w:highlight w:val="none"/>
        </w:rPr>
      </w:pPr>
      <w:r>
        <w:rPr>
          <w:rFonts w:hint="eastAsia"/>
          <w:color w:val="auto"/>
          <w:highlight w:val="none"/>
        </w:rPr>
        <w:t>（5）</w:t>
      </w:r>
      <w:r>
        <w:rPr>
          <w:rFonts w:hint="eastAsia" w:ascii="宋体" w:hAnsi="宋体" w:cs="宋体"/>
          <w:color w:val="auto"/>
          <w:highlight w:val="none"/>
        </w:rPr>
        <w:t>施工平面布置和临时设施布置</w:t>
      </w:r>
      <w:r>
        <w:rPr>
          <w:rFonts w:hint="eastAsia"/>
          <w:color w:val="auto"/>
          <w:highlight w:val="none"/>
        </w:rPr>
        <w:t>；</w:t>
      </w:r>
    </w:p>
    <w:p w14:paraId="57C355F5">
      <w:pPr>
        <w:spacing w:line="360" w:lineRule="exact"/>
        <w:ind w:firstLine="420" w:firstLineChars="200"/>
        <w:rPr>
          <w:color w:val="auto"/>
          <w:highlight w:val="none"/>
        </w:rPr>
      </w:pPr>
      <w:r>
        <w:rPr>
          <w:rFonts w:hint="eastAsia"/>
          <w:color w:val="auto"/>
          <w:highlight w:val="none"/>
        </w:rPr>
        <w:t>（6）</w:t>
      </w:r>
      <w:r>
        <w:rPr>
          <w:rFonts w:hint="eastAsia" w:ascii="宋体" w:hAnsi="宋体" w:cs="宋体"/>
          <w:color w:val="auto"/>
          <w:highlight w:val="none"/>
        </w:rPr>
        <w:t>关键施工技术、工艺及工程实施的重点、难点和解决方案</w:t>
      </w:r>
      <w:r>
        <w:rPr>
          <w:rFonts w:hint="eastAsia"/>
          <w:color w:val="auto"/>
          <w:highlight w:val="none"/>
        </w:rPr>
        <w:t>；</w:t>
      </w:r>
    </w:p>
    <w:p w14:paraId="18511FBC">
      <w:pPr>
        <w:spacing w:line="360" w:lineRule="exact"/>
        <w:ind w:firstLine="420" w:firstLineChars="200"/>
        <w:rPr>
          <w:rFonts w:ascii="宋体" w:hAnsi="宋体" w:cs="宋体"/>
          <w:color w:val="auto"/>
          <w:highlight w:val="none"/>
        </w:rPr>
      </w:pPr>
      <w:r>
        <w:rPr>
          <w:rFonts w:hint="eastAsia"/>
          <w:color w:val="auto"/>
          <w:highlight w:val="none"/>
        </w:rPr>
        <w:t>（7）</w:t>
      </w:r>
      <w:r>
        <w:rPr>
          <w:rFonts w:hint="eastAsia" w:ascii="宋体" w:hAnsi="宋体" w:cs="宋体"/>
          <w:color w:val="auto"/>
          <w:highlight w:val="none"/>
        </w:rPr>
        <w:t>安全文明施工措施；</w:t>
      </w:r>
    </w:p>
    <w:p w14:paraId="461825A1">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（8）质量保证与承诺；</w:t>
      </w:r>
    </w:p>
    <w:p w14:paraId="17210A8D">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（9）新技术应用与承诺。</w:t>
      </w:r>
    </w:p>
    <w:p w14:paraId="3BF6E77B">
      <w:pPr>
        <w:spacing w:line="360" w:lineRule="auto"/>
        <w:ind w:firstLine="420" w:firstLineChars="200"/>
        <w:rPr>
          <w:color w:val="auto"/>
          <w:highlight w:val="none"/>
        </w:rPr>
      </w:pPr>
    </w:p>
    <w:p w14:paraId="1DC249A7">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240EFA8B">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4328B999">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77A2B472">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4B744F9F">
      <w:pPr>
        <w:spacing w:line="360" w:lineRule="auto"/>
        <w:ind w:firstLine="420" w:firstLineChars="20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230C5C9D">
      <w:pPr>
        <w:spacing w:line="360" w:lineRule="auto"/>
        <w:ind w:firstLine="420" w:firstLineChars="200"/>
        <w:rPr>
          <w:color w:val="auto"/>
          <w:highlight w:val="none"/>
        </w:rPr>
      </w:pPr>
    </w:p>
    <w:p w14:paraId="4AB3FD93">
      <w:pPr>
        <w:rPr>
          <w:color w:val="auto"/>
          <w:highlight w:val="none"/>
        </w:rPr>
      </w:pPr>
      <w:r>
        <w:rPr>
          <w:rFonts w:hint="eastAsia" w:cs="宋体"/>
          <w:color w:val="auto"/>
          <w:highlight w:val="none"/>
        </w:rPr>
        <w:t>附表一：劳动力计划表</w:t>
      </w:r>
    </w:p>
    <w:p w14:paraId="2E4C7C7F">
      <w:pPr>
        <w:ind w:firstLine="7245" w:firstLineChars="3450"/>
        <w:rPr>
          <w:color w:val="auto"/>
          <w:highlight w:val="none"/>
        </w:rPr>
      </w:pPr>
      <w:r>
        <w:rPr>
          <w:color w:val="auto"/>
          <w:highlight w:val="none"/>
        </w:rPr>
        <w:t xml:space="preserve">    </w:t>
      </w:r>
      <w:r>
        <w:rPr>
          <w:rFonts w:hint="eastAsia" w:cs="宋体"/>
          <w:color w:val="auto"/>
          <w:highlight w:val="none"/>
        </w:rPr>
        <w:t>单位：人</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3BA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3C476FF">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26204856">
            <w:pPr>
              <w:spacing w:line="360" w:lineRule="auto"/>
              <w:jc w:val="center"/>
              <w:rPr>
                <w:color w:val="auto"/>
                <w:highlight w:val="none"/>
              </w:rPr>
            </w:pPr>
            <w:r>
              <w:rPr>
                <w:rFonts w:hint="eastAsia" w:cs="宋体"/>
                <w:color w:val="auto"/>
                <w:highlight w:val="none"/>
              </w:rPr>
              <w:t>按工程施工阶段投入劳动力情况</w:t>
            </w:r>
          </w:p>
        </w:tc>
      </w:tr>
      <w:tr w14:paraId="46D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381D5F2">
            <w:pPr>
              <w:spacing w:line="360" w:lineRule="auto"/>
              <w:jc w:val="center"/>
              <w:rPr>
                <w:color w:val="auto"/>
                <w:highlight w:val="none"/>
              </w:rPr>
            </w:pPr>
          </w:p>
        </w:tc>
        <w:tc>
          <w:tcPr>
            <w:tcW w:w="961" w:type="dxa"/>
            <w:vAlign w:val="center"/>
          </w:tcPr>
          <w:p w14:paraId="33F12C51">
            <w:pPr>
              <w:spacing w:line="360" w:lineRule="auto"/>
              <w:jc w:val="center"/>
              <w:rPr>
                <w:color w:val="auto"/>
                <w:highlight w:val="none"/>
              </w:rPr>
            </w:pPr>
          </w:p>
        </w:tc>
        <w:tc>
          <w:tcPr>
            <w:tcW w:w="1257" w:type="dxa"/>
            <w:vAlign w:val="center"/>
          </w:tcPr>
          <w:p w14:paraId="5560DE52">
            <w:pPr>
              <w:spacing w:line="360" w:lineRule="auto"/>
              <w:jc w:val="center"/>
              <w:rPr>
                <w:color w:val="auto"/>
                <w:highlight w:val="none"/>
              </w:rPr>
            </w:pPr>
          </w:p>
        </w:tc>
        <w:tc>
          <w:tcPr>
            <w:tcW w:w="1257" w:type="dxa"/>
            <w:vAlign w:val="center"/>
          </w:tcPr>
          <w:p w14:paraId="385E9BBF">
            <w:pPr>
              <w:spacing w:line="360" w:lineRule="auto"/>
              <w:jc w:val="center"/>
              <w:rPr>
                <w:color w:val="auto"/>
                <w:highlight w:val="none"/>
              </w:rPr>
            </w:pPr>
          </w:p>
        </w:tc>
        <w:tc>
          <w:tcPr>
            <w:tcW w:w="1258" w:type="dxa"/>
            <w:vAlign w:val="center"/>
          </w:tcPr>
          <w:p w14:paraId="2D04A0D9">
            <w:pPr>
              <w:spacing w:line="360" w:lineRule="auto"/>
              <w:jc w:val="center"/>
              <w:rPr>
                <w:color w:val="auto"/>
                <w:highlight w:val="none"/>
              </w:rPr>
            </w:pPr>
          </w:p>
        </w:tc>
        <w:tc>
          <w:tcPr>
            <w:tcW w:w="1257" w:type="dxa"/>
            <w:vAlign w:val="center"/>
          </w:tcPr>
          <w:p w14:paraId="471143E3">
            <w:pPr>
              <w:spacing w:line="360" w:lineRule="auto"/>
              <w:jc w:val="center"/>
              <w:rPr>
                <w:color w:val="auto"/>
                <w:highlight w:val="none"/>
              </w:rPr>
            </w:pPr>
          </w:p>
        </w:tc>
        <w:tc>
          <w:tcPr>
            <w:tcW w:w="1258" w:type="dxa"/>
            <w:vAlign w:val="center"/>
          </w:tcPr>
          <w:p w14:paraId="18D69E01">
            <w:pPr>
              <w:spacing w:line="360" w:lineRule="auto"/>
              <w:jc w:val="center"/>
              <w:rPr>
                <w:color w:val="auto"/>
                <w:highlight w:val="none"/>
              </w:rPr>
            </w:pPr>
          </w:p>
        </w:tc>
      </w:tr>
      <w:tr w14:paraId="12AA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0A16EC7">
            <w:pPr>
              <w:spacing w:line="360" w:lineRule="auto"/>
              <w:jc w:val="center"/>
              <w:rPr>
                <w:color w:val="auto"/>
                <w:highlight w:val="none"/>
              </w:rPr>
            </w:pPr>
          </w:p>
        </w:tc>
        <w:tc>
          <w:tcPr>
            <w:tcW w:w="961" w:type="dxa"/>
            <w:vAlign w:val="center"/>
          </w:tcPr>
          <w:p w14:paraId="37915396">
            <w:pPr>
              <w:spacing w:line="360" w:lineRule="auto"/>
              <w:jc w:val="center"/>
              <w:rPr>
                <w:color w:val="auto"/>
                <w:highlight w:val="none"/>
              </w:rPr>
            </w:pPr>
          </w:p>
        </w:tc>
        <w:tc>
          <w:tcPr>
            <w:tcW w:w="1257" w:type="dxa"/>
            <w:vAlign w:val="center"/>
          </w:tcPr>
          <w:p w14:paraId="62367BC3">
            <w:pPr>
              <w:spacing w:line="360" w:lineRule="auto"/>
              <w:jc w:val="center"/>
              <w:rPr>
                <w:color w:val="auto"/>
                <w:highlight w:val="none"/>
              </w:rPr>
            </w:pPr>
          </w:p>
        </w:tc>
        <w:tc>
          <w:tcPr>
            <w:tcW w:w="1257" w:type="dxa"/>
            <w:vAlign w:val="center"/>
          </w:tcPr>
          <w:p w14:paraId="5E053EF4">
            <w:pPr>
              <w:spacing w:line="360" w:lineRule="auto"/>
              <w:jc w:val="center"/>
              <w:rPr>
                <w:color w:val="auto"/>
                <w:highlight w:val="none"/>
              </w:rPr>
            </w:pPr>
          </w:p>
        </w:tc>
        <w:tc>
          <w:tcPr>
            <w:tcW w:w="1258" w:type="dxa"/>
            <w:vAlign w:val="center"/>
          </w:tcPr>
          <w:p w14:paraId="5BF93024">
            <w:pPr>
              <w:spacing w:line="360" w:lineRule="auto"/>
              <w:jc w:val="center"/>
              <w:rPr>
                <w:color w:val="auto"/>
                <w:highlight w:val="none"/>
              </w:rPr>
            </w:pPr>
          </w:p>
        </w:tc>
        <w:tc>
          <w:tcPr>
            <w:tcW w:w="1257" w:type="dxa"/>
            <w:vAlign w:val="center"/>
          </w:tcPr>
          <w:p w14:paraId="5A223A1A">
            <w:pPr>
              <w:spacing w:line="360" w:lineRule="auto"/>
              <w:jc w:val="center"/>
              <w:rPr>
                <w:color w:val="auto"/>
                <w:highlight w:val="none"/>
              </w:rPr>
            </w:pPr>
          </w:p>
        </w:tc>
        <w:tc>
          <w:tcPr>
            <w:tcW w:w="1258" w:type="dxa"/>
            <w:vAlign w:val="center"/>
          </w:tcPr>
          <w:p w14:paraId="05A5ADA4">
            <w:pPr>
              <w:spacing w:line="360" w:lineRule="auto"/>
              <w:jc w:val="center"/>
              <w:rPr>
                <w:color w:val="auto"/>
                <w:highlight w:val="none"/>
              </w:rPr>
            </w:pPr>
          </w:p>
        </w:tc>
      </w:tr>
      <w:tr w14:paraId="02ED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42813FB">
            <w:pPr>
              <w:spacing w:line="360" w:lineRule="auto"/>
              <w:jc w:val="center"/>
              <w:rPr>
                <w:color w:val="auto"/>
                <w:highlight w:val="none"/>
              </w:rPr>
            </w:pPr>
          </w:p>
        </w:tc>
        <w:tc>
          <w:tcPr>
            <w:tcW w:w="961" w:type="dxa"/>
            <w:vAlign w:val="center"/>
          </w:tcPr>
          <w:p w14:paraId="4859416B">
            <w:pPr>
              <w:spacing w:line="360" w:lineRule="auto"/>
              <w:jc w:val="center"/>
              <w:rPr>
                <w:color w:val="auto"/>
                <w:highlight w:val="none"/>
              </w:rPr>
            </w:pPr>
          </w:p>
        </w:tc>
        <w:tc>
          <w:tcPr>
            <w:tcW w:w="1257" w:type="dxa"/>
            <w:vAlign w:val="center"/>
          </w:tcPr>
          <w:p w14:paraId="2C196623">
            <w:pPr>
              <w:spacing w:line="360" w:lineRule="auto"/>
              <w:jc w:val="center"/>
              <w:rPr>
                <w:color w:val="auto"/>
                <w:highlight w:val="none"/>
              </w:rPr>
            </w:pPr>
          </w:p>
        </w:tc>
        <w:tc>
          <w:tcPr>
            <w:tcW w:w="1257" w:type="dxa"/>
            <w:vAlign w:val="center"/>
          </w:tcPr>
          <w:p w14:paraId="731598B2">
            <w:pPr>
              <w:spacing w:line="360" w:lineRule="auto"/>
              <w:jc w:val="center"/>
              <w:rPr>
                <w:color w:val="auto"/>
                <w:highlight w:val="none"/>
              </w:rPr>
            </w:pPr>
          </w:p>
        </w:tc>
        <w:tc>
          <w:tcPr>
            <w:tcW w:w="1258" w:type="dxa"/>
            <w:vAlign w:val="center"/>
          </w:tcPr>
          <w:p w14:paraId="0EFCADDB">
            <w:pPr>
              <w:spacing w:line="360" w:lineRule="auto"/>
              <w:jc w:val="center"/>
              <w:rPr>
                <w:color w:val="auto"/>
                <w:highlight w:val="none"/>
              </w:rPr>
            </w:pPr>
          </w:p>
        </w:tc>
        <w:tc>
          <w:tcPr>
            <w:tcW w:w="1257" w:type="dxa"/>
            <w:vAlign w:val="center"/>
          </w:tcPr>
          <w:p w14:paraId="74CE967E">
            <w:pPr>
              <w:spacing w:line="360" w:lineRule="auto"/>
              <w:jc w:val="center"/>
              <w:rPr>
                <w:color w:val="auto"/>
                <w:highlight w:val="none"/>
              </w:rPr>
            </w:pPr>
          </w:p>
        </w:tc>
        <w:tc>
          <w:tcPr>
            <w:tcW w:w="1258" w:type="dxa"/>
            <w:vAlign w:val="center"/>
          </w:tcPr>
          <w:p w14:paraId="4EA9E7B8">
            <w:pPr>
              <w:spacing w:line="360" w:lineRule="auto"/>
              <w:jc w:val="center"/>
              <w:rPr>
                <w:color w:val="auto"/>
                <w:highlight w:val="none"/>
              </w:rPr>
            </w:pPr>
          </w:p>
        </w:tc>
      </w:tr>
      <w:tr w14:paraId="58AA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A36A10">
            <w:pPr>
              <w:spacing w:line="360" w:lineRule="auto"/>
              <w:jc w:val="center"/>
              <w:rPr>
                <w:color w:val="auto"/>
                <w:highlight w:val="none"/>
              </w:rPr>
            </w:pPr>
          </w:p>
        </w:tc>
        <w:tc>
          <w:tcPr>
            <w:tcW w:w="961" w:type="dxa"/>
            <w:vAlign w:val="center"/>
          </w:tcPr>
          <w:p w14:paraId="58E8E518">
            <w:pPr>
              <w:spacing w:line="360" w:lineRule="auto"/>
              <w:jc w:val="center"/>
              <w:rPr>
                <w:color w:val="auto"/>
                <w:highlight w:val="none"/>
              </w:rPr>
            </w:pPr>
          </w:p>
        </w:tc>
        <w:tc>
          <w:tcPr>
            <w:tcW w:w="1257" w:type="dxa"/>
            <w:vAlign w:val="center"/>
          </w:tcPr>
          <w:p w14:paraId="724E43C1">
            <w:pPr>
              <w:spacing w:line="360" w:lineRule="auto"/>
              <w:jc w:val="center"/>
              <w:rPr>
                <w:color w:val="auto"/>
                <w:highlight w:val="none"/>
              </w:rPr>
            </w:pPr>
          </w:p>
        </w:tc>
        <w:tc>
          <w:tcPr>
            <w:tcW w:w="1257" w:type="dxa"/>
            <w:vAlign w:val="center"/>
          </w:tcPr>
          <w:p w14:paraId="5C644A76">
            <w:pPr>
              <w:spacing w:line="360" w:lineRule="auto"/>
              <w:jc w:val="center"/>
              <w:rPr>
                <w:color w:val="auto"/>
                <w:highlight w:val="none"/>
              </w:rPr>
            </w:pPr>
          </w:p>
        </w:tc>
        <w:tc>
          <w:tcPr>
            <w:tcW w:w="1258" w:type="dxa"/>
            <w:vAlign w:val="center"/>
          </w:tcPr>
          <w:p w14:paraId="21AE1B6E">
            <w:pPr>
              <w:spacing w:line="360" w:lineRule="auto"/>
              <w:jc w:val="center"/>
              <w:rPr>
                <w:color w:val="auto"/>
                <w:highlight w:val="none"/>
              </w:rPr>
            </w:pPr>
          </w:p>
        </w:tc>
        <w:tc>
          <w:tcPr>
            <w:tcW w:w="1257" w:type="dxa"/>
            <w:vAlign w:val="center"/>
          </w:tcPr>
          <w:p w14:paraId="584264AA">
            <w:pPr>
              <w:spacing w:line="360" w:lineRule="auto"/>
              <w:jc w:val="center"/>
              <w:rPr>
                <w:color w:val="auto"/>
                <w:highlight w:val="none"/>
              </w:rPr>
            </w:pPr>
          </w:p>
        </w:tc>
        <w:tc>
          <w:tcPr>
            <w:tcW w:w="1258" w:type="dxa"/>
            <w:vAlign w:val="center"/>
          </w:tcPr>
          <w:p w14:paraId="3E0B8A01">
            <w:pPr>
              <w:spacing w:line="360" w:lineRule="auto"/>
              <w:jc w:val="center"/>
              <w:rPr>
                <w:color w:val="auto"/>
                <w:highlight w:val="none"/>
              </w:rPr>
            </w:pPr>
          </w:p>
        </w:tc>
      </w:tr>
      <w:tr w14:paraId="3AE6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D9D2BE5">
            <w:pPr>
              <w:spacing w:line="360" w:lineRule="auto"/>
              <w:jc w:val="center"/>
              <w:rPr>
                <w:color w:val="auto"/>
                <w:highlight w:val="none"/>
              </w:rPr>
            </w:pPr>
          </w:p>
        </w:tc>
        <w:tc>
          <w:tcPr>
            <w:tcW w:w="961" w:type="dxa"/>
            <w:vAlign w:val="center"/>
          </w:tcPr>
          <w:p w14:paraId="41C71A6F">
            <w:pPr>
              <w:spacing w:line="360" w:lineRule="auto"/>
              <w:jc w:val="center"/>
              <w:rPr>
                <w:color w:val="auto"/>
                <w:highlight w:val="none"/>
              </w:rPr>
            </w:pPr>
          </w:p>
        </w:tc>
        <w:tc>
          <w:tcPr>
            <w:tcW w:w="1257" w:type="dxa"/>
            <w:vAlign w:val="center"/>
          </w:tcPr>
          <w:p w14:paraId="5645A042">
            <w:pPr>
              <w:spacing w:line="360" w:lineRule="auto"/>
              <w:jc w:val="center"/>
              <w:rPr>
                <w:color w:val="auto"/>
                <w:highlight w:val="none"/>
              </w:rPr>
            </w:pPr>
          </w:p>
        </w:tc>
        <w:tc>
          <w:tcPr>
            <w:tcW w:w="1257" w:type="dxa"/>
            <w:vAlign w:val="center"/>
          </w:tcPr>
          <w:p w14:paraId="17967429">
            <w:pPr>
              <w:spacing w:line="360" w:lineRule="auto"/>
              <w:jc w:val="center"/>
              <w:rPr>
                <w:color w:val="auto"/>
                <w:highlight w:val="none"/>
              </w:rPr>
            </w:pPr>
          </w:p>
        </w:tc>
        <w:tc>
          <w:tcPr>
            <w:tcW w:w="1258" w:type="dxa"/>
            <w:vAlign w:val="center"/>
          </w:tcPr>
          <w:p w14:paraId="7AFD396F">
            <w:pPr>
              <w:spacing w:line="360" w:lineRule="auto"/>
              <w:jc w:val="center"/>
              <w:rPr>
                <w:color w:val="auto"/>
                <w:highlight w:val="none"/>
              </w:rPr>
            </w:pPr>
          </w:p>
        </w:tc>
        <w:tc>
          <w:tcPr>
            <w:tcW w:w="1257" w:type="dxa"/>
            <w:vAlign w:val="center"/>
          </w:tcPr>
          <w:p w14:paraId="10E793A6">
            <w:pPr>
              <w:spacing w:line="360" w:lineRule="auto"/>
              <w:jc w:val="center"/>
              <w:rPr>
                <w:color w:val="auto"/>
                <w:highlight w:val="none"/>
              </w:rPr>
            </w:pPr>
          </w:p>
        </w:tc>
        <w:tc>
          <w:tcPr>
            <w:tcW w:w="1258" w:type="dxa"/>
            <w:vAlign w:val="center"/>
          </w:tcPr>
          <w:p w14:paraId="79FC6DCC">
            <w:pPr>
              <w:spacing w:line="360" w:lineRule="auto"/>
              <w:jc w:val="center"/>
              <w:rPr>
                <w:color w:val="auto"/>
                <w:highlight w:val="none"/>
              </w:rPr>
            </w:pPr>
          </w:p>
        </w:tc>
      </w:tr>
      <w:tr w14:paraId="65E3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4A5EB50">
            <w:pPr>
              <w:spacing w:line="360" w:lineRule="auto"/>
              <w:jc w:val="center"/>
              <w:rPr>
                <w:color w:val="auto"/>
                <w:highlight w:val="none"/>
              </w:rPr>
            </w:pPr>
          </w:p>
        </w:tc>
        <w:tc>
          <w:tcPr>
            <w:tcW w:w="961" w:type="dxa"/>
            <w:vAlign w:val="center"/>
          </w:tcPr>
          <w:p w14:paraId="77B461C4">
            <w:pPr>
              <w:spacing w:line="360" w:lineRule="auto"/>
              <w:jc w:val="center"/>
              <w:rPr>
                <w:color w:val="auto"/>
                <w:highlight w:val="none"/>
              </w:rPr>
            </w:pPr>
          </w:p>
        </w:tc>
        <w:tc>
          <w:tcPr>
            <w:tcW w:w="1257" w:type="dxa"/>
            <w:vAlign w:val="center"/>
          </w:tcPr>
          <w:p w14:paraId="49DF5B93">
            <w:pPr>
              <w:spacing w:line="360" w:lineRule="auto"/>
              <w:jc w:val="center"/>
              <w:rPr>
                <w:color w:val="auto"/>
                <w:highlight w:val="none"/>
              </w:rPr>
            </w:pPr>
          </w:p>
        </w:tc>
        <w:tc>
          <w:tcPr>
            <w:tcW w:w="1257" w:type="dxa"/>
            <w:vAlign w:val="center"/>
          </w:tcPr>
          <w:p w14:paraId="72BD9465">
            <w:pPr>
              <w:spacing w:line="360" w:lineRule="auto"/>
              <w:jc w:val="center"/>
              <w:rPr>
                <w:color w:val="auto"/>
                <w:highlight w:val="none"/>
              </w:rPr>
            </w:pPr>
          </w:p>
        </w:tc>
        <w:tc>
          <w:tcPr>
            <w:tcW w:w="1258" w:type="dxa"/>
            <w:vAlign w:val="center"/>
          </w:tcPr>
          <w:p w14:paraId="6D5C4CF4">
            <w:pPr>
              <w:spacing w:line="360" w:lineRule="auto"/>
              <w:jc w:val="center"/>
              <w:rPr>
                <w:color w:val="auto"/>
                <w:highlight w:val="none"/>
              </w:rPr>
            </w:pPr>
          </w:p>
        </w:tc>
        <w:tc>
          <w:tcPr>
            <w:tcW w:w="1257" w:type="dxa"/>
            <w:vAlign w:val="center"/>
          </w:tcPr>
          <w:p w14:paraId="47D2A8EF">
            <w:pPr>
              <w:spacing w:line="360" w:lineRule="auto"/>
              <w:jc w:val="center"/>
              <w:rPr>
                <w:color w:val="auto"/>
                <w:highlight w:val="none"/>
              </w:rPr>
            </w:pPr>
          </w:p>
        </w:tc>
        <w:tc>
          <w:tcPr>
            <w:tcW w:w="1258" w:type="dxa"/>
            <w:vAlign w:val="center"/>
          </w:tcPr>
          <w:p w14:paraId="25E26BE8">
            <w:pPr>
              <w:spacing w:line="360" w:lineRule="auto"/>
              <w:jc w:val="center"/>
              <w:rPr>
                <w:color w:val="auto"/>
                <w:highlight w:val="none"/>
              </w:rPr>
            </w:pPr>
          </w:p>
        </w:tc>
      </w:tr>
    </w:tbl>
    <w:p w14:paraId="65B0C978">
      <w:pPr>
        <w:rPr>
          <w:color w:val="auto"/>
          <w:highlight w:val="none"/>
        </w:rPr>
      </w:pPr>
    </w:p>
    <w:p w14:paraId="404ED70D">
      <w:pPr>
        <w:rPr>
          <w:b/>
          <w:bCs/>
          <w:color w:val="auto"/>
          <w:highlight w:val="none"/>
        </w:rPr>
      </w:pPr>
    </w:p>
    <w:p w14:paraId="270AB095">
      <w:pPr>
        <w:rPr>
          <w:rFonts w:cs="宋体"/>
          <w:color w:val="auto"/>
          <w:highlight w:val="none"/>
        </w:rPr>
      </w:pPr>
    </w:p>
    <w:p w14:paraId="2E106CDF">
      <w:pPr>
        <w:rPr>
          <w:color w:val="auto"/>
          <w:highlight w:val="none"/>
        </w:rPr>
      </w:pPr>
      <w:r>
        <w:rPr>
          <w:rFonts w:hint="eastAsia" w:cs="宋体"/>
          <w:color w:val="auto"/>
          <w:highlight w:val="none"/>
        </w:rPr>
        <w:t>附表二：计划开、竣工日期和施工进度计划（网络图或横道图）</w:t>
      </w:r>
    </w:p>
    <w:p w14:paraId="3B3C6A3C">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4DC61D29">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004AFF86">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4A5AB774">
      <w:pPr>
        <w:spacing w:line="360" w:lineRule="auto"/>
        <w:ind w:left="-6" w:firstLine="420"/>
        <w:rPr>
          <w:color w:val="auto"/>
          <w:highlight w:val="none"/>
        </w:rPr>
      </w:pPr>
    </w:p>
    <w:p w14:paraId="3484095C">
      <w:pPr>
        <w:rPr>
          <w:color w:val="auto"/>
          <w:highlight w:val="none"/>
        </w:rPr>
      </w:pPr>
    </w:p>
    <w:p w14:paraId="743E6781">
      <w:pPr>
        <w:rPr>
          <w:rFonts w:cs="宋体"/>
          <w:color w:val="auto"/>
          <w:highlight w:val="none"/>
        </w:rPr>
      </w:pPr>
    </w:p>
    <w:p w14:paraId="14D93E30">
      <w:pPr>
        <w:rPr>
          <w:color w:val="auto"/>
          <w:highlight w:val="none"/>
        </w:rPr>
      </w:pPr>
      <w:r>
        <w:rPr>
          <w:rFonts w:hint="eastAsia" w:cs="宋体"/>
          <w:color w:val="auto"/>
          <w:highlight w:val="none"/>
        </w:rPr>
        <w:t>附表三：施工总平面图</w:t>
      </w:r>
    </w:p>
    <w:p w14:paraId="42881A44">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7293E4BC">
      <w:pPr>
        <w:rPr>
          <w:color w:val="auto"/>
          <w:highlight w:val="none"/>
        </w:rPr>
      </w:pPr>
    </w:p>
    <w:p w14:paraId="5CF51750">
      <w:pPr>
        <w:rPr>
          <w:color w:val="auto"/>
          <w:highlight w:val="none"/>
        </w:rPr>
      </w:pPr>
    </w:p>
    <w:p w14:paraId="607BEED0">
      <w:pPr>
        <w:rPr>
          <w:color w:val="auto"/>
          <w:highlight w:val="none"/>
        </w:rPr>
      </w:pPr>
      <w:r>
        <w:rPr>
          <w:rFonts w:hint="eastAsia" w:cs="宋体"/>
          <w:color w:val="auto"/>
          <w:highlight w:val="none"/>
        </w:rPr>
        <w:t>附表四：临时用地表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88C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E8EE2C9">
            <w:pPr>
              <w:jc w:val="center"/>
              <w:rPr>
                <w:color w:val="auto"/>
                <w:highlight w:val="none"/>
              </w:rPr>
            </w:pPr>
            <w:r>
              <w:rPr>
                <w:rFonts w:hint="eastAsia" w:cs="宋体"/>
                <w:color w:val="auto"/>
                <w:highlight w:val="none"/>
              </w:rPr>
              <w:t>用途</w:t>
            </w:r>
          </w:p>
        </w:tc>
        <w:tc>
          <w:tcPr>
            <w:tcW w:w="2357" w:type="dxa"/>
            <w:vAlign w:val="center"/>
          </w:tcPr>
          <w:p w14:paraId="6C2550A3">
            <w:pPr>
              <w:jc w:val="center"/>
              <w:rPr>
                <w:color w:val="auto"/>
                <w:highlight w:val="none"/>
              </w:rPr>
            </w:pPr>
            <w:r>
              <w:rPr>
                <w:rFonts w:hint="eastAsia" w:cs="宋体"/>
                <w:color w:val="auto"/>
                <w:highlight w:val="none"/>
              </w:rPr>
              <w:t>面积（平方米）</w:t>
            </w:r>
          </w:p>
        </w:tc>
        <w:tc>
          <w:tcPr>
            <w:tcW w:w="2356" w:type="dxa"/>
            <w:vAlign w:val="center"/>
          </w:tcPr>
          <w:p w14:paraId="2E7853D8">
            <w:pPr>
              <w:jc w:val="center"/>
              <w:rPr>
                <w:color w:val="auto"/>
                <w:highlight w:val="none"/>
              </w:rPr>
            </w:pPr>
            <w:r>
              <w:rPr>
                <w:rFonts w:hint="eastAsia" w:cs="宋体"/>
                <w:color w:val="auto"/>
                <w:highlight w:val="none"/>
              </w:rPr>
              <w:t>位置</w:t>
            </w:r>
          </w:p>
        </w:tc>
        <w:tc>
          <w:tcPr>
            <w:tcW w:w="2136" w:type="dxa"/>
            <w:vAlign w:val="center"/>
          </w:tcPr>
          <w:p w14:paraId="7B25DC3F">
            <w:pPr>
              <w:jc w:val="center"/>
              <w:rPr>
                <w:color w:val="auto"/>
                <w:highlight w:val="none"/>
              </w:rPr>
            </w:pPr>
            <w:r>
              <w:rPr>
                <w:rFonts w:hint="eastAsia" w:cs="宋体"/>
                <w:color w:val="auto"/>
                <w:highlight w:val="none"/>
              </w:rPr>
              <w:t>需用时间</w:t>
            </w:r>
          </w:p>
        </w:tc>
      </w:tr>
      <w:tr w14:paraId="6411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CC0A956">
            <w:pPr>
              <w:rPr>
                <w:color w:val="auto"/>
                <w:highlight w:val="none"/>
              </w:rPr>
            </w:pPr>
          </w:p>
        </w:tc>
        <w:tc>
          <w:tcPr>
            <w:tcW w:w="2357" w:type="dxa"/>
          </w:tcPr>
          <w:p w14:paraId="07E8045A">
            <w:pPr>
              <w:rPr>
                <w:color w:val="auto"/>
                <w:highlight w:val="none"/>
              </w:rPr>
            </w:pPr>
          </w:p>
        </w:tc>
        <w:tc>
          <w:tcPr>
            <w:tcW w:w="2356" w:type="dxa"/>
          </w:tcPr>
          <w:p w14:paraId="381D00F4">
            <w:pPr>
              <w:rPr>
                <w:color w:val="auto"/>
                <w:highlight w:val="none"/>
              </w:rPr>
            </w:pPr>
          </w:p>
        </w:tc>
        <w:tc>
          <w:tcPr>
            <w:tcW w:w="2136" w:type="dxa"/>
          </w:tcPr>
          <w:p w14:paraId="59DE597A">
            <w:pPr>
              <w:rPr>
                <w:color w:val="auto"/>
                <w:highlight w:val="none"/>
              </w:rPr>
            </w:pPr>
          </w:p>
        </w:tc>
      </w:tr>
      <w:tr w14:paraId="03B9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62B35B3">
            <w:pPr>
              <w:rPr>
                <w:color w:val="auto"/>
                <w:highlight w:val="none"/>
              </w:rPr>
            </w:pPr>
          </w:p>
        </w:tc>
        <w:tc>
          <w:tcPr>
            <w:tcW w:w="2357" w:type="dxa"/>
          </w:tcPr>
          <w:p w14:paraId="49081FE0">
            <w:pPr>
              <w:rPr>
                <w:color w:val="auto"/>
                <w:highlight w:val="none"/>
              </w:rPr>
            </w:pPr>
          </w:p>
        </w:tc>
        <w:tc>
          <w:tcPr>
            <w:tcW w:w="2356" w:type="dxa"/>
          </w:tcPr>
          <w:p w14:paraId="0BA50A9C">
            <w:pPr>
              <w:rPr>
                <w:color w:val="auto"/>
                <w:highlight w:val="none"/>
              </w:rPr>
            </w:pPr>
          </w:p>
        </w:tc>
        <w:tc>
          <w:tcPr>
            <w:tcW w:w="2136" w:type="dxa"/>
          </w:tcPr>
          <w:p w14:paraId="4CDF7AA4">
            <w:pPr>
              <w:rPr>
                <w:color w:val="auto"/>
                <w:highlight w:val="none"/>
              </w:rPr>
            </w:pPr>
          </w:p>
        </w:tc>
      </w:tr>
      <w:tr w14:paraId="1A56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3952C596">
            <w:pPr>
              <w:rPr>
                <w:color w:val="auto"/>
                <w:highlight w:val="none"/>
              </w:rPr>
            </w:pPr>
          </w:p>
        </w:tc>
        <w:tc>
          <w:tcPr>
            <w:tcW w:w="2357" w:type="dxa"/>
          </w:tcPr>
          <w:p w14:paraId="64C0C0F6">
            <w:pPr>
              <w:rPr>
                <w:color w:val="auto"/>
                <w:highlight w:val="none"/>
              </w:rPr>
            </w:pPr>
          </w:p>
        </w:tc>
        <w:tc>
          <w:tcPr>
            <w:tcW w:w="2356" w:type="dxa"/>
          </w:tcPr>
          <w:p w14:paraId="16F911B4">
            <w:pPr>
              <w:rPr>
                <w:color w:val="auto"/>
                <w:highlight w:val="none"/>
              </w:rPr>
            </w:pPr>
          </w:p>
        </w:tc>
        <w:tc>
          <w:tcPr>
            <w:tcW w:w="2136" w:type="dxa"/>
          </w:tcPr>
          <w:p w14:paraId="1F65F29D">
            <w:pPr>
              <w:rPr>
                <w:color w:val="auto"/>
                <w:highlight w:val="none"/>
              </w:rPr>
            </w:pPr>
          </w:p>
        </w:tc>
      </w:tr>
      <w:tr w14:paraId="1619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1FCDA7C">
            <w:pPr>
              <w:rPr>
                <w:color w:val="auto"/>
                <w:highlight w:val="none"/>
              </w:rPr>
            </w:pPr>
          </w:p>
        </w:tc>
        <w:tc>
          <w:tcPr>
            <w:tcW w:w="2357" w:type="dxa"/>
          </w:tcPr>
          <w:p w14:paraId="30E1AB8D">
            <w:pPr>
              <w:rPr>
                <w:color w:val="auto"/>
                <w:highlight w:val="none"/>
              </w:rPr>
            </w:pPr>
          </w:p>
        </w:tc>
        <w:tc>
          <w:tcPr>
            <w:tcW w:w="2356" w:type="dxa"/>
          </w:tcPr>
          <w:p w14:paraId="4614C566">
            <w:pPr>
              <w:rPr>
                <w:color w:val="auto"/>
                <w:highlight w:val="none"/>
              </w:rPr>
            </w:pPr>
          </w:p>
        </w:tc>
        <w:tc>
          <w:tcPr>
            <w:tcW w:w="2136" w:type="dxa"/>
          </w:tcPr>
          <w:p w14:paraId="76A5602F">
            <w:pPr>
              <w:rPr>
                <w:color w:val="auto"/>
                <w:highlight w:val="none"/>
              </w:rPr>
            </w:pPr>
          </w:p>
        </w:tc>
      </w:tr>
    </w:tbl>
    <w:p w14:paraId="6EDD1E93">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20E40AE5">
      <w:pPr>
        <w:spacing w:line="360" w:lineRule="auto"/>
        <w:jc w:val="center"/>
        <w:rPr>
          <w:rFonts w:ascii="宋体" w:hAnsi="宋体" w:cs="宋体"/>
          <w:b/>
          <w:color w:val="auto"/>
          <w:sz w:val="28"/>
          <w:szCs w:val="28"/>
          <w:highlight w:val="none"/>
        </w:rPr>
      </w:pPr>
      <w:r>
        <w:rPr>
          <w:rFonts w:ascii="方正小标宋简体" w:hAnsi="方正小标宋简体" w:eastAsia="方正小标宋简体" w:cs="方正小标宋简体"/>
          <w:bCs/>
          <w:color w:val="auto"/>
          <w:sz w:val="44"/>
          <w:szCs w:val="44"/>
          <w:highlight w:val="none"/>
        </w:rPr>
        <w:br w:type="page"/>
      </w:r>
      <w:bookmarkStart w:id="108" w:name="bookmark2229"/>
      <w:bookmarkStart w:id="109" w:name="bookmark2230"/>
      <w:bookmarkStart w:id="110" w:name="bookmark2228"/>
    </w:p>
    <w:bookmarkEnd w:id="108"/>
    <w:bookmarkEnd w:id="109"/>
    <w:bookmarkEnd w:id="110"/>
    <w:p w14:paraId="4F38C8A5">
      <w:pPr>
        <w:spacing w:line="360" w:lineRule="auto"/>
        <w:rPr>
          <w:rFonts w:ascii="宋体" w:hAnsi="宋体"/>
          <w:color w:val="auto"/>
          <w:szCs w:val="21"/>
          <w:highlight w:val="none"/>
        </w:rPr>
      </w:pPr>
      <w:r>
        <w:rPr>
          <w:rFonts w:hint="eastAsia" w:ascii="宋体" w:hAnsi="宋体"/>
          <w:b/>
          <w:bCs/>
          <w:color w:val="auto"/>
          <w:sz w:val="24"/>
          <w:highlight w:val="none"/>
        </w:rPr>
        <w:t>其他文书、文件格式</w:t>
      </w:r>
    </w:p>
    <w:p w14:paraId="247D63BF">
      <w:pPr>
        <w:jc w:val="center"/>
        <w:rPr>
          <w:rFonts w:ascii="方正小标宋简体" w:hAnsi="方正小标宋简体" w:eastAsia="方正小标宋简体" w:cs="方正小标宋简体"/>
          <w:color w:val="auto"/>
          <w:sz w:val="44"/>
          <w:szCs w:val="44"/>
          <w:highlight w:val="none"/>
        </w:rPr>
      </w:pPr>
      <w:bookmarkStart w:id="111" w:name="_Toc71365926"/>
      <w:r>
        <w:rPr>
          <w:rFonts w:hint="eastAsia" w:ascii="方正小标宋简体" w:hAnsi="方正小标宋简体" w:eastAsia="方正小标宋简体" w:cs="方正小标宋简体"/>
          <w:color w:val="auto"/>
          <w:sz w:val="44"/>
          <w:szCs w:val="44"/>
          <w:highlight w:val="none"/>
        </w:rPr>
        <w:t>中小企业声明函（工程）</w:t>
      </w:r>
      <w:bookmarkEnd w:id="111"/>
    </w:p>
    <w:p w14:paraId="629B321C">
      <w:pPr>
        <w:spacing w:before="2" w:line="500" w:lineRule="exact"/>
        <w:ind w:firstLine="708" w:firstLineChars="294"/>
        <w:rPr>
          <w:rFonts w:ascii="宋体" w:hAnsi="宋体" w:cs="宋体"/>
          <w:b/>
          <w:bCs/>
          <w:color w:val="auto"/>
          <w:sz w:val="24"/>
          <w:highlight w:val="none"/>
        </w:rPr>
      </w:pPr>
    </w:p>
    <w:p w14:paraId="64E1AE72">
      <w:pPr>
        <w:pStyle w:val="18"/>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本公司郑重声明，根据《政府采购促进中小企业发展管理办法》（财库﹝2020﹞46号）的规定，本公司参加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工程的施工单位全部为符合政策要求的中小企业。相关企业的具体情况如下：</w:t>
      </w:r>
    </w:p>
    <w:p w14:paraId="5D5942E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hint="eastAsia" w:ascii="宋体" w:hAnsi="宋体"/>
          <w:color w:val="auto"/>
          <w:sz w:val="24"/>
          <w:highlight w:val="none"/>
          <w:u w:val="single"/>
        </w:rPr>
        <w:t>桂林航天工业学院新校区扩建项目星辰广场工程</w:t>
      </w:r>
      <w:r>
        <w:rPr>
          <w:rFonts w:ascii="宋体" w:hAnsi="宋体"/>
          <w:color w:val="auto"/>
          <w:sz w:val="24"/>
          <w:highlight w:val="none"/>
        </w:rPr>
        <w:t>，属于</w:t>
      </w:r>
      <w:r>
        <w:rPr>
          <w:rFonts w:hint="eastAsia" w:ascii="宋体" w:hAnsi="宋体"/>
          <w:color w:val="auto"/>
          <w:sz w:val="24"/>
          <w:highlight w:val="none"/>
          <w:u w:val="single"/>
        </w:rPr>
        <w:t>建筑业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A688C9A">
      <w:pPr>
        <w:pStyle w:val="18"/>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58A3CAB">
      <w:pPr>
        <w:pStyle w:val="18"/>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4E96B91">
      <w:pPr>
        <w:pStyle w:val="18"/>
        <w:spacing w:before="56" w:line="500" w:lineRule="exact"/>
        <w:ind w:right="1808" w:firstLine="705" w:firstLineChars="294"/>
        <w:rPr>
          <w:rFonts w:ascii="宋体" w:hAnsi="宋体"/>
          <w:color w:val="auto"/>
          <w:sz w:val="24"/>
          <w:highlight w:val="none"/>
        </w:rPr>
      </w:pPr>
    </w:p>
    <w:p w14:paraId="4A29330F">
      <w:pPr>
        <w:pStyle w:val="18"/>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2667CCAE">
      <w:pPr>
        <w:pStyle w:val="18"/>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10ED05F2">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人的《中小企业声明函》。从业人员、营业收入、资产总额填报上一年度数据，无上一年度数据的新成立企业可不填报。</w:t>
      </w:r>
    </w:p>
    <w:p w14:paraId="38DB3C8E">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4CB502A">
      <w:pPr>
        <w:spacing w:line="360" w:lineRule="auto"/>
        <w:contextualSpacing/>
        <w:rPr>
          <w:rFonts w:ascii="仿宋_GB2312" w:hAnsi="仿宋_GB2312" w:eastAsia="仿宋_GB2312" w:cs="仿宋_GB2312"/>
          <w:color w:val="auto"/>
          <w:sz w:val="32"/>
          <w:szCs w:val="32"/>
          <w:highlight w:val="none"/>
        </w:rPr>
      </w:pPr>
    </w:p>
    <w:p w14:paraId="7FBB60F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4FEDBE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4C0760A">
      <w:pPr>
        <w:spacing w:line="360" w:lineRule="auto"/>
        <w:contextualSpacing/>
        <w:rPr>
          <w:rFonts w:ascii="宋体" w:hAnsi="宋体" w:cs="仿宋_GB2312"/>
          <w:color w:val="auto"/>
          <w:sz w:val="24"/>
          <w:highlight w:val="none"/>
        </w:rPr>
      </w:pPr>
    </w:p>
    <w:p w14:paraId="738A87C3">
      <w:pPr>
        <w:spacing w:line="360" w:lineRule="auto"/>
        <w:contextualSpacing/>
        <w:rPr>
          <w:rFonts w:ascii="宋体" w:hAnsi="宋体" w:cs="仿宋_GB2312"/>
          <w:color w:val="auto"/>
          <w:sz w:val="24"/>
          <w:highlight w:val="none"/>
        </w:rPr>
      </w:pPr>
    </w:p>
    <w:p w14:paraId="2B417FEA">
      <w:pPr>
        <w:spacing w:line="360" w:lineRule="auto"/>
        <w:contextualSpacing/>
        <w:rPr>
          <w:rFonts w:ascii="宋体" w:hAnsi="宋体" w:cs="仿宋_GB2312"/>
          <w:color w:val="auto"/>
          <w:sz w:val="24"/>
          <w:highlight w:val="none"/>
        </w:rPr>
      </w:pPr>
    </w:p>
    <w:p w14:paraId="70C4C385">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06ECA204">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28EB6AA1">
      <w:pPr>
        <w:spacing w:line="360" w:lineRule="auto"/>
        <w:contextualSpacing/>
        <w:rPr>
          <w:rFonts w:ascii="宋体" w:hAnsi="宋体" w:cs="仿宋_GB2312"/>
          <w:color w:val="auto"/>
          <w:sz w:val="24"/>
          <w:highlight w:val="none"/>
        </w:rPr>
      </w:pPr>
    </w:p>
    <w:p w14:paraId="4D682A25">
      <w:pPr>
        <w:spacing w:line="360" w:lineRule="auto"/>
        <w:contextualSpacing/>
        <w:rPr>
          <w:rFonts w:ascii="宋体" w:hAnsi="宋体" w:cs="仿宋_GB2312"/>
          <w:color w:val="auto"/>
          <w:sz w:val="24"/>
          <w:highlight w:val="none"/>
        </w:rPr>
      </w:pPr>
    </w:p>
    <w:p w14:paraId="57670FC1">
      <w:pPr>
        <w:spacing w:line="360" w:lineRule="auto"/>
        <w:contextualSpacing/>
        <w:rPr>
          <w:rFonts w:ascii="宋体" w:hAnsi="宋体" w:cs="仿宋_GB2312"/>
          <w:color w:val="auto"/>
          <w:sz w:val="24"/>
          <w:highlight w:val="none"/>
        </w:rPr>
      </w:pPr>
    </w:p>
    <w:p w14:paraId="3C85768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1EE1E90">
      <w:pPr>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5F2AC134">
      <w:pPr>
        <w:pStyle w:val="2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701956B7">
      <w:pPr>
        <w:pStyle w:val="25"/>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C3487D2">
      <w:pPr>
        <w:pStyle w:val="25"/>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33BE8A">
      <w:pPr>
        <w:pStyle w:val="25"/>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39B564A">
      <w:pPr>
        <w:pStyle w:val="25"/>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99DCE1E">
      <w:pPr>
        <w:pStyle w:val="25"/>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4748AA0">
      <w:pPr>
        <w:pStyle w:val="25"/>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BD3B90">
      <w:pPr>
        <w:pStyle w:val="2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7BDE2141">
      <w:pPr>
        <w:pStyle w:val="25"/>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76B6D3C">
      <w:pPr>
        <w:pStyle w:val="25"/>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944583E">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CA4BE3B">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0315EBEB">
      <w:pPr>
        <w:pStyle w:val="25"/>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4283E1C">
      <w:pPr>
        <w:pStyle w:val="25"/>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3499A99E">
      <w:pPr>
        <w:pStyle w:val="25"/>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1A38A1A0">
      <w:pPr>
        <w:pStyle w:val="25"/>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6745DFA0">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DA840F5">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61B49B2">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991209B">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43AC266A">
      <w:pPr>
        <w:pStyle w:val="25"/>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0B4752B5">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7A7175D6">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881BA55">
      <w:pPr>
        <w:pStyle w:val="25"/>
        <w:spacing w:line="360" w:lineRule="auto"/>
        <w:ind w:left="25" w:leftChars="12" w:firstLine="352" w:firstLineChars="147"/>
        <w:contextualSpacing/>
        <w:rPr>
          <w:rFonts w:hAnsi="宋体"/>
          <w:color w:val="auto"/>
          <w:sz w:val="24"/>
          <w:szCs w:val="24"/>
          <w:highlight w:val="none"/>
        </w:rPr>
      </w:pPr>
    </w:p>
    <w:p w14:paraId="0F12F498">
      <w:pPr>
        <w:pStyle w:val="25"/>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0A92B85C">
      <w:pPr>
        <w:pStyle w:val="25"/>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3F40AAD3">
      <w:pPr>
        <w:pStyle w:val="25"/>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0A7F1444">
      <w:pPr>
        <w:pStyle w:val="25"/>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493DF15">
      <w:pPr>
        <w:pStyle w:val="25"/>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3E6295">
      <w:pPr>
        <w:pStyle w:val="25"/>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ED2EF0D">
      <w:pPr>
        <w:pStyle w:val="25"/>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4FCAC48">
      <w:pPr>
        <w:pStyle w:val="25"/>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FFF8897">
      <w:pPr>
        <w:pStyle w:val="25"/>
        <w:snapToGrid w:val="0"/>
        <w:rPr>
          <w:b/>
          <w:color w:val="auto"/>
          <w:sz w:val="24"/>
          <w:szCs w:val="24"/>
          <w:highlight w:val="none"/>
        </w:rPr>
      </w:pPr>
    </w:p>
    <w:p w14:paraId="709D9448">
      <w:pPr>
        <w:rPr>
          <w:color w:val="auto"/>
          <w:sz w:val="32"/>
          <w:szCs w:val="40"/>
          <w:highlight w:val="none"/>
        </w:rPr>
      </w:pPr>
    </w:p>
    <w:p w14:paraId="40AF6728">
      <w:pPr>
        <w:rPr>
          <w:color w:val="auto"/>
          <w:sz w:val="32"/>
          <w:szCs w:val="40"/>
          <w:highlight w:val="none"/>
        </w:rPr>
      </w:pPr>
    </w:p>
    <w:p w14:paraId="58B1C700">
      <w:pPr>
        <w:rPr>
          <w:color w:val="auto"/>
          <w:sz w:val="32"/>
          <w:szCs w:val="40"/>
          <w:highlight w:val="none"/>
        </w:rPr>
      </w:pPr>
    </w:p>
    <w:p w14:paraId="155F4EE0">
      <w:pPr>
        <w:rPr>
          <w:color w:val="auto"/>
          <w:sz w:val="32"/>
          <w:szCs w:val="40"/>
          <w:highlight w:val="none"/>
        </w:rPr>
      </w:pPr>
    </w:p>
    <w:p w14:paraId="5E841BEB">
      <w:pPr>
        <w:rPr>
          <w:color w:val="auto"/>
          <w:sz w:val="32"/>
          <w:szCs w:val="40"/>
          <w:highlight w:val="none"/>
        </w:rPr>
      </w:pPr>
    </w:p>
    <w:p w14:paraId="7944BDD0">
      <w:pPr>
        <w:rPr>
          <w:color w:val="auto"/>
          <w:sz w:val="32"/>
          <w:szCs w:val="40"/>
          <w:highlight w:val="none"/>
        </w:rPr>
      </w:pPr>
    </w:p>
    <w:p w14:paraId="6A0BA632">
      <w:pPr>
        <w:rPr>
          <w:color w:val="auto"/>
          <w:sz w:val="32"/>
          <w:szCs w:val="40"/>
          <w:highlight w:val="none"/>
        </w:rPr>
      </w:pPr>
    </w:p>
    <w:p w14:paraId="7B7EA871">
      <w:pPr>
        <w:rPr>
          <w:color w:val="auto"/>
          <w:sz w:val="32"/>
          <w:szCs w:val="40"/>
          <w:highlight w:val="none"/>
        </w:rPr>
      </w:pPr>
    </w:p>
    <w:p w14:paraId="754FD3BC">
      <w:pPr>
        <w:rPr>
          <w:color w:val="auto"/>
          <w:sz w:val="32"/>
          <w:szCs w:val="40"/>
          <w:highlight w:val="none"/>
        </w:rPr>
      </w:pPr>
    </w:p>
    <w:p w14:paraId="4074CF79">
      <w:pPr>
        <w:rPr>
          <w:color w:val="auto"/>
          <w:sz w:val="32"/>
          <w:szCs w:val="40"/>
          <w:highlight w:val="none"/>
        </w:rPr>
      </w:pPr>
    </w:p>
    <w:p w14:paraId="1E350EE6">
      <w:pPr>
        <w:rPr>
          <w:color w:val="auto"/>
          <w:sz w:val="32"/>
          <w:szCs w:val="40"/>
          <w:highlight w:val="none"/>
        </w:rPr>
      </w:pPr>
    </w:p>
    <w:p w14:paraId="6AC9BEE0">
      <w:pPr>
        <w:rPr>
          <w:color w:val="auto"/>
          <w:sz w:val="32"/>
          <w:szCs w:val="40"/>
          <w:highlight w:val="none"/>
        </w:rPr>
      </w:pPr>
    </w:p>
    <w:p w14:paraId="04FD0AA2">
      <w:pPr>
        <w:rPr>
          <w:color w:val="auto"/>
          <w:sz w:val="32"/>
          <w:szCs w:val="40"/>
          <w:highlight w:val="none"/>
        </w:rPr>
      </w:pPr>
    </w:p>
    <w:p w14:paraId="4A7DC185">
      <w:pPr>
        <w:pStyle w:val="7"/>
        <w:rPr>
          <w:color w:val="auto"/>
          <w:highlight w:val="none"/>
        </w:rPr>
      </w:pPr>
    </w:p>
    <w:p w14:paraId="4494FAF6">
      <w:pPr>
        <w:pStyle w:val="7"/>
        <w:rPr>
          <w:color w:val="auto"/>
          <w:highlight w:val="none"/>
        </w:rPr>
      </w:pPr>
    </w:p>
    <w:p w14:paraId="24310A2A">
      <w:pPr>
        <w:pStyle w:val="7"/>
        <w:rPr>
          <w:color w:val="auto"/>
          <w:highlight w:val="none"/>
        </w:rPr>
      </w:pPr>
    </w:p>
    <w:p w14:paraId="1BEE00C8">
      <w:pPr>
        <w:pStyle w:val="7"/>
        <w:rPr>
          <w:color w:val="auto"/>
          <w:highlight w:val="none"/>
        </w:rPr>
      </w:pPr>
    </w:p>
    <w:p w14:paraId="7CE52BA6">
      <w:pPr>
        <w:pStyle w:val="7"/>
        <w:rPr>
          <w:color w:val="auto"/>
          <w:highlight w:val="none"/>
        </w:rPr>
      </w:pPr>
    </w:p>
    <w:p w14:paraId="476DDF69">
      <w:pPr>
        <w:spacing w:line="360" w:lineRule="auto"/>
        <w:jc w:val="center"/>
        <w:rPr>
          <w:rFonts w:ascii="方正小标宋简体" w:hAnsi="方正小标宋简体" w:eastAsia="方正小标宋简体" w:cs="方正小标宋简体"/>
          <w:color w:val="auto"/>
          <w:sz w:val="44"/>
          <w:szCs w:val="44"/>
          <w:highlight w:val="none"/>
        </w:rPr>
      </w:pPr>
    </w:p>
    <w:p w14:paraId="50E36559">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C367BD8">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56CDE32">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2F2921">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B73BCF">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D471BAD">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E917C99">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DFBEEEF">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B0B33D0">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5312A7">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6E7C0023">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445BC64">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D7F14D">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5E3FE7A">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70FE6CBD">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26AA6B3">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E7C124D">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FE56A1">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AEFC84">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7753AC65">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256F8F7">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888DF3A">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0253F58">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F06AD14">
      <w:pPr>
        <w:pStyle w:val="25"/>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91CA690">
      <w:pPr>
        <w:pStyle w:val="25"/>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E33E156">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060F2C29">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4B4C904">
      <w:pPr>
        <w:pStyle w:val="25"/>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21F3713">
      <w:pPr>
        <w:pStyle w:val="25"/>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CBF5B7E">
      <w:pPr>
        <w:pStyle w:val="25"/>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553AE0C">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3818E1E1">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D74DE6C">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71DCA6D">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614F6A2D">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9AF8B86">
      <w:pPr>
        <w:pStyle w:val="25"/>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7231DD7">
      <w:pPr>
        <w:pStyle w:val="25"/>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C29A102">
      <w:pPr>
        <w:pStyle w:val="25"/>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4F7D9439">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2B5D336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9FB20A7">
      <w:pPr>
        <w:pStyle w:val="25"/>
        <w:spacing w:line="360" w:lineRule="auto"/>
        <w:ind w:left="25" w:leftChars="12" w:firstLine="352" w:firstLineChars="147"/>
        <w:rPr>
          <w:rFonts w:hAnsi="宋体"/>
          <w:color w:val="auto"/>
          <w:sz w:val="24"/>
          <w:szCs w:val="24"/>
          <w:highlight w:val="none"/>
        </w:rPr>
      </w:pPr>
    </w:p>
    <w:p w14:paraId="43EA4352">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D164AC7">
      <w:pPr>
        <w:pStyle w:val="25"/>
        <w:spacing w:line="360" w:lineRule="auto"/>
        <w:ind w:left="25" w:leftChars="12" w:firstLine="352" w:firstLineChars="147"/>
        <w:rPr>
          <w:rFonts w:hAnsi="宋体"/>
          <w:color w:val="auto"/>
          <w:sz w:val="24"/>
          <w:szCs w:val="24"/>
          <w:highlight w:val="none"/>
        </w:rPr>
      </w:pPr>
    </w:p>
    <w:p w14:paraId="319334C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15A9016">
      <w:pPr>
        <w:pStyle w:val="25"/>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45260BA9">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0D768D9A">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B929A54">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085B07">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7DAABC3">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7BFCA5A">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0F60521">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5E82FAC">
      <w:pPr>
        <w:rPr>
          <w:color w:val="auto"/>
          <w:highlight w:val="none"/>
        </w:rPr>
      </w:pPr>
      <w:bookmarkStart w:id="112" w:name="_Toc74323461"/>
      <w:bookmarkStart w:id="113" w:name="_Hlk202199668"/>
    </w:p>
    <w:p w14:paraId="4225C02B">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p>
    <w:p w14:paraId="2D58B9E9">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p>
    <w:p w14:paraId="4A8870D4">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r>
        <w:rPr>
          <w:rFonts w:hint="eastAsia" w:ascii="仿宋_GB2312" w:hAnsi="宋体" w:eastAsia="仿宋_GB2312"/>
          <w:b/>
          <w:color w:val="auto"/>
          <w:kern w:val="0"/>
          <w:sz w:val="44"/>
          <w:szCs w:val="44"/>
          <w:highlight w:val="none"/>
        </w:rPr>
        <w:t xml:space="preserve">第七章 </w:t>
      </w:r>
      <w:bookmarkEnd w:id="112"/>
      <w:bookmarkStart w:id="114" w:name="_Toc83895638"/>
      <w:bookmarkStart w:id="115" w:name="_Toc373478199"/>
      <w:bookmarkStart w:id="116" w:name="_Toc296503025"/>
      <w:bookmarkStart w:id="117" w:name="_Toc351203480"/>
      <w:bookmarkStart w:id="118" w:name="_Toc256000127"/>
      <w:bookmarkStart w:id="119" w:name="_Toc389065255"/>
      <w:bookmarkStart w:id="120" w:name="_Toc373227552"/>
      <w:bookmarkStart w:id="121" w:name="_Toc296890982"/>
      <w:bookmarkStart w:id="122" w:name="_Toc407135191"/>
      <w:r>
        <w:rPr>
          <w:rFonts w:hint="eastAsia" w:ascii="仿宋_GB2312" w:hAnsi="宋体" w:eastAsia="仿宋_GB2312"/>
          <w:b/>
          <w:color w:val="auto"/>
          <w:kern w:val="0"/>
          <w:sz w:val="44"/>
          <w:szCs w:val="44"/>
          <w:highlight w:val="none"/>
        </w:rPr>
        <w:t xml:space="preserve"> 合同条款及格式</w:t>
      </w:r>
    </w:p>
    <w:p w14:paraId="76FB2E73">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p>
    <w:p w14:paraId="5EA75044">
      <w:pPr>
        <w:jc w:val="left"/>
        <w:rPr>
          <w:rFonts w:ascii="宋体" w:hAnsi="宋体"/>
          <w:b/>
          <w:color w:val="auto"/>
          <w:sz w:val="52"/>
          <w:szCs w:val="52"/>
          <w:highlight w:val="none"/>
        </w:rPr>
      </w:pPr>
      <w:r>
        <w:rPr>
          <w:rFonts w:hint="eastAsia" w:ascii="宋体" w:hAnsi="宋体"/>
          <w:bCs/>
          <w:color w:val="auto"/>
          <w:sz w:val="32"/>
          <w:szCs w:val="32"/>
          <w:highlight w:val="none"/>
        </w:rPr>
        <w:t>(</w:t>
      </w:r>
      <w:r>
        <w:rPr>
          <w:rFonts w:ascii="宋体" w:hAnsi="宋体"/>
          <w:bCs/>
          <w:color w:val="auto"/>
          <w:sz w:val="32"/>
          <w:szCs w:val="32"/>
          <w:highlight w:val="none"/>
        </w:rPr>
        <w:t>GF—201</w:t>
      </w:r>
      <w:r>
        <w:rPr>
          <w:rFonts w:hint="eastAsia" w:ascii="宋体" w:hAnsi="宋体"/>
          <w:bCs/>
          <w:color w:val="auto"/>
          <w:sz w:val="32"/>
          <w:szCs w:val="32"/>
          <w:highlight w:val="none"/>
        </w:rPr>
        <w:t>7</w:t>
      </w:r>
      <w:r>
        <w:rPr>
          <w:rFonts w:ascii="宋体" w:hAnsi="宋体"/>
          <w:bCs/>
          <w:color w:val="auto"/>
          <w:sz w:val="32"/>
          <w:szCs w:val="32"/>
          <w:highlight w:val="none"/>
        </w:rPr>
        <w:t>—</w:t>
      </w:r>
      <w:r>
        <w:rPr>
          <w:rFonts w:hint="eastAsia" w:ascii="宋体" w:hAnsi="宋体"/>
          <w:bCs/>
          <w:color w:val="auto"/>
          <w:sz w:val="32"/>
          <w:szCs w:val="32"/>
          <w:highlight w:val="none"/>
        </w:rPr>
        <w:t>0201)</w:t>
      </w:r>
    </w:p>
    <w:p w14:paraId="74B00339">
      <w:pPr>
        <w:jc w:val="center"/>
        <w:rPr>
          <w:rFonts w:ascii="宋体" w:hAnsi="宋体"/>
          <w:b/>
          <w:color w:val="auto"/>
          <w:sz w:val="52"/>
          <w:szCs w:val="52"/>
          <w:highlight w:val="none"/>
        </w:rPr>
      </w:pPr>
    </w:p>
    <w:p w14:paraId="14446F24">
      <w:pPr>
        <w:jc w:val="center"/>
        <w:rPr>
          <w:rFonts w:ascii="宋体" w:hAnsi="宋体"/>
          <w:b/>
          <w:color w:val="auto"/>
          <w:sz w:val="72"/>
          <w:szCs w:val="52"/>
          <w:highlight w:val="none"/>
        </w:rPr>
      </w:pPr>
      <w:r>
        <w:rPr>
          <w:rFonts w:ascii="宋体" w:hAnsi="宋体"/>
          <w:b/>
          <w:color w:val="auto"/>
          <w:sz w:val="72"/>
          <w:szCs w:val="52"/>
          <w:highlight w:val="none"/>
        </w:rPr>
        <w:t>建设工程施工合同</w:t>
      </w:r>
    </w:p>
    <w:p w14:paraId="2F03B498">
      <w:pPr>
        <w:jc w:val="center"/>
        <w:rPr>
          <w:b/>
          <w:color w:val="auto"/>
          <w:sz w:val="32"/>
          <w:szCs w:val="32"/>
          <w:highlight w:val="none"/>
        </w:rPr>
      </w:pPr>
      <w:r>
        <w:rPr>
          <w:rFonts w:hint="eastAsia"/>
          <w:b/>
          <w:color w:val="auto"/>
          <w:sz w:val="32"/>
          <w:szCs w:val="32"/>
          <w:highlight w:val="none"/>
        </w:rPr>
        <w:t xml:space="preserve">                    </w:t>
      </w:r>
    </w:p>
    <w:p w14:paraId="1AEA4AB4">
      <w:pPr>
        <w:ind w:firstLine="2249" w:firstLineChars="700"/>
        <w:rPr>
          <w:rFonts w:ascii="宋体" w:hAnsi="宋体"/>
          <w:b/>
          <w:color w:val="auto"/>
          <w:sz w:val="52"/>
          <w:szCs w:val="52"/>
          <w:highlight w:val="none"/>
        </w:rPr>
      </w:pPr>
      <w:r>
        <w:rPr>
          <w:rFonts w:hint="eastAsia" w:ascii="宋体" w:hAnsi="宋体" w:cs="宋体"/>
          <w:b/>
          <w:color w:val="auto"/>
          <w:sz w:val="32"/>
          <w:szCs w:val="32"/>
          <w:highlight w:val="none"/>
          <w:u w:val="single"/>
        </w:rPr>
        <w:t xml:space="preserve">                              工程</w:t>
      </w:r>
    </w:p>
    <w:p w14:paraId="1003514B">
      <w:pPr>
        <w:rPr>
          <w:color w:val="auto"/>
          <w:highlight w:val="none"/>
        </w:rPr>
      </w:pPr>
    </w:p>
    <w:p w14:paraId="78D03EE3">
      <w:pPr>
        <w:rPr>
          <w:rFonts w:ascii="宋体" w:hAnsi="宋体"/>
          <w:color w:val="auto"/>
          <w:highlight w:val="none"/>
        </w:rPr>
      </w:pPr>
    </w:p>
    <w:p w14:paraId="5EA4FA85">
      <w:pPr>
        <w:pStyle w:val="277"/>
        <w:adjustRightInd w:val="0"/>
        <w:snapToGrid w:val="0"/>
        <w:spacing w:line="360" w:lineRule="auto"/>
        <w:ind w:firstLine="472" w:firstLineChars="147"/>
        <w:rPr>
          <w:b/>
          <w:color w:val="auto"/>
          <w:sz w:val="32"/>
          <w:szCs w:val="32"/>
          <w:highlight w:val="none"/>
        </w:rPr>
      </w:pPr>
    </w:p>
    <w:p w14:paraId="66D87FA3">
      <w:pPr>
        <w:pStyle w:val="277"/>
        <w:adjustRightInd w:val="0"/>
        <w:snapToGrid w:val="0"/>
        <w:spacing w:line="360" w:lineRule="auto"/>
        <w:ind w:firstLine="472" w:firstLineChars="147"/>
        <w:rPr>
          <w:b/>
          <w:color w:val="auto"/>
          <w:sz w:val="32"/>
          <w:szCs w:val="32"/>
          <w:highlight w:val="none"/>
        </w:rPr>
      </w:pPr>
      <w:r>
        <w:rPr>
          <w:rFonts w:hint="eastAsia"/>
          <w:b/>
          <w:color w:val="auto"/>
          <w:sz w:val="32"/>
          <w:szCs w:val="32"/>
          <w:highlight w:val="none"/>
        </w:rPr>
        <w:t xml:space="preserve"> </w:t>
      </w:r>
    </w:p>
    <w:p w14:paraId="02585485">
      <w:pPr>
        <w:pStyle w:val="277"/>
        <w:adjustRightInd w:val="0"/>
        <w:snapToGrid w:val="0"/>
        <w:spacing w:line="360" w:lineRule="auto"/>
        <w:ind w:firstLine="472" w:firstLineChars="147"/>
        <w:rPr>
          <w:b/>
          <w:color w:val="auto"/>
          <w:sz w:val="32"/>
          <w:szCs w:val="32"/>
          <w:highlight w:val="none"/>
        </w:rPr>
      </w:pPr>
    </w:p>
    <w:p w14:paraId="3D34A876">
      <w:pPr>
        <w:pStyle w:val="277"/>
        <w:adjustRightInd w:val="0"/>
        <w:snapToGrid w:val="0"/>
        <w:spacing w:line="360" w:lineRule="auto"/>
        <w:ind w:firstLine="472" w:firstLineChars="147"/>
        <w:rPr>
          <w:b/>
          <w:color w:val="auto"/>
          <w:sz w:val="32"/>
          <w:szCs w:val="32"/>
          <w:highlight w:val="none"/>
        </w:rPr>
      </w:pPr>
    </w:p>
    <w:p w14:paraId="2F04DC99">
      <w:pPr>
        <w:pStyle w:val="277"/>
        <w:adjustRightInd w:val="0"/>
        <w:snapToGrid w:val="0"/>
        <w:spacing w:line="360" w:lineRule="auto"/>
        <w:ind w:firstLine="472" w:firstLineChars="147"/>
        <w:rPr>
          <w:b/>
          <w:color w:val="auto"/>
          <w:sz w:val="32"/>
          <w:szCs w:val="32"/>
          <w:highlight w:val="none"/>
        </w:rPr>
      </w:pPr>
    </w:p>
    <w:p w14:paraId="49314139">
      <w:pPr>
        <w:pStyle w:val="277"/>
        <w:adjustRightInd w:val="0"/>
        <w:snapToGrid w:val="0"/>
        <w:spacing w:line="800" w:lineRule="exact"/>
        <w:ind w:firstLine="472" w:firstLineChars="147"/>
        <w:rPr>
          <w:rFonts w:ascii="宋体" w:hAnsi="宋体"/>
          <w:b/>
          <w:color w:val="auto"/>
          <w:sz w:val="32"/>
          <w:szCs w:val="32"/>
          <w:highlight w:val="none"/>
          <w:u w:val="single"/>
        </w:rPr>
      </w:pPr>
      <w:r>
        <w:rPr>
          <w:rFonts w:hint="eastAsia"/>
          <w:b/>
          <w:color w:val="auto"/>
          <w:sz w:val="32"/>
          <w:szCs w:val="32"/>
          <w:highlight w:val="none"/>
        </w:rPr>
        <w:t>发 包 人：</w:t>
      </w:r>
      <w:r>
        <w:rPr>
          <w:rFonts w:hint="eastAsia" w:ascii="宋体" w:hAnsi="宋体" w:cs="宋体"/>
          <w:b/>
          <w:color w:val="auto"/>
          <w:sz w:val="32"/>
          <w:szCs w:val="32"/>
          <w:highlight w:val="none"/>
          <w:u w:val="single"/>
        </w:rPr>
        <w:t xml:space="preserve">                              </w:t>
      </w:r>
    </w:p>
    <w:p w14:paraId="16D9A1E1">
      <w:pPr>
        <w:spacing w:line="800" w:lineRule="exact"/>
        <w:ind w:firstLine="475" w:firstLineChars="148"/>
        <w:rPr>
          <w:rFonts w:ascii="宋体" w:hAnsi="宋体"/>
          <w:b/>
          <w:color w:val="auto"/>
          <w:sz w:val="32"/>
          <w:szCs w:val="32"/>
          <w:highlight w:val="none"/>
          <w:u w:val="single"/>
        </w:rPr>
      </w:pPr>
      <w:r>
        <w:rPr>
          <w:rFonts w:hint="eastAsia" w:ascii="宋体" w:hAnsi="宋体"/>
          <w:b/>
          <w:color w:val="auto"/>
          <w:sz w:val="32"/>
          <w:szCs w:val="32"/>
          <w:highlight w:val="none"/>
        </w:rPr>
        <w:t>承 包 人：</w:t>
      </w:r>
      <w:r>
        <w:rPr>
          <w:rFonts w:hint="eastAsia" w:ascii="宋体" w:hAnsi="宋体"/>
          <w:b/>
          <w:color w:val="auto"/>
          <w:sz w:val="32"/>
          <w:szCs w:val="32"/>
          <w:highlight w:val="none"/>
          <w:u w:val="single"/>
        </w:rPr>
        <w:t xml:space="preserve">                              </w:t>
      </w:r>
    </w:p>
    <w:p w14:paraId="21621DEB">
      <w:pPr>
        <w:spacing w:line="800" w:lineRule="exact"/>
        <w:ind w:firstLine="482" w:firstLineChars="150"/>
        <w:rPr>
          <w:rFonts w:ascii="宋体" w:hAnsi="宋体"/>
          <w:b/>
          <w:bCs/>
          <w:color w:val="auto"/>
          <w:sz w:val="32"/>
          <w:szCs w:val="32"/>
          <w:highlight w:val="none"/>
        </w:rPr>
      </w:pPr>
      <w:r>
        <w:rPr>
          <w:rFonts w:hint="eastAsia" w:ascii="宋体" w:hAnsi="宋体" w:cs="宋体"/>
          <w:b/>
          <w:bCs/>
          <w:color w:val="auto"/>
          <w:sz w:val="32"/>
          <w:szCs w:val="32"/>
          <w:highlight w:val="none"/>
        </w:rPr>
        <w:t>签订日期：</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01BB3375">
      <w:pPr>
        <w:pStyle w:val="277"/>
        <w:adjustRightInd w:val="0"/>
        <w:snapToGrid w:val="0"/>
        <w:spacing w:line="360" w:lineRule="auto"/>
        <w:ind w:firstLine="472" w:firstLineChars="147"/>
        <w:rPr>
          <w:b/>
          <w:color w:val="auto"/>
          <w:sz w:val="32"/>
          <w:szCs w:val="32"/>
          <w:highlight w:val="none"/>
        </w:rPr>
      </w:pPr>
    </w:p>
    <w:p w14:paraId="1C2A5019">
      <w:pPr>
        <w:spacing w:line="800" w:lineRule="exact"/>
        <w:ind w:firstLine="444" w:firstLineChars="148"/>
        <w:jc w:val="center"/>
        <w:rPr>
          <w:rFonts w:ascii="Arial" w:hAnsi="Arial" w:eastAsia="华文中宋" w:cs="Arial"/>
          <w:bCs/>
          <w:snapToGrid w:val="0"/>
          <w:color w:val="auto"/>
          <w:sz w:val="24"/>
          <w:highlight w:val="none"/>
        </w:rPr>
      </w:pPr>
      <w:bookmarkStart w:id="123" w:name="_Toc498945556"/>
      <w:r>
        <w:rPr>
          <w:rFonts w:ascii="华文中宋" w:hAnsi="华文中宋" w:eastAsia="华文中宋" w:cs="Arial"/>
          <w:b/>
          <w:bCs/>
          <w:snapToGrid w:val="0"/>
          <w:color w:val="auto"/>
          <w:sz w:val="30"/>
          <w:szCs w:val="30"/>
          <w:highlight w:val="none"/>
        </w:rPr>
        <w:t>第一部分 合同协议书</w:t>
      </w:r>
      <w:bookmarkEnd w:id="123"/>
    </w:p>
    <w:p w14:paraId="0975D626">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b/>
          <w:snapToGrid w:val="0"/>
          <w:color w:val="auto"/>
          <w:kern w:val="0"/>
          <w:szCs w:val="21"/>
          <w:highlight w:val="none"/>
        </w:rPr>
      </w:pPr>
    </w:p>
    <w:p w14:paraId="624E5D6B">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b/>
          <w:snapToGrid w:val="0"/>
          <w:color w:val="auto"/>
          <w:kern w:val="0"/>
          <w:szCs w:val="21"/>
          <w:highlight w:val="none"/>
          <w:u w:val="single"/>
        </w:rPr>
      </w:pPr>
      <w:r>
        <w:rPr>
          <w:rFonts w:hint="eastAsia" w:asciiTheme="minorEastAsia" w:hAnsiTheme="minorEastAsia" w:eastAsiaTheme="minorEastAsia" w:cstheme="minorEastAsia"/>
          <w:b/>
          <w:snapToGrid w:val="0"/>
          <w:color w:val="auto"/>
          <w:kern w:val="0"/>
          <w:szCs w:val="21"/>
          <w:highlight w:val="none"/>
        </w:rPr>
        <w:t>发包人（全称）：</w:t>
      </w:r>
      <w:r>
        <w:rPr>
          <w:rFonts w:hint="eastAsia" w:asciiTheme="minorEastAsia" w:hAnsiTheme="minorEastAsia" w:eastAsiaTheme="minorEastAsia" w:cstheme="minorEastAsia"/>
          <w:b/>
          <w:snapToGrid w:val="0"/>
          <w:color w:val="auto"/>
          <w:kern w:val="0"/>
          <w:szCs w:val="21"/>
          <w:highlight w:val="none"/>
          <w:u w:val="single"/>
        </w:rPr>
        <w:t xml:space="preserve">桂林航天工业学院                  </w:t>
      </w:r>
    </w:p>
    <w:p w14:paraId="240B9C3E">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b/>
          <w:snapToGrid w:val="0"/>
          <w:color w:val="auto"/>
          <w:kern w:val="0"/>
          <w:szCs w:val="21"/>
          <w:highlight w:val="none"/>
          <w:u w:val="single"/>
        </w:rPr>
      </w:pPr>
      <w:r>
        <w:rPr>
          <w:rFonts w:hint="eastAsia" w:asciiTheme="minorEastAsia" w:hAnsiTheme="minorEastAsia" w:eastAsiaTheme="minorEastAsia" w:cstheme="minorEastAsia"/>
          <w:b/>
          <w:snapToGrid w:val="0"/>
          <w:color w:val="auto"/>
          <w:kern w:val="0"/>
          <w:szCs w:val="21"/>
          <w:highlight w:val="none"/>
        </w:rPr>
        <w:t>承包人（全称）</w:t>
      </w:r>
      <w:r>
        <w:rPr>
          <w:rFonts w:hint="eastAsia" w:asciiTheme="minorEastAsia" w:hAnsiTheme="minorEastAsia" w:eastAsiaTheme="minorEastAsia" w:cstheme="minorEastAsia"/>
          <w:b/>
          <w:snapToGrid w:val="0"/>
          <w:color w:val="auto"/>
          <w:kern w:val="0"/>
          <w:sz w:val="21"/>
          <w:szCs w:val="21"/>
          <w:highlight w:val="none"/>
          <w:lang w:eastAsia="zh-CN"/>
        </w:rPr>
        <w:t>：</w:t>
      </w:r>
      <w:r>
        <w:rPr>
          <w:rFonts w:hint="eastAsia" w:asciiTheme="minorEastAsia" w:hAnsiTheme="minorEastAsia" w:eastAsiaTheme="minorEastAsia" w:cstheme="minorEastAsia"/>
          <w:b/>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snapToGrid w:val="0"/>
          <w:color w:val="auto"/>
          <w:kern w:val="0"/>
          <w:szCs w:val="21"/>
          <w:highlight w:val="none"/>
          <w:u w:val="single"/>
        </w:rPr>
        <w:t xml:space="preserve">     </w:t>
      </w:r>
    </w:p>
    <w:p w14:paraId="3682C055">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bCs/>
          <w:snapToGrid w:val="0"/>
          <w:color w:val="auto"/>
          <w:kern w:val="0"/>
          <w:szCs w:val="21"/>
          <w:highlight w:val="none"/>
          <w:u w:val="single"/>
        </w:rPr>
        <w:t>桂林航天工业学院新校区扩建项目星辰广场工程</w:t>
      </w:r>
      <w:r>
        <w:rPr>
          <w:rFonts w:hint="eastAsia" w:asciiTheme="minorEastAsia" w:hAnsiTheme="minorEastAsia" w:eastAsiaTheme="minorEastAsia" w:cstheme="minorEastAsia"/>
          <w:snapToGrid w:val="0"/>
          <w:color w:val="auto"/>
          <w:kern w:val="0"/>
          <w:szCs w:val="21"/>
          <w:highlight w:val="none"/>
        </w:rPr>
        <w:t>施工及有关事项协商一致，共同达成如下协议：</w:t>
      </w:r>
    </w:p>
    <w:p w14:paraId="1335FCC7">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 w:val="0"/>
          <w:bCs/>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一、工程概况</w:t>
      </w:r>
    </w:p>
    <w:p w14:paraId="1AC97A89">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snapToGrid w:val="0"/>
          <w:color w:val="auto"/>
          <w:kern w:val="0"/>
          <w:szCs w:val="21"/>
          <w:highlight w:val="none"/>
          <w:u w:val="single"/>
        </w:rPr>
      </w:pPr>
      <w:r>
        <w:rPr>
          <w:rFonts w:hint="eastAsia" w:asciiTheme="minorEastAsia" w:hAnsiTheme="minorEastAsia" w:eastAsiaTheme="minorEastAsia" w:cstheme="minorEastAsia"/>
          <w:bCs/>
          <w:snapToGrid w:val="0"/>
          <w:color w:val="auto"/>
          <w:kern w:val="0"/>
          <w:szCs w:val="21"/>
          <w:highlight w:val="none"/>
        </w:rPr>
        <w:t>1.工程名称</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bCs/>
          <w:snapToGrid w:val="0"/>
          <w:color w:val="auto"/>
          <w:kern w:val="0"/>
          <w:szCs w:val="21"/>
          <w:highlight w:val="none"/>
          <w:u w:val="single"/>
        </w:rPr>
        <w:t>桂林航天工业学院新校区扩建项目星辰广场工程。</w:t>
      </w:r>
    </w:p>
    <w:p w14:paraId="34CCBEE5">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2.工程地点：</w:t>
      </w:r>
      <w:r>
        <w:rPr>
          <w:rFonts w:hint="eastAsia" w:asciiTheme="minorEastAsia" w:hAnsiTheme="minorEastAsia" w:eastAsiaTheme="minorEastAsia" w:cstheme="minorEastAsia"/>
          <w:bCs/>
          <w:snapToGrid w:val="0"/>
          <w:color w:val="auto"/>
          <w:kern w:val="0"/>
          <w:szCs w:val="21"/>
          <w:highlight w:val="none"/>
          <w:u w:val="single"/>
        </w:rPr>
        <w:t>桂林航天工业学院（广西桂林市金鸡路2号</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rPr>
        <w:t>。</w:t>
      </w:r>
    </w:p>
    <w:p w14:paraId="4EBC3112">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3.工程立项批准文号：</w:t>
      </w:r>
      <w:r>
        <w:rPr>
          <w:rFonts w:hint="eastAsia" w:asciiTheme="minorEastAsia" w:hAnsiTheme="minorEastAsia" w:eastAsiaTheme="minorEastAsia" w:cstheme="minorEastAsia"/>
          <w:bCs/>
          <w:snapToGrid w:val="0"/>
          <w:color w:val="auto"/>
          <w:kern w:val="0"/>
          <w:szCs w:val="21"/>
          <w:highlight w:val="none"/>
          <w:u w:val="single"/>
        </w:rPr>
        <w:t xml:space="preserve">     </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p>
    <w:p w14:paraId="564B5C14">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4.资金来源：</w:t>
      </w:r>
      <w:r>
        <w:rPr>
          <w:rFonts w:hint="eastAsia" w:asciiTheme="minorEastAsia" w:hAnsiTheme="minorEastAsia" w:eastAsiaTheme="minorEastAsia" w:cstheme="minorEastAsia"/>
          <w:bCs/>
          <w:snapToGrid w:val="0"/>
          <w:color w:val="auto"/>
          <w:kern w:val="0"/>
          <w:szCs w:val="21"/>
          <w:highlight w:val="none"/>
          <w:u w:val="single"/>
        </w:rPr>
        <w:t>财政资金</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Cs w:val="21"/>
          <w:highlight w:val="none"/>
        </w:rPr>
        <w:t>。</w:t>
      </w:r>
    </w:p>
    <w:p w14:paraId="252E40E1">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5.工程内容：</w:t>
      </w:r>
      <w:r>
        <w:rPr>
          <w:rFonts w:hint="eastAsia" w:asciiTheme="minorEastAsia" w:hAnsiTheme="minorEastAsia" w:eastAsiaTheme="minorEastAsia" w:cstheme="minorEastAsia"/>
          <w:bCs/>
          <w:snapToGrid w:val="0"/>
          <w:color w:val="auto"/>
          <w:kern w:val="0"/>
          <w:szCs w:val="21"/>
          <w:highlight w:val="none"/>
          <w:u w:val="single"/>
        </w:rPr>
        <w:t>星辰广场占地面积约8000平方米，具体详见工程量清单及图纸</w:t>
      </w:r>
      <w:r>
        <w:rPr>
          <w:rFonts w:hint="eastAsia" w:asciiTheme="minorEastAsia" w:hAnsiTheme="minorEastAsia" w:eastAsiaTheme="minorEastAsia" w:cstheme="minorEastAsia"/>
          <w:bCs/>
          <w:snapToGrid w:val="0"/>
          <w:color w:val="auto"/>
          <w:kern w:val="0"/>
          <w:szCs w:val="21"/>
          <w:highlight w:val="none"/>
        </w:rPr>
        <w:t>。</w:t>
      </w:r>
    </w:p>
    <w:p w14:paraId="1EAAF280">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群体工程应附《承包人承揽工程项目一览表》（附件1）。</w:t>
      </w:r>
    </w:p>
    <w:p w14:paraId="096A9540">
      <w:pPr>
        <w:widowControl/>
        <w:kinsoku w:val="0"/>
        <w:autoSpaceDE w:val="0"/>
        <w:autoSpaceDN w:val="0"/>
        <w:adjustRightInd w:val="0"/>
        <w:snapToGrid w:val="0"/>
        <w:spacing w:line="360" w:lineRule="auto"/>
        <w:ind w:firstLine="411" w:firstLineChars="196"/>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6.工程承包范围：</w:t>
      </w:r>
    </w:p>
    <w:p w14:paraId="2BC488D1">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u w:val="single"/>
        </w:rPr>
        <w:t>本项目施工图纸范围内包含的所有施工内容，详见工程量清单</w:t>
      </w:r>
      <w:r>
        <w:rPr>
          <w:rFonts w:hint="eastAsia" w:asciiTheme="minorEastAsia" w:hAnsiTheme="minorEastAsia" w:eastAsiaTheme="minorEastAsia" w:cstheme="minorEastAsia"/>
          <w:snapToGrid w:val="0"/>
          <w:color w:val="auto"/>
          <w:kern w:val="0"/>
          <w:szCs w:val="21"/>
          <w:highlight w:val="none"/>
        </w:rPr>
        <w:t>。</w:t>
      </w:r>
    </w:p>
    <w:p w14:paraId="19407A49">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Cs/>
          <w:snapToGrid w:val="0"/>
          <w:color w:val="auto"/>
          <w:szCs w:val="21"/>
          <w:highlight w:val="none"/>
        </w:rPr>
      </w:pPr>
      <w:r>
        <w:rPr>
          <w:rFonts w:hint="eastAsia" w:asciiTheme="minorEastAsia" w:hAnsiTheme="minorEastAsia" w:eastAsiaTheme="minorEastAsia" w:cstheme="minorEastAsia"/>
          <w:bCs/>
          <w:snapToGrid w:val="0"/>
          <w:color w:val="auto"/>
          <w:szCs w:val="21"/>
          <w:highlight w:val="none"/>
        </w:rPr>
        <w:t xml:space="preserve">   二、合同工期</w:t>
      </w:r>
    </w:p>
    <w:p w14:paraId="24D4DDF7">
      <w:pPr>
        <w:widowControl/>
        <w:kinsoku w:val="0"/>
        <w:autoSpaceDE w:val="0"/>
        <w:autoSpaceDN w:val="0"/>
        <w:adjustRightInd w:val="0"/>
        <w:snapToGrid w:val="0"/>
        <w:spacing w:line="360" w:lineRule="exact"/>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     计划开工日期：</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rPr>
        <w:t>月</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Cs w:val="21"/>
          <w:highlight w:val="none"/>
        </w:rPr>
        <w:t>日。（实际开工日期以监理工程师下达的开工指令为准）</w:t>
      </w:r>
    </w:p>
    <w:p w14:paraId="173673EE">
      <w:pPr>
        <w:widowControl/>
        <w:kinsoku w:val="0"/>
        <w:autoSpaceDE w:val="0"/>
        <w:autoSpaceDN w:val="0"/>
        <w:adjustRightInd w:val="0"/>
        <w:snapToGrid w:val="0"/>
        <w:spacing w:line="360" w:lineRule="auto"/>
        <w:ind w:firstLine="459"/>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计划竣工日期</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rPr>
        <w:t>月</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Cs w:val="21"/>
          <w:highlight w:val="none"/>
        </w:rPr>
        <w:t>日。</w:t>
      </w:r>
    </w:p>
    <w:p w14:paraId="35418081">
      <w:pPr>
        <w:widowControl/>
        <w:kinsoku w:val="0"/>
        <w:autoSpaceDE w:val="0"/>
        <w:autoSpaceDN w:val="0"/>
        <w:adjustRightInd w:val="0"/>
        <w:snapToGrid w:val="0"/>
        <w:spacing w:line="360" w:lineRule="auto"/>
        <w:ind w:firstLine="459"/>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工期总天数：</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100    </w:t>
      </w:r>
      <w:r>
        <w:rPr>
          <w:rFonts w:hint="eastAsia" w:asciiTheme="minorEastAsia" w:hAnsiTheme="minorEastAsia" w:eastAsiaTheme="minorEastAsia" w:cstheme="minorEastAsia"/>
          <w:snapToGrid w:val="0"/>
          <w:color w:val="auto"/>
          <w:kern w:val="0"/>
          <w:szCs w:val="21"/>
          <w:highlight w:val="none"/>
        </w:rPr>
        <w:t>天。</w:t>
      </w:r>
    </w:p>
    <w:p w14:paraId="1027B5B6">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Cs/>
          <w:snapToGrid w:val="0"/>
          <w:color w:val="auto"/>
          <w:szCs w:val="21"/>
          <w:highlight w:val="none"/>
        </w:rPr>
        <w:t>三、质量标准</w:t>
      </w:r>
    </w:p>
    <w:p w14:paraId="3EF59678">
      <w:pPr>
        <w:widowControl/>
        <w:kinsoku w:val="0"/>
        <w:autoSpaceDE w:val="0"/>
        <w:autoSpaceDN w:val="0"/>
        <w:adjustRightInd w:val="0"/>
        <w:snapToGrid w:val="0"/>
        <w:spacing w:line="360" w:lineRule="auto"/>
        <w:ind w:firstLine="459"/>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工程质量符合</w:t>
      </w:r>
      <w:r>
        <w:rPr>
          <w:rFonts w:hint="eastAsia" w:asciiTheme="minorEastAsia" w:hAnsiTheme="minorEastAsia" w:eastAsiaTheme="minorEastAsia" w:cstheme="minorEastAsia"/>
          <w:snapToGrid w:val="0"/>
          <w:color w:val="auto"/>
          <w:kern w:val="0"/>
          <w:szCs w:val="21"/>
          <w:highlight w:val="none"/>
          <w:u w:val="single"/>
        </w:rPr>
        <w:t>合格</w:t>
      </w:r>
      <w:r>
        <w:rPr>
          <w:rFonts w:hint="eastAsia" w:asciiTheme="minorEastAsia" w:hAnsiTheme="minorEastAsia" w:eastAsiaTheme="minorEastAsia" w:cstheme="minorEastAsia"/>
          <w:snapToGrid w:val="0"/>
          <w:color w:val="auto"/>
          <w:kern w:val="0"/>
          <w:szCs w:val="21"/>
          <w:highlight w:val="none"/>
        </w:rPr>
        <w:t>标准。</w:t>
      </w:r>
    </w:p>
    <w:p w14:paraId="30F5A0B5">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Cs/>
          <w:snapToGrid w:val="0"/>
          <w:color w:val="auto"/>
          <w:szCs w:val="21"/>
          <w:highlight w:val="none"/>
        </w:rPr>
        <w:t xml:space="preserve"> 四、签约合同价与合同价格形式</w:t>
      </w:r>
      <w:r>
        <w:rPr>
          <w:rFonts w:hint="eastAsia" w:asciiTheme="minorEastAsia" w:hAnsiTheme="minorEastAsia" w:eastAsiaTheme="minorEastAsia" w:cstheme="minorEastAsia"/>
          <w:bCs/>
          <w:snapToGrid w:val="0"/>
          <w:color w:val="auto"/>
          <w:szCs w:val="21"/>
          <w:highlight w:val="none"/>
        </w:rPr>
        <w:tab/>
      </w:r>
    </w:p>
    <w:p w14:paraId="663924DE">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1.签约合同价为：</w:t>
      </w:r>
    </w:p>
    <w:p w14:paraId="7469E1D8">
      <w:pPr>
        <w:widowControl/>
        <w:kinsoku w:val="0"/>
        <w:autoSpaceDE w:val="0"/>
        <w:autoSpaceDN w:val="0"/>
        <w:adjustRightInd w:val="0"/>
        <w:snapToGrid w:val="0"/>
        <w:spacing w:line="360" w:lineRule="auto"/>
        <w:ind w:firstLine="525" w:firstLineChars="2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rPr>
        <w:t>元）；</w:t>
      </w:r>
    </w:p>
    <w:p w14:paraId="71E42774">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其中：</w:t>
      </w:r>
    </w:p>
    <w:p w14:paraId="2AEE717C">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（1）安全文明施工费：</w:t>
      </w:r>
    </w:p>
    <w:p w14:paraId="561BFDFF">
      <w:pPr>
        <w:widowControl/>
        <w:kinsoku w:val="0"/>
        <w:autoSpaceDE w:val="0"/>
        <w:autoSpaceDN w:val="0"/>
        <w:adjustRightInd w:val="0"/>
        <w:snapToGrid w:val="0"/>
        <w:spacing w:line="360" w:lineRule="auto"/>
        <w:ind w:firstLine="945" w:firstLineChars="4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rPr>
        <w:t>元）；</w:t>
      </w:r>
    </w:p>
    <w:p w14:paraId="3DEAC436">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（2）材料和工程设备暂估价金额：</w:t>
      </w:r>
    </w:p>
    <w:p w14:paraId="7FBABABE">
      <w:pPr>
        <w:widowControl/>
        <w:kinsoku w:val="0"/>
        <w:autoSpaceDE w:val="0"/>
        <w:autoSpaceDN w:val="0"/>
        <w:adjustRightInd w:val="0"/>
        <w:snapToGrid w:val="0"/>
        <w:spacing w:line="360" w:lineRule="auto"/>
        <w:ind w:firstLine="945" w:firstLineChars="4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元）；</w:t>
      </w:r>
    </w:p>
    <w:p w14:paraId="464681E5">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（3）专业工程暂估价金额：</w:t>
      </w:r>
    </w:p>
    <w:p w14:paraId="4345243F">
      <w:pPr>
        <w:widowControl/>
        <w:kinsoku w:val="0"/>
        <w:autoSpaceDE w:val="0"/>
        <w:autoSpaceDN w:val="0"/>
        <w:adjustRightInd w:val="0"/>
        <w:snapToGrid w:val="0"/>
        <w:spacing w:line="360" w:lineRule="auto"/>
        <w:ind w:firstLine="945" w:firstLineChars="4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元）；</w:t>
      </w:r>
    </w:p>
    <w:p w14:paraId="70AEEA08">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（4）暂列金额：</w:t>
      </w:r>
    </w:p>
    <w:p w14:paraId="67A99E0A">
      <w:pPr>
        <w:widowControl/>
        <w:kinsoku w:val="0"/>
        <w:autoSpaceDE w:val="0"/>
        <w:autoSpaceDN w:val="0"/>
        <w:adjustRightInd w:val="0"/>
        <w:snapToGrid w:val="0"/>
        <w:spacing w:line="360" w:lineRule="auto"/>
        <w:ind w:firstLine="945" w:firstLineChars="4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元）;</w:t>
      </w:r>
    </w:p>
    <w:p w14:paraId="1B2468EB">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（5）建安劳保费：</w:t>
      </w:r>
    </w:p>
    <w:p w14:paraId="771ECCD1">
      <w:pPr>
        <w:widowControl/>
        <w:kinsoku w:val="0"/>
        <w:autoSpaceDE w:val="0"/>
        <w:autoSpaceDN w:val="0"/>
        <w:adjustRightInd w:val="0"/>
        <w:snapToGrid w:val="0"/>
        <w:spacing w:line="360" w:lineRule="auto"/>
        <w:ind w:firstLine="945" w:firstLineChars="45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人民币（大写）</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      /    </w:t>
      </w:r>
      <w:r>
        <w:rPr>
          <w:rFonts w:hint="eastAsia" w:asciiTheme="minorEastAsia" w:hAnsiTheme="minorEastAsia" w:eastAsiaTheme="minorEastAsia" w:cstheme="minorEastAsia"/>
          <w:snapToGrid w:val="0"/>
          <w:color w:val="auto"/>
          <w:kern w:val="0"/>
          <w:szCs w:val="21"/>
          <w:highlight w:val="none"/>
        </w:rPr>
        <w:t>元）。</w:t>
      </w:r>
    </w:p>
    <w:p w14:paraId="59C37D18">
      <w:pPr>
        <w:numPr>
          <w:ilvl w:val="0"/>
          <w:numId w:val="2"/>
        </w:numPr>
        <w:spacing w:line="360" w:lineRule="auto"/>
        <w:ind w:firstLine="420" w:firstLineChars="200"/>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合同价格形式：</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spacing w:val="-2"/>
          <w:kern w:val="0"/>
          <w:szCs w:val="21"/>
          <w:highlight w:val="none"/>
          <w:u w:val="single"/>
        </w:rPr>
        <w:t>固</w:t>
      </w:r>
      <w:r>
        <w:rPr>
          <w:rFonts w:hint="eastAsia" w:asciiTheme="minorEastAsia" w:hAnsiTheme="minorEastAsia" w:eastAsiaTheme="minorEastAsia" w:cstheme="minorEastAsia"/>
          <w:snapToGrid w:val="0"/>
          <w:color w:val="auto"/>
          <w:kern w:val="0"/>
          <w:szCs w:val="21"/>
          <w:highlight w:val="none"/>
          <w:u w:val="single"/>
        </w:rPr>
        <w:t>定综</w:t>
      </w:r>
      <w:r>
        <w:rPr>
          <w:rFonts w:hint="eastAsia" w:asciiTheme="minorEastAsia" w:hAnsiTheme="minorEastAsia" w:eastAsiaTheme="minorEastAsia" w:cstheme="minorEastAsia"/>
          <w:snapToGrid w:val="0"/>
          <w:color w:val="auto"/>
          <w:spacing w:val="-2"/>
          <w:kern w:val="0"/>
          <w:szCs w:val="21"/>
          <w:highlight w:val="none"/>
          <w:u w:val="single"/>
        </w:rPr>
        <w:t>合</w:t>
      </w:r>
      <w:r>
        <w:rPr>
          <w:rFonts w:hint="eastAsia" w:asciiTheme="minorEastAsia" w:hAnsiTheme="minorEastAsia" w:eastAsiaTheme="minorEastAsia" w:cstheme="minorEastAsia"/>
          <w:snapToGrid w:val="0"/>
          <w:color w:val="auto"/>
          <w:kern w:val="0"/>
          <w:szCs w:val="21"/>
          <w:highlight w:val="none"/>
          <w:u w:val="single"/>
        </w:rPr>
        <w:t>单价       </w:t>
      </w:r>
      <w:r>
        <w:rPr>
          <w:rFonts w:hint="eastAsia" w:asciiTheme="minorEastAsia" w:hAnsiTheme="minorEastAsia" w:eastAsiaTheme="minorEastAsia" w:cstheme="minorEastAsia"/>
          <w:snapToGrid w:val="0"/>
          <w:color w:val="auto"/>
          <w:kern w:val="0"/>
          <w:szCs w:val="21"/>
          <w:highlight w:val="none"/>
        </w:rPr>
        <w:t>。</w:t>
      </w:r>
    </w:p>
    <w:p w14:paraId="6CF288FF">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u w:val="single"/>
        </w:rPr>
      </w:pPr>
      <w:r>
        <w:rPr>
          <w:rFonts w:hint="eastAsia" w:asciiTheme="minorEastAsia" w:hAnsiTheme="minorEastAsia" w:eastAsiaTheme="minorEastAsia" w:cstheme="minorEastAsia"/>
          <w:snapToGrid w:val="0"/>
          <w:color w:val="auto"/>
          <w:kern w:val="0"/>
          <w:szCs w:val="21"/>
          <w:highlight w:val="none"/>
        </w:rPr>
        <w:t>3. 增值税计税方法</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u w:val="single"/>
        </w:rPr>
        <w:t>一般计税法</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05B8EEC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农民工工资支付专用账户</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p>
    <w:p w14:paraId="5883D8D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账号</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bCs/>
          <w:color w:val="auto"/>
          <w:kern w:val="1"/>
          <w:sz w:val="21"/>
          <w:szCs w:val="21"/>
          <w:highlight w:val="none"/>
          <w:u w:val="single"/>
          <w:lang w:val="en-US" w:eastAsia="zh-CN" w:bidi="ar-SA"/>
        </w:rPr>
        <w:t xml:space="preserve">                                                  </w:t>
      </w:r>
    </w:p>
    <w:p w14:paraId="6C98342F">
      <w:pPr>
        <w:spacing w:line="360" w:lineRule="auto"/>
        <w:ind w:firstLine="420" w:firstLineChars="200"/>
        <w:rPr>
          <w:rFonts w:asciiTheme="minorEastAsia" w:hAnsiTheme="minorEastAsia" w:eastAsiaTheme="minorEastAsia" w:cstheme="minorEastAsia"/>
          <w:bCs/>
          <w:color w:val="auto"/>
          <w:kern w:val="1"/>
          <w:szCs w:val="21"/>
          <w:highlight w:val="none"/>
          <w:u w:val="single"/>
        </w:rPr>
      </w:pPr>
      <w:r>
        <w:rPr>
          <w:rFonts w:hint="eastAsia" w:asciiTheme="minorEastAsia" w:hAnsiTheme="minorEastAsia" w:eastAsiaTheme="minorEastAsia" w:cstheme="minorEastAsia"/>
          <w:color w:val="auto"/>
          <w:szCs w:val="21"/>
          <w:highlight w:val="none"/>
        </w:rPr>
        <w:t xml:space="preserve">    开户银行</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bCs/>
          <w:color w:val="auto"/>
          <w:kern w:val="1"/>
          <w:sz w:val="21"/>
          <w:szCs w:val="21"/>
          <w:highlight w:val="none"/>
          <w:u w:val="single"/>
          <w:lang w:val="en-US" w:eastAsia="zh-CN" w:bidi="ar-SA"/>
        </w:rPr>
        <w:t xml:space="preserve">                                             </w:t>
      </w:r>
    </w:p>
    <w:p w14:paraId="695D59C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59CCB510">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Cs/>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 w:val="0"/>
          <w:bCs/>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五、项目经理</w:t>
      </w:r>
    </w:p>
    <w:p w14:paraId="75ABB3DF">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承包人项目经理：</w:t>
      </w:r>
      <w:r>
        <w:rPr>
          <w:rFonts w:hint="eastAsia" w:asciiTheme="minorEastAsia" w:hAnsiTheme="minorEastAsia" w:eastAsiaTheme="minorEastAsia" w:cstheme="minorEastAsia"/>
          <w:snapToGrid w:val="0"/>
          <w:color w:val="auto"/>
          <w:kern w:val="0"/>
          <w:szCs w:val="21"/>
          <w:highlight w:val="none"/>
          <w:u w:val="single"/>
        </w:rPr>
        <w:t>                     </w:t>
      </w:r>
      <w:r>
        <w:rPr>
          <w:rFonts w:hint="eastAsia" w:asciiTheme="minorEastAsia" w:hAnsiTheme="minorEastAsia" w:eastAsiaTheme="minorEastAsia" w:cstheme="minorEastAsia"/>
          <w:snapToGrid w:val="0"/>
          <w:color w:val="auto"/>
          <w:kern w:val="0"/>
          <w:szCs w:val="21"/>
          <w:highlight w:val="none"/>
        </w:rPr>
        <w:t>。</w:t>
      </w:r>
    </w:p>
    <w:p w14:paraId="5C52C959">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 w:val="0"/>
          <w:bCs/>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六、合同文件构成</w:t>
      </w:r>
    </w:p>
    <w:p w14:paraId="63ADB521">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本协议书与下列文件一起构成合同文件：</w:t>
      </w:r>
    </w:p>
    <w:p w14:paraId="4BA297B7">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（1）成交通知书（如果有）；</w:t>
      </w:r>
    </w:p>
    <w:p w14:paraId="0FAACFDD">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（2）竞标函及其附录（如果有）； </w:t>
      </w:r>
    </w:p>
    <w:p w14:paraId="3525CF8E">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（3）专用合同条款及其附件；</w:t>
      </w:r>
    </w:p>
    <w:p w14:paraId="466429F2">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（4）通用合同条款；</w:t>
      </w:r>
    </w:p>
    <w:p w14:paraId="5E5DCA04">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（5）技术标准和要求；</w:t>
      </w:r>
    </w:p>
    <w:p w14:paraId="6B1847FB">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（6）图纸；</w:t>
      </w:r>
    </w:p>
    <w:p w14:paraId="395FC84F">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（7）已标价工程量清单或预算书；</w:t>
      </w:r>
    </w:p>
    <w:p w14:paraId="0125C59C">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（8）其他合同文件。</w:t>
      </w:r>
    </w:p>
    <w:p w14:paraId="38A93915">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在合同订立及履行过程中形成的与合同有关的文件均构成合同文件组成部分。</w:t>
      </w:r>
    </w:p>
    <w:p w14:paraId="793DD3C7">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上述各项合同文件包括合同当事人就该项合同文件所作出的补充和修改，属于同一类内容的文件，应以最新签署的为准。专用合同条款及其附件须经合同当事人签字或盖章。</w:t>
      </w:r>
    </w:p>
    <w:p w14:paraId="362D58CC">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b w:val="0"/>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 w:val="0"/>
          <w:bCs/>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七、承诺</w:t>
      </w:r>
    </w:p>
    <w:p w14:paraId="293BB167">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1.发包人承诺按照法律规定履行项目审批手续、筹集工程建设资金并按照合同约定的期限和方式支付合同价款。</w:t>
      </w:r>
    </w:p>
    <w:p w14:paraId="779A8B28">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2.承包人承诺按照法律规定及合同约定组织完成工程施工，确保工程质量和安全，不进行转包及违法分包，并在缺陷责任期及保修期内承担相应的工程维修责任。</w:t>
      </w:r>
    </w:p>
    <w:p w14:paraId="6346736D">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3.发包人和承包人通过招投标形式签订合同的，双方理解并承诺不再就同一工程另行签订与合同实质性内容相背离的协议。</w:t>
      </w:r>
    </w:p>
    <w:p w14:paraId="19F42E3E">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
          <w:snapToGrid w:val="0"/>
          <w:color w:val="auto"/>
          <w:kern w:val="0"/>
          <w:szCs w:val="21"/>
          <w:highlight w:val="none"/>
        </w:rPr>
        <w:t xml:space="preserve">    八、词语含义</w:t>
      </w:r>
    </w:p>
    <w:p w14:paraId="6FE54545">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本协议书中词语含义与第二部分通用合同条款中赋予的含义相同。</w:t>
      </w:r>
    </w:p>
    <w:p w14:paraId="2A9B4EDC">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 w:val="0"/>
          <w:bCs/>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九、签订时间</w:t>
      </w:r>
    </w:p>
    <w:p w14:paraId="3DA00ACD">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本合同于</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 w:val="21"/>
          <w:szCs w:val="21"/>
          <w:highlight w:val="none"/>
          <w:lang w:eastAsia="zh-CN"/>
        </w:rPr>
        <w:t>年</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 w:val="21"/>
          <w:szCs w:val="21"/>
          <w:highlight w:val="none"/>
          <w:lang w:eastAsia="zh-CN"/>
        </w:rPr>
        <w:t>月</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 w:val="21"/>
          <w:szCs w:val="21"/>
          <w:highlight w:val="none"/>
          <w:lang w:eastAsia="zh-CN"/>
        </w:rPr>
        <w:t>日</w:t>
      </w:r>
      <w:r>
        <w:rPr>
          <w:rFonts w:hint="eastAsia" w:asciiTheme="minorEastAsia" w:hAnsiTheme="minorEastAsia" w:eastAsiaTheme="minorEastAsia" w:cstheme="minorEastAsia"/>
          <w:bCs/>
          <w:snapToGrid w:val="0"/>
          <w:color w:val="auto"/>
          <w:kern w:val="0"/>
          <w:szCs w:val="21"/>
          <w:highlight w:val="none"/>
        </w:rPr>
        <w:t>签订。</w:t>
      </w:r>
    </w:p>
    <w:p w14:paraId="14D82EA1">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十、签订地点</w:t>
      </w:r>
    </w:p>
    <w:p w14:paraId="6C276E29">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本合同在</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Cs w:val="21"/>
          <w:highlight w:val="none"/>
        </w:rPr>
        <w:t>签订。</w:t>
      </w:r>
    </w:p>
    <w:p w14:paraId="2C40A4DF">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十一、补充协议</w:t>
      </w:r>
    </w:p>
    <w:p w14:paraId="13E3DE16">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合同未尽事宜，合同当事人另行签订补充协议，补充协议是合同的组成部分。</w:t>
      </w:r>
    </w:p>
    <w:p w14:paraId="4869A502">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十二、合同生效</w:t>
      </w:r>
    </w:p>
    <w:p w14:paraId="75A768DC">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本合同自</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Cs w:val="21"/>
          <w:highlight w:val="none"/>
          <w:u w:val="single"/>
        </w:rPr>
        <w:t>双方签字盖章后</w:t>
      </w:r>
      <w:r>
        <w:rPr>
          <w:rFonts w:hint="eastAsia" w:asciiTheme="minorEastAsia" w:hAnsiTheme="minorEastAsia" w:eastAsiaTheme="minorEastAsia" w:cstheme="minorEastAsia"/>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Cs/>
          <w:snapToGrid w:val="0"/>
          <w:color w:val="auto"/>
          <w:kern w:val="0"/>
          <w:szCs w:val="21"/>
          <w:highlight w:val="none"/>
        </w:rPr>
        <w:t>生效。</w:t>
      </w:r>
    </w:p>
    <w:p w14:paraId="2B06930C">
      <w:pPr>
        <w:keepNext/>
        <w:keepLines/>
        <w:kinsoku w:val="0"/>
        <w:autoSpaceDE w:val="0"/>
        <w:autoSpaceDN w:val="0"/>
        <w:adjustRightInd w:val="0"/>
        <w:snapToGrid w:val="0"/>
        <w:spacing w:before="120" w:after="120" w:line="376" w:lineRule="auto"/>
        <w:textAlignment w:val="baseline"/>
        <w:outlineLvl w:val="3"/>
        <w:rPr>
          <w:rFonts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bCs w:val="0"/>
          <w:snapToGrid w:val="0"/>
          <w:color w:val="auto"/>
          <w:sz w:val="21"/>
          <w:szCs w:val="21"/>
          <w:highlight w:val="none"/>
          <w:lang w:val="en-US" w:eastAsia="zh-CN" w:bidi="ar-SA"/>
        </w:rPr>
        <w:t xml:space="preserve">    </w:t>
      </w:r>
      <w:r>
        <w:rPr>
          <w:rFonts w:hint="eastAsia" w:asciiTheme="minorEastAsia" w:hAnsiTheme="minorEastAsia" w:eastAsiaTheme="minorEastAsia" w:cstheme="minorEastAsia"/>
          <w:bCs/>
          <w:snapToGrid w:val="0"/>
          <w:color w:val="auto"/>
          <w:szCs w:val="21"/>
          <w:highlight w:val="none"/>
        </w:rPr>
        <w:t>十三、合同份数</w:t>
      </w:r>
    </w:p>
    <w:p w14:paraId="4AB5C60F">
      <w:pPr>
        <w:widowControl/>
        <w:kinsoku w:val="0"/>
        <w:autoSpaceDE w:val="0"/>
        <w:autoSpaceDN w:val="0"/>
        <w:adjustRightInd w:val="0"/>
        <w:snapToGrid w:val="0"/>
        <w:spacing w:line="360" w:lineRule="auto"/>
        <w:ind w:firstLine="420" w:firstLineChars="200"/>
        <w:jc w:val="left"/>
        <w:textAlignment w:val="baseline"/>
        <w:rPr>
          <w:rFonts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bCs/>
          <w:snapToGrid w:val="0"/>
          <w:color w:val="auto"/>
          <w:kern w:val="0"/>
          <w:szCs w:val="21"/>
          <w:highlight w:val="none"/>
        </w:rPr>
        <w:t>本合同一式</w:t>
      </w:r>
      <w:r>
        <w:rPr>
          <w:rFonts w:hint="eastAsia" w:asciiTheme="minorEastAsia" w:hAnsiTheme="minorEastAsia" w:eastAsiaTheme="minorEastAsia" w:cstheme="minorEastAsia"/>
          <w:bCs/>
          <w:snapToGrid w:val="0"/>
          <w:color w:val="auto"/>
          <w:kern w:val="0"/>
          <w:szCs w:val="21"/>
          <w:highlight w:val="none"/>
          <w:u w:val="single"/>
        </w:rPr>
        <w:t>陆</w:t>
      </w:r>
      <w:r>
        <w:rPr>
          <w:rFonts w:hint="eastAsia" w:asciiTheme="minorEastAsia" w:hAnsiTheme="minorEastAsia" w:eastAsiaTheme="minorEastAsia" w:cstheme="minorEastAsia"/>
          <w:bCs/>
          <w:snapToGrid w:val="0"/>
          <w:color w:val="auto"/>
          <w:kern w:val="0"/>
          <w:szCs w:val="21"/>
          <w:highlight w:val="none"/>
        </w:rPr>
        <w:t>份，均具有同等法律效力，发包人执</w:t>
      </w:r>
      <w:r>
        <w:rPr>
          <w:rFonts w:hint="eastAsia" w:asciiTheme="minorEastAsia" w:hAnsiTheme="minorEastAsia" w:eastAsiaTheme="minorEastAsia" w:cstheme="minorEastAsia"/>
          <w:bCs/>
          <w:snapToGrid w:val="0"/>
          <w:color w:val="auto"/>
          <w:kern w:val="0"/>
          <w:szCs w:val="21"/>
          <w:highlight w:val="none"/>
          <w:u w:val="single"/>
        </w:rPr>
        <w:t>叁</w:t>
      </w:r>
      <w:r>
        <w:rPr>
          <w:rFonts w:hint="eastAsia" w:asciiTheme="minorEastAsia" w:hAnsiTheme="minorEastAsia" w:eastAsiaTheme="minorEastAsia" w:cstheme="minorEastAsia"/>
          <w:bCs/>
          <w:snapToGrid w:val="0"/>
          <w:color w:val="auto"/>
          <w:kern w:val="0"/>
          <w:szCs w:val="21"/>
          <w:highlight w:val="none"/>
        </w:rPr>
        <w:t>份，承包人执</w:t>
      </w:r>
      <w:r>
        <w:rPr>
          <w:rFonts w:hint="eastAsia" w:asciiTheme="minorEastAsia" w:hAnsiTheme="minorEastAsia" w:eastAsiaTheme="minorEastAsia" w:cstheme="minorEastAsia"/>
          <w:bCs/>
          <w:snapToGrid w:val="0"/>
          <w:color w:val="auto"/>
          <w:kern w:val="0"/>
          <w:szCs w:val="21"/>
          <w:highlight w:val="none"/>
          <w:u w:val="single"/>
        </w:rPr>
        <w:t xml:space="preserve"> 叁</w:t>
      </w:r>
      <w:r>
        <w:rPr>
          <w:rFonts w:hint="eastAsia" w:asciiTheme="minorEastAsia" w:hAnsiTheme="minorEastAsia" w:eastAsiaTheme="minorEastAsia" w:cstheme="minorEastAsia"/>
          <w:bCs/>
          <w:snapToGrid w:val="0"/>
          <w:color w:val="auto"/>
          <w:kern w:val="0"/>
          <w:szCs w:val="21"/>
          <w:highlight w:val="none"/>
        </w:rPr>
        <w:t>份。</w:t>
      </w:r>
    </w:p>
    <w:p w14:paraId="55B4AF5E">
      <w:pPr>
        <w:kinsoku w:val="0"/>
        <w:autoSpaceDE w:val="0"/>
        <w:autoSpaceDN w:val="0"/>
        <w:adjustRightInd w:val="0"/>
        <w:snapToGrid w:val="0"/>
        <w:spacing w:before="154" w:line="226" w:lineRule="auto"/>
        <w:ind w:left="63" w:right="63"/>
        <w:textAlignment w:val="baseline"/>
        <w:rPr>
          <w:rFonts w:asciiTheme="minorEastAsia" w:hAnsiTheme="minorEastAsia" w:eastAsiaTheme="minorEastAsia" w:cstheme="minorEastAsia"/>
          <w:snapToGrid w:val="0"/>
          <w:color w:val="auto"/>
          <w:spacing w:val="8"/>
          <w:szCs w:val="21"/>
          <w:highlight w:val="none"/>
        </w:rPr>
      </w:pPr>
    </w:p>
    <w:p w14:paraId="7EF4380F">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发包人：  （公章</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承包人：  （公章）</w:t>
      </w:r>
    </w:p>
    <w:p w14:paraId="49221951">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u w:val="single"/>
        </w:rPr>
      </w:pPr>
      <w:r>
        <w:rPr>
          <w:rFonts w:hint="eastAsia" w:asciiTheme="minorEastAsia" w:hAnsiTheme="minorEastAsia" w:eastAsiaTheme="minorEastAsia" w:cstheme="minorEastAsia"/>
          <w:snapToGrid w:val="0"/>
          <w:color w:val="auto"/>
          <w:kern w:val="0"/>
          <w:szCs w:val="21"/>
          <w:highlight w:val="none"/>
        </w:rPr>
        <w:t xml:space="preserve"> 桂林航天工业学院            </w:t>
      </w:r>
    </w:p>
    <w:p w14:paraId="51CD58F3">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法定代表人</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法定代表人：</w:t>
      </w:r>
    </w:p>
    <w:p w14:paraId="18307B4B">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u w:val="single"/>
        </w:rPr>
      </w:pPr>
    </w:p>
    <w:p w14:paraId="0BA037F4">
      <w:pPr>
        <w:widowControl/>
        <w:tabs>
          <w:tab w:val="left" w:pos="4410"/>
        </w:tabs>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社会信用代码：</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社会信用代码：</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p>
    <w:p w14:paraId="5DACD5F0">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地  址：</w:t>
      </w:r>
      <w:r>
        <w:rPr>
          <w:rFonts w:hint="eastAsia" w:asciiTheme="minorEastAsia" w:hAnsiTheme="minorEastAsia" w:eastAsiaTheme="minorEastAsia" w:cstheme="minorEastAsia"/>
          <w:snapToGrid w:val="0"/>
          <w:color w:val="auto"/>
          <w:kern w:val="0"/>
          <w:szCs w:val="21"/>
          <w:highlight w:val="none"/>
          <w:u w:val="single"/>
        </w:rPr>
        <w:t xml:space="preserve"> 桂林市金鸡路2号</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地  址：</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771C3A92">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邮政编码：</w:t>
      </w:r>
      <w:r>
        <w:rPr>
          <w:rFonts w:hint="eastAsia" w:asciiTheme="minorEastAsia" w:hAnsiTheme="minorEastAsia" w:eastAsiaTheme="minorEastAsia" w:cstheme="minorEastAsia"/>
          <w:snapToGrid w:val="0"/>
          <w:color w:val="auto"/>
          <w:kern w:val="0"/>
          <w:szCs w:val="21"/>
          <w:highlight w:val="none"/>
          <w:u w:val="single"/>
        </w:rPr>
        <w:t xml:space="preserve"> 541004  </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邮政编码：</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34C1273D">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电  话：</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电  话：</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686A0DEA">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传  真：</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传  真：</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49D01301">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电子信箱</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电子信箱：</w:t>
      </w:r>
      <w:r>
        <w:rPr>
          <w:rFonts w:hint="eastAsia" w:asciiTheme="minorEastAsia" w:hAnsiTheme="minorEastAsia" w:eastAsiaTheme="minorEastAsia" w:cstheme="minorEastAsia"/>
          <w:snapToGrid w:val="0"/>
          <w:color w:val="auto"/>
          <w:kern w:val="0"/>
          <w:szCs w:val="21"/>
          <w:highlight w:val="none"/>
          <w:u w:val="single"/>
        </w:rPr>
        <w:t>/</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3E632F2A">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开户银行：</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开户银行：</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293A6807">
      <w:pPr>
        <w:widowControl/>
        <w:kinsoku w:val="0"/>
        <w:autoSpaceDE w:val="0"/>
        <w:autoSpaceDN w:val="0"/>
        <w:adjustRightInd w:val="0"/>
        <w:snapToGrid w:val="0"/>
        <w:spacing w:line="360" w:lineRule="auto"/>
        <w:jc w:val="left"/>
        <w:textAlignment w:val="baseline"/>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账  号：</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 xml:space="preserve">           </w:t>
      </w:r>
      <w:r>
        <w:rPr>
          <w:rFonts w:hint="eastAsia" w:asciiTheme="minorEastAsia" w:hAnsiTheme="minorEastAsia" w:eastAsiaTheme="minorEastAsia" w:cstheme="minorEastAsia"/>
          <w:snapToGrid w:val="0"/>
          <w:color w:val="auto"/>
          <w:kern w:val="0"/>
          <w:szCs w:val="21"/>
          <w:highlight w:val="none"/>
        </w:rPr>
        <w:t>账  号：</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p>
    <w:p w14:paraId="4D81F894">
      <w:pPr>
        <w:keepNext/>
        <w:keepLines/>
        <w:kinsoku w:val="0"/>
        <w:autoSpaceDE w:val="0"/>
        <w:autoSpaceDN w:val="0"/>
        <w:adjustRightInd w:val="0"/>
        <w:snapToGrid w:val="0"/>
        <w:spacing w:before="260" w:after="260" w:line="416" w:lineRule="auto"/>
        <w:jc w:val="center"/>
        <w:textAlignment w:val="baseline"/>
        <w:outlineLvl w:val="2"/>
        <w:rPr>
          <w:rFonts w:ascii="华文中宋" w:hAnsi="华文中宋" w:eastAsia="华文中宋" w:cs="Arial"/>
          <w:b/>
          <w:bCs/>
          <w:snapToGrid w:val="0"/>
          <w:color w:val="auto"/>
          <w:sz w:val="24"/>
          <w:highlight w:val="none"/>
        </w:rPr>
      </w:pPr>
      <w:r>
        <w:rPr>
          <w:rFonts w:hint="eastAsia" w:asciiTheme="minorEastAsia" w:hAnsiTheme="minorEastAsia" w:eastAsiaTheme="minorEastAsia" w:cstheme="minorEastAsia"/>
          <w:b/>
          <w:bCs/>
          <w:snapToGrid w:val="0"/>
          <w:color w:val="auto"/>
          <w:szCs w:val="21"/>
          <w:highlight w:val="none"/>
        </w:rPr>
        <w:br w:type="page"/>
      </w:r>
      <w:bookmarkStart w:id="124" w:name="_Toc351203494"/>
      <w:bookmarkStart w:id="125" w:name="_Toc498945557"/>
      <w:r>
        <w:rPr>
          <w:rFonts w:hint="eastAsia" w:ascii="Arial" w:hAnsi="Arial" w:eastAsia="仿宋_GB2312" w:cs="Arial"/>
          <w:b/>
          <w:bCs/>
          <w:snapToGrid w:val="0"/>
          <w:color w:val="auto"/>
          <w:sz w:val="24"/>
          <w:szCs w:val="24"/>
          <w:highlight w:val="none"/>
          <w:lang w:val="en-US" w:eastAsia="zh-CN" w:bidi="ar-SA"/>
        </w:rPr>
        <w:t xml:space="preserve"> </w:t>
      </w:r>
      <w:r>
        <w:rPr>
          <w:rFonts w:ascii="华文中宋" w:hAnsi="华文中宋" w:eastAsia="华文中宋" w:cs="Arial"/>
          <w:b/>
          <w:bCs/>
          <w:snapToGrid w:val="0"/>
          <w:color w:val="auto"/>
          <w:sz w:val="24"/>
          <w:highlight w:val="none"/>
        </w:rPr>
        <w:t>第二部分 通用合同条款</w:t>
      </w:r>
      <w:bookmarkEnd w:id="124"/>
      <w:bookmarkEnd w:id="125"/>
      <w:bookmarkStart w:id="126" w:name="_Toc337558727"/>
    </w:p>
    <w:p w14:paraId="68C88151">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127" w:name="_Toc351203495"/>
      <w:r>
        <w:rPr>
          <w:rFonts w:eastAsia="黑体"/>
          <w:bCs/>
          <w:snapToGrid w:val="0"/>
          <w:color w:val="auto"/>
          <w:sz w:val="24"/>
          <w:highlight w:val="none"/>
        </w:rPr>
        <w:t>1.</w:t>
      </w:r>
      <w:bookmarkStart w:id="128" w:name="_Toc303538974"/>
      <w:bookmarkEnd w:id="128"/>
      <w:bookmarkStart w:id="129" w:name="_Toc303538973"/>
      <w:bookmarkEnd w:id="129"/>
      <w:bookmarkStart w:id="130" w:name="_Toc303538972"/>
      <w:bookmarkEnd w:id="130"/>
      <w:bookmarkStart w:id="131" w:name="_Toc303538976"/>
      <w:bookmarkEnd w:id="131"/>
      <w:bookmarkStart w:id="132" w:name="_Toc303538975"/>
      <w:bookmarkEnd w:id="132"/>
      <w:bookmarkStart w:id="133" w:name="_Toc296503027"/>
      <w:bookmarkStart w:id="134" w:name="_Toc296346528"/>
      <w:r>
        <w:rPr>
          <w:rFonts w:hint="eastAsia" w:asciiTheme="majorEastAsia" w:hAnsiTheme="majorEastAsia" w:eastAsiaTheme="majorEastAsia" w:cstheme="majorEastAsia"/>
          <w:bCs/>
          <w:snapToGrid w:val="0"/>
          <w:color w:val="auto"/>
          <w:szCs w:val="21"/>
          <w:highlight w:val="none"/>
        </w:rPr>
        <w:t xml:space="preserve"> 一般约定</w:t>
      </w:r>
      <w:bookmarkEnd w:id="126"/>
      <w:bookmarkEnd w:id="127"/>
      <w:bookmarkEnd w:id="133"/>
      <w:bookmarkEnd w:id="134"/>
    </w:p>
    <w:p w14:paraId="1C2AC83C">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35" w:name="_Toc296503028"/>
      <w:bookmarkStart w:id="136" w:name="_Toc296346529"/>
      <w:bookmarkStart w:id="137" w:name="_Toc337558728"/>
      <w:bookmarkStart w:id="138" w:name="_Toc351203496"/>
      <w:r>
        <w:rPr>
          <w:rFonts w:hint="eastAsia" w:asciiTheme="majorEastAsia" w:hAnsiTheme="majorEastAsia" w:eastAsiaTheme="majorEastAsia" w:cstheme="majorEastAsia"/>
          <w:bCs/>
          <w:snapToGrid w:val="0"/>
          <w:color w:val="auto"/>
          <w:szCs w:val="21"/>
          <w:highlight w:val="none"/>
        </w:rPr>
        <w:t>1.1词语定义</w:t>
      </w:r>
      <w:bookmarkEnd w:id="135"/>
      <w:bookmarkEnd w:id="136"/>
      <w:bookmarkEnd w:id="137"/>
      <w:r>
        <w:rPr>
          <w:rFonts w:hint="eastAsia" w:asciiTheme="majorEastAsia" w:hAnsiTheme="majorEastAsia" w:eastAsiaTheme="majorEastAsia" w:cstheme="majorEastAsia"/>
          <w:bCs/>
          <w:snapToGrid w:val="0"/>
          <w:color w:val="auto"/>
          <w:szCs w:val="21"/>
          <w:highlight w:val="none"/>
        </w:rPr>
        <w:t>与解释</w:t>
      </w:r>
      <w:bookmarkEnd w:id="138"/>
    </w:p>
    <w:p w14:paraId="474A5F4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合同协议书、通用合同条款、专用合同条款中的下列词语具有本款所赋予的含义：</w:t>
      </w:r>
    </w:p>
    <w:p w14:paraId="4ECAD4B1">
      <w:pPr>
        <w:widowControl/>
        <w:kinsoku w:val="0"/>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1.1.1 合同</w:t>
      </w:r>
    </w:p>
    <w:p w14:paraId="734316D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1.1.1.1 合同：是指根据法律规定和合同当事人约定具有约束力的文件，构成合同的文件包括合同协议书、成交通知书（如果有）、竞标函及其附录（如果有）、专用合同条款及其附件、通用合同条款、技术标准和要求、图纸、已标价工程量清单或预算书以及其他合同文件。</w:t>
      </w:r>
    </w:p>
    <w:p w14:paraId="1DBE873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1.1.1.2 合同协议书：是指构成合同的由发包人和承包人共同签署的称为“合同协议书”的书面文件。</w:t>
      </w:r>
    </w:p>
    <w:p w14:paraId="15E0D86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1.1.1.3 成交通知书：是指构成合同的由发包人通知承包人成交的书面文件。</w:t>
      </w:r>
    </w:p>
    <w:p w14:paraId="2107FBF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1.1.1.4 竞标函：是指构成合同的由承包人填写并签署的用于投标的称为“竞标函”的文件。</w:t>
      </w:r>
    </w:p>
    <w:p w14:paraId="4ECB2C3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1.1.1.5 竞标函附录：是指构成合同的附在竞标函后的称为“竞标函附录”的文件。</w:t>
      </w:r>
    </w:p>
    <w:p w14:paraId="11849C9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1.1.1.6 技术标准和要求：是指构成合同的施工应当遵守的或指导施工的国家、行业或地方的技术标准和要求，以及合同约定的技术标准和要求。</w:t>
      </w:r>
    </w:p>
    <w:p w14:paraId="76F9B62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0055E842">
      <w:pPr>
        <w:widowControl/>
        <w:kinsoku w:val="0"/>
        <w:autoSpaceDE w:val="0"/>
        <w:autoSpaceDN w:val="0"/>
        <w:adjustRightInd w:val="0"/>
        <w:snapToGrid w:val="0"/>
        <w:spacing w:line="360" w:lineRule="auto"/>
        <w:ind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1.1.1.8 已标价工程量清单：是指构成合同的由承包人按照规定的格式和要求填写并标明价格的工程量清单，包括说明和表格。</w:t>
      </w:r>
    </w:p>
    <w:p w14:paraId="31DFD00C">
      <w:pPr>
        <w:widowControl/>
        <w:kinsoku w:val="0"/>
        <w:autoSpaceDE w:val="0"/>
        <w:autoSpaceDN w:val="0"/>
        <w:adjustRightInd w:val="0"/>
        <w:snapToGrid w:val="0"/>
        <w:spacing w:line="360" w:lineRule="auto"/>
        <w:ind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1.1.1.9 预算书：是指构成合同的由承包人按照发包人规定的格式和要求编制的工程预算文件。</w:t>
      </w:r>
    </w:p>
    <w:p w14:paraId="35A0A93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1.1.1.10 其他合同文件：是指经合同当事人约定的与工程施工有关的具有合同约束力的文件或书面协议。合同当事人可以在专用合同条款中进行约定。</w:t>
      </w:r>
    </w:p>
    <w:p w14:paraId="17D5C205">
      <w:pPr>
        <w:widowControl/>
        <w:kinsoku w:val="0"/>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1.1.2 合同当事人及其他相关方</w:t>
      </w:r>
    </w:p>
    <w:p w14:paraId="2674C06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1.1.2.1 合同当事人：是指发包人和（或）承包人。</w:t>
      </w:r>
    </w:p>
    <w:p w14:paraId="3A98A6C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1.1.2.2 发包人：是指与承包人签订合同协议书的当事人及取得该当事人资格的合法继承人。</w:t>
      </w:r>
    </w:p>
    <w:p w14:paraId="2F3E0A8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1.1.2.3 承包人：是指与发包人签订合同协议书的，具有相应工程施工承包资质的当事人及取得该当事人资格的合法继承人。</w:t>
      </w:r>
    </w:p>
    <w:p w14:paraId="08D702E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1.1.2.4 监理人：是指在专用合同条款中指明的，受发包人委托按照法律规定进行工程监督管理的法人或其他组织。</w:t>
      </w:r>
    </w:p>
    <w:p w14:paraId="0FD9C13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1.1.2.5 设计人：是指在专用合同条款中指明的，受发包人委托负责工程设计并具备相应工程设计资质的法人或其他组织。</w:t>
      </w:r>
    </w:p>
    <w:p w14:paraId="55B5E522">
      <w:pPr>
        <w:widowControl/>
        <w:kinsoku w:val="0"/>
        <w:autoSpaceDE w:val="0"/>
        <w:autoSpaceDN w:val="0"/>
        <w:adjustRightInd w:val="0"/>
        <w:snapToGrid w:val="0"/>
        <w:spacing w:line="360" w:lineRule="auto"/>
        <w:ind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1.1.2.6 分包人：</w:t>
      </w:r>
      <w:bookmarkStart w:id="139" w:name="#go5"/>
      <w:bookmarkEnd w:id="139"/>
      <w:r>
        <w:rPr>
          <w:rFonts w:hint="eastAsia" w:asciiTheme="majorEastAsia" w:hAnsiTheme="majorEastAsia" w:eastAsiaTheme="majorEastAsia" w:cstheme="majorEastAsia"/>
          <w:snapToGrid w:val="0"/>
          <w:color w:val="auto"/>
          <w:kern w:val="0"/>
          <w:szCs w:val="21"/>
          <w:highlight w:val="none"/>
        </w:rPr>
        <w:t>是指按照法律规定和合同约定，分包部分工程或工作，并与承包人签订分包合同的具有相应资质的法人。</w:t>
      </w:r>
    </w:p>
    <w:p w14:paraId="48A370D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1.1.2.7 发包人代表：是指由发包人任命并派驻施工现场在发包人授权范围内行使发包人权利的人。</w:t>
      </w:r>
    </w:p>
    <w:p w14:paraId="2C6A79B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1.1.2.8 项目经理：是指由承包人任命并派驻施工现场，在承包人授权范围内负责合同履行，且按照法律规定具有相应资格的项目负责人。</w:t>
      </w:r>
    </w:p>
    <w:p w14:paraId="7C5DE3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1.1.2.9 总监理工程师：是指由监理人任命并派驻施工现场进行工程监理的总负责人。</w:t>
      </w:r>
    </w:p>
    <w:p w14:paraId="5B5CC38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 工程和设备</w:t>
      </w:r>
    </w:p>
    <w:p w14:paraId="61D49C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1.1.3.1 工程：是指与合同协议书中工程承包范围对应的永久工程和（或）临时工程。</w:t>
      </w:r>
    </w:p>
    <w:p w14:paraId="55FC297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1.1.3.2 永久工程：是指按合同约定建造并移交给发包人的工程，包括工程设备。</w:t>
      </w:r>
    </w:p>
    <w:p w14:paraId="0CFCAAB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1.1.3.3 临时工程：是指为完成合同约定的永久工程所修建的各类临时性工程，不包括施工设备。</w:t>
      </w:r>
    </w:p>
    <w:p w14:paraId="504718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1.1.3.4 单位工程：是指在合同协议书中指明的，具备独立施工条件并能形成独立使用功能的永久工程。</w:t>
      </w:r>
    </w:p>
    <w:p w14:paraId="7E07324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1.1.3.5 工程设备：是指构成永久工程的机电设备、金属结构设备、仪器及其他类似的设备和装置。</w:t>
      </w:r>
    </w:p>
    <w:p w14:paraId="1C70669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1.1.3.6 施工设备：是指为完成合同约定的各项工作所需的设备、器具和其他物品，但不包括工程设备、临时工程和材料。</w:t>
      </w:r>
    </w:p>
    <w:p w14:paraId="3E16517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1.1.3.7 施工现场：是指用于工程施工的场所，以及在专用合同条款中指明作为施工场所组成部分的其他场所，包括永久占地和临时占地。</w:t>
      </w:r>
    </w:p>
    <w:p w14:paraId="37084D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1.1.3.8临时设施：是指为完成合同约定的各项工作所服务的临时性生产和生活设施。</w:t>
      </w:r>
    </w:p>
    <w:p w14:paraId="1A9A900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1.1.3.9 永久占地：是指专用合同条款中指明为实施工程需永久占用的土地。</w:t>
      </w:r>
    </w:p>
    <w:p w14:paraId="2EF3DD9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1.1.3.10 临时占地：是指专用合同条款中指明为实施工程需要临时占用的土地。</w:t>
      </w:r>
    </w:p>
    <w:p w14:paraId="6DEB46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 日期和期限</w:t>
      </w:r>
    </w:p>
    <w:p w14:paraId="492BCCA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259B5F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4C26B24F">
      <w:pPr>
        <w:widowControl/>
        <w:kinsoku w:val="0"/>
        <w:autoSpaceDE w:val="0"/>
        <w:autoSpaceDN w:val="0"/>
        <w:adjustRightInd w:val="0"/>
        <w:snapToGrid w:val="0"/>
        <w:spacing w:line="360" w:lineRule="auto"/>
        <w:ind w:firstLine="426" w:firstLineChars="203"/>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1.1.4.3 工期：是指在合同协议书约定的承包人完成工程所需的期限，包括按照合同约定所作的期限变更。</w:t>
      </w:r>
    </w:p>
    <w:p w14:paraId="5BA73FE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1.1.4.4 缺陷责任期：是指承包人按照合同约定承担缺陷修复义务，且发包人预留质量保证金（已缴纳履约保证金的除外）的期限，自工程实际竣工日期起计算。</w:t>
      </w:r>
    </w:p>
    <w:p w14:paraId="1D10611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1.1.4.5 保修期：是指承包人按照合同约定对工程承担保修责任的期限，从工程竣工验收合格之日起计算。</w:t>
      </w:r>
    </w:p>
    <w:p w14:paraId="18E196A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1.1.4.6 基准日期：招标发包的工程以投标截止日前28天的日期为基准日期，直接发包的工程以合同签订日前28天的日期为基准日期。</w:t>
      </w:r>
    </w:p>
    <w:p w14:paraId="7657992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1.1.4.7 天：除特别指明外，均指日历天。合同中按天计算时间的，开始当天不计入，从次日开始计算，期限最后一天的截止时间为当天24:00时。</w:t>
      </w:r>
    </w:p>
    <w:p w14:paraId="27CF064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 合同价格和费用</w:t>
      </w:r>
    </w:p>
    <w:p w14:paraId="7E7CD58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1.1.5.1 签约合同价：是指发包人和承包人在合同协议书中确定的总金额，包括安全文明施工费、暂估价及暂列金额等。</w:t>
      </w:r>
    </w:p>
    <w:p w14:paraId="6605EED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1.1.5.2 合同价格：是指发包人用于支付承包人按照合同约定完成承包范围内全部工作的金额，包括合同履行过程中按合同约定发生的价格变化。</w:t>
      </w:r>
    </w:p>
    <w:p w14:paraId="5366A94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1.1.5.3 费用：是指为履行合同所发生的或将要发生的所有必需的开支，包括管理费和应分摊的其他费用，但不包括利润。</w:t>
      </w:r>
    </w:p>
    <w:p w14:paraId="15B2AD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2112A54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24F696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1.1.5.6 计日工：是指合同履行过程中，承包人完成发包人提出的零星工作或需要采用计日工计价的变更工作时，按合同中约定的单价计价的一种方式。</w:t>
      </w:r>
    </w:p>
    <w:p w14:paraId="2B43679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1.1.5.7 质量保证金</w:t>
      </w:r>
      <w:bookmarkStart w:id="140" w:name="#go2"/>
      <w:bookmarkEnd w:id="140"/>
      <w:r>
        <w:rPr>
          <w:rFonts w:hint="eastAsia" w:asciiTheme="majorEastAsia" w:hAnsiTheme="majorEastAsia" w:eastAsiaTheme="majorEastAsia" w:cstheme="majorEastAsia"/>
          <w:snapToGrid w:val="0"/>
          <w:color w:val="auto"/>
          <w:kern w:val="0"/>
          <w:szCs w:val="21"/>
          <w:highlight w:val="none"/>
        </w:rPr>
        <w:t>：是指按照第15.3款〔质量保证金〕约定承包人用于保证其在缺陷责任期内履行缺陷修补义务的担保。</w:t>
      </w:r>
    </w:p>
    <w:p w14:paraId="45C4E7D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1.1.5.8 总价项目：是指在现行国家、行业以及地方的计量规则中无工程量计算规则，在已标价工程量清单或预算书中以总价或以费率形式计算的项目。</w:t>
      </w:r>
    </w:p>
    <w:p w14:paraId="0F72EC3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1.1.6 其他</w:t>
      </w:r>
    </w:p>
    <w:p w14:paraId="5CDEC3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1.1.6.1 书面形式：是指合同文件、信函、电报、传真等可以有形地表现所载内容的形式。</w:t>
      </w:r>
    </w:p>
    <w:p w14:paraId="0FE1E57D">
      <w:pPr>
        <w:keepNext/>
        <w:keepLines/>
        <w:kinsoku w:val="0"/>
        <w:autoSpaceDE w:val="0"/>
        <w:autoSpaceDN w:val="0"/>
        <w:adjustRightInd w:val="0"/>
        <w:snapToGrid w:val="0"/>
        <w:spacing w:before="120" w:after="120" w:line="360" w:lineRule="auto"/>
        <w:textAlignment w:val="baseline"/>
        <w:outlineLvl w:val="4"/>
        <w:rPr>
          <w:rFonts w:asciiTheme="majorEastAsia" w:hAnsiTheme="majorEastAsia" w:eastAsiaTheme="majorEastAsia" w:cstheme="majorEastAsia"/>
          <w:bCs/>
          <w:snapToGrid w:val="0"/>
          <w:color w:val="auto"/>
          <w:szCs w:val="21"/>
          <w:highlight w:val="none"/>
        </w:rPr>
      </w:pPr>
      <w:bookmarkStart w:id="141" w:name="_Toc296346530"/>
      <w:bookmarkStart w:id="142" w:name="_Toc296503029"/>
      <w:bookmarkStart w:id="143" w:name="_Toc337558729"/>
      <w:bookmarkStart w:id="144" w:name="_Toc351203497"/>
      <w:r>
        <w:rPr>
          <w:rFonts w:hint="eastAsia" w:asciiTheme="majorEastAsia" w:hAnsiTheme="majorEastAsia" w:eastAsiaTheme="majorEastAsia" w:cstheme="majorEastAsia"/>
          <w:b w:val="0"/>
          <w:bCs/>
          <w:snapToGrid w:val="0"/>
          <w:color w:val="auto"/>
          <w:sz w:val="21"/>
          <w:szCs w:val="21"/>
          <w:highlight w:val="none"/>
          <w:lang w:val="en-US" w:eastAsia="zh-CN" w:bidi="ar-SA"/>
        </w:rPr>
        <w:t xml:space="preserve">    </w:t>
      </w:r>
      <w:r>
        <w:rPr>
          <w:rFonts w:hint="eastAsia" w:asciiTheme="majorEastAsia" w:hAnsiTheme="majorEastAsia" w:eastAsiaTheme="majorEastAsia" w:cstheme="majorEastAsia"/>
          <w:bCs/>
          <w:snapToGrid w:val="0"/>
          <w:color w:val="auto"/>
          <w:szCs w:val="21"/>
          <w:highlight w:val="none"/>
        </w:rPr>
        <w:t>1.2语言文字</w:t>
      </w:r>
      <w:bookmarkEnd w:id="141"/>
      <w:bookmarkEnd w:id="142"/>
      <w:bookmarkEnd w:id="143"/>
      <w:bookmarkEnd w:id="144"/>
    </w:p>
    <w:p w14:paraId="14BB4A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合同以中国的汉语简体文字编写、解释和说明。合同当事人在专用合同条款中约定使用两种以上语言时，汉语为优先解释和说明合同的语言。</w:t>
      </w:r>
    </w:p>
    <w:p w14:paraId="4EC992F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45" w:name="_Toc351203498"/>
      <w:bookmarkStart w:id="146" w:name="_Toc296503030"/>
      <w:bookmarkStart w:id="147" w:name="_Toc296346531"/>
      <w:bookmarkStart w:id="148" w:name="_Toc337558730"/>
      <w:r>
        <w:rPr>
          <w:rFonts w:hint="eastAsia" w:asciiTheme="majorEastAsia" w:hAnsiTheme="majorEastAsia" w:eastAsiaTheme="majorEastAsia" w:cstheme="majorEastAsia"/>
          <w:bCs/>
          <w:snapToGrid w:val="0"/>
          <w:color w:val="auto"/>
          <w:szCs w:val="21"/>
          <w:highlight w:val="none"/>
        </w:rPr>
        <w:t>1.3法律</w:t>
      </w:r>
      <w:bookmarkEnd w:id="145"/>
      <w:bookmarkEnd w:id="146"/>
      <w:bookmarkEnd w:id="147"/>
      <w:bookmarkEnd w:id="148"/>
    </w:p>
    <w:p w14:paraId="6F47878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合同所称法律是指中华人民共和国法律、行政法规、部门规章，以及工程所在地的地方性法规、自治条例、单行条例和地方政府规章等。</w:t>
      </w:r>
    </w:p>
    <w:p w14:paraId="32AE72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合同当事人可以在专用合同条款中约定合同适用的其他规范性文件。</w:t>
      </w:r>
    </w:p>
    <w:p w14:paraId="6653DFB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49" w:name="_Toc351203499"/>
      <w:r>
        <w:rPr>
          <w:rFonts w:hint="eastAsia" w:asciiTheme="majorEastAsia" w:hAnsiTheme="majorEastAsia" w:eastAsiaTheme="majorEastAsia" w:cstheme="majorEastAsia"/>
          <w:bCs/>
          <w:snapToGrid w:val="0"/>
          <w:color w:val="auto"/>
          <w:szCs w:val="21"/>
          <w:highlight w:val="none"/>
        </w:rPr>
        <w:t>1.4 标准和规范</w:t>
      </w:r>
      <w:bookmarkEnd w:id="149"/>
    </w:p>
    <w:p w14:paraId="2E898925">
      <w:pPr>
        <w:widowControl/>
        <w:kinsoku w:val="0"/>
        <w:autoSpaceDE w:val="0"/>
        <w:autoSpaceDN w:val="0"/>
        <w:adjustRightInd w:val="0"/>
        <w:snapToGrid w:val="0"/>
        <w:spacing w:line="360" w:lineRule="auto"/>
        <w:ind w:firstLine="64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1.4.1 适用于工程的国家标准、行业标准、工程所在地的地方性标准，以及相应的规范、规程等，合同当事人有特别要求的，应在专用合同条款中约定。</w:t>
      </w:r>
    </w:p>
    <w:p w14:paraId="46BE0DC7">
      <w:pPr>
        <w:widowControl/>
        <w:kinsoku w:val="0"/>
        <w:autoSpaceDE w:val="0"/>
        <w:autoSpaceDN w:val="0"/>
        <w:adjustRightInd w:val="0"/>
        <w:snapToGrid w:val="0"/>
        <w:spacing w:line="360" w:lineRule="auto"/>
        <w:ind w:firstLine="64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1.4.2 发包人要求使用国外标准、规范的，发包人负责提供原文版本和中文译本，并在专用合同条款中约定提供标准规范的名称、份数和时间。</w:t>
      </w:r>
    </w:p>
    <w:p w14:paraId="6B1165B6">
      <w:pPr>
        <w:widowControl/>
        <w:kinsoku w:val="0"/>
        <w:autoSpaceDE w:val="0"/>
        <w:autoSpaceDN w:val="0"/>
        <w:adjustRightInd w:val="0"/>
        <w:snapToGrid w:val="0"/>
        <w:spacing w:line="360" w:lineRule="auto"/>
        <w:ind w:firstLine="64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6EC517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50" w:name="_Toc351203500"/>
      <w:r>
        <w:rPr>
          <w:rFonts w:hint="eastAsia" w:asciiTheme="majorEastAsia" w:hAnsiTheme="majorEastAsia" w:eastAsiaTheme="majorEastAsia" w:cstheme="majorEastAsia"/>
          <w:bCs/>
          <w:snapToGrid w:val="0"/>
          <w:color w:val="auto"/>
          <w:szCs w:val="21"/>
          <w:highlight w:val="none"/>
        </w:rPr>
        <w:t>1</w:t>
      </w:r>
      <w:bookmarkStart w:id="151" w:name="_Toc296346532"/>
      <w:bookmarkStart w:id="152" w:name="_Toc296503031"/>
      <w:bookmarkStart w:id="153" w:name="_Toc337558731"/>
      <w:r>
        <w:rPr>
          <w:rFonts w:hint="eastAsia" w:asciiTheme="majorEastAsia" w:hAnsiTheme="majorEastAsia" w:eastAsiaTheme="majorEastAsia" w:cstheme="majorEastAsia"/>
          <w:bCs/>
          <w:snapToGrid w:val="0"/>
          <w:color w:val="auto"/>
          <w:szCs w:val="21"/>
          <w:highlight w:val="none"/>
        </w:rPr>
        <w:t>.5 合同文件的优先顺序</w:t>
      </w:r>
      <w:bookmarkEnd w:id="150"/>
    </w:p>
    <w:bookmarkEnd w:id="151"/>
    <w:bookmarkEnd w:id="152"/>
    <w:bookmarkEnd w:id="153"/>
    <w:p w14:paraId="4A9F7F8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组成合同的各项文件应互相解释，互为说明。除专用合同条款另有约定外，解释合同文件的优先顺序如下：</w:t>
      </w:r>
    </w:p>
    <w:p w14:paraId="12D1CF2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（1）合同协议书；</w:t>
      </w:r>
    </w:p>
    <w:p w14:paraId="617CA6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（2）成交通知书（如果有）；</w:t>
      </w:r>
    </w:p>
    <w:p w14:paraId="0D4BF6B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（3）竞标函及其附录（如果有）；</w:t>
      </w:r>
    </w:p>
    <w:p w14:paraId="2283F90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（4）专用合同条款及其附件；</w:t>
      </w:r>
    </w:p>
    <w:p w14:paraId="35DE3D8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（5）通用合同条款；</w:t>
      </w:r>
    </w:p>
    <w:p w14:paraId="627C340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（6）技术标准和要求；</w:t>
      </w:r>
    </w:p>
    <w:p w14:paraId="78E2EBC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（7）图纸；</w:t>
      </w:r>
    </w:p>
    <w:p w14:paraId="1BB8FB1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（8）已标价工程量清单或预算书；</w:t>
      </w:r>
    </w:p>
    <w:p w14:paraId="52F929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（9）其他合同文件。</w:t>
      </w:r>
    </w:p>
    <w:p w14:paraId="5BDAA8A9">
      <w:pPr>
        <w:widowControl/>
        <w:kinsoku w:val="0"/>
        <w:autoSpaceDE w:val="0"/>
        <w:autoSpaceDN w:val="0"/>
        <w:adjustRightInd w:val="0"/>
        <w:snapToGrid w:val="0"/>
        <w:spacing w:line="360" w:lineRule="auto"/>
        <w:ind w:firstLine="447" w:firstLineChars="213"/>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上述各项合同文件包括合同当事人就该项合同文件所作出的补充和修改，属于同一类内容的文件，应以最新签署的为准。</w:t>
      </w:r>
    </w:p>
    <w:p w14:paraId="33EC53E9">
      <w:pPr>
        <w:widowControl/>
        <w:kinsoku w:val="0"/>
        <w:autoSpaceDE w:val="0"/>
        <w:autoSpaceDN w:val="0"/>
        <w:adjustRightInd w:val="0"/>
        <w:snapToGrid w:val="0"/>
        <w:spacing w:line="360" w:lineRule="auto"/>
        <w:ind w:firstLine="447" w:firstLineChars="213"/>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在合同订立及履行过程中形成的与合同有关的文件均构成合同文件组成部分，并根据其性质确定优先解释顺序。</w:t>
      </w:r>
    </w:p>
    <w:p w14:paraId="1724CC4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54" w:name="_Toc351203501"/>
      <w:r>
        <w:rPr>
          <w:rFonts w:hint="eastAsia" w:asciiTheme="majorEastAsia" w:hAnsiTheme="majorEastAsia" w:eastAsiaTheme="majorEastAsia" w:cstheme="majorEastAsia"/>
          <w:bCs/>
          <w:snapToGrid w:val="0"/>
          <w:color w:val="auto"/>
          <w:szCs w:val="21"/>
          <w:highlight w:val="none"/>
        </w:rPr>
        <w:t>1</w:t>
      </w:r>
      <w:bookmarkStart w:id="155" w:name="_Toc337558732"/>
      <w:bookmarkStart w:id="156" w:name="_Toc296346533"/>
      <w:bookmarkStart w:id="157" w:name="_Toc296503032"/>
      <w:r>
        <w:rPr>
          <w:rFonts w:hint="eastAsia" w:asciiTheme="majorEastAsia" w:hAnsiTheme="majorEastAsia" w:eastAsiaTheme="majorEastAsia" w:cstheme="majorEastAsia"/>
          <w:bCs/>
          <w:snapToGrid w:val="0"/>
          <w:color w:val="auto"/>
          <w:szCs w:val="21"/>
          <w:highlight w:val="none"/>
        </w:rPr>
        <w:t>.6图纸和承包人文件</w:t>
      </w:r>
      <w:bookmarkEnd w:id="154"/>
    </w:p>
    <w:bookmarkEnd w:id="155"/>
    <w:bookmarkEnd w:id="156"/>
    <w:bookmarkEnd w:id="157"/>
    <w:p w14:paraId="39F6547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1.6.1 图纸的提供和交底</w:t>
      </w:r>
    </w:p>
    <w:p w14:paraId="468BF15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21BD42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因发包人未按合同约定提供图纸导致承包人费用增加和（或）工期延误的，按照第7.5.1项〔因发包人原因导致工期延误〕约定办理。</w:t>
      </w:r>
    </w:p>
    <w:p w14:paraId="71AE009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 图纸的错误</w:t>
      </w:r>
    </w:p>
    <w:p w14:paraId="63B288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600E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1.6.3 图纸的修改和补充</w:t>
      </w:r>
    </w:p>
    <w:p w14:paraId="612D37F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34DD1B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1.6.4 承包人文件</w:t>
      </w:r>
    </w:p>
    <w:p w14:paraId="21AF96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574F6CE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BF2DD8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1.6.5 图纸和承包人文件的保管</w:t>
      </w:r>
    </w:p>
    <w:p w14:paraId="544A661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除专用合同条款另有约定外，承包人应在施工现场另外保存一套完整的图纸和承包人文件，供发包人、监理人及有关人员进行工程检查时使用。</w:t>
      </w:r>
    </w:p>
    <w:p w14:paraId="50865BC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58" w:name="_Toc351203502"/>
      <w:r>
        <w:rPr>
          <w:rFonts w:hint="eastAsia" w:asciiTheme="majorEastAsia" w:hAnsiTheme="majorEastAsia" w:eastAsiaTheme="majorEastAsia" w:cstheme="majorEastAsia"/>
          <w:bCs/>
          <w:snapToGrid w:val="0"/>
          <w:color w:val="auto"/>
          <w:szCs w:val="21"/>
          <w:highlight w:val="none"/>
        </w:rPr>
        <w:t>1</w:t>
      </w:r>
      <w:bookmarkStart w:id="159" w:name="_Toc337558733"/>
      <w:bookmarkStart w:id="160" w:name="_Toc296503033"/>
      <w:bookmarkStart w:id="161" w:name="_Toc296346534"/>
      <w:r>
        <w:rPr>
          <w:rFonts w:hint="eastAsia" w:asciiTheme="majorEastAsia" w:hAnsiTheme="majorEastAsia" w:eastAsiaTheme="majorEastAsia" w:cstheme="majorEastAsia"/>
          <w:bCs/>
          <w:snapToGrid w:val="0"/>
          <w:color w:val="auto"/>
          <w:szCs w:val="21"/>
          <w:highlight w:val="none"/>
        </w:rPr>
        <w:t>.7联络</w:t>
      </w:r>
      <w:bookmarkEnd w:id="158"/>
    </w:p>
    <w:bookmarkEnd w:id="159"/>
    <w:bookmarkEnd w:id="160"/>
    <w:bookmarkEnd w:id="161"/>
    <w:p w14:paraId="430484A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1.7.1 与合同有关的通知、批准、证明、证书、指示、指令、要求、请求、同意、意见、确定和决定等，均应采用书面形式，并应在合同约定的期限内送达接收人和送达地点。</w:t>
      </w:r>
    </w:p>
    <w:p w14:paraId="526465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7F5B87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5C6783B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62" w:name="_Toc351203503"/>
      <w:r>
        <w:rPr>
          <w:rFonts w:hint="eastAsia" w:asciiTheme="majorEastAsia" w:hAnsiTheme="majorEastAsia" w:eastAsiaTheme="majorEastAsia" w:cstheme="majorEastAsia"/>
          <w:bCs/>
          <w:snapToGrid w:val="0"/>
          <w:color w:val="auto"/>
          <w:szCs w:val="21"/>
          <w:highlight w:val="none"/>
        </w:rPr>
        <w:t>1</w:t>
      </w:r>
      <w:bookmarkStart w:id="163" w:name="_Toc337558734"/>
      <w:bookmarkStart w:id="164" w:name="_Toc296503035"/>
      <w:bookmarkStart w:id="165" w:name="_Toc296346536"/>
      <w:r>
        <w:rPr>
          <w:rFonts w:hint="eastAsia" w:asciiTheme="majorEastAsia" w:hAnsiTheme="majorEastAsia" w:eastAsiaTheme="majorEastAsia" w:cstheme="majorEastAsia"/>
          <w:bCs/>
          <w:snapToGrid w:val="0"/>
          <w:color w:val="auto"/>
          <w:szCs w:val="21"/>
          <w:highlight w:val="none"/>
        </w:rPr>
        <w:t>.8严禁贿赂</w:t>
      </w:r>
      <w:bookmarkEnd w:id="162"/>
    </w:p>
    <w:bookmarkEnd w:id="163"/>
    <w:bookmarkEnd w:id="164"/>
    <w:bookmarkEnd w:id="165"/>
    <w:p w14:paraId="6EB3A8F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1977EB2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3AF475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66" w:name="_Toc351203504"/>
      <w:r>
        <w:rPr>
          <w:rFonts w:hint="eastAsia" w:asciiTheme="majorEastAsia" w:hAnsiTheme="majorEastAsia" w:eastAsiaTheme="majorEastAsia" w:cstheme="majorEastAsia"/>
          <w:bCs/>
          <w:snapToGrid w:val="0"/>
          <w:color w:val="auto"/>
          <w:szCs w:val="21"/>
          <w:highlight w:val="none"/>
        </w:rPr>
        <w:t>1</w:t>
      </w:r>
      <w:bookmarkStart w:id="167" w:name="_Toc296503036"/>
      <w:bookmarkStart w:id="168" w:name="_Toc337558735"/>
      <w:bookmarkStart w:id="169" w:name="_Toc296346537"/>
      <w:r>
        <w:rPr>
          <w:rFonts w:hint="eastAsia" w:asciiTheme="majorEastAsia" w:hAnsiTheme="majorEastAsia" w:eastAsiaTheme="majorEastAsia" w:cstheme="majorEastAsia"/>
          <w:bCs/>
          <w:snapToGrid w:val="0"/>
          <w:color w:val="auto"/>
          <w:szCs w:val="21"/>
          <w:highlight w:val="none"/>
        </w:rPr>
        <w:t>.9化石、文物</w:t>
      </w:r>
      <w:bookmarkEnd w:id="166"/>
    </w:p>
    <w:bookmarkEnd w:id="167"/>
    <w:bookmarkEnd w:id="168"/>
    <w:bookmarkEnd w:id="169"/>
    <w:p w14:paraId="590EDC4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9D52F8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发包人、监理人和承包人应按有关政府行政管理部门要求采取妥善的保护措施，由此增加的费用和（或）延误的工期由发包人承担。</w:t>
      </w:r>
    </w:p>
    <w:p w14:paraId="766292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承包人发现文物后不及时报告或隐瞒不报，致使文物丢失或损坏的，应赔偿损失，并承担相应的法律责任。</w:t>
      </w:r>
    </w:p>
    <w:p w14:paraId="74870FC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70" w:name="_Toc351203505"/>
      <w:r>
        <w:rPr>
          <w:rFonts w:hint="eastAsia" w:asciiTheme="majorEastAsia" w:hAnsiTheme="majorEastAsia" w:eastAsiaTheme="majorEastAsia" w:cstheme="majorEastAsia"/>
          <w:bCs/>
          <w:snapToGrid w:val="0"/>
          <w:color w:val="auto"/>
          <w:szCs w:val="21"/>
          <w:highlight w:val="none"/>
        </w:rPr>
        <w:t>1</w:t>
      </w:r>
      <w:bookmarkStart w:id="171" w:name="_Toc337558736"/>
      <w:r>
        <w:rPr>
          <w:rFonts w:hint="eastAsia" w:asciiTheme="majorEastAsia" w:hAnsiTheme="majorEastAsia" w:eastAsiaTheme="majorEastAsia" w:cstheme="majorEastAsia"/>
          <w:bCs/>
          <w:snapToGrid w:val="0"/>
          <w:color w:val="auto"/>
          <w:szCs w:val="21"/>
          <w:highlight w:val="none"/>
        </w:rPr>
        <w:t>.10交通运输</w:t>
      </w:r>
      <w:bookmarkEnd w:id="170"/>
    </w:p>
    <w:bookmarkEnd w:id="171"/>
    <w:p w14:paraId="7ECFAAC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1.10.1 出入现场的权利</w:t>
      </w:r>
    </w:p>
    <w:p w14:paraId="27C36A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520041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5DBE5CD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1.10.2 场外交通</w:t>
      </w:r>
    </w:p>
    <w:p w14:paraId="33DBE3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254CFC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1.10.3场内交通</w:t>
      </w:r>
    </w:p>
    <w:p w14:paraId="298D3A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B5826E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3D21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场外交通和场内交通的边界由合同当事人在专用合同条款中约定。</w:t>
      </w:r>
    </w:p>
    <w:p w14:paraId="6A1E8E7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1.10.4 超大件和超重件的运输</w:t>
      </w:r>
    </w:p>
    <w:p w14:paraId="31E1B56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8F80D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1.10.5 道路和桥梁的损坏责任</w:t>
      </w:r>
    </w:p>
    <w:p w14:paraId="63BC930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因承包人运输造成施工场地内外公共道路和桥梁损坏的，由承包人承担修复损坏的全部费用和可能引起的赔偿。</w:t>
      </w:r>
    </w:p>
    <w:p w14:paraId="40EA32C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1.10.6 水路和航空运输</w:t>
      </w:r>
    </w:p>
    <w:p w14:paraId="7E660F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66280E1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72" w:name="_Toc351203506"/>
      <w:r>
        <w:rPr>
          <w:rFonts w:hint="eastAsia" w:asciiTheme="majorEastAsia" w:hAnsiTheme="majorEastAsia" w:eastAsiaTheme="majorEastAsia" w:cstheme="majorEastAsia"/>
          <w:bCs/>
          <w:snapToGrid w:val="0"/>
          <w:color w:val="auto"/>
          <w:szCs w:val="21"/>
          <w:highlight w:val="none"/>
        </w:rPr>
        <w:t>1</w:t>
      </w:r>
      <w:bookmarkStart w:id="173" w:name="_Toc337558737"/>
      <w:bookmarkStart w:id="174" w:name="_Toc296503037"/>
      <w:bookmarkStart w:id="175" w:name="_Toc296346538"/>
      <w:r>
        <w:rPr>
          <w:rFonts w:hint="eastAsia" w:asciiTheme="majorEastAsia" w:hAnsiTheme="majorEastAsia" w:eastAsiaTheme="majorEastAsia" w:cstheme="majorEastAsia"/>
          <w:bCs/>
          <w:snapToGrid w:val="0"/>
          <w:color w:val="auto"/>
          <w:szCs w:val="21"/>
          <w:highlight w:val="none"/>
        </w:rPr>
        <w:t>.11知识产权</w:t>
      </w:r>
      <w:bookmarkEnd w:id="172"/>
      <w:bookmarkEnd w:id="173"/>
      <w:r>
        <w:rPr>
          <w:rFonts w:hint="eastAsia" w:asciiTheme="majorEastAsia" w:hAnsiTheme="majorEastAsia" w:eastAsiaTheme="majorEastAsia" w:cstheme="majorEastAsia"/>
          <w:b w:val="0"/>
          <w:bCs/>
          <w:snapToGrid w:val="0"/>
          <w:color w:val="auto"/>
          <w:sz w:val="21"/>
          <w:szCs w:val="21"/>
          <w:highlight w:val="none"/>
          <w:lang w:val="en-US" w:eastAsia="zh-CN" w:bidi="ar-SA"/>
        </w:rPr>
        <w:t xml:space="preserve"> </w:t>
      </w:r>
    </w:p>
    <w:bookmarkEnd w:id="174"/>
    <w:bookmarkEnd w:id="175"/>
    <w:p w14:paraId="775033E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F60199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C266CA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7607DB8">
      <w:pPr>
        <w:widowControl/>
        <w:kinsoku w:val="0"/>
        <w:autoSpaceDE w:val="0"/>
        <w:autoSpaceDN w:val="0"/>
        <w:adjustRightInd w:val="0"/>
        <w:snapToGrid w:val="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1.11.4 除专用合同条款另有约定外，承包人在合同签订前和签订时已确定采用的专利、专有技术、技术秘密的使用费已包含在签约合同价中。</w:t>
      </w:r>
    </w:p>
    <w:p w14:paraId="36FC254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76" w:name="_Toc351203507"/>
      <w:r>
        <w:rPr>
          <w:rFonts w:hint="eastAsia" w:asciiTheme="majorEastAsia" w:hAnsiTheme="majorEastAsia" w:eastAsiaTheme="majorEastAsia" w:cstheme="majorEastAsia"/>
          <w:bCs/>
          <w:snapToGrid w:val="0"/>
          <w:color w:val="auto"/>
          <w:szCs w:val="21"/>
          <w:highlight w:val="none"/>
        </w:rPr>
        <w:t>1</w:t>
      </w:r>
      <w:bookmarkStart w:id="177" w:name="_Toc337558738"/>
      <w:r>
        <w:rPr>
          <w:rFonts w:hint="eastAsia" w:asciiTheme="majorEastAsia" w:hAnsiTheme="majorEastAsia" w:eastAsiaTheme="majorEastAsia" w:cstheme="majorEastAsia"/>
          <w:bCs/>
          <w:snapToGrid w:val="0"/>
          <w:color w:val="auto"/>
          <w:szCs w:val="21"/>
          <w:highlight w:val="none"/>
        </w:rPr>
        <w:t>.12保密</w:t>
      </w:r>
      <w:bookmarkEnd w:id="176"/>
    </w:p>
    <w:bookmarkEnd w:id="177"/>
    <w:p w14:paraId="5F197F3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除法律规定或合同另有约定外，未经发包人同意，承包人不得将发包人提供的图纸、文件以及声明需要保密的资料信息等商业秘密泄露给第三方。</w:t>
      </w:r>
    </w:p>
    <w:p w14:paraId="593116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除法律规定或合同另有约定外，未经承包人同意，发包人不得将承包人提供的技术秘密及声明需要保密的资料信息等商业秘密泄露给第三方。</w:t>
      </w:r>
    </w:p>
    <w:p w14:paraId="1512B92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78" w:name="_Toc351203508"/>
      <w:r>
        <w:rPr>
          <w:rFonts w:hint="eastAsia" w:asciiTheme="majorEastAsia" w:hAnsiTheme="majorEastAsia" w:eastAsiaTheme="majorEastAsia" w:cstheme="majorEastAsia"/>
          <w:bCs/>
          <w:snapToGrid w:val="0"/>
          <w:color w:val="auto"/>
          <w:szCs w:val="21"/>
          <w:highlight w:val="none"/>
        </w:rPr>
        <w:t>1.13工程量清单错误的修正</w:t>
      </w:r>
      <w:bookmarkEnd w:id="178"/>
    </w:p>
    <w:p w14:paraId="60F8D51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除专用合同条款另有约定外，发包人提供的工程量清单，应被认为是准确的和完整的。出现下列情形之一时，发包人应予以修正，并相应调整合同价格：</w:t>
      </w:r>
    </w:p>
    <w:p w14:paraId="6B24E04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（1）工程量清单存在缺项、漏项的；</w:t>
      </w:r>
    </w:p>
    <w:p w14:paraId="1391D93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（2）工程量清单偏差超出专用合同条款约定的工程量偏差范围的；</w:t>
      </w:r>
    </w:p>
    <w:p w14:paraId="4603AA4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（3）未按照国家现行计量规范强制性规定计量的。</w:t>
      </w:r>
    </w:p>
    <w:p w14:paraId="26BF6662">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179" w:name="_Toc351203509"/>
      <w:r>
        <w:rPr>
          <w:rFonts w:hint="eastAsia" w:asciiTheme="majorEastAsia" w:hAnsiTheme="majorEastAsia" w:eastAsiaTheme="majorEastAsia" w:cstheme="majorEastAsia"/>
          <w:bCs/>
          <w:snapToGrid w:val="0"/>
          <w:color w:val="auto"/>
          <w:szCs w:val="21"/>
          <w:highlight w:val="none"/>
        </w:rPr>
        <w:t>2</w:t>
      </w:r>
      <w:bookmarkStart w:id="180" w:name="_Toc337558739"/>
      <w:bookmarkStart w:id="181" w:name="_Toc296346539"/>
      <w:bookmarkStart w:id="182" w:name="_Toc296503038"/>
      <w:bookmarkStart w:id="183" w:name="OLE_LINK2"/>
      <w:r>
        <w:rPr>
          <w:rFonts w:hint="eastAsia" w:asciiTheme="majorEastAsia" w:hAnsiTheme="majorEastAsia" w:eastAsiaTheme="majorEastAsia" w:cstheme="majorEastAsia"/>
          <w:bCs/>
          <w:snapToGrid w:val="0"/>
          <w:color w:val="auto"/>
          <w:szCs w:val="21"/>
          <w:highlight w:val="none"/>
        </w:rPr>
        <w:t>. 发包人</w:t>
      </w:r>
      <w:bookmarkEnd w:id="179"/>
    </w:p>
    <w:bookmarkEnd w:id="180"/>
    <w:bookmarkEnd w:id="181"/>
    <w:bookmarkEnd w:id="182"/>
    <w:p w14:paraId="7689DC6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84" w:name="_Toc351203510"/>
      <w:r>
        <w:rPr>
          <w:rFonts w:hint="eastAsia" w:asciiTheme="majorEastAsia" w:hAnsiTheme="majorEastAsia" w:eastAsiaTheme="majorEastAsia" w:cstheme="majorEastAsia"/>
          <w:bCs/>
          <w:snapToGrid w:val="0"/>
          <w:color w:val="auto"/>
          <w:szCs w:val="21"/>
          <w:highlight w:val="none"/>
        </w:rPr>
        <w:t>2</w:t>
      </w:r>
      <w:bookmarkStart w:id="185" w:name="_Toc296346540"/>
      <w:bookmarkStart w:id="186" w:name="_Toc337558740"/>
      <w:bookmarkStart w:id="187" w:name="_Toc296503039"/>
      <w:r>
        <w:rPr>
          <w:rFonts w:hint="eastAsia" w:asciiTheme="majorEastAsia" w:hAnsiTheme="majorEastAsia" w:eastAsiaTheme="majorEastAsia" w:cstheme="majorEastAsia"/>
          <w:bCs/>
          <w:snapToGrid w:val="0"/>
          <w:color w:val="auto"/>
          <w:szCs w:val="21"/>
          <w:highlight w:val="none"/>
        </w:rPr>
        <w:t>.1 许可或批准</w:t>
      </w:r>
      <w:bookmarkEnd w:id="184"/>
    </w:p>
    <w:p w14:paraId="707DF5D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619E85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因发包人原因未能及时办理完毕前述许可、批准或备案，由发包人承担由此增加的费用和（或）延误的工期，并支付承包人合理的利润。</w:t>
      </w:r>
    </w:p>
    <w:p w14:paraId="4B259EB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88" w:name="_Toc351203511"/>
      <w:r>
        <w:rPr>
          <w:rFonts w:hint="eastAsia" w:asciiTheme="majorEastAsia" w:hAnsiTheme="majorEastAsia" w:eastAsiaTheme="majorEastAsia" w:cstheme="majorEastAsia"/>
          <w:bCs/>
          <w:snapToGrid w:val="0"/>
          <w:color w:val="auto"/>
          <w:szCs w:val="21"/>
          <w:highlight w:val="none"/>
        </w:rPr>
        <w:t>2.2 发包人代表</w:t>
      </w:r>
      <w:bookmarkEnd w:id="188"/>
    </w:p>
    <w:p w14:paraId="71FBE8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9506DD6">
      <w:pPr>
        <w:widowControl/>
        <w:kinsoku w:val="0"/>
        <w:autoSpaceDE w:val="0"/>
        <w:autoSpaceDN w:val="0"/>
        <w:adjustRightInd w:val="0"/>
        <w:snapToGrid w:val="0"/>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发包人代表不能按照合同约定履行其职责及义务，并导致合同无法继续正常履行的，承包人可以要求发包人撤换发包人代表。</w:t>
      </w:r>
    </w:p>
    <w:p w14:paraId="4DA4414E">
      <w:pPr>
        <w:widowControl/>
        <w:kinsoku w:val="0"/>
        <w:autoSpaceDE w:val="0"/>
        <w:autoSpaceDN w:val="0"/>
        <w:adjustRightInd w:val="0"/>
        <w:snapToGrid w:val="0"/>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不属于法定必须监理的工程，监理人的职权可以由发包人代表或发包人指定的其他人员行使。</w:t>
      </w:r>
    </w:p>
    <w:p w14:paraId="21E92D9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89" w:name="_Toc351203512"/>
      <w:r>
        <w:rPr>
          <w:rFonts w:hint="eastAsia" w:asciiTheme="majorEastAsia" w:hAnsiTheme="majorEastAsia" w:eastAsiaTheme="majorEastAsia" w:cstheme="majorEastAsia"/>
          <w:bCs/>
          <w:snapToGrid w:val="0"/>
          <w:color w:val="auto"/>
          <w:szCs w:val="21"/>
          <w:highlight w:val="none"/>
        </w:rPr>
        <w:t>2.3 发包人人员</w:t>
      </w:r>
      <w:bookmarkEnd w:id="189"/>
    </w:p>
    <w:p w14:paraId="3A461CE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19025C0A">
      <w:pPr>
        <w:widowControl/>
        <w:kinsoku w:val="0"/>
        <w:autoSpaceDE w:val="0"/>
        <w:autoSpaceDN w:val="0"/>
        <w:adjustRightInd w:val="0"/>
        <w:snapToGrid w:val="0"/>
        <w:spacing w:line="360" w:lineRule="auto"/>
        <w:ind w:firstLine="64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发包人人员包括发包人代表及其他由发包人派驻施工现场的人员。</w:t>
      </w:r>
      <w:bookmarkEnd w:id="185"/>
      <w:bookmarkEnd w:id="186"/>
      <w:bookmarkEnd w:id="187"/>
    </w:p>
    <w:p w14:paraId="00D2855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90" w:name="_Toc351203513"/>
      <w:r>
        <w:rPr>
          <w:rFonts w:hint="eastAsia" w:asciiTheme="majorEastAsia" w:hAnsiTheme="majorEastAsia" w:eastAsiaTheme="majorEastAsia" w:cstheme="majorEastAsia"/>
          <w:bCs/>
          <w:snapToGrid w:val="0"/>
          <w:color w:val="auto"/>
          <w:szCs w:val="21"/>
          <w:highlight w:val="none"/>
        </w:rPr>
        <w:t>2</w:t>
      </w:r>
      <w:bookmarkStart w:id="191" w:name="_Toc337558741"/>
      <w:bookmarkStart w:id="192" w:name="_Toc296503040"/>
      <w:bookmarkStart w:id="193" w:name="_Toc296346541"/>
      <w:r>
        <w:rPr>
          <w:rFonts w:hint="eastAsia" w:asciiTheme="majorEastAsia" w:hAnsiTheme="majorEastAsia" w:eastAsiaTheme="majorEastAsia" w:cstheme="majorEastAsia"/>
          <w:bCs/>
          <w:snapToGrid w:val="0"/>
          <w:color w:val="auto"/>
          <w:szCs w:val="21"/>
          <w:highlight w:val="none"/>
        </w:rPr>
        <w:t>.4 施工现场、施工条件和基础资料的提供</w:t>
      </w:r>
      <w:bookmarkEnd w:id="190"/>
      <w:bookmarkEnd w:id="191"/>
      <w:bookmarkEnd w:id="192"/>
      <w:bookmarkEnd w:id="193"/>
      <w:r>
        <w:rPr>
          <w:rFonts w:hint="eastAsia" w:asciiTheme="majorEastAsia" w:hAnsiTheme="majorEastAsia" w:eastAsiaTheme="majorEastAsia" w:cstheme="majorEastAsia"/>
          <w:b w:val="0"/>
          <w:bCs/>
          <w:snapToGrid w:val="0"/>
          <w:color w:val="auto"/>
          <w:sz w:val="21"/>
          <w:szCs w:val="21"/>
          <w:highlight w:val="none"/>
          <w:lang w:val="en-US" w:eastAsia="zh-CN" w:bidi="ar-SA"/>
        </w:rPr>
        <w:t xml:space="preserve">  </w:t>
      </w:r>
    </w:p>
    <w:p w14:paraId="2F4463E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2.4.1 提供施工现场</w:t>
      </w:r>
    </w:p>
    <w:p w14:paraId="4C63EB8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w:t>
      </w:r>
      <w:bookmarkEnd w:id="183"/>
      <w:r>
        <w:rPr>
          <w:rFonts w:hint="eastAsia" w:asciiTheme="majorEastAsia" w:hAnsiTheme="majorEastAsia" w:eastAsiaTheme="majorEastAsia" w:cstheme="majorEastAsia"/>
          <w:snapToGrid w:val="0"/>
          <w:color w:val="auto"/>
          <w:kern w:val="0"/>
          <w:szCs w:val="21"/>
          <w:highlight w:val="none"/>
        </w:rPr>
        <w:t>专用合同条款另有约定外，发包人应最迟于开工日期7天前向承包人移交施工现场。</w:t>
      </w:r>
    </w:p>
    <w:p w14:paraId="1DAFA7E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2.4.2 提供施工条件</w:t>
      </w:r>
    </w:p>
    <w:p w14:paraId="1BC98E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除专用合同条款另有约定外，发包人应负责提供施工所需要的条件，包括：</w:t>
      </w:r>
    </w:p>
    <w:p w14:paraId="5E00CA9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（1）将施工用水、电力、通讯线路等施工所必需的条件接至施工现场内；</w:t>
      </w:r>
    </w:p>
    <w:p w14:paraId="4B7265F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（2）保证向承包人提供正常施工所需要的进入施工现场的交通条件；</w:t>
      </w:r>
    </w:p>
    <w:p w14:paraId="5201D86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（3）协调处理施工现场周围地下管线和邻近建筑物、构筑物、古树名木的保护工作，并承担相关费用；</w:t>
      </w:r>
    </w:p>
    <w:p w14:paraId="1730FC5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（4）按照专用合同条款约定应提供的其他设施和条件。</w:t>
      </w:r>
    </w:p>
    <w:p w14:paraId="6CCE17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2.4.3 提供基础资料</w:t>
      </w:r>
    </w:p>
    <w:p w14:paraId="57B088A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3CED9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43DC34A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2.4.4 逾期提供的责任</w:t>
      </w:r>
    </w:p>
    <w:p w14:paraId="7CD14A5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因发包人原因未能按合同约定及时向承包人提供施工现场、施工条件、基础资料的，由发包人承担由此增加的费用和（或）延误的工期。</w:t>
      </w:r>
    </w:p>
    <w:p w14:paraId="5924C246">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94" w:name="_Toc351203514"/>
      <w:r>
        <w:rPr>
          <w:rFonts w:hint="eastAsia" w:asciiTheme="majorEastAsia" w:hAnsiTheme="majorEastAsia" w:eastAsiaTheme="majorEastAsia" w:cstheme="majorEastAsia"/>
          <w:bCs/>
          <w:snapToGrid w:val="0"/>
          <w:color w:val="auto"/>
          <w:szCs w:val="21"/>
          <w:highlight w:val="none"/>
        </w:rPr>
        <w:t>2</w:t>
      </w:r>
      <w:bookmarkStart w:id="195" w:name="_Toc337558745"/>
      <w:bookmarkStart w:id="196" w:name="_Toc296503042"/>
      <w:bookmarkStart w:id="197" w:name="_Toc296346543"/>
      <w:r>
        <w:rPr>
          <w:rFonts w:hint="eastAsia" w:asciiTheme="majorEastAsia" w:hAnsiTheme="majorEastAsia" w:eastAsiaTheme="majorEastAsia" w:cstheme="majorEastAsia"/>
          <w:bCs/>
          <w:snapToGrid w:val="0"/>
          <w:color w:val="auto"/>
          <w:szCs w:val="21"/>
          <w:highlight w:val="none"/>
        </w:rPr>
        <w:t>.5 资</w:t>
      </w:r>
      <w:bookmarkEnd w:id="195"/>
      <w:bookmarkEnd w:id="196"/>
      <w:bookmarkEnd w:id="197"/>
      <w:r>
        <w:rPr>
          <w:rFonts w:hint="eastAsia" w:asciiTheme="majorEastAsia" w:hAnsiTheme="majorEastAsia" w:eastAsiaTheme="majorEastAsia" w:cstheme="majorEastAsia"/>
          <w:bCs/>
          <w:snapToGrid w:val="0"/>
          <w:color w:val="auto"/>
          <w:szCs w:val="21"/>
          <w:highlight w:val="none"/>
        </w:rPr>
        <w:t>金来源证明及支付担保</w:t>
      </w:r>
      <w:bookmarkEnd w:id="194"/>
    </w:p>
    <w:p w14:paraId="10B71A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3E84243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8199A1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98" w:name="_Toc351203515"/>
      <w:r>
        <w:rPr>
          <w:rFonts w:hint="eastAsia" w:asciiTheme="majorEastAsia" w:hAnsiTheme="majorEastAsia" w:eastAsiaTheme="majorEastAsia" w:cstheme="majorEastAsia"/>
          <w:bCs/>
          <w:snapToGrid w:val="0"/>
          <w:color w:val="auto"/>
          <w:szCs w:val="21"/>
          <w:highlight w:val="none"/>
        </w:rPr>
        <w:t>2.6 支付合同价款</w:t>
      </w:r>
      <w:bookmarkEnd w:id="198"/>
    </w:p>
    <w:p w14:paraId="1AEDD55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发包人应按合同约定向承包人及时支付合同价款。</w:t>
      </w:r>
    </w:p>
    <w:p w14:paraId="44263CC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199" w:name="_Toc351203516"/>
      <w:r>
        <w:rPr>
          <w:rFonts w:hint="eastAsia" w:asciiTheme="majorEastAsia" w:hAnsiTheme="majorEastAsia" w:eastAsiaTheme="majorEastAsia" w:cstheme="majorEastAsia"/>
          <w:bCs/>
          <w:snapToGrid w:val="0"/>
          <w:color w:val="auto"/>
          <w:szCs w:val="21"/>
          <w:highlight w:val="none"/>
        </w:rPr>
        <w:t>2.7 组织竣工验收</w:t>
      </w:r>
      <w:bookmarkEnd w:id="199"/>
    </w:p>
    <w:p w14:paraId="679FEE7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发包人应按合同约定及时组织竣工验收。</w:t>
      </w:r>
    </w:p>
    <w:p w14:paraId="10609D5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00" w:name="_Toc351203517"/>
      <w:r>
        <w:rPr>
          <w:rFonts w:hint="eastAsia" w:asciiTheme="majorEastAsia" w:hAnsiTheme="majorEastAsia" w:eastAsiaTheme="majorEastAsia" w:cstheme="majorEastAsia"/>
          <w:bCs/>
          <w:snapToGrid w:val="0"/>
          <w:color w:val="auto"/>
          <w:szCs w:val="21"/>
          <w:highlight w:val="none"/>
        </w:rPr>
        <w:t>2.8 现场统一管理协议</w:t>
      </w:r>
      <w:bookmarkEnd w:id="200"/>
    </w:p>
    <w:p w14:paraId="16D99C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6806B8A1">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01" w:name="_Toc351203518"/>
      <w:r>
        <w:rPr>
          <w:rFonts w:hint="eastAsia" w:asciiTheme="majorEastAsia" w:hAnsiTheme="majorEastAsia" w:eastAsiaTheme="majorEastAsia" w:cstheme="majorEastAsia"/>
          <w:bCs/>
          <w:snapToGrid w:val="0"/>
          <w:color w:val="auto"/>
          <w:szCs w:val="21"/>
          <w:highlight w:val="none"/>
        </w:rPr>
        <w:t>3</w:t>
      </w:r>
      <w:bookmarkStart w:id="202" w:name="_Toc337558746"/>
      <w:bookmarkStart w:id="203" w:name="_Toc296503045"/>
      <w:bookmarkStart w:id="204" w:name="_Toc296346546"/>
      <w:r>
        <w:rPr>
          <w:rFonts w:hint="eastAsia" w:asciiTheme="majorEastAsia" w:hAnsiTheme="majorEastAsia" w:eastAsiaTheme="majorEastAsia" w:cstheme="majorEastAsia"/>
          <w:bCs/>
          <w:snapToGrid w:val="0"/>
          <w:color w:val="auto"/>
          <w:szCs w:val="21"/>
          <w:highlight w:val="none"/>
        </w:rPr>
        <w:t>. 承包人</w:t>
      </w:r>
      <w:bookmarkEnd w:id="201"/>
    </w:p>
    <w:bookmarkEnd w:id="202"/>
    <w:bookmarkEnd w:id="203"/>
    <w:bookmarkEnd w:id="204"/>
    <w:p w14:paraId="7589162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05" w:name="_Toc351203519"/>
      <w:r>
        <w:rPr>
          <w:rFonts w:hint="eastAsia" w:asciiTheme="majorEastAsia" w:hAnsiTheme="majorEastAsia" w:eastAsiaTheme="majorEastAsia" w:cstheme="majorEastAsia"/>
          <w:bCs/>
          <w:snapToGrid w:val="0"/>
          <w:color w:val="auto"/>
          <w:szCs w:val="21"/>
          <w:highlight w:val="none"/>
        </w:rPr>
        <w:t>3</w:t>
      </w:r>
      <w:bookmarkStart w:id="206" w:name="_Toc296346547"/>
      <w:bookmarkStart w:id="207" w:name="_Toc337558747"/>
      <w:bookmarkStart w:id="208" w:name="_Toc296503046"/>
      <w:r>
        <w:rPr>
          <w:rFonts w:hint="eastAsia" w:asciiTheme="majorEastAsia" w:hAnsiTheme="majorEastAsia" w:eastAsiaTheme="majorEastAsia" w:cstheme="majorEastAsia"/>
          <w:bCs/>
          <w:snapToGrid w:val="0"/>
          <w:color w:val="auto"/>
          <w:szCs w:val="21"/>
          <w:highlight w:val="none"/>
        </w:rPr>
        <w:t>.1 承包人的一般义务</w:t>
      </w:r>
      <w:bookmarkEnd w:id="205"/>
    </w:p>
    <w:bookmarkEnd w:id="206"/>
    <w:bookmarkEnd w:id="207"/>
    <w:bookmarkEnd w:id="208"/>
    <w:p w14:paraId="1F0F0A1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承包人在履行合同过程中应遵守法律和工程建设标准规范，并履行以下义务：</w:t>
      </w:r>
    </w:p>
    <w:p w14:paraId="4EBD12D6">
      <w:pPr>
        <w:numPr>
          <w:ilvl w:val="0"/>
          <w:numId w:val="3"/>
        </w:numPr>
        <w:autoSpaceDE w:val="0"/>
        <w:autoSpaceDN w:val="0"/>
        <w:adjustRightInd w:val="0"/>
        <w:spacing w:line="360" w:lineRule="auto"/>
        <w:ind w:firstLine="420" w:firstLineChars="200"/>
        <w:jc w:val="left"/>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办理法律规定应由承包人办理的许可和批准，并将办理结果书面报送发包人留存；</w:t>
      </w:r>
    </w:p>
    <w:p w14:paraId="3BC5F3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（2）按法律规定和合同约定完成工程，并在保修期内承担保修义务；</w:t>
      </w:r>
    </w:p>
    <w:p w14:paraId="0BD2E6D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（3）按法律规定和合同约定采取施工安全和环境保护措施，办理工伤保险，确保工程及人员、材料、设备和设施的安全；</w:t>
      </w:r>
    </w:p>
    <w:p w14:paraId="52FA1B5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（4）按合同约定的工作内容和施工进度要求，编制施工组织设计和施工措施计划，并对所有施工作业和施工方法的完备性和安全可靠性负责；</w:t>
      </w:r>
    </w:p>
    <w:p w14:paraId="3AED832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6DC233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（6）按照第6.3款〔环境保护〕约定负责施工场地及其周边环境与生态的保护工作；</w:t>
      </w:r>
    </w:p>
    <w:p w14:paraId="5D0AA9F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（7）按第6.1款〔安全文明施工〕约定采取施工安全措施，确保工程及其人员、材料、设备和设施的安全，防止因工程施工造成的人身伤害和财产损失；</w:t>
      </w:r>
    </w:p>
    <w:p w14:paraId="77EF44E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（8）将发包人按合同约定支付的各项价款专用于合同工程，且应及时支付其雇用人员工资，并及时向分包人支付合同价款；</w:t>
      </w:r>
    </w:p>
    <w:p w14:paraId="3874CF2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（9）按照法律规定和合同约定编制竣工资料，完成竣工资料立卷及归档，并按专用合同条款约定的竣工资料的套数、内容、时间等要求移交发包人；</w:t>
      </w:r>
    </w:p>
    <w:p w14:paraId="762879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（10）应履行的其他义务。</w:t>
      </w:r>
    </w:p>
    <w:p w14:paraId="7E6234C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09" w:name="_Toc351203520"/>
      <w:r>
        <w:rPr>
          <w:rFonts w:hint="eastAsia" w:asciiTheme="majorEastAsia" w:hAnsiTheme="majorEastAsia" w:eastAsiaTheme="majorEastAsia" w:cstheme="majorEastAsia"/>
          <w:bCs/>
          <w:snapToGrid w:val="0"/>
          <w:color w:val="auto"/>
          <w:szCs w:val="21"/>
          <w:highlight w:val="none"/>
        </w:rPr>
        <w:t>3</w:t>
      </w:r>
      <w:bookmarkStart w:id="210" w:name="_Toc296503047"/>
      <w:bookmarkStart w:id="211" w:name="_Toc296346548"/>
      <w:bookmarkStart w:id="212" w:name="_Toc337558748"/>
      <w:r>
        <w:rPr>
          <w:rFonts w:hint="eastAsia" w:asciiTheme="majorEastAsia" w:hAnsiTheme="majorEastAsia" w:eastAsiaTheme="majorEastAsia" w:cstheme="majorEastAsia"/>
          <w:bCs/>
          <w:snapToGrid w:val="0"/>
          <w:color w:val="auto"/>
          <w:szCs w:val="21"/>
          <w:highlight w:val="none"/>
        </w:rPr>
        <w:t xml:space="preserve">.2 </w:t>
      </w:r>
      <w:bookmarkEnd w:id="209"/>
      <w:r>
        <w:rPr>
          <w:rFonts w:hint="eastAsia" w:asciiTheme="majorEastAsia" w:hAnsiTheme="majorEastAsia" w:eastAsiaTheme="majorEastAsia" w:cstheme="majorEastAsia"/>
          <w:bCs/>
          <w:snapToGrid w:val="0"/>
          <w:color w:val="auto"/>
          <w:szCs w:val="21"/>
          <w:highlight w:val="none"/>
        </w:rPr>
        <w:t>项目经理</w:t>
      </w:r>
    </w:p>
    <w:bookmarkEnd w:id="210"/>
    <w:bookmarkEnd w:id="211"/>
    <w:bookmarkEnd w:id="212"/>
    <w:p w14:paraId="1A00124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82518E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51DCA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承包人违反上述约定的，应按照专用合同条款的约定，承担违约责任。</w:t>
      </w:r>
    </w:p>
    <w:p w14:paraId="4FF0BD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12DCA8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82D37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830174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A1581C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13" w:name="_Toc351203521"/>
      <w:r>
        <w:rPr>
          <w:rFonts w:hint="eastAsia" w:asciiTheme="majorEastAsia" w:hAnsiTheme="majorEastAsia" w:eastAsiaTheme="majorEastAsia" w:cstheme="majorEastAsia"/>
          <w:bCs/>
          <w:snapToGrid w:val="0"/>
          <w:color w:val="auto"/>
          <w:szCs w:val="21"/>
          <w:highlight w:val="none"/>
        </w:rPr>
        <w:t>3</w:t>
      </w:r>
      <w:bookmarkStart w:id="214" w:name="_Toc296503048"/>
      <w:bookmarkStart w:id="215" w:name="_Toc296346549"/>
      <w:bookmarkStart w:id="216" w:name="_Toc337558749"/>
      <w:r>
        <w:rPr>
          <w:rFonts w:hint="eastAsia" w:asciiTheme="majorEastAsia" w:hAnsiTheme="majorEastAsia" w:eastAsiaTheme="majorEastAsia" w:cstheme="majorEastAsia"/>
          <w:bCs/>
          <w:snapToGrid w:val="0"/>
          <w:color w:val="auto"/>
          <w:szCs w:val="21"/>
          <w:highlight w:val="none"/>
        </w:rPr>
        <w:t xml:space="preserve">.3 </w:t>
      </w:r>
      <w:bookmarkEnd w:id="214"/>
      <w:bookmarkEnd w:id="215"/>
      <w:r>
        <w:rPr>
          <w:rFonts w:hint="eastAsia" w:asciiTheme="majorEastAsia" w:hAnsiTheme="majorEastAsia" w:eastAsiaTheme="majorEastAsia" w:cstheme="majorEastAsia"/>
          <w:bCs/>
          <w:snapToGrid w:val="0"/>
          <w:color w:val="auto"/>
          <w:szCs w:val="21"/>
          <w:highlight w:val="none"/>
        </w:rPr>
        <w:t>承包人人员</w:t>
      </w:r>
      <w:bookmarkEnd w:id="213"/>
    </w:p>
    <w:bookmarkEnd w:id="216"/>
    <w:p w14:paraId="69D9071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50F147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D7010F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特殊工种作业人员均应持有相应的资格证明，监理人可以随时检查。</w:t>
      </w:r>
    </w:p>
    <w:p w14:paraId="0C62A1C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971FCF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122927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3.3.5 承包人擅自更换主要施工管理人员，或前述人员未经监理人或发包人同意擅自离开施工现场的，应按照专用合同条款约定承担违约责任。</w:t>
      </w:r>
    </w:p>
    <w:p w14:paraId="06CE022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17" w:name="_Toc351203522"/>
      <w:r>
        <w:rPr>
          <w:rFonts w:hint="eastAsia" w:asciiTheme="majorEastAsia" w:hAnsiTheme="majorEastAsia" w:eastAsiaTheme="majorEastAsia" w:cstheme="majorEastAsia"/>
          <w:bCs/>
          <w:snapToGrid w:val="0"/>
          <w:color w:val="auto"/>
          <w:szCs w:val="21"/>
          <w:highlight w:val="none"/>
        </w:rPr>
        <w:t>3</w:t>
      </w:r>
      <w:bookmarkStart w:id="218" w:name="_Toc296503050"/>
      <w:bookmarkStart w:id="219" w:name="_Toc337558750"/>
      <w:bookmarkStart w:id="220" w:name="_Toc296346551"/>
      <w:r>
        <w:rPr>
          <w:rFonts w:hint="eastAsia" w:asciiTheme="majorEastAsia" w:hAnsiTheme="majorEastAsia" w:eastAsiaTheme="majorEastAsia" w:cstheme="majorEastAsia"/>
          <w:bCs/>
          <w:snapToGrid w:val="0"/>
          <w:color w:val="auto"/>
          <w:szCs w:val="21"/>
          <w:highlight w:val="none"/>
        </w:rPr>
        <w:t>.4 承包人现场查勘</w:t>
      </w:r>
      <w:bookmarkEnd w:id="217"/>
    </w:p>
    <w:bookmarkEnd w:id="218"/>
    <w:bookmarkEnd w:id="219"/>
    <w:bookmarkEnd w:id="220"/>
    <w:p w14:paraId="4E7738C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0CF385C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C1C312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21" w:name="_Toc351203523"/>
      <w:r>
        <w:rPr>
          <w:rFonts w:hint="eastAsia" w:asciiTheme="majorEastAsia" w:hAnsiTheme="majorEastAsia" w:eastAsiaTheme="majorEastAsia" w:cstheme="majorEastAsia"/>
          <w:bCs/>
          <w:snapToGrid w:val="0"/>
          <w:color w:val="auto"/>
          <w:szCs w:val="21"/>
          <w:highlight w:val="none"/>
        </w:rPr>
        <w:t>3</w:t>
      </w:r>
      <w:bookmarkStart w:id="222" w:name="_Toc296503051"/>
      <w:bookmarkStart w:id="223" w:name="_Toc296346552"/>
      <w:bookmarkStart w:id="224" w:name="_Toc337558751"/>
      <w:r>
        <w:rPr>
          <w:rFonts w:hint="eastAsia" w:asciiTheme="majorEastAsia" w:hAnsiTheme="majorEastAsia" w:eastAsiaTheme="majorEastAsia" w:cstheme="majorEastAsia"/>
          <w:bCs/>
          <w:snapToGrid w:val="0"/>
          <w:color w:val="auto"/>
          <w:szCs w:val="21"/>
          <w:highlight w:val="none"/>
        </w:rPr>
        <w:t>.5 分包</w:t>
      </w:r>
      <w:bookmarkEnd w:id="221"/>
    </w:p>
    <w:bookmarkEnd w:id="222"/>
    <w:bookmarkEnd w:id="223"/>
    <w:bookmarkEnd w:id="224"/>
    <w:p w14:paraId="4311FC1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3.5.1 分包的一般约定</w:t>
      </w:r>
    </w:p>
    <w:p w14:paraId="4676050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BB1066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承包人不得以劳务分包的名义转包或违法分包工程。</w:t>
      </w:r>
    </w:p>
    <w:p w14:paraId="555948F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3.5.2 分包的确定</w:t>
      </w:r>
    </w:p>
    <w:p w14:paraId="504D6DC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685AE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3.5.3 分包管理</w:t>
      </w:r>
    </w:p>
    <w:p w14:paraId="71DADED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61DAEBF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3.5.4 分包合同价款</w:t>
      </w:r>
    </w:p>
    <w:p w14:paraId="7523B6E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（1）除本项第（2）目约定的情况或专用合同条款另有约定外，分包合同价款由承包人与分包人结算，未经承包人同意，发包人不得向分包人支付分包工程价款；</w:t>
      </w:r>
    </w:p>
    <w:p w14:paraId="74754D9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（2）生效法律文书要求发包人向分包人支付分包合同价款的，发包人有权从应付承包人工程款中扣除该部分款项。</w:t>
      </w:r>
    </w:p>
    <w:p w14:paraId="6231347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3.5.5 分包合同权益的转让</w:t>
      </w:r>
    </w:p>
    <w:p w14:paraId="3E873EE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25" w:name="_Toc351203524"/>
    </w:p>
    <w:p w14:paraId="091996F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r>
        <w:rPr>
          <w:rFonts w:hint="eastAsia" w:asciiTheme="majorEastAsia" w:hAnsiTheme="majorEastAsia" w:eastAsiaTheme="majorEastAsia" w:cstheme="majorEastAsia"/>
          <w:bCs/>
          <w:snapToGrid w:val="0"/>
          <w:color w:val="auto"/>
          <w:szCs w:val="21"/>
          <w:highlight w:val="none"/>
        </w:rPr>
        <w:t>3.6 工程照管与成品、半成品保护</w:t>
      </w:r>
      <w:bookmarkEnd w:id="225"/>
    </w:p>
    <w:p w14:paraId="4D4555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0820BEE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（2）在承包人负责照管期间，因承包人原因造成工程、材料、工程设备损坏的，由承包人负责修复或更换，并承担由此增加的费用和（或）延误的工期。</w:t>
      </w:r>
    </w:p>
    <w:p w14:paraId="12E623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6DFB6E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26" w:name="_Toc351203525"/>
      <w:r>
        <w:rPr>
          <w:rFonts w:hint="eastAsia" w:asciiTheme="majorEastAsia" w:hAnsiTheme="majorEastAsia" w:eastAsiaTheme="majorEastAsia" w:cstheme="majorEastAsia"/>
          <w:bCs/>
          <w:snapToGrid w:val="0"/>
          <w:color w:val="auto"/>
          <w:szCs w:val="21"/>
          <w:highlight w:val="none"/>
        </w:rPr>
        <w:t>3</w:t>
      </w:r>
      <w:bookmarkStart w:id="227" w:name="_Toc296346553"/>
      <w:bookmarkStart w:id="228" w:name="_Toc296503052"/>
      <w:bookmarkStart w:id="229" w:name="_Toc337558752"/>
      <w:r>
        <w:rPr>
          <w:rFonts w:hint="eastAsia" w:asciiTheme="majorEastAsia" w:hAnsiTheme="majorEastAsia" w:eastAsiaTheme="majorEastAsia" w:cstheme="majorEastAsia"/>
          <w:bCs/>
          <w:snapToGrid w:val="0"/>
          <w:color w:val="auto"/>
          <w:szCs w:val="21"/>
          <w:highlight w:val="none"/>
        </w:rPr>
        <w:t>.7 履约担保</w:t>
      </w:r>
      <w:bookmarkEnd w:id="226"/>
    </w:p>
    <w:bookmarkEnd w:id="227"/>
    <w:bookmarkEnd w:id="228"/>
    <w:bookmarkEnd w:id="229"/>
    <w:p w14:paraId="5942D72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1DE366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1F988E8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30" w:name="_Toc351203526"/>
      <w:r>
        <w:rPr>
          <w:rFonts w:hint="eastAsia" w:asciiTheme="majorEastAsia" w:hAnsiTheme="majorEastAsia" w:eastAsiaTheme="majorEastAsia" w:cstheme="majorEastAsia"/>
          <w:bCs/>
          <w:snapToGrid w:val="0"/>
          <w:color w:val="auto"/>
          <w:szCs w:val="21"/>
          <w:highlight w:val="none"/>
        </w:rPr>
        <w:t>3.8 联合体</w:t>
      </w:r>
      <w:bookmarkEnd w:id="230"/>
    </w:p>
    <w:p w14:paraId="23D98AD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3.8.1 联合体各方应共同与发包人签订合同协议书。联合体各方应为履行合同向发包人承担连带责任。</w:t>
      </w:r>
    </w:p>
    <w:p w14:paraId="0B88D8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3.8.2 联合体协议经发包人确认后作为合同附件。在履行合同过程中，未经发包人同意，不得修改联合体协议。</w:t>
      </w:r>
    </w:p>
    <w:p w14:paraId="7E56A7E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3.8.3 联合体牵头人负责与发包人和监理人联系，并接受指示，负责组织联合体各成员全面履行合同。</w:t>
      </w:r>
    </w:p>
    <w:p w14:paraId="68003C30">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31" w:name="_Toc351203527"/>
      <w:r>
        <w:rPr>
          <w:rFonts w:hint="eastAsia" w:asciiTheme="majorEastAsia" w:hAnsiTheme="majorEastAsia" w:eastAsiaTheme="majorEastAsia" w:cstheme="majorEastAsia"/>
          <w:bCs/>
          <w:snapToGrid w:val="0"/>
          <w:color w:val="auto"/>
          <w:szCs w:val="21"/>
          <w:highlight w:val="none"/>
        </w:rPr>
        <w:t>4</w:t>
      </w:r>
      <w:bookmarkStart w:id="232" w:name="_Toc296503053"/>
      <w:bookmarkStart w:id="233" w:name="_Toc296346554"/>
      <w:bookmarkStart w:id="234" w:name="_Toc337558753"/>
      <w:r>
        <w:rPr>
          <w:rFonts w:hint="eastAsia" w:asciiTheme="majorEastAsia" w:hAnsiTheme="majorEastAsia" w:eastAsiaTheme="majorEastAsia" w:cstheme="majorEastAsia"/>
          <w:bCs/>
          <w:snapToGrid w:val="0"/>
          <w:color w:val="auto"/>
          <w:szCs w:val="21"/>
          <w:highlight w:val="none"/>
        </w:rPr>
        <w:t>. 监</w:t>
      </w:r>
      <w:bookmarkEnd w:id="232"/>
      <w:bookmarkEnd w:id="233"/>
      <w:r>
        <w:rPr>
          <w:rFonts w:hint="eastAsia" w:asciiTheme="majorEastAsia" w:hAnsiTheme="majorEastAsia" w:eastAsiaTheme="majorEastAsia" w:cstheme="majorEastAsia"/>
          <w:bCs/>
          <w:snapToGrid w:val="0"/>
          <w:color w:val="auto"/>
          <w:szCs w:val="21"/>
          <w:highlight w:val="none"/>
        </w:rPr>
        <w:t>理人</w:t>
      </w:r>
      <w:bookmarkEnd w:id="231"/>
    </w:p>
    <w:bookmarkEnd w:id="234"/>
    <w:p w14:paraId="799D9FC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35" w:name="_Toc351203528"/>
      <w:r>
        <w:rPr>
          <w:rFonts w:hint="eastAsia" w:asciiTheme="majorEastAsia" w:hAnsiTheme="majorEastAsia" w:eastAsiaTheme="majorEastAsia" w:cstheme="majorEastAsia"/>
          <w:bCs/>
          <w:snapToGrid w:val="0"/>
          <w:color w:val="auto"/>
          <w:szCs w:val="21"/>
          <w:highlight w:val="none"/>
        </w:rPr>
        <w:t>4</w:t>
      </w:r>
      <w:bookmarkStart w:id="236" w:name="_Toc296346555"/>
      <w:bookmarkStart w:id="237" w:name="_Toc296503054"/>
      <w:bookmarkStart w:id="238" w:name="_Toc337558754"/>
      <w:r>
        <w:rPr>
          <w:rFonts w:hint="eastAsia" w:asciiTheme="majorEastAsia" w:hAnsiTheme="majorEastAsia" w:eastAsiaTheme="majorEastAsia" w:cstheme="majorEastAsia"/>
          <w:bCs/>
          <w:snapToGrid w:val="0"/>
          <w:color w:val="auto"/>
          <w:szCs w:val="21"/>
          <w:highlight w:val="none"/>
        </w:rPr>
        <w:t>.1监理人的一般规定</w:t>
      </w:r>
      <w:bookmarkEnd w:id="235"/>
    </w:p>
    <w:bookmarkEnd w:id="236"/>
    <w:bookmarkEnd w:id="237"/>
    <w:bookmarkEnd w:id="238"/>
    <w:p w14:paraId="217C73A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4B59A8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除专用合同条款另有约定外，监理人在施工现场的办公场所、生活场所由承包人提供，所发生的费用由发包人承担。</w:t>
      </w:r>
    </w:p>
    <w:p w14:paraId="1C93469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39" w:name="_Toc351203529"/>
      <w:r>
        <w:rPr>
          <w:rFonts w:hint="eastAsia" w:asciiTheme="majorEastAsia" w:hAnsiTheme="majorEastAsia" w:eastAsiaTheme="majorEastAsia" w:cstheme="majorEastAsia"/>
          <w:bCs/>
          <w:snapToGrid w:val="0"/>
          <w:color w:val="auto"/>
          <w:szCs w:val="21"/>
          <w:highlight w:val="none"/>
        </w:rPr>
        <w:t>4</w:t>
      </w:r>
      <w:bookmarkStart w:id="240" w:name="_Toc337558755"/>
      <w:r>
        <w:rPr>
          <w:rFonts w:hint="eastAsia" w:asciiTheme="majorEastAsia" w:hAnsiTheme="majorEastAsia" w:eastAsiaTheme="majorEastAsia" w:cstheme="majorEastAsia"/>
          <w:bCs/>
          <w:snapToGrid w:val="0"/>
          <w:color w:val="auto"/>
          <w:szCs w:val="21"/>
          <w:highlight w:val="none"/>
        </w:rPr>
        <w:t>.2监理人员</w:t>
      </w:r>
      <w:bookmarkEnd w:id="239"/>
    </w:p>
    <w:bookmarkEnd w:id="240"/>
    <w:p w14:paraId="7799A09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D8722B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41" w:name="_Toc351203530"/>
      <w:r>
        <w:rPr>
          <w:rFonts w:hint="eastAsia" w:asciiTheme="majorEastAsia" w:hAnsiTheme="majorEastAsia" w:eastAsiaTheme="majorEastAsia" w:cstheme="majorEastAsia"/>
          <w:bCs/>
          <w:snapToGrid w:val="0"/>
          <w:color w:val="auto"/>
          <w:szCs w:val="21"/>
          <w:highlight w:val="none"/>
        </w:rPr>
        <w:t>4</w:t>
      </w:r>
      <w:bookmarkStart w:id="242" w:name="_Toc296503055"/>
      <w:bookmarkStart w:id="243" w:name="_Toc296346556"/>
      <w:bookmarkStart w:id="244" w:name="_Toc337558756"/>
      <w:r>
        <w:rPr>
          <w:rFonts w:hint="eastAsia" w:asciiTheme="majorEastAsia" w:hAnsiTheme="majorEastAsia" w:eastAsiaTheme="majorEastAsia" w:cstheme="majorEastAsia"/>
          <w:bCs/>
          <w:snapToGrid w:val="0"/>
          <w:color w:val="auto"/>
          <w:szCs w:val="21"/>
          <w:highlight w:val="none"/>
        </w:rPr>
        <w:t>.3</w:t>
      </w:r>
      <w:bookmarkEnd w:id="242"/>
      <w:bookmarkEnd w:id="243"/>
      <w:r>
        <w:rPr>
          <w:rFonts w:hint="eastAsia" w:asciiTheme="majorEastAsia" w:hAnsiTheme="majorEastAsia" w:eastAsiaTheme="majorEastAsia" w:cstheme="majorEastAsia"/>
          <w:bCs/>
          <w:snapToGrid w:val="0"/>
          <w:color w:val="auto"/>
          <w:szCs w:val="21"/>
          <w:highlight w:val="none"/>
        </w:rPr>
        <w:t>监理人的指</w:t>
      </w:r>
      <w:bookmarkEnd w:id="244"/>
      <w:r>
        <w:rPr>
          <w:rFonts w:hint="eastAsia" w:asciiTheme="majorEastAsia" w:hAnsiTheme="majorEastAsia" w:eastAsiaTheme="majorEastAsia" w:cstheme="majorEastAsia"/>
          <w:bCs/>
          <w:snapToGrid w:val="0"/>
          <w:color w:val="auto"/>
          <w:szCs w:val="21"/>
          <w:highlight w:val="none"/>
        </w:rPr>
        <w:t>示</w:t>
      </w:r>
      <w:bookmarkEnd w:id="241"/>
    </w:p>
    <w:p w14:paraId="1C82794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667E6C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FB505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6725DEA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959C2B1">
      <w:pPr>
        <w:keepNext/>
        <w:keepLines/>
        <w:kinsoku w:val="0"/>
        <w:autoSpaceDE w:val="0"/>
        <w:autoSpaceDN w:val="0"/>
        <w:adjustRightInd w:val="0"/>
        <w:snapToGrid w:val="0"/>
        <w:spacing w:before="120" w:after="120" w:line="376" w:lineRule="auto"/>
        <w:ind w:firstLine="420" w:firstLineChars="200"/>
        <w:textAlignment w:val="baseline"/>
        <w:outlineLvl w:val="3"/>
        <w:rPr>
          <w:rFonts w:asciiTheme="majorEastAsia" w:hAnsiTheme="majorEastAsia" w:eastAsiaTheme="majorEastAsia" w:cstheme="majorEastAsia"/>
          <w:bCs/>
          <w:snapToGrid w:val="0"/>
          <w:color w:val="auto"/>
          <w:szCs w:val="21"/>
          <w:highlight w:val="none"/>
        </w:rPr>
      </w:pPr>
      <w:bookmarkStart w:id="245" w:name="_Toc351203531"/>
      <w:r>
        <w:rPr>
          <w:rFonts w:hint="eastAsia" w:asciiTheme="majorEastAsia" w:hAnsiTheme="majorEastAsia" w:eastAsiaTheme="majorEastAsia" w:cstheme="majorEastAsia"/>
          <w:bCs/>
          <w:snapToGrid w:val="0"/>
          <w:color w:val="auto"/>
          <w:szCs w:val="21"/>
          <w:highlight w:val="none"/>
        </w:rPr>
        <w:t>4</w:t>
      </w:r>
      <w:bookmarkStart w:id="246" w:name="_Toc337558757"/>
      <w:bookmarkStart w:id="247" w:name="_Toc296503057"/>
      <w:bookmarkStart w:id="248" w:name="_Toc296346558"/>
      <w:r>
        <w:rPr>
          <w:rFonts w:hint="eastAsia" w:asciiTheme="majorEastAsia" w:hAnsiTheme="majorEastAsia" w:eastAsiaTheme="majorEastAsia" w:cstheme="majorEastAsia"/>
          <w:bCs/>
          <w:snapToGrid w:val="0"/>
          <w:color w:val="auto"/>
          <w:szCs w:val="21"/>
          <w:highlight w:val="none"/>
        </w:rPr>
        <w:t>.4 商定或确定</w:t>
      </w:r>
      <w:bookmarkEnd w:id="245"/>
    </w:p>
    <w:bookmarkEnd w:id="246"/>
    <w:bookmarkEnd w:id="247"/>
    <w:bookmarkEnd w:id="248"/>
    <w:p w14:paraId="2F9E84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5BBA0DF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FA61C81">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49" w:name="_Toc351203532"/>
      <w:r>
        <w:rPr>
          <w:rFonts w:hint="eastAsia" w:asciiTheme="majorEastAsia" w:hAnsiTheme="majorEastAsia" w:eastAsiaTheme="majorEastAsia" w:cstheme="majorEastAsia"/>
          <w:bCs/>
          <w:snapToGrid w:val="0"/>
          <w:color w:val="auto"/>
          <w:szCs w:val="21"/>
          <w:highlight w:val="none"/>
        </w:rPr>
        <w:t>5</w:t>
      </w:r>
      <w:bookmarkStart w:id="250" w:name="_Toc337558758"/>
      <w:r>
        <w:rPr>
          <w:rFonts w:hint="eastAsia" w:asciiTheme="majorEastAsia" w:hAnsiTheme="majorEastAsia" w:eastAsiaTheme="majorEastAsia" w:cstheme="majorEastAsia"/>
          <w:bCs/>
          <w:snapToGrid w:val="0"/>
          <w:color w:val="auto"/>
          <w:szCs w:val="21"/>
          <w:highlight w:val="none"/>
        </w:rPr>
        <w:t>. 工程质量</w:t>
      </w:r>
      <w:bookmarkEnd w:id="249"/>
    </w:p>
    <w:bookmarkEnd w:id="250"/>
    <w:p w14:paraId="774E009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51" w:name="_Toc351203533"/>
      <w:r>
        <w:rPr>
          <w:rFonts w:hint="eastAsia" w:asciiTheme="majorEastAsia" w:hAnsiTheme="majorEastAsia" w:eastAsiaTheme="majorEastAsia" w:cstheme="majorEastAsia"/>
          <w:bCs/>
          <w:snapToGrid w:val="0"/>
          <w:color w:val="auto"/>
          <w:szCs w:val="21"/>
          <w:highlight w:val="none"/>
        </w:rPr>
        <w:t>5</w:t>
      </w:r>
      <w:bookmarkStart w:id="252" w:name="_Toc337558759"/>
      <w:r>
        <w:rPr>
          <w:rFonts w:hint="eastAsia" w:asciiTheme="majorEastAsia" w:hAnsiTheme="majorEastAsia" w:eastAsiaTheme="majorEastAsia" w:cstheme="majorEastAsia"/>
          <w:bCs/>
          <w:snapToGrid w:val="0"/>
          <w:color w:val="auto"/>
          <w:szCs w:val="21"/>
          <w:highlight w:val="none"/>
        </w:rPr>
        <w:t>.1质量要求</w:t>
      </w:r>
      <w:bookmarkEnd w:id="251"/>
    </w:p>
    <w:bookmarkEnd w:id="252"/>
    <w:p w14:paraId="2D7261D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27F8F50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5.1.2 因发包人原因造成工程质量未达到合同约定标准的，由发包人承担由此增加的费用和（或）延误的工期，并支付承包人合理的利润。</w:t>
      </w:r>
    </w:p>
    <w:p w14:paraId="616F798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17ECCAA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53" w:name="_Toc351203534"/>
      <w:r>
        <w:rPr>
          <w:rFonts w:hint="eastAsia" w:asciiTheme="majorEastAsia" w:hAnsiTheme="majorEastAsia" w:eastAsiaTheme="majorEastAsia" w:cstheme="majorEastAsia"/>
          <w:bCs/>
          <w:snapToGrid w:val="0"/>
          <w:color w:val="auto"/>
          <w:szCs w:val="21"/>
          <w:highlight w:val="none"/>
        </w:rPr>
        <w:t>5</w:t>
      </w:r>
      <w:bookmarkStart w:id="254" w:name="_Toc337558760"/>
      <w:r>
        <w:rPr>
          <w:rFonts w:hint="eastAsia" w:asciiTheme="majorEastAsia" w:hAnsiTheme="majorEastAsia" w:eastAsiaTheme="majorEastAsia" w:cstheme="majorEastAsia"/>
          <w:bCs/>
          <w:snapToGrid w:val="0"/>
          <w:color w:val="auto"/>
          <w:szCs w:val="21"/>
          <w:highlight w:val="none"/>
        </w:rPr>
        <w:t>.2质量保证措施</w:t>
      </w:r>
      <w:bookmarkEnd w:id="253"/>
    </w:p>
    <w:bookmarkEnd w:id="254"/>
    <w:p w14:paraId="6B8EAE56">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5.2.1 发包人的质量管理</w:t>
      </w:r>
    </w:p>
    <w:p w14:paraId="294CCC7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发包人应按照法律规定及合同约定完成与工程质量有关的各项工作。</w:t>
      </w:r>
    </w:p>
    <w:p w14:paraId="4EE5E3F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5.2.2 承包人的质量管理</w:t>
      </w:r>
    </w:p>
    <w:p w14:paraId="00DDDF9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85844A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承包人应对施工人员进行质量教育和技术培训，定期考核施工人员的劳动技能，严格执行施工规范和操作规程。</w:t>
      </w:r>
    </w:p>
    <w:p w14:paraId="225D0DA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35EFA06">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5.2.3 监理人的质量检查和检验</w:t>
      </w:r>
    </w:p>
    <w:p w14:paraId="3B40826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84143E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32FCAB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55" w:name="_Toc351203535"/>
      <w:r>
        <w:rPr>
          <w:rFonts w:hint="eastAsia" w:asciiTheme="majorEastAsia" w:hAnsiTheme="majorEastAsia" w:eastAsiaTheme="majorEastAsia" w:cstheme="majorEastAsia"/>
          <w:bCs/>
          <w:snapToGrid w:val="0"/>
          <w:color w:val="auto"/>
          <w:szCs w:val="21"/>
          <w:highlight w:val="none"/>
        </w:rPr>
        <w:t>5</w:t>
      </w:r>
      <w:bookmarkStart w:id="256" w:name="_Toc337558761"/>
      <w:r>
        <w:rPr>
          <w:rFonts w:hint="eastAsia" w:asciiTheme="majorEastAsia" w:hAnsiTheme="majorEastAsia" w:eastAsiaTheme="majorEastAsia" w:cstheme="majorEastAsia"/>
          <w:bCs/>
          <w:snapToGrid w:val="0"/>
          <w:color w:val="auto"/>
          <w:szCs w:val="21"/>
          <w:highlight w:val="none"/>
        </w:rPr>
        <w:t>.3 隐蔽工程检查</w:t>
      </w:r>
      <w:bookmarkEnd w:id="255"/>
    </w:p>
    <w:bookmarkEnd w:id="256"/>
    <w:p w14:paraId="07C4E9C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5.3.1承包人自检</w:t>
      </w:r>
    </w:p>
    <w:p w14:paraId="400B7BD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承包人应当对工程隐蔽部位进行自检，并经自检确认是否具备覆盖条件。</w:t>
      </w:r>
    </w:p>
    <w:p w14:paraId="7C76538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5.3.2检查程序</w:t>
      </w:r>
    </w:p>
    <w:p w14:paraId="0017DE9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734E9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B6F16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79B909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5.3.3 重新检查</w:t>
      </w:r>
    </w:p>
    <w:p w14:paraId="15E1A48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85314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5.3.4 承包人私自覆盖</w:t>
      </w:r>
    </w:p>
    <w:p w14:paraId="00F759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37C8AA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57" w:name="_Toc351203536"/>
      <w:r>
        <w:rPr>
          <w:rFonts w:hint="eastAsia" w:asciiTheme="majorEastAsia" w:hAnsiTheme="majorEastAsia" w:eastAsiaTheme="majorEastAsia" w:cstheme="majorEastAsia"/>
          <w:bCs/>
          <w:snapToGrid w:val="0"/>
          <w:color w:val="auto"/>
          <w:szCs w:val="21"/>
          <w:highlight w:val="none"/>
        </w:rPr>
        <w:t>5</w:t>
      </w:r>
      <w:bookmarkStart w:id="258" w:name="_Toc337558762"/>
      <w:r>
        <w:rPr>
          <w:rFonts w:hint="eastAsia" w:asciiTheme="majorEastAsia" w:hAnsiTheme="majorEastAsia" w:eastAsiaTheme="majorEastAsia" w:cstheme="majorEastAsia"/>
          <w:bCs/>
          <w:snapToGrid w:val="0"/>
          <w:color w:val="auto"/>
          <w:szCs w:val="21"/>
          <w:highlight w:val="none"/>
        </w:rPr>
        <w:t>.4不合格工程的处理</w:t>
      </w:r>
      <w:bookmarkEnd w:id="257"/>
    </w:p>
    <w:bookmarkEnd w:id="258"/>
    <w:p w14:paraId="60294F8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315716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5.4.2 因发包人原因造成工程不合格的，由此增加的费用和（或）延误的工期由发包人承担，并支付承包人合理的利润。</w:t>
      </w:r>
    </w:p>
    <w:p w14:paraId="2731D10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59" w:name="_Toc351203537"/>
      <w:r>
        <w:rPr>
          <w:rFonts w:hint="eastAsia" w:asciiTheme="majorEastAsia" w:hAnsiTheme="majorEastAsia" w:eastAsiaTheme="majorEastAsia" w:cstheme="majorEastAsia"/>
          <w:bCs/>
          <w:snapToGrid w:val="0"/>
          <w:color w:val="auto"/>
          <w:szCs w:val="21"/>
          <w:highlight w:val="none"/>
        </w:rPr>
        <w:t>5.5 质量争议检测</w:t>
      </w:r>
      <w:bookmarkEnd w:id="259"/>
    </w:p>
    <w:p w14:paraId="66F3A0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合同当事人对工程质量有争议的，由双方协商确定的工程质量检测机构鉴定，由此产生的费用及因此造成的损失，由责任方承担。</w:t>
      </w:r>
    </w:p>
    <w:p w14:paraId="2BEE0319">
      <w:pPr>
        <w:widowControl/>
        <w:kinsoku w:val="0"/>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合同当事人均有责任的，由双方根据其责任分别承担。合同当事人无法达成一致的，按照第4.4款〔商定或确定〕执行。</w:t>
      </w:r>
    </w:p>
    <w:p w14:paraId="06674CFF">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60" w:name="_Toc351203538"/>
      <w:r>
        <w:rPr>
          <w:rFonts w:hint="eastAsia" w:asciiTheme="majorEastAsia" w:hAnsiTheme="majorEastAsia" w:eastAsiaTheme="majorEastAsia" w:cstheme="majorEastAsia"/>
          <w:bCs/>
          <w:snapToGrid w:val="0"/>
          <w:color w:val="auto"/>
          <w:szCs w:val="21"/>
          <w:highlight w:val="none"/>
        </w:rPr>
        <w:t>6</w:t>
      </w:r>
      <w:bookmarkStart w:id="261" w:name="_Toc337558763"/>
      <w:r>
        <w:rPr>
          <w:rFonts w:hint="eastAsia" w:asciiTheme="majorEastAsia" w:hAnsiTheme="majorEastAsia" w:eastAsiaTheme="majorEastAsia" w:cstheme="majorEastAsia"/>
          <w:bCs/>
          <w:snapToGrid w:val="0"/>
          <w:color w:val="auto"/>
          <w:szCs w:val="21"/>
          <w:highlight w:val="none"/>
        </w:rPr>
        <w:t>. 安全文明施工与环境保护</w:t>
      </w:r>
      <w:bookmarkEnd w:id="260"/>
    </w:p>
    <w:bookmarkEnd w:id="261"/>
    <w:p w14:paraId="093E505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62" w:name="_Toc351203539"/>
      <w:r>
        <w:rPr>
          <w:rFonts w:hint="eastAsia" w:asciiTheme="majorEastAsia" w:hAnsiTheme="majorEastAsia" w:eastAsiaTheme="majorEastAsia" w:cstheme="majorEastAsia"/>
          <w:bCs/>
          <w:snapToGrid w:val="0"/>
          <w:color w:val="auto"/>
          <w:szCs w:val="21"/>
          <w:highlight w:val="none"/>
        </w:rPr>
        <w:t>6</w:t>
      </w:r>
      <w:bookmarkStart w:id="263" w:name="_Toc337558764"/>
      <w:r>
        <w:rPr>
          <w:rFonts w:hint="eastAsia" w:asciiTheme="majorEastAsia" w:hAnsiTheme="majorEastAsia" w:eastAsiaTheme="majorEastAsia" w:cstheme="majorEastAsia"/>
          <w:bCs/>
          <w:snapToGrid w:val="0"/>
          <w:color w:val="auto"/>
          <w:szCs w:val="21"/>
          <w:highlight w:val="none"/>
        </w:rPr>
        <w:t>.1安全文明施工</w:t>
      </w:r>
      <w:bookmarkEnd w:id="262"/>
    </w:p>
    <w:bookmarkEnd w:id="263"/>
    <w:p w14:paraId="4BCA51E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6.1.1安全生产要求</w:t>
      </w:r>
    </w:p>
    <w:p w14:paraId="34F2FC7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3F7D72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0D2C7B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因安全生产需要暂停施工的，按照第7.8款〔暂停施工〕的约定执行。</w:t>
      </w:r>
    </w:p>
    <w:p w14:paraId="5349289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6.1.2 安全生产保证措施</w:t>
      </w:r>
    </w:p>
    <w:p w14:paraId="63B15DC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233B11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6.1.3特别安全生产事项</w:t>
      </w:r>
    </w:p>
    <w:p w14:paraId="6AC2EFA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0B7786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27B265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5894348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5988225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6.1.4 治安保卫</w:t>
      </w:r>
    </w:p>
    <w:p w14:paraId="61E99D1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3874F6C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发包人和承包人除应协助现场治安管理机构或联防组织维护施工场地的社会治安外，还应做好包括生活区在内的各自管辖区的治安保卫工作。</w:t>
      </w:r>
    </w:p>
    <w:p w14:paraId="00CBB1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FED3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6.1.5 文明施工</w:t>
      </w:r>
    </w:p>
    <w:p w14:paraId="2E46986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8E9B6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A19285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6.1.6 安全文明施工费</w:t>
      </w:r>
    </w:p>
    <w:p w14:paraId="3B380E4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07EEB8A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8FC585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B3DAE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E52E9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6.1.7 紧急情况处理</w:t>
      </w:r>
    </w:p>
    <w:p w14:paraId="7004E71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3A886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6.1.8 事故处理</w:t>
      </w:r>
    </w:p>
    <w:p w14:paraId="76DA82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75D86C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6.1.9 安全生产责任</w:t>
      </w:r>
    </w:p>
    <w:p w14:paraId="458550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6.1.9.1 发包人的安全责任</w:t>
      </w:r>
    </w:p>
    <w:p w14:paraId="41AC5ED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发包人应负责赔偿以下各种情况造成的损失：</w:t>
      </w:r>
    </w:p>
    <w:p w14:paraId="580E6F1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（1）工程或工程的任何部分对土地的占用所造成的第三者财产损失；</w:t>
      </w:r>
    </w:p>
    <w:p w14:paraId="20F6EC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（2）由于发包人原因在施工场地及其毗邻地带造成的第三者人身伤亡和财产损失；</w:t>
      </w:r>
    </w:p>
    <w:p w14:paraId="0C13EC3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（3）由于发包人原因对承包人、监理人造成的人员人身伤亡和财产损失；</w:t>
      </w:r>
    </w:p>
    <w:p w14:paraId="77416BF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（4）由于发包人原因造成的发包人自身人员的人身伤害以及财产损失。</w:t>
      </w:r>
    </w:p>
    <w:p w14:paraId="33EE5DA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6.1.9.2 承包人的安全责任</w:t>
      </w:r>
    </w:p>
    <w:p w14:paraId="30853F8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由于承包人原因在施工场地内及其毗邻地带造成的发包人、监理人以及第三者人员伤亡和财产损失，由承包人负责赔偿。</w:t>
      </w:r>
    </w:p>
    <w:p w14:paraId="6021B1F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64" w:name="_Toc351203540"/>
      <w:r>
        <w:rPr>
          <w:rFonts w:hint="eastAsia" w:asciiTheme="majorEastAsia" w:hAnsiTheme="majorEastAsia" w:eastAsiaTheme="majorEastAsia" w:cstheme="majorEastAsia"/>
          <w:bCs/>
          <w:snapToGrid w:val="0"/>
          <w:color w:val="auto"/>
          <w:szCs w:val="21"/>
          <w:highlight w:val="none"/>
        </w:rPr>
        <w:t>6</w:t>
      </w:r>
      <w:bookmarkStart w:id="265" w:name="_Toc337558765"/>
      <w:r>
        <w:rPr>
          <w:rFonts w:hint="eastAsia" w:asciiTheme="majorEastAsia" w:hAnsiTheme="majorEastAsia" w:eastAsiaTheme="majorEastAsia" w:cstheme="majorEastAsia"/>
          <w:bCs/>
          <w:snapToGrid w:val="0"/>
          <w:color w:val="auto"/>
          <w:szCs w:val="21"/>
          <w:highlight w:val="none"/>
        </w:rPr>
        <w:t>.2 职业健康</w:t>
      </w:r>
      <w:bookmarkEnd w:id="264"/>
    </w:p>
    <w:bookmarkEnd w:id="265"/>
    <w:p w14:paraId="4FE91C7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6.2.1 劳动保护</w:t>
      </w:r>
    </w:p>
    <w:p w14:paraId="5D96DC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618D8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E42D2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2211436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6.2.2 生活条件</w:t>
      </w:r>
    </w:p>
    <w:p w14:paraId="316A31D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48901E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66" w:name="_Toc351203541"/>
      <w:r>
        <w:rPr>
          <w:rFonts w:hint="eastAsia" w:asciiTheme="majorEastAsia" w:hAnsiTheme="majorEastAsia" w:eastAsiaTheme="majorEastAsia" w:cstheme="majorEastAsia"/>
          <w:bCs/>
          <w:snapToGrid w:val="0"/>
          <w:color w:val="auto"/>
          <w:szCs w:val="21"/>
          <w:highlight w:val="none"/>
        </w:rPr>
        <w:t>6</w:t>
      </w:r>
      <w:bookmarkStart w:id="267" w:name="_Toc337558766"/>
      <w:r>
        <w:rPr>
          <w:rFonts w:hint="eastAsia" w:asciiTheme="majorEastAsia" w:hAnsiTheme="majorEastAsia" w:eastAsiaTheme="majorEastAsia" w:cstheme="majorEastAsia"/>
          <w:bCs/>
          <w:snapToGrid w:val="0"/>
          <w:color w:val="auto"/>
          <w:szCs w:val="21"/>
          <w:highlight w:val="none"/>
        </w:rPr>
        <w:t>.3 环境保护</w:t>
      </w:r>
      <w:bookmarkEnd w:id="266"/>
    </w:p>
    <w:bookmarkEnd w:id="267"/>
    <w:p w14:paraId="291FDD0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0E8BAF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426CC744">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68" w:name="_Toc351203542"/>
      <w:r>
        <w:rPr>
          <w:rFonts w:hint="eastAsia" w:asciiTheme="majorEastAsia" w:hAnsiTheme="majorEastAsia" w:eastAsiaTheme="majorEastAsia" w:cstheme="majorEastAsia"/>
          <w:bCs/>
          <w:snapToGrid w:val="0"/>
          <w:color w:val="auto"/>
          <w:szCs w:val="21"/>
          <w:highlight w:val="none"/>
        </w:rPr>
        <w:t>7</w:t>
      </w:r>
      <w:bookmarkStart w:id="269" w:name="_Toc337558767"/>
      <w:r>
        <w:rPr>
          <w:rFonts w:hint="eastAsia" w:asciiTheme="majorEastAsia" w:hAnsiTheme="majorEastAsia" w:eastAsiaTheme="majorEastAsia" w:cstheme="majorEastAsia"/>
          <w:bCs/>
          <w:snapToGrid w:val="0"/>
          <w:color w:val="auto"/>
          <w:szCs w:val="21"/>
          <w:highlight w:val="none"/>
        </w:rPr>
        <w:t>. 工期和进度</w:t>
      </w:r>
      <w:bookmarkEnd w:id="268"/>
    </w:p>
    <w:bookmarkEnd w:id="269"/>
    <w:p w14:paraId="369A241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70" w:name="_Toc351203543"/>
      <w:r>
        <w:rPr>
          <w:rFonts w:hint="eastAsia" w:asciiTheme="majorEastAsia" w:hAnsiTheme="majorEastAsia" w:eastAsiaTheme="majorEastAsia" w:cstheme="majorEastAsia"/>
          <w:bCs/>
          <w:snapToGrid w:val="0"/>
          <w:color w:val="auto"/>
          <w:szCs w:val="21"/>
          <w:highlight w:val="none"/>
        </w:rPr>
        <w:t>7</w:t>
      </w:r>
      <w:bookmarkStart w:id="271" w:name="_Toc337558768"/>
      <w:bookmarkStart w:id="272" w:name="_Toc296346567"/>
      <w:bookmarkStart w:id="273" w:name="_Toc296503066"/>
      <w:r>
        <w:rPr>
          <w:rFonts w:hint="eastAsia" w:asciiTheme="majorEastAsia" w:hAnsiTheme="majorEastAsia" w:eastAsiaTheme="majorEastAsia" w:cstheme="majorEastAsia"/>
          <w:bCs/>
          <w:snapToGrid w:val="0"/>
          <w:color w:val="auto"/>
          <w:szCs w:val="21"/>
          <w:highlight w:val="none"/>
        </w:rPr>
        <w:t>.1施工组织设计</w:t>
      </w:r>
      <w:bookmarkEnd w:id="270"/>
    </w:p>
    <w:bookmarkEnd w:id="271"/>
    <w:p w14:paraId="43E1DD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7.1.1 施工组织设计的内容</w:t>
      </w:r>
    </w:p>
    <w:p w14:paraId="146A569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施工组织设计应包含以下内容：</w:t>
      </w:r>
    </w:p>
    <w:p w14:paraId="012A0EE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（1）施工方案； </w:t>
      </w:r>
    </w:p>
    <w:p w14:paraId="4B2792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（2）施工现场平面布置图；</w:t>
      </w:r>
    </w:p>
    <w:p w14:paraId="23A23F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（3）施工进度计划和保证措施； </w:t>
      </w:r>
    </w:p>
    <w:p w14:paraId="40F0E1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（4）劳动力及材料供应计划；</w:t>
      </w:r>
    </w:p>
    <w:p w14:paraId="0989CE8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（5）施工机械设备的选用；</w:t>
      </w:r>
    </w:p>
    <w:p w14:paraId="0965E63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（6）质量保证体系及措施；</w:t>
      </w:r>
    </w:p>
    <w:p w14:paraId="6C62BD0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（7）安全生产、文明施工措施；</w:t>
      </w:r>
    </w:p>
    <w:p w14:paraId="301C94A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（8）环境保护、成本控制措施；</w:t>
      </w:r>
    </w:p>
    <w:p w14:paraId="1242C67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（9）合同当事人约定的其他内容。</w:t>
      </w:r>
    </w:p>
    <w:p w14:paraId="307425D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7.1.2 施工组织设计的提交和修改</w:t>
      </w:r>
    </w:p>
    <w:p w14:paraId="5762F09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1AD54C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施工进度计划的编制和修改按照第7.2款〔施工进度计划〕执行。</w:t>
      </w:r>
    </w:p>
    <w:p w14:paraId="2DAE2FE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74" w:name="_Toc351203544"/>
      <w:r>
        <w:rPr>
          <w:rFonts w:hint="eastAsia" w:asciiTheme="majorEastAsia" w:hAnsiTheme="majorEastAsia" w:eastAsiaTheme="majorEastAsia" w:cstheme="majorEastAsia"/>
          <w:bCs/>
          <w:snapToGrid w:val="0"/>
          <w:color w:val="auto"/>
          <w:szCs w:val="21"/>
          <w:highlight w:val="none"/>
        </w:rPr>
        <w:t>7</w:t>
      </w:r>
      <w:bookmarkStart w:id="275" w:name="_Toc337558769"/>
      <w:r>
        <w:rPr>
          <w:rFonts w:hint="eastAsia" w:asciiTheme="majorEastAsia" w:hAnsiTheme="majorEastAsia" w:eastAsiaTheme="majorEastAsia" w:cstheme="majorEastAsia"/>
          <w:bCs/>
          <w:snapToGrid w:val="0"/>
          <w:color w:val="auto"/>
          <w:szCs w:val="21"/>
          <w:highlight w:val="none"/>
        </w:rPr>
        <w:t>.2 施工进度计划</w:t>
      </w:r>
      <w:bookmarkEnd w:id="274"/>
    </w:p>
    <w:bookmarkEnd w:id="275"/>
    <w:p w14:paraId="2A0E8A1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7.2.1 施工进度计划的编制</w:t>
      </w:r>
    </w:p>
    <w:p w14:paraId="11AB8B9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933BF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7.2.2 施工进度计划的修订</w:t>
      </w:r>
    </w:p>
    <w:p w14:paraId="082381E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CC6EA8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76" w:name="_Toc351203545"/>
      <w:r>
        <w:rPr>
          <w:rFonts w:hint="eastAsia" w:asciiTheme="majorEastAsia" w:hAnsiTheme="majorEastAsia" w:eastAsiaTheme="majorEastAsia" w:cstheme="majorEastAsia"/>
          <w:bCs/>
          <w:snapToGrid w:val="0"/>
          <w:color w:val="auto"/>
          <w:szCs w:val="21"/>
          <w:highlight w:val="none"/>
        </w:rPr>
        <w:t>7</w:t>
      </w:r>
      <w:bookmarkStart w:id="277" w:name="_Toc337558770"/>
      <w:r>
        <w:rPr>
          <w:rFonts w:hint="eastAsia" w:asciiTheme="majorEastAsia" w:hAnsiTheme="majorEastAsia" w:eastAsiaTheme="majorEastAsia" w:cstheme="majorEastAsia"/>
          <w:bCs/>
          <w:snapToGrid w:val="0"/>
          <w:color w:val="auto"/>
          <w:szCs w:val="21"/>
          <w:highlight w:val="none"/>
        </w:rPr>
        <w:t>.3 开工</w:t>
      </w:r>
      <w:bookmarkEnd w:id="276"/>
    </w:p>
    <w:p w14:paraId="26A65F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7.3.1 开工准备</w:t>
      </w:r>
    </w:p>
    <w:p w14:paraId="0D7BF3B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EAD9CA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除专用合同条款另有约定外，合同当事人应按约定完成开工准备工作。</w:t>
      </w:r>
    </w:p>
    <w:p w14:paraId="199549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7.3.2 开工通知</w:t>
      </w:r>
    </w:p>
    <w:bookmarkEnd w:id="277"/>
    <w:p w14:paraId="6F96470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6CA549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4EB9F2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78" w:name="_Toc351203546"/>
      <w:r>
        <w:rPr>
          <w:rFonts w:hint="eastAsia" w:asciiTheme="majorEastAsia" w:hAnsiTheme="majorEastAsia" w:eastAsiaTheme="majorEastAsia" w:cstheme="majorEastAsia"/>
          <w:bCs/>
          <w:snapToGrid w:val="0"/>
          <w:color w:val="auto"/>
          <w:szCs w:val="21"/>
          <w:highlight w:val="none"/>
        </w:rPr>
        <w:t>7.4测量放线</w:t>
      </w:r>
      <w:bookmarkEnd w:id="278"/>
    </w:p>
    <w:p w14:paraId="64F1A5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083CFE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3B7837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E52E8B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施工过程中对施工现场内水准点等测量标志物的保护工作由承包人负责。</w:t>
      </w:r>
      <w:bookmarkStart w:id="279" w:name="_Toc351203547"/>
    </w:p>
    <w:p w14:paraId="6BE7BA3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r>
        <w:rPr>
          <w:rFonts w:hint="eastAsia" w:asciiTheme="majorEastAsia" w:hAnsiTheme="majorEastAsia" w:eastAsiaTheme="majorEastAsia" w:cstheme="majorEastAsia"/>
          <w:bCs/>
          <w:snapToGrid w:val="0"/>
          <w:color w:val="auto"/>
          <w:szCs w:val="21"/>
          <w:highlight w:val="none"/>
        </w:rPr>
        <w:t>7</w:t>
      </w:r>
      <w:bookmarkEnd w:id="272"/>
      <w:bookmarkEnd w:id="273"/>
      <w:bookmarkStart w:id="280" w:name="_Toc337558772"/>
      <w:bookmarkStart w:id="281" w:name="_Toc296503073"/>
      <w:bookmarkStart w:id="282" w:name="_Toc296346574"/>
      <w:r>
        <w:rPr>
          <w:rFonts w:hint="eastAsia" w:asciiTheme="majorEastAsia" w:hAnsiTheme="majorEastAsia" w:eastAsiaTheme="majorEastAsia" w:cstheme="majorEastAsia"/>
          <w:bCs/>
          <w:snapToGrid w:val="0"/>
          <w:color w:val="auto"/>
          <w:szCs w:val="21"/>
          <w:highlight w:val="none"/>
        </w:rPr>
        <w:t>.5 工期延误</w:t>
      </w:r>
      <w:bookmarkEnd w:id="279"/>
    </w:p>
    <w:bookmarkEnd w:id="280"/>
    <w:bookmarkEnd w:id="281"/>
    <w:bookmarkEnd w:id="282"/>
    <w:p w14:paraId="01AA9CD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7.5.1 因发包人原因导致工期延误</w:t>
      </w:r>
    </w:p>
    <w:p w14:paraId="17DBED1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4E57DE3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（1）发包人未能按合同约定提供图纸或所提供图纸不符合合同约定的；</w:t>
      </w:r>
    </w:p>
    <w:p w14:paraId="3113DED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（2）发包人未能按合同约定提供施工现场、施工条件、基础资料、许可、批准等开工条件的；</w:t>
      </w:r>
    </w:p>
    <w:p w14:paraId="04D7ECA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（3）发包人提供的测量基准点、基准线和水准点及其书面资料存在错误或疏漏的；</w:t>
      </w:r>
    </w:p>
    <w:p w14:paraId="683D337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（4）发包人未能在计划开工日期之日起7天内同意下达开工通知的；</w:t>
      </w:r>
    </w:p>
    <w:p w14:paraId="39F3D8D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（5）发包人未能按合同约定日期支付工程预付款、进度款或竣工结算款的；</w:t>
      </w:r>
    </w:p>
    <w:p w14:paraId="751405E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（6）监理人未按合同约定发出指示、批准等文件的；</w:t>
      </w:r>
    </w:p>
    <w:p w14:paraId="7CF8C6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（7）专用合同条款中约定的其他情形。</w:t>
      </w:r>
    </w:p>
    <w:p w14:paraId="38A8EF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734B0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7.5.2 因承包人原因导致工期延误</w:t>
      </w:r>
    </w:p>
    <w:p w14:paraId="312337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bookmarkStart w:id="283" w:name="_Toc296503076"/>
      <w:bookmarkStart w:id="284" w:name="_Toc296346577"/>
      <w:r>
        <w:rPr>
          <w:rFonts w:hint="eastAsia" w:asciiTheme="majorEastAsia" w:hAnsiTheme="majorEastAsia" w:eastAsiaTheme="majorEastAsia" w:cstheme="majorEastAsia"/>
          <w:snapToGrid w:val="0"/>
          <w:color w:val="auto"/>
          <w:kern w:val="0"/>
          <w:szCs w:val="21"/>
          <w:highlight w:val="none"/>
        </w:rPr>
        <w:t>因</w:t>
      </w:r>
      <w:bookmarkEnd w:id="283"/>
      <w:bookmarkEnd w:id="284"/>
      <w:r>
        <w:rPr>
          <w:rFonts w:hint="eastAsia" w:asciiTheme="majorEastAsia" w:hAnsiTheme="majorEastAsia" w:eastAsiaTheme="majorEastAsia" w:cstheme="majorEastAsia"/>
          <w:snapToGrid w:val="0"/>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58989E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85" w:name="_Toc351203548"/>
      <w:r>
        <w:rPr>
          <w:rFonts w:hint="eastAsia" w:asciiTheme="majorEastAsia" w:hAnsiTheme="majorEastAsia" w:eastAsiaTheme="majorEastAsia" w:cstheme="majorEastAsia"/>
          <w:bCs/>
          <w:snapToGrid w:val="0"/>
          <w:color w:val="auto"/>
          <w:szCs w:val="21"/>
          <w:highlight w:val="none"/>
        </w:rPr>
        <w:t>7</w:t>
      </w:r>
      <w:bookmarkStart w:id="286" w:name="_Toc296346575"/>
      <w:bookmarkStart w:id="287" w:name="_Toc296503074"/>
      <w:bookmarkStart w:id="288" w:name="_Toc337558773"/>
      <w:bookmarkStart w:id="289" w:name="_Toc296503077"/>
      <w:bookmarkStart w:id="290" w:name="_Toc296346578"/>
      <w:r>
        <w:rPr>
          <w:rFonts w:hint="eastAsia" w:asciiTheme="majorEastAsia" w:hAnsiTheme="majorEastAsia" w:eastAsiaTheme="majorEastAsia" w:cstheme="majorEastAsia"/>
          <w:bCs/>
          <w:snapToGrid w:val="0"/>
          <w:color w:val="auto"/>
          <w:szCs w:val="21"/>
          <w:highlight w:val="none"/>
        </w:rPr>
        <w:t>.6 不利物质条件</w:t>
      </w:r>
      <w:bookmarkEnd w:id="285"/>
    </w:p>
    <w:bookmarkEnd w:id="286"/>
    <w:bookmarkEnd w:id="287"/>
    <w:bookmarkEnd w:id="288"/>
    <w:p w14:paraId="77CE3A7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15A982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DC61FD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91" w:name="_Toc351203549"/>
      <w:r>
        <w:rPr>
          <w:rFonts w:hint="eastAsia" w:asciiTheme="majorEastAsia" w:hAnsiTheme="majorEastAsia" w:eastAsiaTheme="majorEastAsia" w:cstheme="majorEastAsia"/>
          <w:bCs/>
          <w:snapToGrid w:val="0"/>
          <w:color w:val="auto"/>
          <w:szCs w:val="21"/>
          <w:highlight w:val="none"/>
        </w:rPr>
        <w:t>7</w:t>
      </w:r>
      <w:bookmarkStart w:id="292" w:name="_Toc296503075"/>
      <w:bookmarkStart w:id="293" w:name="_Toc337558774"/>
      <w:bookmarkStart w:id="294" w:name="_Toc296346576"/>
      <w:r>
        <w:rPr>
          <w:rFonts w:hint="eastAsia" w:asciiTheme="majorEastAsia" w:hAnsiTheme="majorEastAsia" w:eastAsiaTheme="majorEastAsia" w:cstheme="majorEastAsia"/>
          <w:bCs/>
          <w:snapToGrid w:val="0"/>
          <w:color w:val="auto"/>
          <w:szCs w:val="21"/>
          <w:highlight w:val="none"/>
        </w:rPr>
        <w:t>.7 异常恶劣的气候条件</w:t>
      </w:r>
      <w:bookmarkEnd w:id="291"/>
    </w:p>
    <w:bookmarkEnd w:id="292"/>
    <w:bookmarkEnd w:id="293"/>
    <w:bookmarkEnd w:id="294"/>
    <w:p w14:paraId="37EA5C3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0E30DF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95" w:name="_Toc351203550"/>
    </w:p>
    <w:p w14:paraId="4B98582A">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bCs/>
          <w:snapToGrid w:val="0"/>
          <w:color w:val="auto"/>
          <w:kern w:val="0"/>
          <w:szCs w:val="21"/>
          <w:highlight w:val="none"/>
        </w:rPr>
      </w:pPr>
      <w:r>
        <w:rPr>
          <w:rFonts w:hint="eastAsia" w:asciiTheme="majorEastAsia" w:hAnsiTheme="majorEastAsia" w:eastAsiaTheme="majorEastAsia" w:cstheme="majorEastAsia"/>
          <w:bCs/>
          <w:snapToGrid w:val="0"/>
          <w:color w:val="auto"/>
          <w:kern w:val="0"/>
          <w:szCs w:val="21"/>
          <w:highlight w:val="none"/>
        </w:rPr>
        <w:t>7</w:t>
      </w:r>
      <w:bookmarkStart w:id="296" w:name="_Toc337558775"/>
      <w:r>
        <w:rPr>
          <w:rFonts w:hint="eastAsia" w:asciiTheme="majorEastAsia" w:hAnsiTheme="majorEastAsia" w:eastAsiaTheme="majorEastAsia" w:cstheme="majorEastAsia"/>
          <w:bCs/>
          <w:snapToGrid w:val="0"/>
          <w:color w:val="auto"/>
          <w:kern w:val="0"/>
          <w:szCs w:val="21"/>
          <w:highlight w:val="none"/>
        </w:rPr>
        <w:t>.8 暂停施工</w:t>
      </w:r>
      <w:bookmarkEnd w:id="295"/>
    </w:p>
    <w:bookmarkEnd w:id="289"/>
    <w:bookmarkEnd w:id="290"/>
    <w:bookmarkEnd w:id="296"/>
    <w:p w14:paraId="3DDD072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7.8.1发包人原因引起的暂停施工</w:t>
      </w:r>
    </w:p>
    <w:p w14:paraId="75935F4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6D81AD6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因发包人原因引起的暂停施工，发包人应承担由此增加的费用和（或）延误的工期，并支付承包人合理的利润。</w:t>
      </w:r>
    </w:p>
    <w:p w14:paraId="64A33A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7.8.2 承包人原因引起的暂停施工</w:t>
      </w:r>
    </w:p>
    <w:p w14:paraId="1FE2219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9B66E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7.8.3 指示暂停施工</w:t>
      </w:r>
    </w:p>
    <w:p w14:paraId="0B73EAB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监理人认为有必要时，并经发包人批准后，可向承包人作出暂停施工的指示，承包人应按监理人指示暂停施工。</w:t>
      </w:r>
    </w:p>
    <w:p w14:paraId="37BA359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7.8.4 紧急情况下的暂停施工</w:t>
      </w:r>
    </w:p>
    <w:p w14:paraId="04717B1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A9B415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7.8.5 暂停施工后的复工</w:t>
      </w:r>
    </w:p>
    <w:p w14:paraId="5E7D6D8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F32CDA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160337C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7.8.6 暂停施工持续56天以上</w:t>
      </w:r>
    </w:p>
    <w:p w14:paraId="0D6F0037">
      <w:pPr>
        <w:widowControl/>
        <w:kinsoku w:val="0"/>
        <w:autoSpaceDE w:val="0"/>
        <w:autoSpaceDN w:val="0"/>
        <w:adjustRightInd w:val="0"/>
        <w:snapToGrid w:val="0"/>
        <w:spacing w:line="360" w:lineRule="auto"/>
        <w:ind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F23D666">
      <w:pPr>
        <w:widowControl/>
        <w:kinsoku w:val="0"/>
        <w:autoSpaceDE w:val="0"/>
        <w:autoSpaceDN w:val="0"/>
        <w:adjustRightInd w:val="0"/>
        <w:snapToGrid w:val="0"/>
        <w:spacing w:line="360" w:lineRule="auto"/>
        <w:ind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C61D1E9">
      <w:pPr>
        <w:widowControl/>
        <w:kinsoku w:val="0"/>
        <w:autoSpaceDE w:val="0"/>
        <w:autoSpaceDN w:val="0"/>
        <w:adjustRightInd w:val="0"/>
        <w:snapToGrid w:val="0"/>
        <w:spacing w:line="360" w:lineRule="auto"/>
        <w:ind w:left="16" w:firstLine="409" w:firstLineChars="195"/>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7.8.7 暂停施工期间的工程照管</w:t>
      </w:r>
    </w:p>
    <w:p w14:paraId="75A19C4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暂停施工期间，承包人应负责妥善照管工程并提供安全保障，由此增加的费用由责任方承担。</w:t>
      </w:r>
    </w:p>
    <w:p w14:paraId="2F2E084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7.8.8 暂停施工的措施</w:t>
      </w:r>
    </w:p>
    <w:p w14:paraId="2288249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暂停施工期间，发包人和承包人均应采取必要的措施确保工程质量及安全，防止因暂停施工扩大损失。</w:t>
      </w:r>
    </w:p>
    <w:p w14:paraId="4E0E73F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297" w:name="_Toc351203551"/>
      <w:r>
        <w:rPr>
          <w:rFonts w:hint="eastAsia" w:asciiTheme="majorEastAsia" w:hAnsiTheme="majorEastAsia" w:eastAsiaTheme="majorEastAsia" w:cstheme="majorEastAsia"/>
          <w:bCs/>
          <w:snapToGrid w:val="0"/>
          <w:color w:val="auto"/>
          <w:szCs w:val="21"/>
          <w:highlight w:val="none"/>
        </w:rPr>
        <w:t>7.9提前竣工</w:t>
      </w:r>
      <w:bookmarkEnd w:id="297"/>
    </w:p>
    <w:p w14:paraId="2C2BE3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75CF34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7.9.2 发包人要求承包人提前竣工，或承包人提出提前竣工的建议能够给发包人带来效益的，合同当事人可以在专用合同条款中约定提前竣工的奖励。</w:t>
      </w:r>
    </w:p>
    <w:p w14:paraId="53D63F9A">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298" w:name="_Toc351203552"/>
      <w:r>
        <w:rPr>
          <w:rFonts w:hint="eastAsia" w:asciiTheme="majorEastAsia" w:hAnsiTheme="majorEastAsia" w:eastAsiaTheme="majorEastAsia" w:cstheme="majorEastAsia"/>
          <w:bCs/>
          <w:snapToGrid w:val="0"/>
          <w:color w:val="auto"/>
          <w:szCs w:val="21"/>
          <w:highlight w:val="none"/>
        </w:rPr>
        <w:t>8</w:t>
      </w:r>
      <w:bookmarkStart w:id="299" w:name="_Toc296346559"/>
      <w:bookmarkStart w:id="300" w:name="_Toc337558776"/>
      <w:bookmarkStart w:id="301" w:name="_Toc296503058"/>
      <w:r>
        <w:rPr>
          <w:rFonts w:hint="eastAsia" w:asciiTheme="majorEastAsia" w:hAnsiTheme="majorEastAsia" w:eastAsiaTheme="majorEastAsia" w:cstheme="majorEastAsia"/>
          <w:bCs/>
          <w:snapToGrid w:val="0"/>
          <w:color w:val="auto"/>
          <w:szCs w:val="21"/>
          <w:highlight w:val="none"/>
        </w:rPr>
        <w:t>. 材料与设备</w:t>
      </w:r>
      <w:bookmarkEnd w:id="298"/>
    </w:p>
    <w:bookmarkEnd w:id="299"/>
    <w:bookmarkEnd w:id="300"/>
    <w:bookmarkEnd w:id="301"/>
    <w:p w14:paraId="7CFBAC0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02" w:name="_Toc351203553"/>
      <w:r>
        <w:rPr>
          <w:rFonts w:hint="eastAsia" w:asciiTheme="majorEastAsia" w:hAnsiTheme="majorEastAsia" w:eastAsiaTheme="majorEastAsia" w:cstheme="majorEastAsia"/>
          <w:bCs/>
          <w:snapToGrid w:val="0"/>
          <w:color w:val="auto"/>
          <w:szCs w:val="21"/>
          <w:highlight w:val="none"/>
        </w:rPr>
        <w:t>8</w:t>
      </w:r>
      <w:bookmarkStart w:id="303" w:name="_Toc296346560"/>
      <w:bookmarkStart w:id="304" w:name="_Toc296503059"/>
      <w:bookmarkStart w:id="305" w:name="_Toc337558777"/>
      <w:bookmarkStart w:id="306" w:name="_Toc468936960"/>
      <w:r>
        <w:rPr>
          <w:rFonts w:hint="eastAsia" w:asciiTheme="majorEastAsia" w:hAnsiTheme="majorEastAsia" w:eastAsiaTheme="majorEastAsia" w:cstheme="majorEastAsia"/>
          <w:bCs/>
          <w:snapToGrid w:val="0"/>
          <w:color w:val="auto"/>
          <w:szCs w:val="21"/>
          <w:highlight w:val="none"/>
        </w:rPr>
        <w:t>.1发包人供应材料与工程设备</w:t>
      </w:r>
      <w:bookmarkEnd w:id="302"/>
    </w:p>
    <w:bookmarkEnd w:id="303"/>
    <w:bookmarkEnd w:id="304"/>
    <w:bookmarkEnd w:id="305"/>
    <w:p w14:paraId="0FEA033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59B95CD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D49295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
          <w:bCs/>
          <w:snapToGrid w:val="0"/>
          <w:color w:val="auto"/>
          <w:szCs w:val="21"/>
          <w:highlight w:val="none"/>
        </w:rPr>
      </w:pPr>
      <w:bookmarkStart w:id="307" w:name="_Toc351203554"/>
      <w:r>
        <w:rPr>
          <w:rFonts w:hint="eastAsia" w:asciiTheme="majorEastAsia" w:hAnsiTheme="majorEastAsia" w:eastAsiaTheme="majorEastAsia" w:cstheme="majorEastAsia"/>
          <w:bCs/>
          <w:snapToGrid w:val="0"/>
          <w:color w:val="auto"/>
          <w:szCs w:val="21"/>
          <w:highlight w:val="none"/>
        </w:rPr>
        <w:t>8</w:t>
      </w:r>
      <w:bookmarkStart w:id="308" w:name="_Toc296503060"/>
      <w:bookmarkStart w:id="309" w:name="_Toc296346561"/>
      <w:bookmarkStart w:id="310" w:name="_Toc337558778"/>
      <w:r>
        <w:rPr>
          <w:rFonts w:hint="eastAsia" w:asciiTheme="majorEastAsia" w:hAnsiTheme="majorEastAsia" w:eastAsiaTheme="majorEastAsia" w:cstheme="majorEastAsia"/>
          <w:bCs/>
          <w:snapToGrid w:val="0"/>
          <w:color w:val="auto"/>
          <w:szCs w:val="21"/>
          <w:highlight w:val="none"/>
        </w:rPr>
        <w:t>.2承包人采购材料与工程设备</w:t>
      </w:r>
      <w:bookmarkEnd w:id="307"/>
    </w:p>
    <w:bookmarkEnd w:id="308"/>
    <w:bookmarkEnd w:id="309"/>
    <w:bookmarkEnd w:id="310"/>
    <w:p w14:paraId="75F2378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6A9375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11" w:name="_Toc351203555"/>
      <w:r>
        <w:rPr>
          <w:rFonts w:hint="eastAsia" w:asciiTheme="majorEastAsia" w:hAnsiTheme="majorEastAsia" w:eastAsiaTheme="majorEastAsia" w:cstheme="majorEastAsia"/>
          <w:bCs/>
          <w:snapToGrid w:val="0"/>
          <w:color w:val="auto"/>
          <w:szCs w:val="21"/>
          <w:highlight w:val="none"/>
        </w:rPr>
        <w:t>8</w:t>
      </w:r>
      <w:bookmarkStart w:id="312" w:name="_Toc296503061"/>
      <w:bookmarkStart w:id="313" w:name="_Toc337558779"/>
      <w:bookmarkStart w:id="314" w:name="_Toc296346562"/>
      <w:r>
        <w:rPr>
          <w:rFonts w:hint="eastAsia" w:asciiTheme="majorEastAsia" w:hAnsiTheme="majorEastAsia" w:eastAsiaTheme="majorEastAsia" w:cstheme="majorEastAsia"/>
          <w:bCs/>
          <w:snapToGrid w:val="0"/>
          <w:color w:val="auto"/>
          <w:szCs w:val="21"/>
          <w:highlight w:val="none"/>
        </w:rPr>
        <w:t>.3材料与工程设备的接收与拒收</w:t>
      </w:r>
      <w:bookmarkEnd w:id="311"/>
    </w:p>
    <w:bookmarkEnd w:id="312"/>
    <w:bookmarkEnd w:id="313"/>
    <w:bookmarkEnd w:id="314"/>
    <w:p w14:paraId="0BAB4F0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F3560A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1508113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8.3.2 承包人采购的材料和工程设备，应保证产品质量合格，承包人应在材料和工程设备到货前24小时通知监理人检验。承</w:t>
      </w:r>
      <w:bookmarkStart w:id="315" w:name="_Toc250655469"/>
      <w:r>
        <w:rPr>
          <w:rFonts w:hint="eastAsia" w:asciiTheme="majorEastAsia" w:hAnsiTheme="majorEastAsia" w:eastAsiaTheme="majorEastAsia" w:cstheme="majorEastAsia"/>
          <w:snapToGrid w:val="0"/>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315"/>
    <w:p w14:paraId="17E2FC1A">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00DB9F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16" w:name="_Toc351203556"/>
      <w:r>
        <w:rPr>
          <w:rFonts w:hint="eastAsia" w:asciiTheme="majorEastAsia" w:hAnsiTheme="majorEastAsia" w:eastAsiaTheme="majorEastAsia" w:cstheme="majorEastAsia"/>
          <w:bCs/>
          <w:snapToGrid w:val="0"/>
          <w:color w:val="auto"/>
          <w:szCs w:val="21"/>
          <w:highlight w:val="none"/>
        </w:rPr>
        <w:t>8</w:t>
      </w:r>
      <w:bookmarkStart w:id="317" w:name="_Toc296346563"/>
      <w:bookmarkStart w:id="318" w:name="_Toc337558780"/>
      <w:bookmarkStart w:id="319" w:name="_Toc296503062"/>
      <w:r>
        <w:rPr>
          <w:rFonts w:hint="eastAsia" w:asciiTheme="majorEastAsia" w:hAnsiTheme="majorEastAsia" w:eastAsiaTheme="majorEastAsia" w:cstheme="majorEastAsia"/>
          <w:bCs/>
          <w:snapToGrid w:val="0"/>
          <w:color w:val="auto"/>
          <w:szCs w:val="21"/>
          <w:highlight w:val="none"/>
        </w:rPr>
        <w:t>.4材料与工程设备的保管与使用</w:t>
      </w:r>
      <w:bookmarkEnd w:id="316"/>
    </w:p>
    <w:bookmarkEnd w:id="317"/>
    <w:bookmarkEnd w:id="318"/>
    <w:bookmarkEnd w:id="319"/>
    <w:p w14:paraId="223AE1D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8.4.1 发包人供应材料与工程设备的保管与使用</w:t>
      </w:r>
    </w:p>
    <w:p w14:paraId="45E369E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39497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发包人供应的材料和工程设备使用前，由承包人负责检验，检验费用由发包人承担，不合格的不得使用。</w:t>
      </w:r>
    </w:p>
    <w:p w14:paraId="5670A79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8.4.2 承包人采购材料与工程设备的保管与使用</w:t>
      </w:r>
    </w:p>
    <w:p w14:paraId="0DA93B1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B9E16A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54FDCDD4">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20" w:name="_Toc351203557"/>
      <w:r>
        <w:rPr>
          <w:rFonts w:hint="eastAsia" w:asciiTheme="majorEastAsia" w:hAnsiTheme="majorEastAsia" w:eastAsiaTheme="majorEastAsia" w:cstheme="majorEastAsia"/>
          <w:bCs/>
          <w:snapToGrid w:val="0"/>
          <w:color w:val="auto"/>
          <w:szCs w:val="21"/>
          <w:highlight w:val="none"/>
        </w:rPr>
        <w:t>8.5禁止使用不合格的材料和工程设备</w:t>
      </w:r>
      <w:bookmarkEnd w:id="320"/>
    </w:p>
    <w:p w14:paraId="185F91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331CC5B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8.5.2 监理人发现承包人使用了不合格的材料和工程设备，承包人应按照监理人的指示立即改正，并禁止在工程中继续使用不合格的材料和工程设备。</w:t>
      </w:r>
    </w:p>
    <w:p w14:paraId="2ED7D0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31DE23A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21" w:name="_Toc351203558"/>
      <w:r>
        <w:rPr>
          <w:rFonts w:hint="eastAsia" w:asciiTheme="majorEastAsia" w:hAnsiTheme="majorEastAsia" w:eastAsiaTheme="majorEastAsia" w:cstheme="majorEastAsia"/>
          <w:bCs/>
          <w:snapToGrid w:val="0"/>
          <w:color w:val="auto"/>
          <w:szCs w:val="21"/>
          <w:highlight w:val="none"/>
        </w:rPr>
        <w:t>8.6 样品</w:t>
      </w:r>
      <w:bookmarkEnd w:id="321"/>
    </w:p>
    <w:p w14:paraId="680B5AC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8.6.1</w:t>
      </w:r>
      <w:r>
        <w:rPr>
          <w:rFonts w:hint="eastAsia" w:asciiTheme="majorEastAsia" w:hAnsiTheme="majorEastAsia" w:eastAsiaTheme="majorEastAsia" w:cstheme="majorEastAsia"/>
          <w:snapToGrid w:val="0"/>
          <w:color w:val="auto"/>
          <w:kern w:val="0"/>
          <w:szCs w:val="21"/>
          <w:highlight w:val="none"/>
        </w:rPr>
        <w:tab/>
      </w:r>
      <w:r>
        <w:rPr>
          <w:rFonts w:hint="eastAsia" w:asciiTheme="majorEastAsia" w:hAnsiTheme="majorEastAsia" w:eastAsiaTheme="majorEastAsia" w:cstheme="majorEastAsia"/>
          <w:snapToGrid w:val="0"/>
          <w:color w:val="auto"/>
          <w:kern w:val="0"/>
          <w:szCs w:val="21"/>
          <w:highlight w:val="none"/>
        </w:rPr>
        <w:t>样品的报送与封存</w:t>
      </w:r>
    </w:p>
    <w:p w14:paraId="7F26C7C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需要承包人报送样品的材料或工程设备，样品的种类、名称、规格、数量等要求均应在专用合同条款中约定。样品的报送程序如下：</w:t>
      </w:r>
    </w:p>
    <w:p w14:paraId="56D8F51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D13BC2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8CB140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109831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E44D01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8.6.2 样品的保管</w:t>
      </w:r>
    </w:p>
    <w:p w14:paraId="777A858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经批准的样品应由监理人负责封存于现场，承包人应在现场为保存样品提供适当和固定的场所并保持适当和良好的存储环境条件。</w:t>
      </w:r>
    </w:p>
    <w:p w14:paraId="476B2C0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22" w:name="_Toc351203559"/>
      <w:r>
        <w:rPr>
          <w:rFonts w:hint="eastAsia" w:asciiTheme="majorEastAsia" w:hAnsiTheme="majorEastAsia" w:eastAsiaTheme="majorEastAsia" w:cstheme="majorEastAsia"/>
          <w:bCs/>
          <w:snapToGrid w:val="0"/>
          <w:color w:val="auto"/>
          <w:szCs w:val="21"/>
          <w:highlight w:val="none"/>
        </w:rPr>
        <w:t>8.7材料与工程设备的替代</w:t>
      </w:r>
      <w:bookmarkEnd w:id="322"/>
    </w:p>
    <w:p w14:paraId="488D15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8.7.1 出现下列情况需要使用替代材料和工程设备的，承包人应按照第8.7.2项约定的程序执行：</w:t>
      </w:r>
    </w:p>
    <w:p w14:paraId="743856D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（1）基准日期后生效的法律规定禁止使用的；</w:t>
      </w:r>
    </w:p>
    <w:p w14:paraId="61040BF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（2）发包人要求使用替代品的；</w:t>
      </w:r>
    </w:p>
    <w:p w14:paraId="1B07995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（3）因其他原因必须使用替代品的。</w:t>
      </w:r>
    </w:p>
    <w:p w14:paraId="0F76A78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8.7.2 承包人应在使用替代材料和工程设备28天前书面通知监理人，并附下列文件：</w:t>
      </w:r>
    </w:p>
    <w:p w14:paraId="7D963D1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（1）被替代的材料和工程设备的名称、数量、规格、型号、品牌、性能、价格及其他相关资料；</w:t>
      </w:r>
    </w:p>
    <w:p w14:paraId="2772A6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（2）替代品的名称、数量、规格、型号、品牌、性能、价格及其他相关资料；</w:t>
      </w:r>
    </w:p>
    <w:p w14:paraId="2FE5E38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（3）替代品与被替代产品之间的差异以及使用替代品可能对工程产生的影响；</w:t>
      </w:r>
    </w:p>
    <w:p w14:paraId="7A2C5DB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（4）替代品与被替代产品的价格差异；</w:t>
      </w:r>
    </w:p>
    <w:p w14:paraId="629022E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（5）使用替代品的理由和原因说明；</w:t>
      </w:r>
    </w:p>
    <w:p w14:paraId="4EA9A39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（6）监理人要求的其他文件。</w:t>
      </w:r>
    </w:p>
    <w:p w14:paraId="2657F82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监理人应在收到通知后14天内向承包人发出经发包人签认的书面指示；监理人逾期发出书面指示的，视为发包人和监理人同意使用替代品。</w:t>
      </w:r>
    </w:p>
    <w:p w14:paraId="4D1BBEC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F54CED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23" w:name="_Toc351203560"/>
      <w:r>
        <w:rPr>
          <w:rFonts w:hint="eastAsia" w:asciiTheme="majorEastAsia" w:hAnsiTheme="majorEastAsia" w:eastAsiaTheme="majorEastAsia" w:cstheme="majorEastAsia"/>
          <w:bCs/>
          <w:snapToGrid w:val="0"/>
          <w:color w:val="auto"/>
          <w:szCs w:val="21"/>
          <w:highlight w:val="none"/>
        </w:rPr>
        <w:t>8.8施工设备和临时设施</w:t>
      </w:r>
      <w:bookmarkEnd w:id="323"/>
    </w:p>
    <w:p w14:paraId="710ADDE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8.8.1 承包人提供的施工设备和临时设施</w:t>
      </w:r>
    </w:p>
    <w:p w14:paraId="4A91DDF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43D97B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除专用合同条款另有约定外，承包人应自行承担修建临时设施的费用，需要临时占地的，应由发包人办理申请手续并承担相应费用。</w:t>
      </w:r>
    </w:p>
    <w:p w14:paraId="436E529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8.8.2发包人提供的施工设备和临时设施</w:t>
      </w:r>
    </w:p>
    <w:p w14:paraId="78BDF15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发包人提供的施工设备或临时设施在专用合同条款中约定。</w:t>
      </w:r>
    </w:p>
    <w:p w14:paraId="2F98A3D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8.8.3要求承包人增加或更换施工设备</w:t>
      </w:r>
    </w:p>
    <w:p w14:paraId="2B81A15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DA29C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24" w:name="_Toc351203561"/>
      <w:r>
        <w:rPr>
          <w:rFonts w:hint="eastAsia" w:asciiTheme="majorEastAsia" w:hAnsiTheme="majorEastAsia" w:eastAsiaTheme="majorEastAsia" w:cstheme="majorEastAsia"/>
          <w:bCs/>
          <w:snapToGrid w:val="0"/>
          <w:color w:val="auto"/>
          <w:szCs w:val="21"/>
          <w:highlight w:val="none"/>
        </w:rPr>
        <w:t>8</w:t>
      </w:r>
      <w:bookmarkStart w:id="325" w:name="_Toc296503063"/>
      <w:bookmarkStart w:id="326" w:name="_Toc296346564"/>
      <w:bookmarkStart w:id="327" w:name="_Toc337558781"/>
      <w:r>
        <w:rPr>
          <w:rFonts w:hint="eastAsia" w:asciiTheme="majorEastAsia" w:hAnsiTheme="majorEastAsia" w:eastAsiaTheme="majorEastAsia" w:cstheme="majorEastAsia"/>
          <w:bCs/>
          <w:snapToGrid w:val="0"/>
          <w:color w:val="auto"/>
          <w:szCs w:val="21"/>
          <w:highlight w:val="none"/>
        </w:rPr>
        <w:t>.9材料与设备专用</w:t>
      </w:r>
      <w:bookmarkEnd w:id="324"/>
      <w:r>
        <w:rPr>
          <w:rFonts w:hint="eastAsia" w:asciiTheme="majorEastAsia" w:hAnsiTheme="majorEastAsia" w:eastAsiaTheme="majorEastAsia" w:cstheme="majorEastAsia"/>
          <w:bCs/>
          <w:snapToGrid w:val="0"/>
          <w:color w:val="auto"/>
          <w:szCs w:val="21"/>
          <w:highlight w:val="none"/>
        </w:rPr>
        <w:t>要求</w:t>
      </w:r>
    </w:p>
    <w:bookmarkEnd w:id="325"/>
    <w:bookmarkEnd w:id="326"/>
    <w:bookmarkEnd w:id="327"/>
    <w:p w14:paraId="6541BE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06"/>
      <w:r>
        <w:rPr>
          <w:rFonts w:hint="eastAsia" w:asciiTheme="majorEastAsia" w:hAnsiTheme="majorEastAsia" w:eastAsiaTheme="majorEastAsia" w:cstheme="majorEastAsia"/>
          <w:snapToGrid w:val="0"/>
          <w:color w:val="auto"/>
          <w:kern w:val="0"/>
          <w:szCs w:val="21"/>
          <w:highlight w:val="none"/>
        </w:rPr>
        <w:t>经发包人批准，承包人可以根据施工进度计划撤走闲置的施工设备和其他物品。</w:t>
      </w:r>
    </w:p>
    <w:p w14:paraId="5CC972CF">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328" w:name="_Toc351203562"/>
      <w:r>
        <w:rPr>
          <w:rFonts w:hint="eastAsia" w:asciiTheme="majorEastAsia" w:hAnsiTheme="majorEastAsia" w:eastAsiaTheme="majorEastAsia" w:cstheme="majorEastAsia"/>
          <w:bCs/>
          <w:snapToGrid w:val="0"/>
          <w:color w:val="auto"/>
          <w:szCs w:val="21"/>
          <w:highlight w:val="none"/>
        </w:rPr>
        <w:t>9</w:t>
      </w:r>
      <w:bookmarkStart w:id="329" w:name="_Toc337558782"/>
      <w:bookmarkStart w:id="330" w:name="_Toc296346584"/>
      <w:bookmarkStart w:id="331" w:name="_Toc296503083"/>
      <w:r>
        <w:rPr>
          <w:rFonts w:hint="eastAsia" w:asciiTheme="majorEastAsia" w:hAnsiTheme="majorEastAsia" w:eastAsiaTheme="majorEastAsia" w:cstheme="majorEastAsia"/>
          <w:bCs/>
          <w:snapToGrid w:val="0"/>
          <w:color w:val="auto"/>
          <w:szCs w:val="21"/>
          <w:highlight w:val="none"/>
        </w:rPr>
        <w:t>. 试验与检验</w:t>
      </w:r>
      <w:bookmarkEnd w:id="328"/>
    </w:p>
    <w:bookmarkEnd w:id="329"/>
    <w:p w14:paraId="0830CFF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32" w:name="_Toc351203563"/>
      <w:r>
        <w:rPr>
          <w:rFonts w:hint="eastAsia" w:asciiTheme="majorEastAsia" w:hAnsiTheme="majorEastAsia" w:eastAsiaTheme="majorEastAsia" w:cstheme="majorEastAsia"/>
          <w:bCs/>
          <w:snapToGrid w:val="0"/>
          <w:color w:val="auto"/>
          <w:szCs w:val="21"/>
          <w:highlight w:val="none"/>
        </w:rPr>
        <w:t>9</w:t>
      </w:r>
      <w:bookmarkStart w:id="333" w:name="_Toc337558783"/>
      <w:r>
        <w:rPr>
          <w:rFonts w:hint="eastAsia" w:asciiTheme="majorEastAsia" w:hAnsiTheme="majorEastAsia" w:eastAsiaTheme="majorEastAsia" w:cstheme="majorEastAsia"/>
          <w:bCs/>
          <w:snapToGrid w:val="0"/>
          <w:color w:val="auto"/>
          <w:szCs w:val="21"/>
          <w:highlight w:val="none"/>
        </w:rPr>
        <w:t>.1试验设备与试验人员</w:t>
      </w:r>
      <w:bookmarkEnd w:id="332"/>
    </w:p>
    <w:bookmarkEnd w:id="333"/>
    <w:p w14:paraId="223E481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5A8ABE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9.1.2 承包人应按专用合同条款的约定提供试验设备、取样装置、试验场所和试验条件，并向监理人提交相应进场计划表。</w:t>
      </w:r>
    </w:p>
    <w:p w14:paraId="19D34DA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承包人配置的试验设备要符合相应试验规程的要求并经过具有资质的检测单位检测，且在正式使用该试验设备前，需要经过监理人与承包人共同校定。</w:t>
      </w:r>
    </w:p>
    <w:p w14:paraId="5D54246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6092AEA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34" w:name="_Toc351203564"/>
      <w:r>
        <w:rPr>
          <w:rFonts w:hint="eastAsia" w:asciiTheme="majorEastAsia" w:hAnsiTheme="majorEastAsia" w:eastAsiaTheme="majorEastAsia" w:cstheme="majorEastAsia"/>
          <w:bCs/>
          <w:snapToGrid w:val="0"/>
          <w:color w:val="auto"/>
          <w:szCs w:val="21"/>
          <w:highlight w:val="none"/>
        </w:rPr>
        <w:t>9</w:t>
      </w:r>
      <w:bookmarkStart w:id="335" w:name="_Toc337558784"/>
      <w:r>
        <w:rPr>
          <w:rFonts w:hint="eastAsia" w:asciiTheme="majorEastAsia" w:hAnsiTheme="majorEastAsia" w:eastAsiaTheme="majorEastAsia" w:cstheme="majorEastAsia"/>
          <w:bCs/>
          <w:snapToGrid w:val="0"/>
          <w:color w:val="auto"/>
          <w:szCs w:val="21"/>
          <w:highlight w:val="none"/>
        </w:rPr>
        <w:t>.2取样</w:t>
      </w:r>
      <w:bookmarkEnd w:id="334"/>
    </w:p>
    <w:bookmarkEnd w:id="335"/>
    <w:p w14:paraId="34252D8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试验属于自检性质的，承包人可以单独取样。试验属于监理人抽检性质的，可由监理人取样，也可由承包人的试验人员在监理人的监督下取样。</w:t>
      </w:r>
    </w:p>
    <w:p w14:paraId="65782ED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36" w:name="_Toc351203565"/>
      <w:r>
        <w:rPr>
          <w:rFonts w:hint="eastAsia" w:asciiTheme="majorEastAsia" w:hAnsiTheme="majorEastAsia" w:eastAsiaTheme="majorEastAsia" w:cstheme="majorEastAsia"/>
          <w:bCs/>
          <w:snapToGrid w:val="0"/>
          <w:color w:val="auto"/>
          <w:szCs w:val="21"/>
          <w:highlight w:val="none"/>
        </w:rPr>
        <w:t>9</w:t>
      </w:r>
      <w:bookmarkStart w:id="337" w:name="_Toc337558785"/>
      <w:r>
        <w:rPr>
          <w:rFonts w:hint="eastAsia" w:asciiTheme="majorEastAsia" w:hAnsiTheme="majorEastAsia" w:eastAsiaTheme="majorEastAsia" w:cstheme="majorEastAsia"/>
          <w:bCs/>
          <w:snapToGrid w:val="0"/>
          <w:color w:val="auto"/>
          <w:szCs w:val="21"/>
          <w:highlight w:val="none"/>
        </w:rPr>
        <w:t>.3材料、工程设备和工程的试验和检验</w:t>
      </w:r>
      <w:bookmarkEnd w:id="336"/>
    </w:p>
    <w:bookmarkEnd w:id="337"/>
    <w:p w14:paraId="3D84C06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B64747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DEB6FE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355165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38" w:name="_Toc351203566"/>
      <w:r>
        <w:rPr>
          <w:rFonts w:hint="eastAsia" w:asciiTheme="majorEastAsia" w:hAnsiTheme="majorEastAsia" w:eastAsiaTheme="majorEastAsia" w:cstheme="majorEastAsia"/>
          <w:bCs/>
          <w:snapToGrid w:val="0"/>
          <w:color w:val="auto"/>
          <w:szCs w:val="21"/>
          <w:highlight w:val="none"/>
        </w:rPr>
        <w:t>9</w:t>
      </w:r>
      <w:bookmarkStart w:id="339" w:name="_Toc337558786"/>
      <w:r>
        <w:rPr>
          <w:rFonts w:hint="eastAsia" w:asciiTheme="majorEastAsia" w:hAnsiTheme="majorEastAsia" w:eastAsiaTheme="majorEastAsia" w:cstheme="majorEastAsia"/>
          <w:bCs/>
          <w:snapToGrid w:val="0"/>
          <w:color w:val="auto"/>
          <w:szCs w:val="21"/>
          <w:highlight w:val="none"/>
        </w:rPr>
        <w:t>.4现场工艺试验</w:t>
      </w:r>
      <w:bookmarkEnd w:id="338"/>
    </w:p>
    <w:bookmarkEnd w:id="339"/>
    <w:p w14:paraId="1BC48E5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11DBDA0">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340" w:name="_Toc351203567"/>
      <w:r>
        <w:rPr>
          <w:rFonts w:hint="eastAsia" w:asciiTheme="majorEastAsia" w:hAnsiTheme="majorEastAsia" w:eastAsiaTheme="majorEastAsia" w:cstheme="majorEastAsia"/>
          <w:bCs/>
          <w:snapToGrid w:val="0"/>
          <w:color w:val="auto"/>
          <w:szCs w:val="21"/>
          <w:highlight w:val="none"/>
        </w:rPr>
        <w:t>1</w:t>
      </w:r>
      <w:bookmarkStart w:id="341" w:name="_Toc337558787"/>
      <w:r>
        <w:rPr>
          <w:rFonts w:hint="eastAsia" w:asciiTheme="majorEastAsia" w:hAnsiTheme="majorEastAsia" w:eastAsiaTheme="majorEastAsia" w:cstheme="majorEastAsia"/>
          <w:bCs/>
          <w:snapToGrid w:val="0"/>
          <w:color w:val="auto"/>
          <w:szCs w:val="21"/>
          <w:highlight w:val="none"/>
        </w:rPr>
        <w:t>0. 变更</w:t>
      </w:r>
      <w:bookmarkEnd w:id="330"/>
      <w:bookmarkEnd w:id="331"/>
      <w:bookmarkEnd w:id="340"/>
    </w:p>
    <w:bookmarkEnd w:id="341"/>
    <w:p w14:paraId="4EDE572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42" w:name="_Toc351203568"/>
      <w:r>
        <w:rPr>
          <w:rFonts w:hint="eastAsia" w:asciiTheme="majorEastAsia" w:hAnsiTheme="majorEastAsia" w:eastAsiaTheme="majorEastAsia" w:cstheme="majorEastAsia"/>
          <w:bCs/>
          <w:snapToGrid w:val="0"/>
          <w:color w:val="auto"/>
          <w:szCs w:val="21"/>
          <w:highlight w:val="none"/>
        </w:rPr>
        <w:t>1</w:t>
      </w:r>
      <w:bookmarkStart w:id="343" w:name="_Toc337558788"/>
      <w:bookmarkStart w:id="344" w:name="_Toc296346585"/>
      <w:bookmarkStart w:id="345" w:name="_Toc296503084"/>
      <w:r>
        <w:rPr>
          <w:rFonts w:hint="eastAsia" w:asciiTheme="majorEastAsia" w:hAnsiTheme="majorEastAsia" w:eastAsiaTheme="majorEastAsia" w:cstheme="majorEastAsia"/>
          <w:bCs/>
          <w:snapToGrid w:val="0"/>
          <w:color w:val="auto"/>
          <w:szCs w:val="21"/>
          <w:highlight w:val="none"/>
        </w:rPr>
        <w:t>0.1变更的范围</w:t>
      </w:r>
      <w:bookmarkEnd w:id="342"/>
    </w:p>
    <w:bookmarkEnd w:id="343"/>
    <w:bookmarkEnd w:id="344"/>
    <w:bookmarkEnd w:id="345"/>
    <w:p w14:paraId="218FB94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除专用合同条款另有约定外，合同履行过程中发生以下情形的，应按照本条约定进行变更：</w:t>
      </w:r>
    </w:p>
    <w:p w14:paraId="15BE726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（1）增加或减少合同中任何工作，或追加额外的工作；</w:t>
      </w:r>
    </w:p>
    <w:p w14:paraId="76383A1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（2）取消合同中任何工作，但转由他人实施的工作除外；</w:t>
      </w:r>
    </w:p>
    <w:p w14:paraId="5EAC74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（3）改变合同中任何工作的质量标准或其他特性；</w:t>
      </w:r>
    </w:p>
    <w:p w14:paraId="22A246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（4）改变工程的基线、标高、位置和尺寸；</w:t>
      </w:r>
    </w:p>
    <w:p w14:paraId="36D82AC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（5）改变工程的时间安排或实施顺序。</w:t>
      </w:r>
    </w:p>
    <w:p w14:paraId="6D1972C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46" w:name="_Toc351203569"/>
      <w:r>
        <w:rPr>
          <w:rFonts w:hint="eastAsia" w:asciiTheme="majorEastAsia" w:hAnsiTheme="majorEastAsia" w:eastAsiaTheme="majorEastAsia" w:cstheme="majorEastAsia"/>
          <w:bCs/>
          <w:snapToGrid w:val="0"/>
          <w:color w:val="auto"/>
          <w:szCs w:val="21"/>
          <w:highlight w:val="none"/>
        </w:rPr>
        <w:t>1</w:t>
      </w:r>
      <w:bookmarkStart w:id="347" w:name="_Toc337558789"/>
      <w:bookmarkStart w:id="348" w:name="_Toc296503085"/>
      <w:bookmarkStart w:id="349" w:name="_Toc296346586"/>
      <w:r>
        <w:rPr>
          <w:rFonts w:hint="eastAsia" w:asciiTheme="majorEastAsia" w:hAnsiTheme="majorEastAsia" w:eastAsiaTheme="majorEastAsia" w:cstheme="majorEastAsia"/>
          <w:bCs/>
          <w:snapToGrid w:val="0"/>
          <w:color w:val="auto"/>
          <w:szCs w:val="21"/>
          <w:highlight w:val="none"/>
        </w:rPr>
        <w:t>0.2变更权</w:t>
      </w:r>
      <w:bookmarkEnd w:id="346"/>
    </w:p>
    <w:bookmarkEnd w:id="347"/>
    <w:bookmarkEnd w:id="348"/>
    <w:bookmarkEnd w:id="349"/>
    <w:p w14:paraId="5051482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15DFB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涉及设计变更的，应由设计人提供变更后的图纸和说明。如变更超过原设计标准或批准的建设规模时，发包人应及时办理规划、设计变更等审批手续。</w:t>
      </w:r>
    </w:p>
    <w:p w14:paraId="7D20AF4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50" w:name="_Toc351203570"/>
      <w:r>
        <w:rPr>
          <w:rFonts w:hint="eastAsia" w:asciiTheme="majorEastAsia" w:hAnsiTheme="majorEastAsia" w:eastAsiaTheme="majorEastAsia" w:cstheme="majorEastAsia"/>
          <w:bCs/>
          <w:snapToGrid w:val="0"/>
          <w:color w:val="auto"/>
          <w:szCs w:val="21"/>
          <w:highlight w:val="none"/>
        </w:rPr>
        <w:t>1</w:t>
      </w:r>
      <w:bookmarkStart w:id="351" w:name="_Toc296503086"/>
      <w:bookmarkStart w:id="352" w:name="_Toc296346587"/>
      <w:bookmarkStart w:id="353" w:name="_Toc337558790"/>
      <w:r>
        <w:rPr>
          <w:rFonts w:hint="eastAsia" w:asciiTheme="majorEastAsia" w:hAnsiTheme="majorEastAsia" w:eastAsiaTheme="majorEastAsia" w:cstheme="majorEastAsia"/>
          <w:bCs/>
          <w:snapToGrid w:val="0"/>
          <w:color w:val="auto"/>
          <w:szCs w:val="21"/>
          <w:highlight w:val="none"/>
        </w:rPr>
        <w:t>0.3变更程序</w:t>
      </w:r>
      <w:bookmarkEnd w:id="350"/>
    </w:p>
    <w:bookmarkEnd w:id="351"/>
    <w:bookmarkEnd w:id="352"/>
    <w:bookmarkEnd w:id="353"/>
    <w:p w14:paraId="7FA3DB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10.3.1 发包人提出变更</w:t>
      </w:r>
    </w:p>
    <w:p w14:paraId="0357DF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发包人提出变更的，应通过监理人向承包人发出变更指示，变更指示应说明计划变更的工程范围和变更的内容。</w:t>
      </w:r>
    </w:p>
    <w:p w14:paraId="7C7C31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10.3.2 监理人提出变更建议</w:t>
      </w:r>
    </w:p>
    <w:p w14:paraId="23A92ED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08B46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10.3.3 变更执行</w:t>
      </w:r>
    </w:p>
    <w:p w14:paraId="243DAE6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D6A916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54" w:name="_Toc351203571"/>
      <w:r>
        <w:rPr>
          <w:rFonts w:hint="eastAsia" w:asciiTheme="majorEastAsia" w:hAnsiTheme="majorEastAsia" w:eastAsiaTheme="majorEastAsia" w:cstheme="majorEastAsia"/>
          <w:bCs/>
          <w:snapToGrid w:val="0"/>
          <w:color w:val="auto"/>
          <w:szCs w:val="21"/>
          <w:highlight w:val="none"/>
        </w:rPr>
        <w:t>1</w:t>
      </w:r>
      <w:bookmarkStart w:id="355" w:name="_Toc337558791"/>
      <w:bookmarkStart w:id="356" w:name="_Toc296346588"/>
      <w:bookmarkStart w:id="357" w:name="_Toc296503087"/>
      <w:r>
        <w:rPr>
          <w:rFonts w:hint="eastAsia" w:asciiTheme="majorEastAsia" w:hAnsiTheme="majorEastAsia" w:eastAsiaTheme="majorEastAsia" w:cstheme="majorEastAsia"/>
          <w:bCs/>
          <w:snapToGrid w:val="0"/>
          <w:color w:val="auto"/>
          <w:szCs w:val="21"/>
          <w:highlight w:val="none"/>
        </w:rPr>
        <w:t>0.4变更估价</w:t>
      </w:r>
      <w:bookmarkEnd w:id="354"/>
    </w:p>
    <w:bookmarkEnd w:id="355"/>
    <w:bookmarkEnd w:id="356"/>
    <w:bookmarkEnd w:id="357"/>
    <w:p w14:paraId="7A24ED2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10.4.1 变更估价原则</w:t>
      </w:r>
    </w:p>
    <w:p w14:paraId="486A348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除专用合同条款另有约定外，变更估价按照本款约定处理：</w:t>
      </w:r>
    </w:p>
    <w:p w14:paraId="476FBE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（1）已标价工程量清单或预算书有相同项目的，按照相同项目单价认定；</w:t>
      </w:r>
    </w:p>
    <w:p w14:paraId="116B48B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（2）已标价工程量清单或预算书中无相同项目，但有类似项目的，参照类似项目的单价认定；</w:t>
      </w:r>
    </w:p>
    <w:p w14:paraId="386CC4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EE75D3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10.4.2 变更估价程序</w:t>
      </w:r>
    </w:p>
    <w:p w14:paraId="2193E90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D393F8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因变更引起的价格调整应计入最近一期的进度款中支付。</w:t>
      </w:r>
    </w:p>
    <w:p w14:paraId="6036946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58" w:name="_Toc351203572"/>
      <w:r>
        <w:rPr>
          <w:rFonts w:hint="eastAsia" w:asciiTheme="majorEastAsia" w:hAnsiTheme="majorEastAsia" w:eastAsiaTheme="majorEastAsia" w:cstheme="majorEastAsia"/>
          <w:bCs/>
          <w:snapToGrid w:val="0"/>
          <w:color w:val="auto"/>
          <w:szCs w:val="21"/>
          <w:highlight w:val="none"/>
        </w:rPr>
        <w:t>1</w:t>
      </w:r>
      <w:bookmarkStart w:id="359" w:name="_Toc296346595"/>
      <w:bookmarkStart w:id="360" w:name="_Toc337558792"/>
      <w:bookmarkStart w:id="361" w:name="_Toc296503094"/>
      <w:r>
        <w:rPr>
          <w:rFonts w:hint="eastAsia" w:asciiTheme="majorEastAsia" w:hAnsiTheme="majorEastAsia" w:eastAsiaTheme="majorEastAsia" w:cstheme="majorEastAsia"/>
          <w:bCs/>
          <w:snapToGrid w:val="0"/>
          <w:color w:val="auto"/>
          <w:szCs w:val="21"/>
          <w:highlight w:val="none"/>
        </w:rPr>
        <w:t>0.5承包人的合理化建议</w:t>
      </w:r>
      <w:bookmarkEnd w:id="358"/>
    </w:p>
    <w:bookmarkEnd w:id="359"/>
    <w:bookmarkEnd w:id="360"/>
    <w:bookmarkEnd w:id="361"/>
    <w:p w14:paraId="0DCB335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承包人提出合理化建议的，应向监理人提交合理化建议说明，说明建议的内容和理由，以及实施该建议对合同价格和工期的影响。</w:t>
      </w:r>
    </w:p>
    <w:p w14:paraId="3BBA5E9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6A45AD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合理化建议降低了合同价格或者提高了工程经济效益的，发包人可对承包人给予奖励，奖励的方法和金额在专用合同条款中约定。</w:t>
      </w:r>
    </w:p>
    <w:p w14:paraId="01730B4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
          <w:bCs/>
          <w:snapToGrid w:val="0"/>
          <w:color w:val="auto"/>
          <w:szCs w:val="21"/>
          <w:highlight w:val="none"/>
        </w:rPr>
      </w:pPr>
      <w:bookmarkStart w:id="362" w:name="_Toc351203573"/>
      <w:r>
        <w:rPr>
          <w:rFonts w:hint="eastAsia" w:asciiTheme="majorEastAsia" w:hAnsiTheme="majorEastAsia" w:eastAsiaTheme="majorEastAsia" w:cstheme="majorEastAsia"/>
          <w:bCs/>
          <w:snapToGrid w:val="0"/>
          <w:color w:val="auto"/>
          <w:szCs w:val="21"/>
          <w:highlight w:val="none"/>
        </w:rPr>
        <w:t>1</w:t>
      </w:r>
      <w:bookmarkStart w:id="363" w:name="_Toc337558793"/>
      <w:r>
        <w:rPr>
          <w:rFonts w:hint="eastAsia" w:asciiTheme="majorEastAsia" w:hAnsiTheme="majorEastAsia" w:eastAsiaTheme="majorEastAsia" w:cstheme="majorEastAsia"/>
          <w:bCs/>
          <w:snapToGrid w:val="0"/>
          <w:color w:val="auto"/>
          <w:szCs w:val="21"/>
          <w:highlight w:val="none"/>
        </w:rPr>
        <w:t>0.6变更引起的工期调整</w:t>
      </w:r>
      <w:bookmarkEnd w:id="362"/>
      <w:bookmarkEnd w:id="363"/>
    </w:p>
    <w:p w14:paraId="010A864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76A86A2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64" w:name="_Toc351203574"/>
      <w:r>
        <w:rPr>
          <w:rFonts w:hint="eastAsia" w:asciiTheme="majorEastAsia" w:hAnsiTheme="majorEastAsia" w:eastAsiaTheme="majorEastAsia" w:cstheme="majorEastAsia"/>
          <w:bCs/>
          <w:snapToGrid w:val="0"/>
          <w:color w:val="auto"/>
          <w:szCs w:val="21"/>
          <w:highlight w:val="none"/>
        </w:rPr>
        <w:t>10.7暂估价</w:t>
      </w:r>
      <w:bookmarkEnd w:id="364"/>
    </w:p>
    <w:p w14:paraId="16AEE39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暂估价专业分包工程、服务、材料和工程设备的明细由合同当事人在专用合同条款中约定。</w:t>
      </w:r>
    </w:p>
    <w:p w14:paraId="0783B9F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10.7.1 依法必须招标的暂估价项目</w:t>
      </w:r>
    </w:p>
    <w:p w14:paraId="7D626E8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对于依法必须招标的暂估价项目，采取以下第1种方式确定。合同当事人也可以在专用合同条款中选择其他招标方式。</w:t>
      </w:r>
    </w:p>
    <w:p w14:paraId="14DFF88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第1种方式：对于依法必须招标的暂估价项目，由承包人招标，对该暂估价项目的确认和批准按照以下约定执行：</w:t>
      </w:r>
    </w:p>
    <w:p w14:paraId="1C2B605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B5070A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应当根据施工进度计划，提前14天将竞争性磋商文件通过监理人报送发包人审批，发包人应当在收到承包人报送的相关文件后7天内完成审批或提出修改意见；发包人有权确定招标控制价并按照法律规定参加评标；</w:t>
      </w:r>
    </w:p>
    <w:p w14:paraId="601C259B">
      <w:pPr>
        <w:widowControl/>
        <w:kinsoku w:val="0"/>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3）承包人与供应商、分包人在签订暂估价合同前，应当提前7天将确定的成交候选供应商或成交候选分包人的资料报送发包人，发包人应在收到资料后3天内与承包人共同确定成交人；承包人应当在签订合同后7天内，将暂估价合同副本报送发包人留存。</w:t>
      </w:r>
    </w:p>
    <w:p w14:paraId="3EC352E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人后，由发包人、承包人与成交人共同签订暂估价合同。</w:t>
      </w:r>
    </w:p>
    <w:p w14:paraId="6446337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10.7.2不属于依法必须招标的暂估价项目</w:t>
      </w:r>
    </w:p>
    <w:p w14:paraId="169A757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除专用合同条款另有约定外，对于不属于依法必须招标的暂估价项目，采取以下第1种方式确定： </w:t>
      </w:r>
    </w:p>
    <w:p w14:paraId="22D1B4D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第1种方式：对于不属于依法必须招标的暂估价项目，按本项约定确认和批准：</w:t>
      </w:r>
    </w:p>
    <w:p w14:paraId="62E5B14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BBE8EB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（2）发包人认为承包人确定的供应商、分包人无法满足工程质量或合同要求的，发包人可以要求承包人重新确定暂估价项目的供应商、分包人;</w:t>
      </w:r>
    </w:p>
    <w:p w14:paraId="2EFF6B1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（3）承包人应当在签订暂估价合同后7天内，将暂估价合同副本报送发包人留存。</w:t>
      </w:r>
    </w:p>
    <w:p w14:paraId="74DD8C6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第2种方式：承包人按照第10.7.1项〔依法必须招标的暂估价项目〕约定的第1种方式确定暂估价项目。</w:t>
      </w:r>
    </w:p>
    <w:p w14:paraId="2799C7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第3种方式：承包人直接实施的暂估价项目</w:t>
      </w:r>
    </w:p>
    <w:p w14:paraId="269922B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382894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8FF592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65" w:name="_Toc351203575"/>
      <w:r>
        <w:rPr>
          <w:rFonts w:hint="eastAsia" w:asciiTheme="majorEastAsia" w:hAnsiTheme="majorEastAsia" w:eastAsiaTheme="majorEastAsia" w:cstheme="majorEastAsia"/>
          <w:bCs/>
          <w:snapToGrid w:val="0"/>
          <w:color w:val="auto"/>
          <w:szCs w:val="21"/>
          <w:highlight w:val="none"/>
        </w:rPr>
        <w:t>1</w:t>
      </w:r>
      <w:bookmarkStart w:id="366" w:name="_Toc337558794"/>
      <w:bookmarkStart w:id="367" w:name="_Toc296503090"/>
      <w:bookmarkStart w:id="368" w:name="_Toc296346591"/>
      <w:bookmarkStart w:id="369" w:name="_Toc322522561"/>
      <w:r>
        <w:rPr>
          <w:rFonts w:hint="eastAsia" w:asciiTheme="majorEastAsia" w:hAnsiTheme="majorEastAsia" w:eastAsiaTheme="majorEastAsia" w:cstheme="majorEastAsia"/>
          <w:bCs/>
          <w:snapToGrid w:val="0"/>
          <w:color w:val="auto"/>
          <w:szCs w:val="21"/>
          <w:highlight w:val="none"/>
        </w:rPr>
        <w:t>0.8暂列金额</w:t>
      </w:r>
      <w:bookmarkEnd w:id="365"/>
    </w:p>
    <w:bookmarkEnd w:id="366"/>
    <w:p w14:paraId="223352B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暂列金额应按照发包人的要求使用，发包人的要求应通过监理人发出。合同当事人可以在专用合同条款中协商确定有关事项。</w:t>
      </w:r>
    </w:p>
    <w:bookmarkEnd w:id="367"/>
    <w:bookmarkEnd w:id="368"/>
    <w:bookmarkEnd w:id="369"/>
    <w:p w14:paraId="6794599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70" w:name="_Toc351203576"/>
      <w:r>
        <w:rPr>
          <w:rFonts w:hint="eastAsia" w:asciiTheme="majorEastAsia" w:hAnsiTheme="majorEastAsia" w:eastAsiaTheme="majorEastAsia" w:cstheme="majorEastAsia"/>
          <w:bCs/>
          <w:snapToGrid w:val="0"/>
          <w:color w:val="auto"/>
          <w:szCs w:val="21"/>
          <w:highlight w:val="none"/>
        </w:rPr>
        <w:t>1</w:t>
      </w:r>
      <w:bookmarkStart w:id="371" w:name="_Toc296346592"/>
      <w:bookmarkStart w:id="372" w:name="_Toc337558796"/>
      <w:bookmarkStart w:id="373" w:name="_Toc296503091"/>
      <w:r>
        <w:rPr>
          <w:rFonts w:hint="eastAsia" w:asciiTheme="majorEastAsia" w:hAnsiTheme="majorEastAsia" w:eastAsiaTheme="majorEastAsia" w:cstheme="majorEastAsia"/>
          <w:bCs/>
          <w:snapToGrid w:val="0"/>
          <w:color w:val="auto"/>
          <w:szCs w:val="21"/>
          <w:highlight w:val="none"/>
        </w:rPr>
        <w:t>0.9计日工</w:t>
      </w:r>
      <w:bookmarkEnd w:id="370"/>
      <w:bookmarkEnd w:id="371"/>
      <w:bookmarkEnd w:id="372"/>
      <w:bookmarkEnd w:id="373"/>
    </w:p>
    <w:p w14:paraId="3910695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ABF168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采用计日工计价的任何一项工作，承包人应在该项工作实施过程中，每天提交以下报表和有关凭证报送监理人审查：</w:t>
      </w:r>
    </w:p>
    <w:p w14:paraId="7E7DA6D4">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（1）工作名称、内容和数量；</w:t>
      </w:r>
    </w:p>
    <w:p w14:paraId="02EE3878">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（2）投入该工作的所有人员的姓名、专业、工种、级别和耗用工时；</w:t>
      </w:r>
    </w:p>
    <w:p w14:paraId="13901779">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（3）投入该工作的材料类别和数量；</w:t>
      </w:r>
    </w:p>
    <w:p w14:paraId="075A0478">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（4）投入该工作的施工设备型号、台数和耗用台时；</w:t>
      </w:r>
    </w:p>
    <w:p w14:paraId="25CBDC44">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（5）其他有关资料和凭证。</w:t>
      </w:r>
    </w:p>
    <w:p w14:paraId="36E7B42C">
      <w:pPr>
        <w:widowControl/>
        <w:kinsoku w:val="0"/>
        <w:autoSpaceDE w:val="0"/>
        <w:autoSpaceDN w:val="0"/>
        <w:adjustRightInd w:val="0"/>
        <w:snapToGrid w:val="0"/>
        <w:spacing w:line="360" w:lineRule="auto"/>
        <w:ind w:firstLine="315" w:firstLineChars="15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计日工由承包人汇总后，列入最近一期进度付款申请单，由监理人审查并经发包人批准后列入进度付款。</w:t>
      </w:r>
    </w:p>
    <w:p w14:paraId="30B652EC">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374" w:name="_Toc351203577"/>
      <w:r>
        <w:rPr>
          <w:rFonts w:hint="eastAsia" w:asciiTheme="majorEastAsia" w:hAnsiTheme="majorEastAsia" w:eastAsiaTheme="majorEastAsia" w:cstheme="majorEastAsia"/>
          <w:bCs/>
          <w:snapToGrid w:val="0"/>
          <w:color w:val="auto"/>
          <w:szCs w:val="21"/>
          <w:highlight w:val="none"/>
        </w:rPr>
        <w:t>11. 价格调整</w:t>
      </w:r>
      <w:bookmarkEnd w:id="374"/>
    </w:p>
    <w:p w14:paraId="1F073B5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75" w:name="_Toc351203578"/>
      <w:bookmarkStart w:id="376" w:name="_Toc296346593"/>
      <w:bookmarkStart w:id="377" w:name="_Toc337558797"/>
      <w:bookmarkStart w:id="378" w:name="_Toc296503092"/>
      <w:r>
        <w:rPr>
          <w:rFonts w:hint="eastAsia" w:asciiTheme="majorEastAsia" w:hAnsiTheme="majorEastAsia" w:eastAsiaTheme="majorEastAsia" w:cstheme="majorEastAsia"/>
          <w:bCs/>
          <w:snapToGrid w:val="0"/>
          <w:color w:val="auto"/>
          <w:szCs w:val="21"/>
          <w:highlight w:val="none"/>
        </w:rPr>
        <w:t>11.1市场价格波动引起的调整</w:t>
      </w:r>
      <w:bookmarkEnd w:id="375"/>
    </w:p>
    <w:bookmarkEnd w:id="376"/>
    <w:bookmarkEnd w:id="377"/>
    <w:bookmarkEnd w:id="378"/>
    <w:p w14:paraId="3B40DE4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3DDC02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第1种方式：采用价格指数进行价格调整。</w:t>
      </w:r>
    </w:p>
    <w:p w14:paraId="7B58ABDB">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（1）价格调整公式</w:t>
      </w:r>
    </w:p>
    <w:p w14:paraId="57E375DC">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因人工、材料和设备等价格波动影响合同价格时，根据专用合同条款中约定的数据，按以下公式计算差额并调整合同价格：</w:t>
      </w:r>
    </w:p>
    <w:p w14:paraId="54800365">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lang w:eastAsia="en-US"/>
        </w:rPr>
      </w:pPr>
      <w:r>
        <w:rPr>
          <w:rFonts w:hint="eastAsia" w:asciiTheme="majorEastAsia" w:hAnsiTheme="majorEastAsia" w:eastAsiaTheme="majorEastAsia" w:cstheme="majorEastAsia"/>
          <w:snapToGrid w:val="0"/>
          <w:color w:val="auto"/>
          <w:kern w:val="0"/>
          <w:position w:val="-30"/>
          <w:szCs w:val="21"/>
          <w:highlight w:val="none"/>
          <w:lang w:eastAsia="en-US"/>
        </w:rPr>
        <w:object>
          <v:shape id="_x0000_i1025" o:spt="75" type="#_x0000_t75" style="height:43.8pt;width:360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24AE5940">
      <w:pPr>
        <w:widowControl/>
        <w:tabs>
          <w:tab w:val="left" w:pos="0"/>
          <w:tab w:val="left" w:pos="360"/>
          <w:tab w:val="left" w:pos="540"/>
        </w:tabs>
        <w:kinsoku w:val="0"/>
        <w:autoSpaceDE w:val="0"/>
        <w:autoSpaceDN w:val="0"/>
        <w:adjustRightInd w:val="0"/>
        <w:snapToGrid w:val="0"/>
        <w:spacing w:line="360" w:lineRule="auto"/>
        <w:ind w:firstLine="64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公式中：</w:t>
      </w:r>
      <w:r>
        <w:rPr>
          <w:rFonts w:hint="eastAsia" w:asciiTheme="majorEastAsia" w:hAnsiTheme="majorEastAsia" w:eastAsiaTheme="majorEastAsia" w:cstheme="majorEastAsia"/>
          <w:snapToGrid w:val="0"/>
          <w:color w:val="auto"/>
          <w:kern w:val="0"/>
          <w:szCs w:val="21"/>
          <w:highlight w:val="none"/>
          <w:lang w:eastAsia="en-US"/>
        </w:rPr>
        <w:t>Δ</w:t>
      </w:r>
      <w:r>
        <w:rPr>
          <w:rFonts w:hint="eastAsia" w:asciiTheme="majorEastAsia" w:hAnsiTheme="majorEastAsia" w:eastAsiaTheme="majorEastAsia" w:cstheme="majorEastAsia"/>
          <w:snapToGrid w:val="0"/>
          <w:color w:val="auto"/>
          <w:kern w:val="0"/>
          <w:szCs w:val="21"/>
          <w:highlight w:val="none"/>
        </w:rPr>
        <w:t>P——需调整的价格差额；</w:t>
      </w:r>
    </w:p>
    <w:p w14:paraId="648CF368">
      <w:pPr>
        <w:widowControl/>
        <w:tabs>
          <w:tab w:val="left" w:pos="0"/>
          <w:tab w:val="left" w:pos="360"/>
          <w:tab w:val="left" w:pos="540"/>
        </w:tabs>
        <w:kinsoku w:val="0"/>
        <w:autoSpaceDE w:val="0"/>
        <w:autoSpaceDN w:val="0"/>
        <w:adjustRightInd w:val="0"/>
        <w:snapToGrid w:val="0"/>
        <w:spacing w:line="360" w:lineRule="auto"/>
        <w:ind w:firstLine="630" w:firstLineChars="3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6"/>
          <w:szCs w:val="21"/>
          <w:highlight w:val="none"/>
          <w:lang w:eastAsia="en-US"/>
        </w:rPr>
        <w:object>
          <v:shape id="_x0000_i1026" o:spt="75" type="#_x0000_t75" style="height:18pt;width:18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hint="eastAsia" w:asciiTheme="majorEastAsia" w:hAnsiTheme="majorEastAsia" w:eastAsiaTheme="majorEastAsia" w:cstheme="majorEastAsia"/>
          <w:snapToGrid w:val="0"/>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958BF79">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A——定值权重（即不调部分的权重）；</w:t>
      </w:r>
    </w:p>
    <w:p w14:paraId="1BE2D044">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10"/>
          <w:szCs w:val="21"/>
          <w:highlight w:val="none"/>
          <w:lang w:eastAsia="en-US"/>
        </w:rPr>
        <w:object>
          <v:shape id="_x0000_i1027" o:spt="75" type="#_x0000_t75" style="height:21pt;width:100.8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hint="eastAsia" w:asciiTheme="majorEastAsia" w:hAnsiTheme="majorEastAsia" w:eastAsiaTheme="majorEastAsia" w:cstheme="majorEastAsia"/>
          <w:snapToGrid w:val="0"/>
          <w:color w:val="auto"/>
          <w:kern w:val="0"/>
          <w:szCs w:val="21"/>
          <w:highlight w:val="none"/>
        </w:rPr>
        <w:t>——各可调因子的变值权重（即可调部分的权重），为各可调因子在签约合同价中所占的比例；</w:t>
      </w:r>
    </w:p>
    <w:p w14:paraId="78377667">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10"/>
          <w:szCs w:val="21"/>
          <w:highlight w:val="none"/>
          <w:lang w:eastAsia="en-US"/>
        </w:rPr>
        <w:object>
          <v:shape id="_x0000_i1028" o:spt="75" type="#_x0000_t75" style="height:20.4pt;width:102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r>
        <w:rPr>
          <w:rFonts w:hint="eastAsia" w:asciiTheme="majorEastAsia" w:hAnsiTheme="majorEastAsia" w:eastAsiaTheme="majorEastAsia" w:cstheme="majorEastAsia"/>
          <w:snapToGrid w:val="0"/>
          <w:color w:val="auto"/>
          <w:kern w:val="0"/>
          <w:szCs w:val="21"/>
          <w:highlight w:val="none"/>
        </w:rPr>
        <w:t>——各可调因子的现行价格指数，指约定的付款证书相关周期最后一天的前42天的各可调因子的价格指数；</w:t>
      </w:r>
    </w:p>
    <w:p w14:paraId="13AC8DF1">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10"/>
          <w:szCs w:val="21"/>
          <w:highlight w:val="none"/>
          <w:lang w:eastAsia="en-US"/>
        </w:rPr>
        <w:object>
          <v:shape id="_x0000_i1029" o:spt="75" type="#_x0000_t75" style="height:19.8pt;width:108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hint="eastAsia" w:asciiTheme="majorEastAsia" w:hAnsiTheme="majorEastAsia" w:eastAsiaTheme="majorEastAsia" w:cstheme="majorEastAsia"/>
          <w:snapToGrid w:val="0"/>
          <w:color w:val="auto"/>
          <w:kern w:val="0"/>
          <w:szCs w:val="21"/>
          <w:highlight w:val="none"/>
        </w:rPr>
        <w:t>——各可调因子的基本价格指数，指基准日期的各可调因子的价格指数。</w:t>
      </w:r>
    </w:p>
    <w:p w14:paraId="09AD484E">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以上价格调整公式中的各可调因子、定值和变值权重，以及基本价格指数及其来源在竞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24F3DCA">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（2）暂时确定调整差额</w:t>
      </w:r>
    </w:p>
    <w:p w14:paraId="055CA509">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在计算调整差额时无现行价格指数的，合同当事人同意暂用前次价格指数计算。实际价格指数有调整的，合同当事人进行相应调整。</w:t>
      </w:r>
    </w:p>
    <w:p w14:paraId="2835A2D4">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（3）权重的调整</w:t>
      </w:r>
    </w:p>
    <w:p w14:paraId="2DD8CC07">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因变更导致合同约定的权重不合理时，按照第4.4款〔商定或确定〕执行。</w:t>
      </w:r>
    </w:p>
    <w:p w14:paraId="64A16E77">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（4）因承包人原因工期延误后的价格调整</w:t>
      </w:r>
    </w:p>
    <w:p w14:paraId="2B5852E6">
      <w:pPr>
        <w:widowControl/>
        <w:tabs>
          <w:tab w:val="left" w:pos="0"/>
          <w:tab w:val="left" w:pos="360"/>
          <w:tab w:val="left" w:pos="540"/>
        </w:tabs>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2279A8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第2种方式：采用造价信息进行价格调整。</w:t>
      </w:r>
    </w:p>
    <w:p w14:paraId="19E82A1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49FFF2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67947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（2）材料、工程设备价格变化的价款调整按照发包人提供的基准价格，按以下风险范围规定执行:</w:t>
      </w:r>
    </w:p>
    <w:p w14:paraId="4473B99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F42564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300FBC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C04C3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5B6B6D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bookmarkStart w:id="379" w:name="OLE_LINK3"/>
      <w:r>
        <w:rPr>
          <w:rFonts w:hint="eastAsia" w:asciiTheme="majorEastAsia" w:hAnsiTheme="majorEastAsia" w:eastAsiaTheme="majorEastAsia" w:cstheme="majorEastAsia"/>
          <w:snapToGrid w:val="0"/>
          <w:color w:val="auto"/>
          <w:kern w:val="0"/>
          <w:szCs w:val="21"/>
          <w:highlight w:val="none"/>
        </w:rPr>
        <w:t>前述基准价格是指由发包人在磋商文件或专用合同条款中给定的材料、工程设备的价格，该价格原则上应当按照省级或行业建设主管部门或其授权的工程造价管理机构发布的信息价编制。</w:t>
      </w:r>
    </w:p>
    <w:p w14:paraId="31DB99A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（3）施工机械台班单价或施工机械使用费发生变化超过省级或行业建设主管部门或其授权的工程造价管理机构规定的范围时，按规定调整合同价格。</w:t>
      </w:r>
    </w:p>
    <w:p w14:paraId="5107897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第3种方式：专用合同条款约定的其他方式。</w:t>
      </w:r>
    </w:p>
    <w:p w14:paraId="195355C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80" w:name="_Toc351203579"/>
      <w:bookmarkStart w:id="381" w:name="_Toc296346594"/>
      <w:bookmarkStart w:id="382" w:name="_Toc296503093"/>
      <w:bookmarkStart w:id="383" w:name="_Toc337558798"/>
      <w:r>
        <w:rPr>
          <w:rFonts w:hint="eastAsia" w:asciiTheme="majorEastAsia" w:hAnsiTheme="majorEastAsia" w:eastAsiaTheme="majorEastAsia" w:cstheme="majorEastAsia"/>
          <w:bCs/>
          <w:snapToGrid w:val="0"/>
          <w:color w:val="auto"/>
          <w:szCs w:val="21"/>
          <w:highlight w:val="none"/>
        </w:rPr>
        <w:t>11.2法律变化引起的调整</w:t>
      </w:r>
      <w:bookmarkEnd w:id="380"/>
    </w:p>
    <w:bookmarkEnd w:id="381"/>
    <w:bookmarkEnd w:id="382"/>
    <w:bookmarkEnd w:id="383"/>
    <w:p w14:paraId="2B18E57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1B7B69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因法律变化引起的合同价格和工期调整，合同当事人无法达成一致的，由总监理工程师按第4.4款〔商定或确定〕的约定处理。</w:t>
      </w:r>
    </w:p>
    <w:p w14:paraId="71DDDD6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因承包人原因造成工期延误，在工期延误期间出现法律变化的，由此增加的费用和（或）延误的工期由承包人承担。</w:t>
      </w:r>
    </w:p>
    <w:p w14:paraId="4F78AC92">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384" w:name="_Toc351203580"/>
      <w:bookmarkStart w:id="385" w:name="_Toc337558799"/>
      <w:bookmarkStart w:id="386" w:name="_Toc296503096"/>
      <w:bookmarkStart w:id="387" w:name="_Toc296346597"/>
      <w:r>
        <w:rPr>
          <w:rFonts w:hint="eastAsia" w:asciiTheme="majorEastAsia" w:hAnsiTheme="majorEastAsia" w:eastAsiaTheme="majorEastAsia" w:cstheme="majorEastAsia"/>
          <w:bCs/>
          <w:snapToGrid w:val="0"/>
          <w:color w:val="auto"/>
          <w:szCs w:val="21"/>
          <w:highlight w:val="none"/>
        </w:rPr>
        <w:t>12. 合同价格、计量与支付</w:t>
      </w:r>
      <w:bookmarkEnd w:id="384"/>
    </w:p>
    <w:bookmarkEnd w:id="385"/>
    <w:p w14:paraId="6706F69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88" w:name="_Toc351203581"/>
      <w:bookmarkStart w:id="389" w:name="_Toc337558800"/>
      <w:r>
        <w:rPr>
          <w:rFonts w:hint="eastAsia" w:asciiTheme="majorEastAsia" w:hAnsiTheme="majorEastAsia" w:eastAsiaTheme="majorEastAsia" w:cstheme="majorEastAsia"/>
          <w:bCs/>
          <w:snapToGrid w:val="0"/>
          <w:color w:val="auto"/>
          <w:szCs w:val="21"/>
          <w:highlight w:val="none"/>
        </w:rPr>
        <w:t>12.1 合同价</w:t>
      </w:r>
      <w:bookmarkEnd w:id="386"/>
      <w:bookmarkEnd w:id="387"/>
      <w:r>
        <w:rPr>
          <w:rFonts w:hint="eastAsia" w:asciiTheme="majorEastAsia" w:hAnsiTheme="majorEastAsia" w:eastAsiaTheme="majorEastAsia" w:cstheme="majorEastAsia"/>
          <w:bCs/>
          <w:snapToGrid w:val="0"/>
          <w:color w:val="auto"/>
          <w:szCs w:val="21"/>
          <w:highlight w:val="none"/>
        </w:rPr>
        <w:t>格形式</w:t>
      </w:r>
      <w:bookmarkEnd w:id="388"/>
    </w:p>
    <w:bookmarkEnd w:id="389"/>
    <w:p w14:paraId="702CA7E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发包人和承包人应在合同协议书中选择下列一种合同价格形式： </w:t>
      </w:r>
    </w:p>
    <w:p w14:paraId="5102A52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1.单价合同</w:t>
      </w:r>
    </w:p>
    <w:p w14:paraId="34916A1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632EB2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2.总价合同</w:t>
      </w:r>
    </w:p>
    <w:p w14:paraId="244C61F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EB36F0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3.其它价格形式</w:t>
      </w:r>
    </w:p>
    <w:p w14:paraId="251339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合同当事人可在专用合同条款中约定其他合同价格形式。</w:t>
      </w:r>
    </w:p>
    <w:p w14:paraId="24B8C78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90" w:name="_Toc296503097"/>
      <w:bookmarkStart w:id="391" w:name="_Toc296346598"/>
      <w:bookmarkStart w:id="392" w:name="_Toc351203582"/>
      <w:bookmarkStart w:id="393" w:name="_Toc337558801"/>
      <w:r>
        <w:rPr>
          <w:rFonts w:hint="eastAsia" w:asciiTheme="majorEastAsia" w:hAnsiTheme="majorEastAsia" w:eastAsiaTheme="majorEastAsia" w:cstheme="majorEastAsia"/>
          <w:bCs/>
          <w:snapToGrid w:val="0"/>
          <w:color w:val="auto"/>
          <w:szCs w:val="21"/>
          <w:highlight w:val="none"/>
        </w:rPr>
        <w:t>12.2预</w:t>
      </w:r>
      <w:bookmarkEnd w:id="390"/>
      <w:bookmarkEnd w:id="391"/>
      <w:bookmarkStart w:id="394" w:name="_Toc296346601"/>
      <w:bookmarkStart w:id="395" w:name="_Toc296503100"/>
      <w:r>
        <w:rPr>
          <w:rFonts w:hint="eastAsia" w:asciiTheme="majorEastAsia" w:hAnsiTheme="majorEastAsia" w:eastAsiaTheme="majorEastAsia" w:cstheme="majorEastAsia"/>
          <w:bCs/>
          <w:snapToGrid w:val="0"/>
          <w:color w:val="auto"/>
          <w:szCs w:val="21"/>
          <w:highlight w:val="none"/>
        </w:rPr>
        <w:t>付款</w:t>
      </w:r>
      <w:bookmarkEnd w:id="392"/>
    </w:p>
    <w:bookmarkEnd w:id="393"/>
    <w:bookmarkEnd w:id="394"/>
    <w:bookmarkEnd w:id="395"/>
    <w:p w14:paraId="14F8FB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12.2.1预付款的支付</w:t>
      </w:r>
    </w:p>
    <w:p w14:paraId="3285299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316422D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除专用合同条款另有约定外，预付款在进度付款中同比例扣回。</w:t>
      </w:r>
      <w:bookmarkEnd w:id="379"/>
      <w:r>
        <w:rPr>
          <w:rFonts w:hint="eastAsia" w:asciiTheme="majorEastAsia" w:hAnsiTheme="majorEastAsia" w:eastAsiaTheme="majorEastAsia" w:cstheme="majorEastAsia"/>
          <w:snapToGrid w:val="0"/>
          <w:color w:val="auto"/>
          <w:kern w:val="0"/>
          <w:szCs w:val="21"/>
          <w:highlight w:val="none"/>
        </w:rPr>
        <w:t>在颁发工程接收证书前，提前解除合同的，尚未扣完的预付款应与合同价款一并结算。</w:t>
      </w:r>
    </w:p>
    <w:p w14:paraId="4756D2A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50EC2B8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12.2.2 预付款担保</w:t>
      </w:r>
    </w:p>
    <w:p w14:paraId="615AB97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596EDE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发包人在工程款中逐期扣回预付款后，预付款担保额度应相应减少，但剩余的预付款担保金额不得低于未被扣回的预付款金额。</w:t>
      </w:r>
    </w:p>
    <w:p w14:paraId="54D8D50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96" w:name="_Toc351203583"/>
      <w:bookmarkStart w:id="397" w:name="_Toc337558802"/>
      <w:r>
        <w:rPr>
          <w:rFonts w:hint="eastAsia" w:asciiTheme="majorEastAsia" w:hAnsiTheme="majorEastAsia" w:eastAsiaTheme="majorEastAsia" w:cstheme="majorEastAsia"/>
          <w:bCs/>
          <w:snapToGrid w:val="0"/>
          <w:color w:val="auto"/>
          <w:szCs w:val="21"/>
          <w:highlight w:val="none"/>
        </w:rPr>
        <w:t>12.3计量</w:t>
      </w:r>
      <w:bookmarkEnd w:id="396"/>
    </w:p>
    <w:bookmarkEnd w:id="397"/>
    <w:p w14:paraId="65A8B85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12.3.1 计量原则</w:t>
      </w:r>
    </w:p>
    <w:p w14:paraId="76CF2F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1B80F0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12.3.2 计量周期</w:t>
      </w:r>
    </w:p>
    <w:p w14:paraId="1C8B995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除专用合同条款另有约定外，工程量的计量按月进行。</w:t>
      </w:r>
    </w:p>
    <w:p w14:paraId="1695629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12.3.3 单价合同的计量</w:t>
      </w:r>
    </w:p>
    <w:p w14:paraId="7A796A4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除专用合同条款另有约定外，单价合同的计量按照本项约定执行：</w:t>
      </w:r>
    </w:p>
    <w:p w14:paraId="29F6678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（1）承包人应于每月25日向监理人报送上月20日至当月19日已完成的工程量报告，并附具进度付款申请单、已完成工程量报表和有关资料。</w:t>
      </w:r>
    </w:p>
    <w:p w14:paraId="4E6C011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74810D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6871DF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12.3.4 总价合同的计量</w:t>
      </w:r>
    </w:p>
    <w:p w14:paraId="74319DE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除专用合同条款另有约定外，按月计量支付的总价合同，按照本项约定执行：</w:t>
      </w:r>
    </w:p>
    <w:p w14:paraId="5DE7EBF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（1）承包人应于每月25日向监理人报送上月20日至当月19日已完成的工程量报告，并附具进度付款申请单、已完成工程量报表和有关资料。</w:t>
      </w:r>
    </w:p>
    <w:p w14:paraId="6DB7FC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95EC5B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（3）监理人未在收到承包人提交的工程量报表后的7天内完成复核的，承包人提交的工程量报告中的工程量视为承包人实际完成的工程量。</w:t>
      </w:r>
    </w:p>
    <w:p w14:paraId="364D307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12.3.5 总价合同采用支付分解表计量支付的，可以按照第12.3.4项〔总价合同的计量〕约定进行计量，但合同价款按照支付分解表进行支付。</w:t>
      </w:r>
    </w:p>
    <w:p w14:paraId="5913628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12.3.6 其他价格形式合同的计量</w:t>
      </w:r>
    </w:p>
    <w:p w14:paraId="5CCF775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合同当事人可在专用合同条款中约定其他价格形式合同的计量方式和程序。</w:t>
      </w:r>
    </w:p>
    <w:p w14:paraId="78D2B63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398" w:name="_Toc296503101"/>
      <w:bookmarkStart w:id="399" w:name="_Toc296346602"/>
      <w:bookmarkStart w:id="400" w:name="_Toc351203584"/>
      <w:bookmarkStart w:id="401" w:name="_Toc337558803"/>
      <w:r>
        <w:rPr>
          <w:rFonts w:hint="eastAsia" w:asciiTheme="majorEastAsia" w:hAnsiTheme="majorEastAsia" w:eastAsiaTheme="majorEastAsia" w:cstheme="majorEastAsia"/>
          <w:bCs/>
          <w:snapToGrid w:val="0"/>
          <w:color w:val="auto"/>
          <w:szCs w:val="21"/>
          <w:highlight w:val="none"/>
        </w:rPr>
        <w:t>12.4工程进度款支</w:t>
      </w:r>
      <w:bookmarkEnd w:id="398"/>
      <w:bookmarkEnd w:id="399"/>
      <w:r>
        <w:rPr>
          <w:rFonts w:hint="eastAsia" w:asciiTheme="majorEastAsia" w:hAnsiTheme="majorEastAsia" w:eastAsiaTheme="majorEastAsia" w:cstheme="majorEastAsia"/>
          <w:bCs/>
          <w:snapToGrid w:val="0"/>
          <w:color w:val="auto"/>
          <w:szCs w:val="21"/>
          <w:highlight w:val="none"/>
        </w:rPr>
        <w:t>付</w:t>
      </w:r>
      <w:bookmarkEnd w:id="400"/>
    </w:p>
    <w:bookmarkEnd w:id="401"/>
    <w:p w14:paraId="1E74C667">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12.4.1 付款周期</w:t>
      </w:r>
    </w:p>
    <w:p w14:paraId="01AFB85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除专用合同条款另有约定外，付款周期应按照第12.3.2项〔计量周期〕的约定与计量周期保持一致。</w:t>
      </w:r>
    </w:p>
    <w:p w14:paraId="4D271C5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12.4.2 进度付款申请单的编制</w:t>
      </w:r>
    </w:p>
    <w:p w14:paraId="24C3867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除专用合同条款另有约定外，进度付款申请单应包括下列内容：</w:t>
      </w:r>
    </w:p>
    <w:p w14:paraId="5729C07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（1）截至本次付款周期已完成工作对应的金额；</w:t>
      </w:r>
    </w:p>
    <w:p w14:paraId="0C54F13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（2）根据第10条〔变更〕应增加和扣减的变更金额；</w:t>
      </w:r>
    </w:p>
    <w:p w14:paraId="711539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（3）根据第12.2款〔预付款〕约定应支付的预付款和扣减的返还预付款；</w:t>
      </w:r>
    </w:p>
    <w:p w14:paraId="673C509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（4）根据第15.3款〔质量保证金〕约定应扣减的质量保证金；</w:t>
      </w:r>
    </w:p>
    <w:p w14:paraId="784FB60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（5）根据第19条〔索赔〕应增加和扣减的索赔金额；</w:t>
      </w:r>
    </w:p>
    <w:p w14:paraId="2005FA0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（6）对已签发的进度款支付证书中出现错误的修正，应在本次进度付款中支付或扣除的金额；</w:t>
      </w:r>
    </w:p>
    <w:p w14:paraId="3AF92D2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（7）根据合同约定应增加和扣减的其他金额。</w:t>
      </w:r>
    </w:p>
    <w:p w14:paraId="35CAE1D3">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12.4.3 进度付款申请单的提交</w:t>
      </w:r>
    </w:p>
    <w:p w14:paraId="17584F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（1）单价合同进度付款申请单的提交</w:t>
      </w:r>
    </w:p>
    <w:p w14:paraId="4719762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F5189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（2）总价合同进度付款申请单的提交</w:t>
      </w:r>
    </w:p>
    <w:p w14:paraId="22C7CB7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总价合同按月计量支付的，承包人按照第12.3.4项〔总价合同的计量〕约定的时间按月向监理人提交进度付款申请单，并附上已完成工程量报表和有关资料。</w:t>
      </w:r>
    </w:p>
    <w:p w14:paraId="38057F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总价合同按支付分解表支付的，承包人应按照第12.4.6项〔支付分解表〕及第12.4.2项〔进度付款申请单的编制〕的约定向监理人提交进度付款申请单。</w:t>
      </w:r>
    </w:p>
    <w:p w14:paraId="0CA4BFB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（3）其他价格形式合同的进度付款申请单的提交</w:t>
      </w:r>
    </w:p>
    <w:p w14:paraId="6C49BD8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合同当事人可在专用合同条款中约定其他价格形式合同的进度付款申请单的编制和提交程序。</w:t>
      </w:r>
    </w:p>
    <w:p w14:paraId="717E41C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12.4.4 进度款审核和支付</w:t>
      </w:r>
    </w:p>
    <w:p w14:paraId="68AFC1E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DB380E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77E056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05B54FC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（3）发包人签发进度款支付证书或临时进度款支付证书，不表明发包人已同意、批准或接受了承包人完成的相应部分的工作。</w:t>
      </w:r>
    </w:p>
    <w:p w14:paraId="0A45BA7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12.4.5 进度付款的修正</w:t>
      </w:r>
    </w:p>
    <w:p w14:paraId="10DFB4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95BB8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12.4.6 支付分解表</w:t>
      </w:r>
    </w:p>
    <w:p w14:paraId="3B79E0B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1.支付分解表的编制要求</w:t>
      </w:r>
    </w:p>
    <w:p w14:paraId="294AB1B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（1）支付分解表中所列的每期付款金额，应为第12.4.2项〔进度付款申请单的编制〕第（1）目的估算金额；</w:t>
      </w:r>
    </w:p>
    <w:p w14:paraId="34BFF98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（2）实际进度与施工进度计划不一致的，合同当事人可按照第4.4款〔商定或确定〕修改支付分解表；</w:t>
      </w:r>
    </w:p>
    <w:p w14:paraId="5C66C41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（3）不采用支付分解表的，承包人应向发包人和监理人提交按季度编制的支付估算分解表，用于支付参考。</w:t>
      </w:r>
    </w:p>
    <w:p w14:paraId="3F2221D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2.总价合同支付分解表的编制与审批</w:t>
      </w:r>
    </w:p>
    <w:p w14:paraId="57AD38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DB565A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5F5F3474">
      <w:pPr>
        <w:widowControl/>
        <w:kinsoku w:val="0"/>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（3）发包人逾期未完成支付分解表审批的，也未及时要求承包人进行修正和提供补充资料的，则承包人提交的支付分解表视为已经获得发包人批准。</w:t>
      </w:r>
    </w:p>
    <w:p w14:paraId="0F6BC1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3.单价合同的总价项目支付分解表的编制与审批</w:t>
      </w:r>
    </w:p>
    <w:p w14:paraId="5DCE0B0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548F39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02" w:name="_Toc351203585"/>
      <w:r>
        <w:rPr>
          <w:rFonts w:hint="eastAsia" w:asciiTheme="majorEastAsia" w:hAnsiTheme="majorEastAsia" w:eastAsiaTheme="majorEastAsia" w:cstheme="majorEastAsia"/>
          <w:bCs/>
          <w:snapToGrid w:val="0"/>
          <w:color w:val="auto"/>
          <w:szCs w:val="21"/>
          <w:highlight w:val="none"/>
        </w:rPr>
        <w:t>12.5支付账户</w:t>
      </w:r>
      <w:bookmarkEnd w:id="402"/>
    </w:p>
    <w:p w14:paraId="210F4B0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发包人应将合同价款支付至合同协议书中约定的承包人账户。</w:t>
      </w:r>
    </w:p>
    <w:p w14:paraId="6225B087">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403" w:name="_Toc351203586"/>
      <w:bookmarkStart w:id="404" w:name="_Toc296346607"/>
      <w:bookmarkStart w:id="405" w:name="_Toc337558804"/>
      <w:bookmarkStart w:id="406" w:name="_Toc296503106"/>
      <w:bookmarkStart w:id="407" w:name="_Toc322522574"/>
      <w:r>
        <w:rPr>
          <w:rFonts w:hint="eastAsia" w:asciiTheme="majorEastAsia" w:hAnsiTheme="majorEastAsia" w:eastAsiaTheme="majorEastAsia" w:cstheme="majorEastAsia"/>
          <w:bCs/>
          <w:snapToGrid w:val="0"/>
          <w:color w:val="auto"/>
          <w:szCs w:val="21"/>
          <w:highlight w:val="none"/>
        </w:rPr>
        <w:t>13. 验收和工程试车</w:t>
      </w:r>
      <w:bookmarkEnd w:id="403"/>
    </w:p>
    <w:bookmarkEnd w:id="404"/>
    <w:bookmarkEnd w:id="405"/>
    <w:bookmarkEnd w:id="406"/>
    <w:bookmarkEnd w:id="407"/>
    <w:p w14:paraId="52340D5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08" w:name="_Toc351203587"/>
      <w:bookmarkStart w:id="409" w:name="_Toc337558805"/>
      <w:bookmarkStart w:id="410" w:name="_Toc296346611"/>
      <w:bookmarkStart w:id="411" w:name="_Toc296503110"/>
      <w:r>
        <w:rPr>
          <w:rFonts w:hint="eastAsia" w:asciiTheme="majorEastAsia" w:hAnsiTheme="majorEastAsia" w:eastAsiaTheme="majorEastAsia" w:cstheme="majorEastAsia"/>
          <w:bCs/>
          <w:snapToGrid w:val="0"/>
          <w:color w:val="auto"/>
          <w:szCs w:val="21"/>
          <w:highlight w:val="none"/>
        </w:rPr>
        <w:t>13.1分部分项工程验收</w:t>
      </w:r>
      <w:bookmarkEnd w:id="408"/>
    </w:p>
    <w:bookmarkEnd w:id="409"/>
    <w:p w14:paraId="03144E8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13.1.1 分部分项工程质量应符合国家有关工程施工验收规范、标准及合同约定，承包人应按照施工组织设计的要求完成分部分项工程施工。</w:t>
      </w:r>
    </w:p>
    <w:p w14:paraId="6467D1C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C71950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分部分项工程的验收资料应当作为竣工资料的组成部分。</w:t>
      </w:r>
    </w:p>
    <w:p w14:paraId="6BAC03B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12" w:name="_Toc351203588"/>
      <w:bookmarkStart w:id="413" w:name="_Toc337558806"/>
      <w:r>
        <w:rPr>
          <w:rFonts w:hint="eastAsia" w:asciiTheme="majorEastAsia" w:hAnsiTheme="majorEastAsia" w:eastAsiaTheme="majorEastAsia" w:cstheme="majorEastAsia"/>
          <w:bCs/>
          <w:snapToGrid w:val="0"/>
          <w:color w:val="auto"/>
          <w:szCs w:val="21"/>
          <w:highlight w:val="none"/>
        </w:rPr>
        <w:t>13.2竣工验收</w:t>
      </w:r>
      <w:bookmarkEnd w:id="412"/>
    </w:p>
    <w:bookmarkEnd w:id="410"/>
    <w:bookmarkEnd w:id="411"/>
    <w:bookmarkEnd w:id="413"/>
    <w:p w14:paraId="1683F19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13.2.1竣工验收条件</w:t>
      </w:r>
    </w:p>
    <w:p w14:paraId="6E2548A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工程具备以下条件的，承包人可以申请竣工验收：</w:t>
      </w:r>
    </w:p>
    <w:p w14:paraId="2D7D6C5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（1）除发包人同意的甩项工作和缺陷修补工作外，合同范围内的全部工程以及有关工作，包括合同要求的试验、试运行以及检验均已完成，并符合合同要求；</w:t>
      </w:r>
    </w:p>
    <w:p w14:paraId="0E4A536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（2）已按合同约定编制了甩项工作和缺陷修补工作清单以及相应的施工计划；</w:t>
      </w:r>
    </w:p>
    <w:p w14:paraId="6AF5F17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（3）已按合同约定的内容和份数备齐竣工资料。</w:t>
      </w:r>
    </w:p>
    <w:p w14:paraId="2632500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13.2.2竣工验收程序</w:t>
      </w:r>
    </w:p>
    <w:p w14:paraId="04A39A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除专用合同条款另有约定外，承包人申请竣工验收的，应当按照以下程序进行：</w:t>
      </w:r>
    </w:p>
    <w:p w14:paraId="0F626B7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87FE01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594728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AC7AF3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54E7A6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32ADCF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6AD19B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13.2.3竣工日期</w:t>
      </w:r>
    </w:p>
    <w:p w14:paraId="4FDA88E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14" w:name="#go14"/>
      <w:bookmarkEnd w:id="414"/>
      <w:r>
        <w:rPr>
          <w:rFonts w:hint="eastAsia" w:asciiTheme="majorEastAsia" w:hAnsiTheme="majorEastAsia" w:eastAsiaTheme="majorEastAsia" w:cstheme="majorEastAsia"/>
          <w:snapToGrid w:val="0"/>
          <w:color w:val="auto"/>
          <w:kern w:val="0"/>
          <w:szCs w:val="21"/>
          <w:highlight w:val="none"/>
        </w:rPr>
        <w:t>收申请报告的日期为实际竣工日期；工程未经竣工验收，发包人擅自使用的，以转移占有工程之日为实际竣工日期。</w:t>
      </w:r>
    </w:p>
    <w:p w14:paraId="6454CED2">
      <w:pPr>
        <w:widowControl/>
        <w:kinsoku w:val="0"/>
        <w:autoSpaceDE w:val="0"/>
        <w:autoSpaceDN w:val="0"/>
        <w:adjustRightInd w:val="0"/>
        <w:snapToGrid w:val="0"/>
        <w:spacing w:line="360" w:lineRule="auto"/>
        <w:ind w:firstLine="420" w:firstLineChars="200"/>
        <w:jc w:val="left"/>
        <w:textAlignment w:val="baseline"/>
        <w:outlineLvl w:val="0"/>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13.2.4 拒绝接收全部或部分工程</w:t>
      </w:r>
    </w:p>
    <w:p w14:paraId="7696A35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F80859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13.2.5 移交、接收全部与部分工程</w:t>
      </w:r>
    </w:p>
    <w:p w14:paraId="2A85097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除专用合同条款另有约定外，合同当事人应当在颁发工程接收证书后7天内完成工程的移交。</w:t>
      </w:r>
    </w:p>
    <w:p w14:paraId="58624FA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2CEF5C7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5FFA76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15" w:name="_Toc351203589"/>
      <w:bookmarkStart w:id="416" w:name="_Toc296503111"/>
      <w:bookmarkStart w:id="417" w:name="_Toc337558807"/>
      <w:bookmarkStart w:id="418" w:name="_Toc296346612"/>
      <w:r>
        <w:rPr>
          <w:rFonts w:hint="eastAsia" w:asciiTheme="majorEastAsia" w:hAnsiTheme="majorEastAsia" w:eastAsiaTheme="majorEastAsia" w:cstheme="majorEastAsia"/>
          <w:bCs/>
          <w:snapToGrid w:val="0"/>
          <w:color w:val="auto"/>
          <w:szCs w:val="21"/>
          <w:highlight w:val="none"/>
        </w:rPr>
        <w:t>13.3工程试车</w:t>
      </w:r>
      <w:bookmarkEnd w:id="415"/>
    </w:p>
    <w:bookmarkEnd w:id="416"/>
    <w:bookmarkEnd w:id="417"/>
    <w:bookmarkEnd w:id="418"/>
    <w:p w14:paraId="366F317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13.3.1试车程序</w:t>
      </w:r>
    </w:p>
    <w:p w14:paraId="18F4E5E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工程需要试车的，除专用合同条款另有约定外，试车内容应与承包人承包范围相一致，试车费用由承包人承担。工程试车应按如下程序进行：</w:t>
      </w:r>
    </w:p>
    <w:p w14:paraId="57DB03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E25B6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B078A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6367D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13.3.2 试车中的责任</w:t>
      </w:r>
    </w:p>
    <w:p w14:paraId="53EBC0A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06B3EF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3B8B9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13.3.3 投料试车</w:t>
      </w:r>
    </w:p>
    <w:p w14:paraId="13DD2AA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3A93EE7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259D657">
      <w:pPr>
        <w:keepNext/>
        <w:keepLines/>
        <w:kinsoku w:val="0"/>
        <w:autoSpaceDE w:val="0"/>
        <w:autoSpaceDN w:val="0"/>
        <w:adjustRightInd w:val="0"/>
        <w:snapToGrid w:val="0"/>
        <w:spacing w:before="120" w:after="120" w:line="360" w:lineRule="auto"/>
        <w:textAlignment w:val="baseline"/>
        <w:outlineLvl w:val="4"/>
        <w:rPr>
          <w:rFonts w:asciiTheme="majorEastAsia" w:hAnsiTheme="majorEastAsia" w:eastAsiaTheme="majorEastAsia" w:cstheme="majorEastAsia"/>
          <w:bCs/>
          <w:snapToGrid w:val="0"/>
          <w:color w:val="auto"/>
          <w:szCs w:val="21"/>
          <w:highlight w:val="none"/>
        </w:rPr>
      </w:pPr>
      <w:bookmarkStart w:id="419" w:name="_Toc351203590"/>
      <w:bookmarkStart w:id="420" w:name="_Toc337558808"/>
      <w:r>
        <w:rPr>
          <w:rFonts w:hint="eastAsia" w:asciiTheme="majorEastAsia" w:hAnsiTheme="majorEastAsia" w:eastAsiaTheme="majorEastAsia" w:cstheme="majorEastAsia"/>
          <w:b w:val="0"/>
          <w:bCs/>
          <w:snapToGrid w:val="0"/>
          <w:color w:val="auto"/>
          <w:sz w:val="21"/>
          <w:szCs w:val="21"/>
          <w:highlight w:val="none"/>
          <w:lang w:val="en-US" w:eastAsia="zh-CN" w:bidi="ar-SA"/>
        </w:rPr>
        <w:t xml:space="preserve">    </w:t>
      </w:r>
      <w:r>
        <w:rPr>
          <w:rFonts w:hint="eastAsia" w:asciiTheme="majorEastAsia" w:hAnsiTheme="majorEastAsia" w:eastAsiaTheme="majorEastAsia" w:cstheme="majorEastAsia"/>
          <w:bCs/>
          <w:snapToGrid w:val="0"/>
          <w:color w:val="auto"/>
          <w:szCs w:val="21"/>
          <w:highlight w:val="none"/>
        </w:rPr>
        <w:t>13.4提前交付单位工程的验收</w:t>
      </w:r>
      <w:bookmarkEnd w:id="419"/>
    </w:p>
    <w:bookmarkEnd w:id="420"/>
    <w:p w14:paraId="7873E8E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1C5E1C5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3C7BB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2ECC3D3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21" w:name="_Toc351203591"/>
      <w:r>
        <w:rPr>
          <w:rFonts w:hint="eastAsia" w:asciiTheme="majorEastAsia" w:hAnsiTheme="majorEastAsia" w:eastAsiaTheme="majorEastAsia" w:cstheme="majorEastAsia"/>
          <w:bCs/>
          <w:snapToGrid w:val="0"/>
          <w:color w:val="auto"/>
          <w:szCs w:val="21"/>
          <w:highlight w:val="none"/>
        </w:rPr>
        <w:t>13.5 施工期运行</w:t>
      </w:r>
      <w:bookmarkEnd w:id="421"/>
    </w:p>
    <w:p w14:paraId="6BF2A53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5AFF52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13.5.2 在施工期运行中发现工程或工程设备损坏或存在缺陷的，由承包人按第15.2款〔缺陷责任期〕约定进行修复。</w:t>
      </w:r>
    </w:p>
    <w:p w14:paraId="7D6793F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22" w:name="_Toc296346613"/>
      <w:bookmarkStart w:id="423" w:name="_Toc296503112"/>
      <w:bookmarkStart w:id="424" w:name="_Toc351203592"/>
      <w:bookmarkStart w:id="425" w:name="_Toc337558809"/>
      <w:r>
        <w:rPr>
          <w:rFonts w:hint="eastAsia" w:asciiTheme="majorEastAsia" w:hAnsiTheme="majorEastAsia" w:eastAsiaTheme="majorEastAsia" w:cstheme="majorEastAsia"/>
          <w:bCs/>
          <w:snapToGrid w:val="0"/>
          <w:color w:val="auto"/>
          <w:szCs w:val="21"/>
          <w:highlight w:val="none"/>
        </w:rPr>
        <w:t>13.6 竣工退</w:t>
      </w:r>
      <w:bookmarkEnd w:id="422"/>
      <w:bookmarkEnd w:id="423"/>
      <w:r>
        <w:rPr>
          <w:rFonts w:hint="eastAsia" w:asciiTheme="majorEastAsia" w:hAnsiTheme="majorEastAsia" w:eastAsiaTheme="majorEastAsia" w:cstheme="majorEastAsia"/>
          <w:bCs/>
          <w:snapToGrid w:val="0"/>
          <w:color w:val="auto"/>
          <w:szCs w:val="21"/>
          <w:highlight w:val="none"/>
        </w:rPr>
        <w:t>场</w:t>
      </w:r>
      <w:bookmarkEnd w:id="424"/>
    </w:p>
    <w:bookmarkEnd w:id="425"/>
    <w:p w14:paraId="4EBDB19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13.6.1 竣工退场</w:t>
      </w:r>
    </w:p>
    <w:p w14:paraId="2429E54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颁发工程接收证书后，承包人应按以下要求对施工现场进行清理：</w:t>
      </w:r>
    </w:p>
    <w:p w14:paraId="7694CF1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（1）施工现场内残留的垃圾已全部清除出场；</w:t>
      </w:r>
    </w:p>
    <w:p w14:paraId="4CBC8F9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（2）临时工程已拆除，场地已进行清理、平整或复原；</w:t>
      </w:r>
    </w:p>
    <w:p w14:paraId="639C6D0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（3）按合同约定应撤离的人员、承包人施工设备和剩余的材料，包括废弃的施工设备和材料，已按计划撤离施工现场；</w:t>
      </w:r>
    </w:p>
    <w:p w14:paraId="5282B06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（4）施工现场周边及其附近道路、河道的施工堆积物，已全部清理；</w:t>
      </w:r>
    </w:p>
    <w:p w14:paraId="3EAD2E2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（5）施工现场其他场地清理工作已全部完成。</w:t>
      </w:r>
    </w:p>
    <w:p w14:paraId="1CCE64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308CB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13.6.2 地表还原</w:t>
      </w:r>
    </w:p>
    <w:p w14:paraId="1088F79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61F9D71">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426" w:name="_Toc351203593"/>
      <w:bookmarkStart w:id="427" w:name="_Toc337558810"/>
      <w:bookmarkStart w:id="428" w:name="_Toc296503113"/>
      <w:bookmarkStart w:id="429" w:name="_Toc296346614"/>
      <w:r>
        <w:rPr>
          <w:rFonts w:hint="eastAsia" w:asciiTheme="majorEastAsia" w:hAnsiTheme="majorEastAsia" w:eastAsiaTheme="majorEastAsia" w:cstheme="majorEastAsia"/>
          <w:bCs/>
          <w:snapToGrid w:val="0"/>
          <w:color w:val="auto"/>
          <w:szCs w:val="21"/>
          <w:highlight w:val="none"/>
        </w:rPr>
        <w:t>14. 竣工结算</w:t>
      </w:r>
      <w:bookmarkEnd w:id="426"/>
    </w:p>
    <w:bookmarkEnd w:id="427"/>
    <w:p w14:paraId="4A464AC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30" w:name="_Toc351203594"/>
      <w:bookmarkStart w:id="431" w:name="_Toc337558811"/>
      <w:r>
        <w:rPr>
          <w:rFonts w:hint="eastAsia" w:asciiTheme="majorEastAsia" w:hAnsiTheme="majorEastAsia" w:eastAsiaTheme="majorEastAsia" w:cstheme="majorEastAsia"/>
          <w:bCs/>
          <w:snapToGrid w:val="0"/>
          <w:color w:val="auto"/>
          <w:szCs w:val="21"/>
          <w:highlight w:val="none"/>
        </w:rPr>
        <w:t>14.1 竣工结算申请</w:t>
      </w:r>
      <w:bookmarkEnd w:id="430"/>
    </w:p>
    <w:bookmarkEnd w:id="431"/>
    <w:p w14:paraId="49B63CE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E6C41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除专用合同条款另有约定外，竣工结算申请单应包括以下内容：</w:t>
      </w:r>
    </w:p>
    <w:p w14:paraId="42318A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（1）竣工结算合同价格；</w:t>
      </w:r>
    </w:p>
    <w:p w14:paraId="7A67C22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（2）发包人已支付承包人的款项；</w:t>
      </w:r>
    </w:p>
    <w:p w14:paraId="100CFC6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（3）应扣留的质量保证金。已缴纳履约保证金的或提供其他工程质量担保方式的除外； </w:t>
      </w:r>
    </w:p>
    <w:p w14:paraId="395B1EA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（4）发包人应支付承包人的合同价款。</w:t>
      </w:r>
    </w:p>
    <w:p w14:paraId="24613F3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32" w:name="_Toc351203595"/>
      <w:bookmarkStart w:id="433" w:name="_Toc337558812"/>
      <w:r>
        <w:rPr>
          <w:rFonts w:hint="eastAsia" w:asciiTheme="majorEastAsia" w:hAnsiTheme="majorEastAsia" w:eastAsiaTheme="majorEastAsia" w:cstheme="majorEastAsia"/>
          <w:bCs/>
          <w:snapToGrid w:val="0"/>
          <w:color w:val="auto"/>
          <w:szCs w:val="21"/>
          <w:highlight w:val="none"/>
        </w:rPr>
        <w:t>14.2 竣工结算审核</w:t>
      </w:r>
      <w:bookmarkEnd w:id="432"/>
    </w:p>
    <w:bookmarkEnd w:id="433"/>
    <w:p w14:paraId="48356D2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DB030A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FBF73B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80632D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1AEBC6D">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34" w:name="_Toc351203596"/>
      <w:bookmarkStart w:id="435" w:name="_Toc337558813"/>
      <w:r>
        <w:rPr>
          <w:rFonts w:hint="eastAsia" w:asciiTheme="majorEastAsia" w:hAnsiTheme="majorEastAsia" w:eastAsiaTheme="majorEastAsia" w:cstheme="majorEastAsia"/>
          <w:bCs/>
          <w:snapToGrid w:val="0"/>
          <w:color w:val="auto"/>
          <w:szCs w:val="21"/>
          <w:highlight w:val="none"/>
        </w:rPr>
        <w:t>14.3 甩项竣工协议</w:t>
      </w:r>
      <w:bookmarkEnd w:id="434"/>
    </w:p>
    <w:bookmarkEnd w:id="435"/>
    <w:p w14:paraId="492467CE">
      <w:pPr>
        <w:widowControl/>
        <w:kinsoku w:val="0"/>
        <w:autoSpaceDE w:val="0"/>
        <w:autoSpaceDN w:val="0"/>
        <w:adjustRightInd w:val="0"/>
        <w:snapToGrid w:val="0"/>
        <w:spacing w:line="360" w:lineRule="auto"/>
        <w:ind w:firstLine="411" w:firstLineChars="196"/>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2227C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36" w:name="_Toc351203597"/>
      <w:bookmarkStart w:id="437" w:name="_Toc337558814"/>
      <w:r>
        <w:rPr>
          <w:rFonts w:hint="eastAsia" w:asciiTheme="majorEastAsia" w:hAnsiTheme="majorEastAsia" w:eastAsiaTheme="majorEastAsia" w:cstheme="majorEastAsia"/>
          <w:bCs/>
          <w:snapToGrid w:val="0"/>
          <w:color w:val="auto"/>
          <w:szCs w:val="21"/>
          <w:highlight w:val="none"/>
        </w:rPr>
        <w:t>14.4 最终结清</w:t>
      </w:r>
      <w:bookmarkEnd w:id="436"/>
    </w:p>
    <w:bookmarkEnd w:id="437"/>
    <w:p w14:paraId="55ABE9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14.4.1 最终结清申请单</w:t>
      </w:r>
    </w:p>
    <w:p w14:paraId="6311DD0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040939B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除专用合同条款另有约定外，最终结清申请单应列明质量保证金、应扣除的质量保证金、缺陷责任期内发生的增减费用。</w:t>
      </w:r>
    </w:p>
    <w:p w14:paraId="77FCAEA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（2）发包人对最终结清申请单内容有异议的，有权要求承包人进行修正和提供补充资料，承包人应向发包人提交修正后的最终结清申请单。</w:t>
      </w:r>
    </w:p>
    <w:p w14:paraId="31DFCA1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14.4.2 最终结清证书和支付</w:t>
      </w:r>
    </w:p>
    <w:p w14:paraId="4C62AB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0AA38D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2F5587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（3）承包人对发包人颁发的最终结清证书有异议的，按第20条〔争议解决〕的约定办理。</w:t>
      </w:r>
    </w:p>
    <w:p w14:paraId="5B23CBEB">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438" w:name="_Toc351203598"/>
      <w:bookmarkStart w:id="439" w:name="_Toc337558815"/>
      <w:r>
        <w:rPr>
          <w:rFonts w:hint="eastAsia" w:asciiTheme="majorEastAsia" w:hAnsiTheme="majorEastAsia" w:eastAsiaTheme="majorEastAsia" w:cstheme="majorEastAsia"/>
          <w:bCs/>
          <w:snapToGrid w:val="0"/>
          <w:color w:val="auto"/>
          <w:szCs w:val="21"/>
          <w:highlight w:val="none"/>
        </w:rPr>
        <w:t>15. 缺陷责任与保修</w:t>
      </w:r>
      <w:bookmarkEnd w:id="438"/>
    </w:p>
    <w:bookmarkEnd w:id="428"/>
    <w:bookmarkEnd w:id="429"/>
    <w:bookmarkEnd w:id="439"/>
    <w:p w14:paraId="53FAB90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40" w:name="_Toc351203599"/>
      <w:bookmarkStart w:id="441" w:name="_Toc337558816"/>
      <w:bookmarkStart w:id="442" w:name="_Toc296503114"/>
      <w:bookmarkStart w:id="443" w:name="_Toc296346615"/>
      <w:r>
        <w:rPr>
          <w:rFonts w:hint="eastAsia" w:asciiTheme="majorEastAsia" w:hAnsiTheme="majorEastAsia" w:eastAsiaTheme="majorEastAsia" w:cstheme="majorEastAsia"/>
          <w:bCs/>
          <w:snapToGrid w:val="0"/>
          <w:color w:val="auto"/>
          <w:szCs w:val="21"/>
          <w:highlight w:val="none"/>
        </w:rPr>
        <w:t>15.1 工程保修的原则</w:t>
      </w:r>
      <w:bookmarkEnd w:id="440"/>
    </w:p>
    <w:bookmarkEnd w:id="441"/>
    <w:p w14:paraId="5671E58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2AA12B1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44" w:name="_Toc351203600"/>
      <w:bookmarkStart w:id="445" w:name="_Toc337558817"/>
      <w:r>
        <w:rPr>
          <w:rFonts w:hint="eastAsia" w:asciiTheme="majorEastAsia" w:hAnsiTheme="majorEastAsia" w:eastAsiaTheme="majorEastAsia" w:cstheme="majorEastAsia"/>
          <w:bCs/>
          <w:snapToGrid w:val="0"/>
          <w:color w:val="auto"/>
          <w:szCs w:val="21"/>
          <w:highlight w:val="none"/>
        </w:rPr>
        <w:t>15.2 缺陷责任期</w:t>
      </w:r>
      <w:bookmarkEnd w:id="442"/>
      <w:bookmarkEnd w:id="443"/>
      <w:bookmarkEnd w:id="444"/>
    </w:p>
    <w:bookmarkEnd w:id="445"/>
    <w:p w14:paraId="19D0729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15.2.1 缺陷责任期从工程通过竣工验收之日起计算，合同当事人应在专用合同条款约定缺陷责任期的具体期限，但该期限最长不超过24个月。</w:t>
      </w:r>
    </w:p>
    <w:p w14:paraId="1A05B64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AD866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ajorEastAsia" w:hAnsiTheme="majorEastAsia" w:eastAsiaTheme="majorEastAsia" w:cstheme="majorEastAsia"/>
          <w:bCs/>
          <w:snapToGrid w:val="0"/>
          <w:color w:val="auto"/>
          <w:kern w:val="0"/>
          <w:szCs w:val="21"/>
          <w:highlight w:val="none"/>
        </w:rPr>
        <w:t>包人延长缺陷责任期，</w:t>
      </w:r>
      <w:r>
        <w:rPr>
          <w:rFonts w:hint="eastAsia" w:asciiTheme="majorEastAsia" w:hAnsiTheme="majorEastAsia" w:eastAsiaTheme="majorEastAsia" w:cstheme="majorEastAsia"/>
          <w:snapToGrid w:val="0"/>
          <w:color w:val="auto"/>
          <w:kern w:val="0"/>
          <w:szCs w:val="21"/>
          <w:highlight w:val="none"/>
        </w:rPr>
        <w:t>并应在原缺陷责任期届满前发出延长通知。</w:t>
      </w:r>
      <w:r>
        <w:rPr>
          <w:rFonts w:hint="eastAsia" w:asciiTheme="majorEastAsia" w:hAnsiTheme="majorEastAsia" w:eastAsiaTheme="majorEastAsia" w:cstheme="majorEastAsia"/>
          <w:bCs/>
          <w:snapToGrid w:val="0"/>
          <w:color w:val="auto"/>
          <w:kern w:val="0"/>
          <w:szCs w:val="21"/>
          <w:highlight w:val="none"/>
        </w:rPr>
        <w:t>但缺陷责任期（含延长部分）最长</w:t>
      </w:r>
      <w:r>
        <w:rPr>
          <w:rFonts w:hint="eastAsia" w:asciiTheme="majorEastAsia" w:hAnsiTheme="majorEastAsia" w:eastAsiaTheme="majorEastAsia" w:cstheme="majorEastAsia"/>
          <w:snapToGrid w:val="0"/>
          <w:color w:val="auto"/>
          <w:kern w:val="0"/>
          <w:szCs w:val="21"/>
          <w:highlight w:val="none"/>
        </w:rPr>
        <w:t>不能超过24个月。</w:t>
      </w:r>
    </w:p>
    <w:p w14:paraId="4F78EC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由他人原因造成的缺陷，发包人负责组织维修，承包人不承担费用，且发包人不得从保证金中扣除费用。</w:t>
      </w:r>
    </w:p>
    <w:p w14:paraId="5637384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6208430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B16458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46" w:name="_Toc351203601"/>
      <w:bookmarkStart w:id="447" w:name="_Toc337558818"/>
      <w:bookmarkStart w:id="448" w:name="_Toc296503115"/>
      <w:bookmarkStart w:id="449" w:name="_Toc296346616"/>
      <w:r>
        <w:rPr>
          <w:rFonts w:hint="eastAsia" w:asciiTheme="majorEastAsia" w:hAnsiTheme="majorEastAsia" w:eastAsiaTheme="majorEastAsia" w:cstheme="majorEastAsia"/>
          <w:bCs/>
          <w:snapToGrid w:val="0"/>
          <w:color w:val="auto"/>
          <w:szCs w:val="21"/>
          <w:highlight w:val="none"/>
        </w:rPr>
        <w:t>15.3 质量保证金</w:t>
      </w:r>
      <w:bookmarkEnd w:id="446"/>
    </w:p>
    <w:bookmarkEnd w:id="447"/>
    <w:p w14:paraId="4733C0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经合同当事人协商一致扣留质量保证金的，应在专用合同条款中予以明确。</w:t>
      </w:r>
    </w:p>
    <w:p w14:paraId="75633AE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在工程项目竣工前，承包人已经提供履约担保的，发包人不得同时预留工程质量保证金。</w:t>
      </w:r>
    </w:p>
    <w:p w14:paraId="0072EF7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p>
    <w:p w14:paraId="0DC6834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15.3.1 承包人提供质量保证金的方式</w:t>
      </w:r>
    </w:p>
    <w:p w14:paraId="2CBD267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承包人提供质量保证金有以下三种方式：</w:t>
      </w:r>
    </w:p>
    <w:p w14:paraId="3D5F3E5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（1）质量保证金保函； </w:t>
      </w:r>
    </w:p>
    <w:p w14:paraId="485E990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（2）相应比例的工程款；</w:t>
      </w:r>
    </w:p>
    <w:p w14:paraId="2153412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（3）双方约定的其他方式。</w:t>
      </w:r>
    </w:p>
    <w:p w14:paraId="09E49A0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除专用合同条款另有约定外，质量保证金原则上采用上述第（1）种方式。</w:t>
      </w:r>
    </w:p>
    <w:p w14:paraId="37BD8D0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15.3.2 质量保证金的扣留</w:t>
      </w:r>
    </w:p>
    <w:p w14:paraId="064FDAE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质量保证金的扣留有以下三种方式：</w:t>
      </w:r>
    </w:p>
    <w:p w14:paraId="0F4BDD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（1）在支付工程进度款时逐次扣留，在此情形下，质量保证金的计算基数不包括预付款的支付、扣回以及价格调整的金额；</w:t>
      </w:r>
    </w:p>
    <w:p w14:paraId="071E697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（2）工</w:t>
      </w:r>
      <w:bookmarkStart w:id="450" w:name="#go6"/>
      <w:bookmarkEnd w:id="450"/>
      <w:r>
        <w:rPr>
          <w:rFonts w:hint="eastAsia" w:asciiTheme="majorEastAsia" w:hAnsiTheme="majorEastAsia" w:eastAsiaTheme="majorEastAsia" w:cstheme="majorEastAsia"/>
          <w:snapToGrid w:val="0"/>
          <w:color w:val="auto"/>
          <w:kern w:val="0"/>
          <w:szCs w:val="21"/>
          <w:highlight w:val="none"/>
        </w:rPr>
        <w:t>程竣工结算时一次性扣留质量保证金；</w:t>
      </w:r>
    </w:p>
    <w:p w14:paraId="74F0253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（3）双方约定的其他扣留方式。</w:t>
      </w:r>
    </w:p>
    <w:p w14:paraId="73476DD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除专用合同条款另有约定外，质量保证金的扣留原则上采用上述第（1）种方式。</w:t>
      </w:r>
    </w:p>
    <w:p w14:paraId="241A513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w:t>
      </w:r>
      <w:bookmarkStart w:id="451" w:name="#go4"/>
      <w:bookmarkEnd w:id="451"/>
      <w:r>
        <w:rPr>
          <w:rFonts w:hint="eastAsia" w:asciiTheme="majorEastAsia" w:hAnsiTheme="majorEastAsia" w:eastAsiaTheme="majorEastAsia" w:cstheme="majorEastAsia"/>
          <w:snapToGrid w:val="0"/>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D31EE9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发包人在退还质量保证金的同时按照中国人民银行发布的同期同类贷款基准利率支付利息。</w:t>
      </w:r>
    </w:p>
    <w:p w14:paraId="7731A01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15.3.3 质量保证金的退还</w:t>
      </w:r>
    </w:p>
    <w:p w14:paraId="5A110CE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缺陷责任期内，承包人认真履行合同约定的责任，到期后，承包人可向发包人申请返还保证金。</w:t>
      </w:r>
    </w:p>
    <w:p w14:paraId="6B511E0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A9A93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发包人和承包人对保证金预留、返还以及工程维修质量、费用有争议的，按本合同第20条约定的争议和纠纷解决程序处理。</w:t>
      </w:r>
    </w:p>
    <w:p w14:paraId="0D94545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52" w:name="_Toc351203602"/>
      <w:bookmarkStart w:id="453" w:name="_Toc337558819"/>
      <w:r>
        <w:rPr>
          <w:rFonts w:hint="eastAsia" w:asciiTheme="majorEastAsia" w:hAnsiTheme="majorEastAsia" w:eastAsiaTheme="majorEastAsia" w:cstheme="majorEastAsia"/>
          <w:bCs/>
          <w:snapToGrid w:val="0"/>
          <w:color w:val="auto"/>
          <w:szCs w:val="21"/>
          <w:highlight w:val="none"/>
        </w:rPr>
        <w:t>15.4 保修</w:t>
      </w:r>
      <w:bookmarkEnd w:id="452"/>
    </w:p>
    <w:bookmarkEnd w:id="448"/>
    <w:bookmarkEnd w:id="449"/>
    <w:bookmarkEnd w:id="453"/>
    <w:p w14:paraId="626D4C3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15.4.1保修责任</w:t>
      </w:r>
    </w:p>
    <w:p w14:paraId="7B35871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36B34A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发包人未经竣工验收擅自使用工程的，保修期自转移占有之日起算。</w:t>
      </w:r>
    </w:p>
    <w:p w14:paraId="2CED79D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15.4.2 修复费用</w:t>
      </w:r>
    </w:p>
    <w:p w14:paraId="5F74086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保修期内，修复的费用按照以下约定处理：</w:t>
      </w:r>
    </w:p>
    <w:p w14:paraId="1BA9BAD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（1）保修期内，因承包人原因造成工程的缺陷、损坏，承包人应负责修复，并承担修复的费用以及因工程的缺陷、损坏造成的人身伤害和财产损失；</w:t>
      </w:r>
    </w:p>
    <w:p w14:paraId="3DE95CE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（2）保修期内，因发包人使用不当造成工程的缺陷、损坏，可以委托承包人修复，但发包人应承担修复的费用，并支付承包人合理利润；</w:t>
      </w:r>
    </w:p>
    <w:p w14:paraId="6E30B7E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788D7DB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15.4.3 修复通知</w:t>
      </w:r>
    </w:p>
    <w:p w14:paraId="6E81106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E257AE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15.4.4 未能修复</w:t>
      </w:r>
    </w:p>
    <w:p w14:paraId="0BFB25B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16527C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15.4.5 承包人出入权</w:t>
      </w:r>
    </w:p>
    <w:p w14:paraId="45E5C16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831252A">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454" w:name="_Toc351203603"/>
      <w:bookmarkStart w:id="455" w:name="_Toc337558820"/>
      <w:r>
        <w:rPr>
          <w:rFonts w:hint="eastAsia" w:asciiTheme="majorEastAsia" w:hAnsiTheme="majorEastAsia" w:eastAsiaTheme="majorEastAsia" w:cstheme="majorEastAsia"/>
          <w:bCs/>
          <w:snapToGrid w:val="0"/>
          <w:color w:val="auto"/>
          <w:szCs w:val="21"/>
          <w:highlight w:val="none"/>
        </w:rPr>
        <w:t>16. 违约</w:t>
      </w:r>
      <w:bookmarkEnd w:id="454"/>
    </w:p>
    <w:bookmarkEnd w:id="455"/>
    <w:p w14:paraId="5EF9857A">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56" w:name="_Toc296346630"/>
      <w:bookmarkStart w:id="457" w:name="_Toc296503129"/>
      <w:bookmarkStart w:id="458" w:name="_Toc351203604"/>
      <w:bookmarkStart w:id="459" w:name="_Toc337558821"/>
      <w:r>
        <w:rPr>
          <w:rFonts w:hint="eastAsia" w:asciiTheme="majorEastAsia" w:hAnsiTheme="majorEastAsia" w:eastAsiaTheme="majorEastAsia" w:cstheme="majorEastAsia"/>
          <w:bCs/>
          <w:snapToGrid w:val="0"/>
          <w:color w:val="auto"/>
          <w:szCs w:val="21"/>
          <w:highlight w:val="none"/>
        </w:rPr>
        <w:t>16.1 发</w:t>
      </w:r>
      <w:bookmarkEnd w:id="456"/>
      <w:bookmarkEnd w:id="457"/>
      <w:r>
        <w:rPr>
          <w:rFonts w:hint="eastAsia" w:asciiTheme="majorEastAsia" w:hAnsiTheme="majorEastAsia" w:eastAsiaTheme="majorEastAsia" w:cstheme="majorEastAsia"/>
          <w:bCs/>
          <w:snapToGrid w:val="0"/>
          <w:color w:val="auto"/>
          <w:szCs w:val="21"/>
          <w:highlight w:val="none"/>
        </w:rPr>
        <w:t>包人违约</w:t>
      </w:r>
      <w:bookmarkEnd w:id="458"/>
    </w:p>
    <w:bookmarkEnd w:id="459"/>
    <w:p w14:paraId="3FCF82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16.1.1 发包人违约的情形</w:t>
      </w:r>
    </w:p>
    <w:p w14:paraId="186803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在合同履行过程中发生的下列情形，属于发包人违约：</w:t>
      </w:r>
    </w:p>
    <w:p w14:paraId="251DE3E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（1）因发包人原因未能在计划开工日期前7天内下达开工通知的；</w:t>
      </w:r>
    </w:p>
    <w:p w14:paraId="047A9F6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（2）因发包人原因未能按合同约定支付合同价款的；</w:t>
      </w:r>
    </w:p>
    <w:p w14:paraId="508C2C5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（3）发包人违反第10.1款〔变更的范围〕第（2）项约定，自行实施被取消的工作或转由他人实施的；</w:t>
      </w:r>
    </w:p>
    <w:p w14:paraId="0691ABE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（4）发包人提供的材料、工程设备的规格、数量或质量不符合合同约定，或因发包人原因导致交货日期延误或交货地点变更等情况的；</w:t>
      </w:r>
    </w:p>
    <w:p w14:paraId="4E7556E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（5）因发包人违反合同约定造成暂停施工的；</w:t>
      </w:r>
    </w:p>
    <w:p w14:paraId="089139A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（6）发包人无正当理由没有在约定期限内发出复工指示，导致承包人无法复工的；</w:t>
      </w:r>
    </w:p>
    <w:p w14:paraId="581A148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（7）发包人明确表示或者以其行为表明不履行合同主要义务的；</w:t>
      </w:r>
    </w:p>
    <w:p w14:paraId="7D536A3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（8）发包人未能按照合同约定履行其他义务的。</w:t>
      </w:r>
    </w:p>
    <w:p w14:paraId="000C881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F36AC2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16.1.2 发包人违约的责任</w:t>
      </w:r>
    </w:p>
    <w:p w14:paraId="2F3D6F9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64CE2E8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16.1.3 因发包人违约解除合同</w:t>
      </w:r>
    </w:p>
    <w:p w14:paraId="3834076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E98D7B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16.1.4 因发包人违约解除合同后的付款</w:t>
      </w:r>
    </w:p>
    <w:p w14:paraId="40E38FB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承包人按照本款约定解除合同的，发包人应在解除合同后28天内支付下列款项，并解除履约担保：</w:t>
      </w:r>
    </w:p>
    <w:p w14:paraId="2242DE1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（1）合同解除前所完成工作的价款；</w:t>
      </w:r>
    </w:p>
    <w:p w14:paraId="106F95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（2）承包人为工程施工订购并已付款的材料、工程设备和其他物品的价款；</w:t>
      </w:r>
    </w:p>
    <w:p w14:paraId="48B481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（3）承包人撤离施工现场以及遣散承包人人员的款项；</w:t>
      </w:r>
    </w:p>
    <w:p w14:paraId="61E8A65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（4）按照合同约定在合同解除前应支付的违约金；</w:t>
      </w:r>
    </w:p>
    <w:p w14:paraId="3D719B8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（5）按照合同约定应当支付给承包人的其他款项；</w:t>
      </w:r>
    </w:p>
    <w:p w14:paraId="6080B8B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（6）按照合同约定应退还的质量保证金；</w:t>
      </w:r>
    </w:p>
    <w:p w14:paraId="102E3C3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（7）因解除合同给承包人造成的损失。</w:t>
      </w:r>
    </w:p>
    <w:p w14:paraId="6B968EE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合同当事人未能就解除合同后的结清达成一致的，按照第20条〔争议解决〕的约定处理。</w:t>
      </w:r>
    </w:p>
    <w:p w14:paraId="35CC138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67898236">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60" w:name="_Toc351203605"/>
      <w:bookmarkStart w:id="461" w:name="_Toc337558822"/>
      <w:bookmarkStart w:id="462" w:name="_Toc296503131"/>
      <w:bookmarkStart w:id="463" w:name="_Toc296346632"/>
      <w:r>
        <w:rPr>
          <w:rFonts w:hint="eastAsia" w:asciiTheme="majorEastAsia" w:hAnsiTheme="majorEastAsia" w:eastAsiaTheme="majorEastAsia" w:cstheme="majorEastAsia"/>
          <w:bCs/>
          <w:snapToGrid w:val="0"/>
          <w:color w:val="auto"/>
          <w:szCs w:val="21"/>
          <w:highlight w:val="none"/>
        </w:rPr>
        <w:t>16.2 承包人违约</w:t>
      </w:r>
      <w:bookmarkEnd w:id="460"/>
    </w:p>
    <w:bookmarkEnd w:id="461"/>
    <w:bookmarkEnd w:id="462"/>
    <w:bookmarkEnd w:id="463"/>
    <w:p w14:paraId="412B10D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16.2.1 承包人违约的情形</w:t>
      </w:r>
    </w:p>
    <w:p w14:paraId="1E65672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在合同履行过程中发生的下列情形，属于承包人违约：</w:t>
      </w:r>
    </w:p>
    <w:p w14:paraId="409B4DE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（1）承包人违反合同约定进行转包或违法分包的；</w:t>
      </w:r>
    </w:p>
    <w:p w14:paraId="36FF796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（2）承包人违反合同约定采购和使用不合格的材料和工程设备的；</w:t>
      </w:r>
    </w:p>
    <w:p w14:paraId="55BBBCA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（3）因承包人原因导致工程质量不符合合同要求的； </w:t>
      </w:r>
    </w:p>
    <w:p w14:paraId="52039AF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（4）承包人违反第8.9款〔材料与设备专用要求〕的约定，未经批准，私自将已按照合同约定进入施工现场的材料或设备撤离施工现场的；</w:t>
      </w:r>
    </w:p>
    <w:p w14:paraId="33F2E70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（5）承包人未能按施工进度计划及时完成合同约定的工作，造成工期延误的；</w:t>
      </w:r>
    </w:p>
    <w:p w14:paraId="289F93C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（6）承包人在缺陷责任期及保修期内，未能在合理期限对工程缺陷进行修复，或拒绝按发包人要求进行修复的；</w:t>
      </w:r>
    </w:p>
    <w:p w14:paraId="0D96627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（7）承包人明确表示或者以其行为表明不履行合同主要义务的；</w:t>
      </w:r>
    </w:p>
    <w:p w14:paraId="7A32249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（8）承包人未能按照合同约定履行其他义务的。</w:t>
      </w:r>
    </w:p>
    <w:p w14:paraId="1FCF8CD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承包人发生除本项第（7）目约定以外的其他违约情况时，监理人可向承包人发出整改通知，要求其在指定的期限内改正。</w:t>
      </w:r>
    </w:p>
    <w:p w14:paraId="57C8B30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16.2.2 承包人违约的责任</w:t>
      </w:r>
    </w:p>
    <w:p w14:paraId="6BB3FB2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承包人应承担因其违约行为而增加的费用和（或）延误的工期。此外，合同当事人可在专用合同条款中另行约定承包人违约责任的承担方式和计算方法。</w:t>
      </w:r>
    </w:p>
    <w:p w14:paraId="5E27BB1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16.2.3 因承包人违约解除合同</w:t>
      </w:r>
    </w:p>
    <w:p w14:paraId="3EDA5B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FA9FC9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16.2.4因承包人违约解除合同后的处理</w:t>
      </w:r>
    </w:p>
    <w:p w14:paraId="44D0C5D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因承包人原因导致合同解除的，则合同当事人应在合同解除后28天内完成估价、付款和清算，并按以下约定执行：</w:t>
      </w:r>
    </w:p>
    <w:p w14:paraId="1B62DA7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（1）合同解除后，按第4.4款〔商定或确定〕商定或确定承包人实际完成工作对应的合同价款，以及承包人已提供的材料、工程设备、施工设备和临时工程等的价值；</w:t>
      </w:r>
    </w:p>
    <w:p w14:paraId="5ED7EB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（2）合同解除后，承包人应支付的违约金；</w:t>
      </w:r>
    </w:p>
    <w:p w14:paraId="6839E0C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（3）合同解除后，因解除合同给发包人造成的损失；</w:t>
      </w:r>
    </w:p>
    <w:p w14:paraId="1541692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（4）合同解除后，承包人应按照发包人要求和监理人的指示完成现场的清理和撤离；</w:t>
      </w:r>
    </w:p>
    <w:p w14:paraId="6F01E25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（5）发包人和承包人应在合同解除后进行清算，出具最终结清付款证书，结清全部款项。</w:t>
      </w:r>
    </w:p>
    <w:p w14:paraId="52B1B6A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0BDFFA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16.2.5采购合同权益转让</w:t>
      </w:r>
    </w:p>
    <w:p w14:paraId="670E9F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F7A361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64" w:name="_Toc351203606"/>
      <w:r>
        <w:rPr>
          <w:rFonts w:hint="eastAsia" w:asciiTheme="majorEastAsia" w:hAnsiTheme="majorEastAsia" w:eastAsiaTheme="majorEastAsia" w:cstheme="majorEastAsia"/>
          <w:bCs/>
          <w:snapToGrid w:val="0"/>
          <w:color w:val="auto"/>
          <w:szCs w:val="21"/>
          <w:highlight w:val="none"/>
        </w:rPr>
        <w:t>16.3 第三人造成的违约</w:t>
      </w:r>
      <w:bookmarkEnd w:id="464"/>
    </w:p>
    <w:p w14:paraId="63285F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58A50221">
      <w:pPr>
        <w:keepNext/>
        <w:keepLines/>
        <w:kinsoku w:val="0"/>
        <w:autoSpaceDE w:val="0"/>
        <w:autoSpaceDN w:val="0"/>
        <w:adjustRightInd w:val="0"/>
        <w:snapToGrid w:val="0"/>
        <w:spacing w:before="120" w:after="120" w:line="376" w:lineRule="auto"/>
        <w:ind w:firstLine="420" w:firstLineChars="200"/>
        <w:textAlignment w:val="baseline"/>
        <w:outlineLvl w:val="3"/>
        <w:rPr>
          <w:rFonts w:asciiTheme="majorEastAsia" w:hAnsiTheme="majorEastAsia" w:eastAsiaTheme="majorEastAsia" w:cstheme="majorEastAsia"/>
          <w:bCs/>
          <w:snapToGrid w:val="0"/>
          <w:color w:val="auto"/>
          <w:szCs w:val="21"/>
          <w:highlight w:val="none"/>
        </w:rPr>
      </w:pPr>
      <w:bookmarkStart w:id="465" w:name="_Toc337558823"/>
      <w:bookmarkStart w:id="466" w:name="_Toc351203607"/>
      <w:bookmarkStart w:id="467" w:name="_Toc296346617"/>
      <w:bookmarkStart w:id="468" w:name="_Toc296503116"/>
      <w:r>
        <w:rPr>
          <w:rFonts w:hint="eastAsia" w:asciiTheme="majorEastAsia" w:hAnsiTheme="majorEastAsia" w:eastAsiaTheme="majorEastAsia" w:cstheme="majorEastAsia"/>
          <w:bCs/>
          <w:snapToGrid w:val="0"/>
          <w:color w:val="auto"/>
          <w:szCs w:val="21"/>
          <w:highlight w:val="none"/>
        </w:rPr>
        <w:t>17. 不可抗力</w:t>
      </w:r>
      <w:bookmarkEnd w:id="465"/>
      <w:bookmarkEnd w:id="466"/>
      <w:bookmarkEnd w:id="467"/>
      <w:bookmarkEnd w:id="468"/>
      <w:r>
        <w:rPr>
          <w:rFonts w:hint="eastAsia" w:asciiTheme="majorEastAsia" w:hAnsiTheme="majorEastAsia" w:eastAsiaTheme="majorEastAsia" w:cstheme="majorEastAsia"/>
          <w:b w:val="0"/>
          <w:bCs/>
          <w:snapToGrid w:val="0"/>
          <w:color w:val="auto"/>
          <w:sz w:val="21"/>
          <w:szCs w:val="21"/>
          <w:highlight w:val="none"/>
          <w:lang w:val="en-US" w:eastAsia="zh-CN" w:bidi="ar-SA"/>
        </w:rPr>
        <w:t xml:space="preserve"> </w:t>
      </w:r>
    </w:p>
    <w:p w14:paraId="421CEC7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69" w:name="_Toc351203608"/>
      <w:bookmarkStart w:id="470" w:name="_Toc296346618"/>
      <w:bookmarkStart w:id="471" w:name="_Toc337558824"/>
      <w:bookmarkStart w:id="472" w:name="_Toc296503117"/>
      <w:r>
        <w:rPr>
          <w:rFonts w:hint="eastAsia" w:asciiTheme="majorEastAsia" w:hAnsiTheme="majorEastAsia" w:eastAsiaTheme="majorEastAsia" w:cstheme="majorEastAsia"/>
          <w:bCs/>
          <w:snapToGrid w:val="0"/>
          <w:color w:val="auto"/>
          <w:szCs w:val="21"/>
          <w:highlight w:val="none"/>
        </w:rPr>
        <w:t>17.1 不可抗力的确认</w:t>
      </w:r>
      <w:bookmarkEnd w:id="469"/>
    </w:p>
    <w:bookmarkEnd w:id="470"/>
    <w:bookmarkEnd w:id="471"/>
    <w:bookmarkEnd w:id="472"/>
    <w:p w14:paraId="5A1772A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14F5F6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2C46B9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73" w:name="_Toc351203609"/>
      <w:bookmarkStart w:id="474" w:name="_Toc296503118"/>
      <w:bookmarkStart w:id="475" w:name="_Toc296346619"/>
      <w:bookmarkStart w:id="476" w:name="_Toc337558825"/>
      <w:r>
        <w:rPr>
          <w:rFonts w:hint="eastAsia" w:asciiTheme="majorEastAsia" w:hAnsiTheme="majorEastAsia" w:eastAsiaTheme="majorEastAsia" w:cstheme="majorEastAsia"/>
          <w:bCs/>
          <w:snapToGrid w:val="0"/>
          <w:color w:val="auto"/>
          <w:szCs w:val="21"/>
          <w:highlight w:val="none"/>
        </w:rPr>
        <w:t>17.2 不可抗力的通知</w:t>
      </w:r>
      <w:bookmarkEnd w:id="473"/>
    </w:p>
    <w:bookmarkEnd w:id="474"/>
    <w:bookmarkEnd w:id="475"/>
    <w:bookmarkEnd w:id="476"/>
    <w:p w14:paraId="4986EAA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448C42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CE05F8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77" w:name="_Toc351203610"/>
      <w:bookmarkStart w:id="478" w:name="_Toc337558826"/>
      <w:bookmarkStart w:id="479" w:name="_Toc296503119"/>
      <w:bookmarkStart w:id="480" w:name="_Toc296346620"/>
      <w:r>
        <w:rPr>
          <w:rFonts w:hint="eastAsia" w:asciiTheme="majorEastAsia" w:hAnsiTheme="majorEastAsia" w:eastAsiaTheme="majorEastAsia" w:cstheme="majorEastAsia"/>
          <w:bCs/>
          <w:snapToGrid w:val="0"/>
          <w:color w:val="auto"/>
          <w:szCs w:val="21"/>
          <w:highlight w:val="none"/>
        </w:rPr>
        <w:t>17.3 不可抗力后果的承担</w:t>
      </w:r>
      <w:bookmarkEnd w:id="477"/>
    </w:p>
    <w:bookmarkEnd w:id="478"/>
    <w:bookmarkEnd w:id="479"/>
    <w:bookmarkEnd w:id="480"/>
    <w:p w14:paraId="5F944E3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192B1BF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17.3.2 不可抗力导致的人员伤亡、财产损失、费用增加和（或）工期延误等后果，由合同当事人按以下原则承担：</w:t>
      </w:r>
    </w:p>
    <w:p w14:paraId="6E302F6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（1）永久工程、已运至施工现场的材料和工程设备的损坏，以及因工程损坏造成的第三人人员伤亡和财产损失由发包人承担；</w:t>
      </w:r>
    </w:p>
    <w:p w14:paraId="0C55963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（2）承包人施工设备的损坏由承包人承担；</w:t>
      </w:r>
    </w:p>
    <w:p w14:paraId="498AF6C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（3）发包人和承包人承担各自人员伤亡和财产的损失；</w:t>
      </w:r>
    </w:p>
    <w:p w14:paraId="163F479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1E2F1B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（5）因不可抗力引起或将引起工期延误，发包人要求赶工的，由此增加的赶工费用由发包人承担；</w:t>
      </w:r>
    </w:p>
    <w:p w14:paraId="230011A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（6）承包人在停工期间按照发包人要求照管、清理和修复工程的费用由发包人承担。</w:t>
      </w:r>
    </w:p>
    <w:p w14:paraId="3004C5F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不可抗力发生后，合同当事人均应采取措施尽量避免和减少损失的扩大，任何一方当事人没有采取有效措施导致损失扩大的，应对扩大的损失承担责任。</w:t>
      </w:r>
    </w:p>
    <w:p w14:paraId="5FB6740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因合同一方迟延履行合同义务，在迟延履行期间遭遇不可抗力的，不免除其违约责任。</w:t>
      </w:r>
    </w:p>
    <w:p w14:paraId="066D841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81" w:name="_Toc351203611"/>
      <w:bookmarkStart w:id="482" w:name="_Toc337558827"/>
      <w:r>
        <w:rPr>
          <w:rFonts w:hint="eastAsia" w:asciiTheme="majorEastAsia" w:hAnsiTheme="majorEastAsia" w:eastAsiaTheme="majorEastAsia" w:cstheme="majorEastAsia"/>
          <w:bCs/>
          <w:snapToGrid w:val="0"/>
          <w:color w:val="auto"/>
          <w:szCs w:val="21"/>
          <w:highlight w:val="none"/>
        </w:rPr>
        <w:t>17.4 因不可抗力解除合同</w:t>
      </w:r>
      <w:bookmarkEnd w:id="481"/>
    </w:p>
    <w:bookmarkEnd w:id="482"/>
    <w:p w14:paraId="26BBFC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09AD8B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（1）合同解除前承包人已完成工作的价款；</w:t>
      </w:r>
    </w:p>
    <w:p w14:paraId="1519182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（2）承包人为工程订购的并已交付给承包人，或承包人有责任接受交付的材料、工程设备和其他物品的价款；</w:t>
      </w:r>
    </w:p>
    <w:p w14:paraId="2418364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（3）发包人要求承包人退货或解除订货合同而产生的费用，或因不能退货或解除合同而产生的损失；</w:t>
      </w:r>
    </w:p>
    <w:p w14:paraId="1C1273B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（4）承包人撤离施工现场以及遣散承包人人员的费用；</w:t>
      </w:r>
    </w:p>
    <w:p w14:paraId="2B1500D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（5）按照合同约定在合同解除前应支付给承包人的其他款项；</w:t>
      </w:r>
    </w:p>
    <w:p w14:paraId="1EB510E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（6）扣减承包人按照合同约定应向发包人支付的款项；</w:t>
      </w:r>
    </w:p>
    <w:p w14:paraId="5A9754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（7）双方商定或确定的其他款项。</w:t>
      </w:r>
    </w:p>
    <w:p w14:paraId="1A66687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除专用合同条款另有约定外，合同解除后，发包人应在商定或确定上述款项后28天内完成上述款项的支付。</w:t>
      </w:r>
    </w:p>
    <w:p w14:paraId="0DA88FF1">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483" w:name="_Toc351203612"/>
      <w:bookmarkStart w:id="484" w:name="_Toc337558828"/>
      <w:bookmarkStart w:id="485" w:name="_Toc296346621"/>
      <w:bookmarkStart w:id="486" w:name="_Toc296503120"/>
      <w:r>
        <w:rPr>
          <w:rFonts w:hint="eastAsia" w:asciiTheme="majorEastAsia" w:hAnsiTheme="majorEastAsia" w:eastAsiaTheme="majorEastAsia" w:cstheme="majorEastAsia"/>
          <w:bCs/>
          <w:snapToGrid w:val="0"/>
          <w:color w:val="auto"/>
          <w:szCs w:val="21"/>
          <w:highlight w:val="none"/>
        </w:rPr>
        <w:t>18. 保险</w:t>
      </w:r>
      <w:bookmarkEnd w:id="483"/>
    </w:p>
    <w:bookmarkEnd w:id="484"/>
    <w:bookmarkEnd w:id="485"/>
    <w:bookmarkEnd w:id="486"/>
    <w:p w14:paraId="78DBEF6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87" w:name="_Toc351203613"/>
      <w:bookmarkStart w:id="488" w:name="_Toc337558829"/>
      <w:bookmarkStart w:id="489" w:name="_Toc296503121"/>
      <w:bookmarkStart w:id="490" w:name="_Toc296346622"/>
      <w:r>
        <w:rPr>
          <w:rFonts w:hint="eastAsia" w:asciiTheme="majorEastAsia" w:hAnsiTheme="majorEastAsia" w:eastAsiaTheme="majorEastAsia" w:cstheme="majorEastAsia"/>
          <w:bCs/>
          <w:snapToGrid w:val="0"/>
          <w:color w:val="auto"/>
          <w:szCs w:val="21"/>
          <w:highlight w:val="none"/>
        </w:rPr>
        <w:t>18.1 工程保险</w:t>
      </w:r>
      <w:bookmarkEnd w:id="487"/>
    </w:p>
    <w:bookmarkEnd w:id="488"/>
    <w:bookmarkEnd w:id="489"/>
    <w:bookmarkEnd w:id="490"/>
    <w:p w14:paraId="5C39F7F0">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5705FE85">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91" w:name="_Toc351203614"/>
      <w:bookmarkStart w:id="492" w:name="_Toc296503122"/>
      <w:bookmarkStart w:id="493" w:name="_Toc296346623"/>
      <w:bookmarkStart w:id="494" w:name="_Toc337558830"/>
      <w:r>
        <w:rPr>
          <w:rFonts w:hint="eastAsia" w:asciiTheme="majorEastAsia" w:hAnsiTheme="majorEastAsia" w:eastAsiaTheme="majorEastAsia" w:cstheme="majorEastAsia"/>
          <w:bCs/>
          <w:snapToGrid w:val="0"/>
          <w:color w:val="auto"/>
          <w:szCs w:val="21"/>
          <w:highlight w:val="none"/>
        </w:rPr>
        <w:t>18.2 工伤保险</w:t>
      </w:r>
      <w:bookmarkEnd w:id="491"/>
    </w:p>
    <w:bookmarkEnd w:id="492"/>
    <w:bookmarkEnd w:id="493"/>
    <w:bookmarkEnd w:id="494"/>
    <w:p w14:paraId="5A3F6DC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19492B6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09DB183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95" w:name="_Toc351203615"/>
      <w:bookmarkStart w:id="496" w:name="_Toc296346626"/>
      <w:bookmarkStart w:id="497" w:name="_Toc337558831"/>
      <w:bookmarkStart w:id="498" w:name="_Toc296503125"/>
      <w:r>
        <w:rPr>
          <w:rFonts w:hint="eastAsia" w:asciiTheme="majorEastAsia" w:hAnsiTheme="majorEastAsia" w:eastAsiaTheme="majorEastAsia" w:cstheme="majorEastAsia"/>
          <w:bCs/>
          <w:snapToGrid w:val="0"/>
          <w:color w:val="auto"/>
          <w:szCs w:val="21"/>
          <w:highlight w:val="none"/>
        </w:rPr>
        <w:t>18.3其他保险</w:t>
      </w:r>
      <w:bookmarkEnd w:id="495"/>
    </w:p>
    <w:bookmarkEnd w:id="496"/>
    <w:bookmarkEnd w:id="497"/>
    <w:bookmarkEnd w:id="498"/>
    <w:p w14:paraId="15CA703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5BD2B75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除专用合同条款另有约定外，承包人应为其施工设备等办理财产保险。</w:t>
      </w:r>
    </w:p>
    <w:p w14:paraId="163AE170">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499" w:name="_Toc351203616"/>
      <w:r>
        <w:rPr>
          <w:rFonts w:hint="eastAsia" w:asciiTheme="majorEastAsia" w:hAnsiTheme="majorEastAsia" w:eastAsiaTheme="majorEastAsia" w:cstheme="majorEastAsia"/>
          <w:bCs/>
          <w:snapToGrid w:val="0"/>
          <w:color w:val="auto"/>
          <w:szCs w:val="21"/>
          <w:highlight w:val="none"/>
        </w:rPr>
        <w:t>18.4持续保险</w:t>
      </w:r>
      <w:bookmarkEnd w:id="499"/>
    </w:p>
    <w:p w14:paraId="1A54A49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合同当事人应与保险人保持联系，使保险人能够随时了解工程实施中的变动，并确保按保险合同条款要求持续保险。</w:t>
      </w:r>
    </w:p>
    <w:p w14:paraId="3EC630A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00" w:name="_Toc351203617"/>
      <w:bookmarkStart w:id="501" w:name="_Toc337558832"/>
      <w:bookmarkStart w:id="502" w:name="_Toc296503126"/>
      <w:bookmarkStart w:id="503" w:name="_Toc296346627"/>
      <w:r>
        <w:rPr>
          <w:rFonts w:hint="eastAsia" w:asciiTheme="majorEastAsia" w:hAnsiTheme="majorEastAsia" w:eastAsiaTheme="majorEastAsia" w:cstheme="majorEastAsia"/>
          <w:bCs/>
          <w:snapToGrid w:val="0"/>
          <w:color w:val="auto"/>
          <w:szCs w:val="21"/>
          <w:highlight w:val="none"/>
        </w:rPr>
        <w:t>18.5 保险凭证</w:t>
      </w:r>
      <w:bookmarkEnd w:id="500"/>
    </w:p>
    <w:bookmarkEnd w:id="501"/>
    <w:bookmarkEnd w:id="502"/>
    <w:bookmarkEnd w:id="503"/>
    <w:p w14:paraId="205160C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合同当事人应及时向另一方当事人提交其已投保的各项保险的凭证和保险单复印件。</w:t>
      </w:r>
    </w:p>
    <w:p w14:paraId="55D519BF">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04" w:name="_Toc351203618"/>
      <w:bookmarkStart w:id="505" w:name="_Toc296346628"/>
      <w:bookmarkStart w:id="506" w:name="_Toc337558833"/>
      <w:bookmarkStart w:id="507" w:name="_Toc296503127"/>
      <w:r>
        <w:rPr>
          <w:rFonts w:hint="eastAsia" w:asciiTheme="majorEastAsia" w:hAnsiTheme="majorEastAsia" w:eastAsiaTheme="majorEastAsia" w:cstheme="majorEastAsia"/>
          <w:bCs/>
          <w:snapToGrid w:val="0"/>
          <w:color w:val="auto"/>
          <w:szCs w:val="21"/>
          <w:highlight w:val="none"/>
        </w:rPr>
        <w:t>18.6 未按约定投保的补救</w:t>
      </w:r>
      <w:bookmarkEnd w:id="504"/>
    </w:p>
    <w:bookmarkEnd w:id="505"/>
    <w:bookmarkEnd w:id="506"/>
    <w:bookmarkEnd w:id="507"/>
    <w:p w14:paraId="3FC6955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2BDECD9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5CF2C58">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08" w:name="_Toc351203619"/>
      <w:bookmarkStart w:id="509" w:name="_Toc337558834"/>
      <w:r>
        <w:rPr>
          <w:rFonts w:hint="eastAsia" w:asciiTheme="majorEastAsia" w:hAnsiTheme="majorEastAsia" w:eastAsiaTheme="majorEastAsia" w:cstheme="majorEastAsia"/>
          <w:bCs/>
          <w:snapToGrid w:val="0"/>
          <w:color w:val="auto"/>
          <w:szCs w:val="21"/>
          <w:highlight w:val="none"/>
        </w:rPr>
        <w:t>18.7 通知义务</w:t>
      </w:r>
      <w:bookmarkEnd w:id="508"/>
    </w:p>
    <w:bookmarkEnd w:id="509"/>
    <w:p w14:paraId="2999A1E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8E6656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保险事故发生时，投保人应按照保险合同规定的条件和期限及时向保险人报告。发包人和承包人应当在知道保险事故发生后及时通知对方。</w:t>
      </w:r>
    </w:p>
    <w:p w14:paraId="0D28CA9D">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510" w:name="_Toc351203620"/>
      <w:bookmarkStart w:id="511" w:name="_Toc296503140"/>
      <w:bookmarkStart w:id="512" w:name="_Toc296346641"/>
      <w:bookmarkStart w:id="513" w:name="_Toc337558835"/>
      <w:r>
        <w:rPr>
          <w:rFonts w:hint="eastAsia" w:asciiTheme="majorEastAsia" w:hAnsiTheme="majorEastAsia" w:eastAsiaTheme="majorEastAsia" w:cstheme="majorEastAsia"/>
          <w:bCs/>
          <w:snapToGrid w:val="0"/>
          <w:color w:val="auto"/>
          <w:szCs w:val="21"/>
          <w:highlight w:val="none"/>
        </w:rPr>
        <w:t>19. 索赔</w:t>
      </w:r>
      <w:bookmarkEnd w:id="510"/>
    </w:p>
    <w:bookmarkEnd w:id="511"/>
    <w:bookmarkEnd w:id="512"/>
    <w:bookmarkEnd w:id="513"/>
    <w:p w14:paraId="0B397EE4">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14" w:name="_Toc351203621"/>
      <w:bookmarkStart w:id="515" w:name="_Toc337558836"/>
      <w:bookmarkStart w:id="516" w:name="_Toc296503141"/>
      <w:bookmarkStart w:id="517" w:name="_Toc296346642"/>
      <w:r>
        <w:rPr>
          <w:rFonts w:hint="eastAsia" w:asciiTheme="majorEastAsia" w:hAnsiTheme="majorEastAsia" w:eastAsiaTheme="majorEastAsia" w:cstheme="majorEastAsia"/>
          <w:bCs/>
          <w:snapToGrid w:val="0"/>
          <w:color w:val="auto"/>
          <w:szCs w:val="21"/>
          <w:highlight w:val="none"/>
        </w:rPr>
        <w:t>19.1承包人的索赔</w:t>
      </w:r>
      <w:bookmarkEnd w:id="514"/>
    </w:p>
    <w:bookmarkEnd w:id="515"/>
    <w:bookmarkEnd w:id="516"/>
    <w:bookmarkEnd w:id="517"/>
    <w:p w14:paraId="5E203DD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根据合同约定，承包人认为有权得到追加付款和（或）延长工期的，应按以下程序向发包人提出索赔：</w:t>
      </w:r>
    </w:p>
    <w:p w14:paraId="649674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3B4CF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541F56A">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364FD14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（4）在索赔事件影响结束后28天内，承包人应向监理人递交最终索赔报告，说明最终要求索赔的追加付款金额和（或）延长的工期，并附必要的记录和证明材料。</w:t>
      </w:r>
    </w:p>
    <w:p w14:paraId="32AD372E">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18" w:name="_Toc351203622"/>
      <w:bookmarkStart w:id="519" w:name="_Toc296503142"/>
      <w:bookmarkStart w:id="520" w:name="_Toc337558837"/>
      <w:bookmarkStart w:id="521" w:name="_Toc296346643"/>
      <w:r>
        <w:rPr>
          <w:rFonts w:hint="eastAsia" w:asciiTheme="majorEastAsia" w:hAnsiTheme="majorEastAsia" w:eastAsiaTheme="majorEastAsia" w:cstheme="majorEastAsia"/>
          <w:bCs/>
          <w:snapToGrid w:val="0"/>
          <w:color w:val="auto"/>
          <w:szCs w:val="21"/>
          <w:highlight w:val="none"/>
        </w:rPr>
        <w:t>19.2 对承包人索赔的处理</w:t>
      </w:r>
      <w:bookmarkEnd w:id="518"/>
    </w:p>
    <w:bookmarkEnd w:id="519"/>
    <w:bookmarkEnd w:id="520"/>
    <w:bookmarkEnd w:id="521"/>
    <w:p w14:paraId="69B901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对承包人索赔的处理如下：</w:t>
      </w:r>
    </w:p>
    <w:p w14:paraId="5D21562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（1）监理人应在收到索赔报告后14天内完成审查并报送发包人。监理人对索赔报告存在异议的，有权要求承包人提交全部原始记录副本；</w:t>
      </w:r>
    </w:p>
    <w:p w14:paraId="6A28004F">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9A171D3">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（3）承包人接受索赔处理结果的，索赔款项在当期进度款中进行支付；承包人不接受索赔处理结果的，按照第20条〔争议解决〕约定处理。</w:t>
      </w:r>
    </w:p>
    <w:p w14:paraId="657770A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22" w:name="_Toc351203623"/>
      <w:bookmarkStart w:id="523" w:name="_Toc296346644"/>
      <w:bookmarkStart w:id="524" w:name="_Toc296503143"/>
      <w:bookmarkStart w:id="525" w:name="_Toc337558838"/>
      <w:r>
        <w:rPr>
          <w:rFonts w:hint="eastAsia" w:asciiTheme="majorEastAsia" w:hAnsiTheme="majorEastAsia" w:eastAsiaTheme="majorEastAsia" w:cstheme="majorEastAsia"/>
          <w:bCs/>
          <w:snapToGrid w:val="0"/>
          <w:color w:val="auto"/>
          <w:szCs w:val="21"/>
          <w:highlight w:val="none"/>
        </w:rPr>
        <w:t>19.3发包人的索赔</w:t>
      </w:r>
      <w:bookmarkEnd w:id="522"/>
    </w:p>
    <w:bookmarkEnd w:id="523"/>
    <w:bookmarkEnd w:id="524"/>
    <w:bookmarkEnd w:id="525"/>
    <w:p w14:paraId="6139EC0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根据合同约定，发包人认为有权得到赔付金额和（或）延长缺陷责任期的，监理人应向承包人发出通知并附有详细的证明。</w:t>
      </w:r>
    </w:p>
    <w:p w14:paraId="4BCE63C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5FD9232">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26" w:name="_Toc351203624"/>
      <w:bookmarkStart w:id="527" w:name="_Toc337558839"/>
      <w:bookmarkStart w:id="528" w:name="_Toc296503144"/>
      <w:bookmarkStart w:id="529" w:name="_Toc296346645"/>
      <w:r>
        <w:rPr>
          <w:rFonts w:hint="eastAsia" w:asciiTheme="majorEastAsia" w:hAnsiTheme="majorEastAsia" w:eastAsiaTheme="majorEastAsia" w:cstheme="majorEastAsia"/>
          <w:bCs/>
          <w:snapToGrid w:val="0"/>
          <w:color w:val="auto"/>
          <w:szCs w:val="21"/>
          <w:highlight w:val="none"/>
        </w:rPr>
        <w:t>19.4 对发包人索赔的处理</w:t>
      </w:r>
      <w:bookmarkEnd w:id="526"/>
    </w:p>
    <w:bookmarkEnd w:id="527"/>
    <w:bookmarkEnd w:id="528"/>
    <w:bookmarkEnd w:id="529"/>
    <w:p w14:paraId="79E395F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对发包人索赔的处理如下：</w:t>
      </w:r>
    </w:p>
    <w:p w14:paraId="60395AC5">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（1）承包人收到发包人提交的索赔报告后，应及时审查索赔报告的内容、查验发包人证明材料；</w:t>
      </w:r>
    </w:p>
    <w:p w14:paraId="2E1619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323958AB">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5FBC8513">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30" w:name="_Toc351203625"/>
      <w:r>
        <w:rPr>
          <w:rFonts w:hint="eastAsia" w:asciiTheme="majorEastAsia" w:hAnsiTheme="majorEastAsia" w:eastAsiaTheme="majorEastAsia" w:cstheme="majorEastAsia"/>
          <w:bCs/>
          <w:snapToGrid w:val="0"/>
          <w:color w:val="auto"/>
          <w:szCs w:val="21"/>
          <w:highlight w:val="none"/>
        </w:rPr>
        <w:t>19.5 提出索赔的期限</w:t>
      </w:r>
      <w:bookmarkEnd w:id="530"/>
    </w:p>
    <w:p w14:paraId="0A0BD76C">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（1）承包人按第14.2款〔竣工结算审核〕约定接收竣工付款证书后，应被视为已无权再提出在工程接收证书颁发前所发生的任何索赔。</w:t>
      </w:r>
    </w:p>
    <w:p w14:paraId="622810D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（2）承包人按第14.4款〔最终结清〕提交的最终结清申请单中，只限于提出工程接收证书颁发后发生的索赔。提出索赔的期限自接受最终结清证书时终止。</w:t>
      </w:r>
    </w:p>
    <w:p w14:paraId="62004C2E">
      <w:pPr>
        <w:keepNext/>
        <w:keepLines/>
        <w:kinsoku w:val="0"/>
        <w:autoSpaceDE w:val="0"/>
        <w:autoSpaceDN w:val="0"/>
        <w:adjustRightInd w:val="0"/>
        <w:snapToGrid w:val="0"/>
        <w:spacing w:before="120" w:after="120" w:line="376" w:lineRule="auto"/>
        <w:textAlignment w:val="baseline"/>
        <w:outlineLvl w:val="3"/>
        <w:rPr>
          <w:rFonts w:asciiTheme="majorEastAsia" w:hAnsiTheme="majorEastAsia" w:eastAsiaTheme="majorEastAsia" w:cstheme="majorEastAsia"/>
          <w:bCs/>
          <w:snapToGrid w:val="0"/>
          <w:color w:val="auto"/>
          <w:szCs w:val="21"/>
          <w:highlight w:val="none"/>
        </w:rPr>
      </w:pPr>
      <w:bookmarkStart w:id="531" w:name="_Toc351203626"/>
      <w:r>
        <w:rPr>
          <w:rFonts w:hint="eastAsia" w:asciiTheme="majorEastAsia" w:hAnsiTheme="majorEastAsia" w:eastAsiaTheme="majorEastAsia" w:cstheme="majorEastAsia"/>
          <w:bCs/>
          <w:snapToGrid w:val="0"/>
          <w:color w:val="auto"/>
          <w:szCs w:val="21"/>
          <w:highlight w:val="none"/>
        </w:rPr>
        <w:t>20</w:t>
      </w:r>
      <w:bookmarkStart w:id="532" w:name="_Toc296346647"/>
      <w:bookmarkStart w:id="533" w:name="_Toc337558840"/>
      <w:bookmarkStart w:id="534" w:name="_Toc296503146"/>
      <w:r>
        <w:rPr>
          <w:rFonts w:hint="eastAsia" w:asciiTheme="majorEastAsia" w:hAnsiTheme="majorEastAsia" w:eastAsiaTheme="majorEastAsia" w:cstheme="majorEastAsia"/>
          <w:bCs/>
          <w:snapToGrid w:val="0"/>
          <w:color w:val="auto"/>
          <w:szCs w:val="21"/>
          <w:highlight w:val="none"/>
        </w:rPr>
        <w:t>. 争议解决</w:t>
      </w:r>
      <w:bookmarkEnd w:id="531"/>
    </w:p>
    <w:bookmarkEnd w:id="532"/>
    <w:bookmarkEnd w:id="533"/>
    <w:bookmarkEnd w:id="534"/>
    <w:p w14:paraId="3E6674E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35" w:name="_Toc351203627"/>
      <w:bookmarkStart w:id="536" w:name="_Toc296346648"/>
      <w:bookmarkStart w:id="537" w:name="_Toc337558841"/>
      <w:bookmarkStart w:id="538" w:name="_Toc296503147"/>
      <w:r>
        <w:rPr>
          <w:rFonts w:hint="eastAsia" w:asciiTheme="majorEastAsia" w:hAnsiTheme="majorEastAsia" w:eastAsiaTheme="majorEastAsia" w:cstheme="majorEastAsia"/>
          <w:bCs/>
          <w:snapToGrid w:val="0"/>
          <w:color w:val="auto"/>
          <w:szCs w:val="21"/>
          <w:highlight w:val="none"/>
        </w:rPr>
        <w:t>20.1和解</w:t>
      </w:r>
      <w:bookmarkEnd w:id="535"/>
    </w:p>
    <w:bookmarkEnd w:id="536"/>
    <w:bookmarkEnd w:id="537"/>
    <w:bookmarkEnd w:id="538"/>
    <w:p w14:paraId="43842C0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合同当事人可以就争议自行和解，自行和解达成协议的经双方签字并盖章后作为合同补充文件，双方均应遵照执行。</w:t>
      </w:r>
    </w:p>
    <w:p w14:paraId="108D93A9">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39" w:name="_Toc351203628"/>
      <w:r>
        <w:rPr>
          <w:rFonts w:hint="eastAsia" w:asciiTheme="majorEastAsia" w:hAnsiTheme="majorEastAsia" w:eastAsiaTheme="majorEastAsia" w:cstheme="majorEastAsia"/>
          <w:bCs/>
          <w:snapToGrid w:val="0"/>
          <w:color w:val="auto"/>
          <w:szCs w:val="21"/>
          <w:highlight w:val="none"/>
        </w:rPr>
        <w:t>20</w:t>
      </w:r>
      <w:bookmarkStart w:id="540" w:name="_Toc296346649"/>
      <w:bookmarkStart w:id="541" w:name="_Toc296503148"/>
      <w:bookmarkStart w:id="542" w:name="_Toc337558842"/>
      <w:r>
        <w:rPr>
          <w:rFonts w:hint="eastAsia" w:asciiTheme="majorEastAsia" w:hAnsiTheme="majorEastAsia" w:eastAsiaTheme="majorEastAsia" w:cstheme="majorEastAsia"/>
          <w:bCs/>
          <w:snapToGrid w:val="0"/>
          <w:color w:val="auto"/>
          <w:szCs w:val="21"/>
          <w:highlight w:val="none"/>
        </w:rPr>
        <w:t>.2调解</w:t>
      </w:r>
      <w:bookmarkEnd w:id="539"/>
    </w:p>
    <w:bookmarkEnd w:id="540"/>
    <w:bookmarkEnd w:id="541"/>
    <w:bookmarkEnd w:id="542"/>
    <w:p w14:paraId="749B867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14:paraId="61B02F27">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43" w:name="_Toc351203629"/>
      <w:bookmarkStart w:id="544" w:name="_Toc296503149"/>
      <w:bookmarkStart w:id="545" w:name="_Toc296346650"/>
      <w:bookmarkStart w:id="546" w:name="_Toc337558843"/>
      <w:r>
        <w:rPr>
          <w:rFonts w:hint="eastAsia" w:asciiTheme="majorEastAsia" w:hAnsiTheme="majorEastAsia" w:eastAsiaTheme="majorEastAsia" w:cstheme="majorEastAsia"/>
          <w:bCs/>
          <w:snapToGrid w:val="0"/>
          <w:color w:val="auto"/>
          <w:szCs w:val="21"/>
          <w:highlight w:val="none"/>
        </w:rPr>
        <w:t>20.3争议评审</w:t>
      </w:r>
      <w:bookmarkEnd w:id="543"/>
    </w:p>
    <w:bookmarkEnd w:id="544"/>
    <w:bookmarkEnd w:id="545"/>
    <w:bookmarkEnd w:id="546"/>
    <w:p w14:paraId="58900398">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合同当事人在专用合同条款中约定采取争议评审方式解决争议以及评审规则，并按下列约定执行： </w:t>
      </w:r>
    </w:p>
    <w:p w14:paraId="2BF9A52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20.3.1 争议评审小组的确定</w:t>
      </w:r>
    </w:p>
    <w:p w14:paraId="24C5D812">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6FA58A1">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477BB0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除专用合同条款另有约定外，评审员报酬由发包人和承包人各承担一半。</w:t>
      </w:r>
    </w:p>
    <w:p w14:paraId="06E85BA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20.3.2 争议评审小组的决定</w:t>
      </w:r>
    </w:p>
    <w:p w14:paraId="6763EB5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F9D08D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20.3.3 争议评审小组决定的效力</w:t>
      </w:r>
    </w:p>
    <w:p w14:paraId="2732F496">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争议评审小组作出的书面决定经合同当事人签字确认后，对双方具有约束力，双方应遵照执行。</w:t>
      </w:r>
    </w:p>
    <w:p w14:paraId="48B9252E">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任何一方当事人不接受争议评审小组决定或不履行争议评审小组决定的，双方可选择采用其他争议解决方式。</w:t>
      </w:r>
    </w:p>
    <w:p w14:paraId="6DAA0C21">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47" w:name="_Toc351203630"/>
      <w:bookmarkStart w:id="548" w:name="_Toc337558844"/>
      <w:bookmarkStart w:id="549" w:name="_Toc296503150"/>
      <w:bookmarkStart w:id="550" w:name="_Toc296346651"/>
      <w:r>
        <w:rPr>
          <w:rFonts w:hint="eastAsia" w:asciiTheme="majorEastAsia" w:hAnsiTheme="majorEastAsia" w:eastAsiaTheme="majorEastAsia" w:cstheme="majorEastAsia"/>
          <w:bCs/>
          <w:snapToGrid w:val="0"/>
          <w:color w:val="auto"/>
          <w:szCs w:val="21"/>
          <w:highlight w:val="none"/>
        </w:rPr>
        <w:t>20.4仲裁或诉讼</w:t>
      </w:r>
      <w:bookmarkEnd w:id="547"/>
    </w:p>
    <w:bookmarkEnd w:id="548"/>
    <w:bookmarkEnd w:id="549"/>
    <w:bookmarkEnd w:id="550"/>
    <w:p w14:paraId="47C8F3C7">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因合同及合同有关事项产生的争议，合同当事人可以在专用合同条款中约定以下一种方式解决争议：</w:t>
      </w:r>
    </w:p>
    <w:p w14:paraId="7DA5A4FD">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（1）向约定的仲裁委员会申请仲裁；</w:t>
      </w:r>
    </w:p>
    <w:p w14:paraId="074A3064">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（2）向有管辖权的人民法院起诉。</w:t>
      </w:r>
    </w:p>
    <w:p w14:paraId="1C54D89B">
      <w:pPr>
        <w:keepNext/>
        <w:keepLines/>
        <w:kinsoku w:val="0"/>
        <w:autoSpaceDE w:val="0"/>
        <w:autoSpaceDN w:val="0"/>
        <w:adjustRightInd w:val="0"/>
        <w:snapToGrid w:val="0"/>
        <w:spacing w:before="120" w:after="120" w:line="360" w:lineRule="auto"/>
        <w:ind w:firstLine="420" w:firstLineChars="200"/>
        <w:textAlignment w:val="baseline"/>
        <w:outlineLvl w:val="4"/>
        <w:rPr>
          <w:rFonts w:asciiTheme="majorEastAsia" w:hAnsiTheme="majorEastAsia" w:eastAsiaTheme="majorEastAsia" w:cstheme="majorEastAsia"/>
          <w:bCs/>
          <w:snapToGrid w:val="0"/>
          <w:color w:val="auto"/>
          <w:szCs w:val="21"/>
          <w:highlight w:val="none"/>
        </w:rPr>
      </w:pPr>
      <w:bookmarkStart w:id="551" w:name="_Toc351203631"/>
      <w:bookmarkStart w:id="552" w:name="_Toc296503152"/>
      <w:bookmarkStart w:id="553" w:name="_Toc337558845"/>
      <w:bookmarkStart w:id="554" w:name="_Toc296346653"/>
      <w:r>
        <w:rPr>
          <w:rFonts w:hint="eastAsia" w:asciiTheme="majorEastAsia" w:hAnsiTheme="majorEastAsia" w:eastAsiaTheme="majorEastAsia" w:cstheme="majorEastAsia"/>
          <w:bCs/>
          <w:snapToGrid w:val="0"/>
          <w:color w:val="auto"/>
          <w:szCs w:val="21"/>
          <w:highlight w:val="none"/>
        </w:rPr>
        <w:t>20.5争议解决条款效力</w:t>
      </w:r>
      <w:bookmarkEnd w:id="551"/>
    </w:p>
    <w:bookmarkEnd w:id="552"/>
    <w:bookmarkEnd w:id="553"/>
    <w:bookmarkEnd w:id="554"/>
    <w:p w14:paraId="03DA14C9">
      <w:pPr>
        <w:widowControl/>
        <w:kinsoku w:val="0"/>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合同有关争议解决的条款独立存在，合同的变更、解除、终止、无效或者被撤销均不影响其效力。 </w:t>
      </w:r>
    </w:p>
    <w:p w14:paraId="1711CBE8">
      <w:pPr>
        <w:pStyle w:val="322"/>
        <w:ind w:left="1260"/>
        <w:jc w:val="center"/>
        <w:rPr>
          <w:color w:val="auto"/>
          <w:sz w:val="44"/>
          <w:highlight w:val="none"/>
        </w:rPr>
      </w:pPr>
      <w:r>
        <w:rPr>
          <w:b w:val="0"/>
          <w:bCs w:val="0"/>
          <w:color w:val="auto"/>
          <w:sz w:val="24"/>
          <w:highlight w:val="none"/>
          <w:lang w:val="zh-CN"/>
        </w:rPr>
        <w:br w:type="page"/>
      </w:r>
      <w:bookmarkStart w:id="555" w:name="_Toc406522212"/>
      <w:bookmarkStart w:id="556" w:name="_Toc480967525"/>
      <w:bookmarkStart w:id="557" w:name="_Toc498945558"/>
      <w:r>
        <w:rPr>
          <w:color w:val="auto"/>
          <w:sz w:val="32"/>
          <w:highlight w:val="none"/>
        </w:rPr>
        <w:t>第三部分 专用合同条款</w:t>
      </w:r>
      <w:bookmarkEnd w:id="555"/>
      <w:bookmarkEnd w:id="556"/>
    </w:p>
    <w:p w14:paraId="5BD1596D">
      <w:pPr>
        <w:keepNext/>
        <w:keepLines/>
        <w:widowControl/>
        <w:spacing w:before="480" w:line="420" w:lineRule="exact"/>
        <w:jc w:val="left"/>
        <w:outlineLvl w:val="0"/>
        <w:rPr>
          <w:rFonts w:hAnsi="宋体"/>
          <w:b/>
          <w:bCs/>
          <w:color w:val="auto"/>
          <w:kern w:val="44"/>
          <w:highlight w:val="none"/>
        </w:rPr>
      </w:pPr>
      <w:bookmarkStart w:id="558" w:name="_Toc480967526"/>
      <w:bookmarkStart w:id="559" w:name="_Toc351203633"/>
      <w:bookmarkStart w:id="560" w:name="_Toc406522213"/>
      <w:r>
        <w:rPr>
          <w:rFonts w:hAnsi="宋体"/>
          <w:b/>
          <w:bCs/>
          <w:color w:val="auto"/>
          <w:kern w:val="44"/>
          <w:highlight w:val="none"/>
        </w:rPr>
        <w:t>1</w:t>
      </w:r>
      <w:bookmarkStart w:id="561" w:name="_Toc292559361"/>
      <w:bookmarkStart w:id="562" w:name="_Toc296891196"/>
      <w:bookmarkStart w:id="563" w:name="_Toc296890984"/>
      <w:bookmarkStart w:id="564" w:name="_Toc292559866"/>
      <w:bookmarkStart w:id="565" w:name="_Toc297048342"/>
      <w:bookmarkStart w:id="566" w:name="_Toc296347155"/>
      <w:bookmarkStart w:id="567" w:name="_Toc297120456"/>
      <w:bookmarkStart w:id="568" w:name="_Toc296944495"/>
      <w:bookmarkStart w:id="569" w:name="_Toc296346657"/>
      <w:bookmarkStart w:id="570" w:name="_Toc296503156"/>
      <w:r>
        <w:rPr>
          <w:rFonts w:hAnsi="宋体"/>
          <w:b/>
          <w:bCs/>
          <w:color w:val="auto"/>
          <w:kern w:val="44"/>
          <w:highlight w:val="none"/>
        </w:rPr>
        <w:t>. 一般约定</w:t>
      </w:r>
      <w:bookmarkEnd w:id="558"/>
      <w:bookmarkEnd w:id="559"/>
      <w:bookmarkEnd w:id="560"/>
      <w:bookmarkEnd w:id="561"/>
      <w:bookmarkEnd w:id="562"/>
      <w:bookmarkEnd w:id="563"/>
      <w:bookmarkEnd w:id="564"/>
      <w:bookmarkEnd w:id="565"/>
      <w:bookmarkEnd w:id="566"/>
      <w:bookmarkEnd w:id="567"/>
      <w:bookmarkEnd w:id="568"/>
      <w:bookmarkEnd w:id="569"/>
      <w:bookmarkEnd w:id="570"/>
      <w:bookmarkStart w:id="571" w:name="_Toc480967527"/>
      <w:bookmarkStart w:id="572" w:name="_Toc406522214"/>
    </w:p>
    <w:p w14:paraId="2F40B659">
      <w:pPr>
        <w:keepNext/>
        <w:keepLines/>
        <w:widowControl/>
        <w:spacing w:before="480" w:line="420" w:lineRule="exact"/>
        <w:jc w:val="left"/>
        <w:outlineLvl w:val="0"/>
        <w:rPr>
          <w:rFonts w:hAnsi="宋体"/>
          <w:b/>
          <w:bCs/>
          <w:color w:val="auto"/>
          <w:kern w:val="44"/>
          <w:highlight w:val="none"/>
        </w:rPr>
      </w:pPr>
      <w:r>
        <w:rPr>
          <w:rFonts w:hAnsi="宋体"/>
          <w:b/>
          <w:bCs/>
          <w:color w:val="auto"/>
          <w:kern w:val="44"/>
          <w:highlight w:val="none"/>
        </w:rPr>
        <w:t>1.1 词语定义</w:t>
      </w:r>
      <w:bookmarkEnd w:id="571"/>
      <w:bookmarkEnd w:id="572"/>
    </w:p>
    <w:p w14:paraId="1AAFE56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1.1.1合同</w:t>
      </w:r>
    </w:p>
    <w:p w14:paraId="2FA3F58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1.1.1.10合同文件包括：</w:t>
      </w:r>
      <w:r>
        <w:rPr>
          <w:rFonts w:ascii="宋体" w:hAnsi="宋体"/>
          <w:color w:val="auto"/>
          <w:highlight w:val="none"/>
          <w:u w:val="single"/>
        </w:rPr>
        <w:t>（1）本合同协议书；  （2）</w:t>
      </w:r>
      <w:r>
        <w:rPr>
          <w:rFonts w:hint="eastAsia" w:ascii="宋体" w:hAnsi="宋体" w:eastAsia="Arial" w:cs="Arial"/>
          <w:snapToGrid w:val="0"/>
          <w:color w:val="auto"/>
          <w:kern w:val="0"/>
          <w:szCs w:val="21"/>
          <w:highlight w:val="none"/>
          <w:u w:val="single"/>
        </w:rPr>
        <w:t>成交</w:t>
      </w:r>
      <w:r>
        <w:rPr>
          <w:rFonts w:ascii="宋体" w:hAnsi="宋体"/>
          <w:color w:val="auto"/>
          <w:highlight w:val="none"/>
          <w:u w:val="single"/>
        </w:rPr>
        <w:t>通知书；（3）</w:t>
      </w:r>
      <w:r>
        <w:rPr>
          <w:rFonts w:hint="eastAsia" w:ascii="宋体" w:hAnsi="宋体" w:eastAsia="Arial" w:cs="Arial"/>
          <w:snapToGrid w:val="0"/>
          <w:color w:val="auto"/>
          <w:kern w:val="0"/>
          <w:szCs w:val="21"/>
          <w:highlight w:val="none"/>
          <w:u w:val="single"/>
        </w:rPr>
        <w:t>竞标</w:t>
      </w:r>
      <w:r>
        <w:rPr>
          <w:rFonts w:hint="eastAsia" w:ascii="宋体" w:hAnsi="宋体"/>
          <w:color w:val="auto"/>
          <w:highlight w:val="none"/>
          <w:u w:val="single"/>
        </w:rPr>
        <w:t>函</w:t>
      </w:r>
      <w:r>
        <w:rPr>
          <w:rFonts w:ascii="宋体" w:hAnsi="宋体"/>
          <w:color w:val="auto"/>
          <w:highlight w:val="none"/>
          <w:u w:val="single"/>
        </w:rPr>
        <w:t>及其附</w:t>
      </w:r>
      <w:r>
        <w:rPr>
          <w:rFonts w:hint="eastAsia" w:ascii="宋体" w:hAnsi="宋体"/>
          <w:color w:val="auto"/>
          <w:highlight w:val="none"/>
          <w:u w:val="single"/>
        </w:rPr>
        <w:t>录</w:t>
      </w:r>
      <w:r>
        <w:rPr>
          <w:rFonts w:ascii="宋体" w:hAnsi="宋体"/>
          <w:color w:val="auto"/>
          <w:highlight w:val="none"/>
          <w:u w:val="single"/>
        </w:rPr>
        <w:t>；（4）专用合同条款及其附件；（5）通用合同条款；（6）技术标准和要求；（7）已标价工程量清单或预算书；（8）图纸；（9）</w:t>
      </w:r>
      <w:r>
        <w:rPr>
          <w:rFonts w:hint="eastAsia" w:ascii="宋体" w:hAnsi="宋体"/>
          <w:color w:val="auto"/>
          <w:highlight w:val="none"/>
          <w:u w:val="single"/>
        </w:rPr>
        <w:t>其他合同文件</w:t>
      </w:r>
      <w:r>
        <w:rPr>
          <w:rFonts w:ascii="宋体" w:hAnsi="宋体"/>
          <w:color w:val="auto"/>
          <w:highlight w:val="none"/>
          <w:u w:val="single"/>
        </w:rPr>
        <w:t>。</w:t>
      </w:r>
    </w:p>
    <w:p w14:paraId="01478C7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1.1.2 合同当事人及其他相关方</w:t>
      </w:r>
    </w:p>
    <w:p w14:paraId="7E35DB5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1.1.2.4监理人：</w:t>
      </w:r>
    </w:p>
    <w:p w14:paraId="0BA2673E">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名    称：             ；</w:t>
      </w:r>
    </w:p>
    <w:p w14:paraId="266A2BF1">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资质类别和等级：     ；</w:t>
      </w:r>
    </w:p>
    <w:p w14:paraId="52BD004D">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联系电话：                  ；</w:t>
      </w:r>
    </w:p>
    <w:p w14:paraId="1D0D6150">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电子信箱：              ；</w:t>
      </w:r>
    </w:p>
    <w:p w14:paraId="39D00838">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 xml:space="preserve">通信地址：               </w:t>
      </w:r>
    </w:p>
    <w:p w14:paraId="6C6C07B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1.1.2.5 设计人：</w:t>
      </w:r>
    </w:p>
    <w:p w14:paraId="0C614DA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名    称：</w:t>
      </w:r>
      <w:r>
        <w:rPr>
          <w:rFonts w:ascii="宋体" w:hAnsi="宋体"/>
          <w:color w:val="auto"/>
          <w:highlight w:val="none"/>
          <w:u w:val="single"/>
        </w:rPr>
        <w:t xml:space="preserve">           </w:t>
      </w:r>
      <w:r>
        <w:rPr>
          <w:rFonts w:ascii="宋体" w:hAnsi="宋体"/>
          <w:color w:val="auto"/>
          <w:highlight w:val="none"/>
        </w:rPr>
        <w:t>；</w:t>
      </w:r>
    </w:p>
    <w:p w14:paraId="1FD501F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资质类别和等级：</w:t>
      </w:r>
      <w:r>
        <w:rPr>
          <w:rFonts w:ascii="宋体" w:hAnsi="宋体"/>
          <w:color w:val="auto"/>
          <w:highlight w:val="none"/>
          <w:u w:val="single"/>
        </w:rPr>
        <w:t xml:space="preserve">      </w:t>
      </w:r>
      <w:r>
        <w:rPr>
          <w:rFonts w:ascii="宋体" w:hAnsi="宋体" w:cs="宋体"/>
          <w:bCs/>
          <w:color w:val="auto"/>
          <w:sz w:val="24"/>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4A56E3C3">
      <w:pPr>
        <w:spacing w:line="500" w:lineRule="exact"/>
        <w:ind w:firstLine="420" w:firstLineChars="200"/>
        <w:rPr>
          <w:rFonts w:ascii="宋体" w:hAnsi="宋体"/>
          <w:color w:val="auto"/>
          <w:highlight w:val="none"/>
        </w:rPr>
      </w:pPr>
      <w:r>
        <w:rPr>
          <w:rFonts w:ascii="宋体" w:hAnsi="宋体"/>
          <w:color w:val="auto"/>
          <w:highlight w:val="none"/>
        </w:rPr>
        <w:t>联系电话：</w:t>
      </w:r>
      <w:r>
        <w:rPr>
          <w:rFonts w:ascii="宋体" w:hAnsi="宋体"/>
          <w:color w:val="auto"/>
          <w:highlight w:val="none"/>
          <w:u w:val="single"/>
        </w:rPr>
        <w:t xml:space="preserve">                          </w:t>
      </w:r>
      <w:r>
        <w:rPr>
          <w:rFonts w:ascii="宋体" w:hAnsi="宋体"/>
          <w:color w:val="auto"/>
          <w:highlight w:val="none"/>
        </w:rPr>
        <w:t>；</w:t>
      </w:r>
    </w:p>
    <w:p w14:paraId="6DFF942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电子信箱：</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w:t>
      </w:r>
    </w:p>
    <w:p w14:paraId="2E8F8448">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通信地址：</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w:t>
      </w:r>
    </w:p>
    <w:p w14:paraId="1DC41B9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1.1.3 工程和设备</w:t>
      </w:r>
    </w:p>
    <w:p w14:paraId="7C87310A">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1.1.3.7 作为施工现场组成部分的其他场所包括：</w:t>
      </w:r>
      <w:r>
        <w:rPr>
          <w:rFonts w:ascii="宋体" w:hAnsi="宋体"/>
          <w:color w:val="auto"/>
          <w:highlight w:val="none"/>
          <w:u w:val="single"/>
        </w:rPr>
        <w:t xml:space="preserve"> 临时设施和临时用地。</w:t>
      </w:r>
    </w:p>
    <w:p w14:paraId="6F6DC4B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1.1.3.9 永久占地包括：建、构筑物用地</w:t>
      </w:r>
      <w:r>
        <w:rPr>
          <w:rFonts w:hint="eastAsia" w:ascii="宋体" w:hAnsi="宋体"/>
          <w:color w:val="auto"/>
          <w:highlight w:val="none"/>
          <w:u w:val="single"/>
        </w:rPr>
        <w:t xml:space="preserve">  同通用条款，无特殊约定  </w:t>
      </w:r>
      <w:r>
        <w:rPr>
          <w:rFonts w:ascii="宋体" w:hAnsi="宋体"/>
          <w:color w:val="auto"/>
          <w:highlight w:val="none"/>
        </w:rPr>
        <w:t>。</w:t>
      </w:r>
    </w:p>
    <w:p w14:paraId="3895320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1.1.3.10 临时占地包括：</w:t>
      </w:r>
      <w:r>
        <w:rPr>
          <w:rFonts w:ascii="宋体" w:hAnsi="宋体"/>
          <w:color w:val="auto"/>
          <w:highlight w:val="none"/>
          <w:u w:val="single"/>
        </w:rPr>
        <w:t>临时设施和临时用地</w:t>
      </w:r>
      <w:r>
        <w:rPr>
          <w:rFonts w:ascii="宋体" w:hAnsi="宋体"/>
          <w:color w:val="auto"/>
          <w:highlight w:val="none"/>
        </w:rPr>
        <w:t>。</w:t>
      </w:r>
    </w:p>
    <w:p w14:paraId="0856BD4E">
      <w:pPr>
        <w:keepNext/>
        <w:keepLines/>
        <w:widowControl/>
        <w:spacing w:before="480" w:line="420" w:lineRule="exact"/>
        <w:jc w:val="left"/>
        <w:outlineLvl w:val="0"/>
        <w:rPr>
          <w:rFonts w:hAnsi="宋体"/>
          <w:b/>
          <w:bCs/>
          <w:color w:val="auto"/>
          <w:kern w:val="44"/>
          <w:highlight w:val="none"/>
        </w:rPr>
      </w:pPr>
      <w:bookmarkStart w:id="573" w:name="_Toc480967528"/>
      <w:bookmarkStart w:id="574" w:name="_Toc406522215"/>
      <w:r>
        <w:rPr>
          <w:rFonts w:hAnsi="宋体"/>
          <w:b/>
          <w:bCs/>
          <w:color w:val="auto"/>
          <w:kern w:val="44"/>
          <w:highlight w:val="none"/>
        </w:rPr>
        <w:t>1.3法律</w:t>
      </w:r>
      <w:bookmarkEnd w:id="573"/>
      <w:bookmarkEnd w:id="574"/>
      <w:r>
        <w:rPr>
          <w:rFonts w:hAnsi="宋体"/>
          <w:b/>
          <w:bCs/>
          <w:color w:val="auto"/>
          <w:kern w:val="44"/>
          <w:highlight w:val="none"/>
        </w:rPr>
        <w:t xml:space="preserve"> </w:t>
      </w:r>
    </w:p>
    <w:p w14:paraId="7254F36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适用于合同的其他规范性文件：</w:t>
      </w:r>
      <w:r>
        <w:rPr>
          <w:rFonts w:ascii="宋体" w:hAnsi="宋体"/>
          <w:color w:val="auto"/>
          <w:highlight w:val="none"/>
          <w:u w:val="single"/>
        </w:rPr>
        <w:t xml:space="preserve"> 国家、广西壮族自治区、桂林市有关工程建设的法规及规范性文件</w:t>
      </w:r>
      <w:r>
        <w:rPr>
          <w:rFonts w:ascii="宋体" w:hAnsi="宋体"/>
          <w:color w:val="auto"/>
          <w:highlight w:val="none"/>
        </w:rPr>
        <w:t>。</w:t>
      </w:r>
    </w:p>
    <w:p w14:paraId="2B221F01">
      <w:pPr>
        <w:keepNext/>
        <w:keepLines/>
        <w:widowControl/>
        <w:spacing w:before="480" w:line="420" w:lineRule="exact"/>
        <w:jc w:val="left"/>
        <w:outlineLvl w:val="0"/>
        <w:rPr>
          <w:rFonts w:hAnsi="宋体"/>
          <w:b/>
          <w:bCs/>
          <w:color w:val="auto"/>
          <w:kern w:val="44"/>
          <w:highlight w:val="none"/>
        </w:rPr>
      </w:pPr>
      <w:bookmarkStart w:id="575" w:name="_Toc480967529"/>
      <w:bookmarkStart w:id="576" w:name="_Toc406522216"/>
      <w:r>
        <w:rPr>
          <w:rFonts w:hAnsi="宋体"/>
          <w:b/>
          <w:bCs/>
          <w:color w:val="auto"/>
          <w:kern w:val="44"/>
          <w:highlight w:val="none"/>
        </w:rPr>
        <w:t>1.4 标准和规范</w:t>
      </w:r>
      <w:bookmarkEnd w:id="575"/>
      <w:bookmarkEnd w:id="576"/>
    </w:p>
    <w:p w14:paraId="1E72F63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1.4.1适用于工程的标准规范包括：</w:t>
      </w:r>
      <w:r>
        <w:rPr>
          <w:rFonts w:ascii="宋体" w:hAnsi="宋体"/>
          <w:color w:val="auto"/>
          <w:highlight w:val="none"/>
          <w:u w:val="single"/>
        </w:rPr>
        <w:t>国家、广西壮族自治区、桂林市有关工程建设的法规及规范性文件</w:t>
      </w:r>
      <w:r>
        <w:rPr>
          <w:rFonts w:ascii="宋体" w:hAnsi="宋体"/>
          <w:color w:val="auto"/>
          <w:highlight w:val="none"/>
        </w:rPr>
        <w:t>。</w:t>
      </w:r>
    </w:p>
    <w:p w14:paraId="71C6D44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1.4.2 发包人提供国外标准、规范的名称：</w:t>
      </w:r>
      <w:r>
        <w:rPr>
          <w:rFonts w:hint="eastAsia" w:ascii="宋体" w:hAnsi="宋体"/>
          <w:color w:val="auto"/>
          <w:highlight w:val="none"/>
          <w:u w:val="single"/>
        </w:rPr>
        <w:t xml:space="preserve">  无    </w:t>
      </w:r>
      <w:r>
        <w:rPr>
          <w:rFonts w:ascii="宋体" w:hAnsi="宋体"/>
          <w:color w:val="auto"/>
          <w:highlight w:val="none"/>
        </w:rPr>
        <w:t>；</w:t>
      </w:r>
    </w:p>
    <w:p w14:paraId="6197BA8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发包人提供国外标准、规范的份数：</w:t>
      </w:r>
      <w:r>
        <w:rPr>
          <w:rFonts w:ascii="宋体" w:hAnsi="宋体"/>
          <w:color w:val="auto"/>
          <w:highlight w:val="none"/>
          <w:u w:val="single"/>
        </w:rPr>
        <w:t xml:space="preserve">  无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11ADC56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发包人提供国外标准、规范的名称：</w:t>
      </w:r>
      <w:r>
        <w:rPr>
          <w:rFonts w:ascii="宋体" w:hAnsi="宋体"/>
          <w:color w:val="auto"/>
          <w:highlight w:val="none"/>
          <w:u w:val="single"/>
        </w:rPr>
        <w:t xml:space="preserve">   无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77AE874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1.4.3发包人对工程的技术标准和功能要求的特殊要求：</w:t>
      </w:r>
      <w:r>
        <w:rPr>
          <w:rFonts w:ascii="宋体" w:hAnsi="宋体"/>
          <w:color w:val="auto"/>
          <w:highlight w:val="none"/>
          <w:u w:val="single"/>
        </w:rPr>
        <w:t>无</w:t>
      </w:r>
      <w:r>
        <w:rPr>
          <w:rFonts w:hint="eastAsia" w:ascii="宋体" w:hAnsi="宋体"/>
          <w:color w:val="auto"/>
          <w:highlight w:val="none"/>
          <w:u w:val="single"/>
        </w:rPr>
        <w:t xml:space="preserve">                   </w:t>
      </w:r>
      <w:r>
        <w:rPr>
          <w:rFonts w:ascii="宋体" w:hAnsi="宋体"/>
          <w:color w:val="auto"/>
          <w:highlight w:val="none"/>
        </w:rPr>
        <w:t>。</w:t>
      </w:r>
    </w:p>
    <w:p w14:paraId="6BA6414B">
      <w:pPr>
        <w:keepNext/>
        <w:keepLines/>
        <w:widowControl/>
        <w:spacing w:before="480" w:line="420" w:lineRule="exact"/>
        <w:jc w:val="left"/>
        <w:outlineLvl w:val="0"/>
        <w:rPr>
          <w:rFonts w:hAnsi="宋体"/>
          <w:b/>
          <w:bCs/>
          <w:color w:val="auto"/>
          <w:kern w:val="44"/>
          <w:highlight w:val="none"/>
        </w:rPr>
      </w:pPr>
      <w:bookmarkStart w:id="577" w:name="_Toc480967530"/>
      <w:bookmarkStart w:id="578" w:name="_Toc406522217"/>
      <w:r>
        <w:rPr>
          <w:rFonts w:hAnsi="宋体"/>
          <w:b/>
          <w:bCs/>
          <w:color w:val="auto"/>
          <w:kern w:val="44"/>
          <w:highlight w:val="none"/>
        </w:rPr>
        <w:t>1.5 合同文件的优先顺序</w:t>
      </w:r>
      <w:bookmarkEnd w:id="577"/>
      <w:bookmarkEnd w:id="578"/>
    </w:p>
    <w:p w14:paraId="3D5F18C5">
      <w:pPr>
        <w:widowControl/>
        <w:autoSpaceDE w:val="0"/>
        <w:autoSpaceDN w:val="0"/>
        <w:adjustRightInd w:val="0"/>
        <w:spacing w:after="200" w:line="420" w:lineRule="exact"/>
        <w:ind w:firstLine="440" w:firstLineChars="200"/>
        <w:jc w:val="left"/>
        <w:rPr>
          <w:color w:val="auto"/>
          <w:kern w:val="0"/>
          <w:sz w:val="22"/>
          <w:highlight w:val="none"/>
          <w:u w:val="single"/>
        </w:rPr>
      </w:pPr>
      <w:r>
        <w:rPr>
          <w:color w:val="auto"/>
          <w:kern w:val="0"/>
          <w:sz w:val="22"/>
          <w:szCs w:val="22"/>
          <w:highlight w:val="none"/>
        </w:rPr>
        <w:t>合同文件组成及优先顺序为：</w:t>
      </w:r>
      <w:r>
        <w:rPr>
          <w:color w:val="auto"/>
          <w:kern w:val="0"/>
          <w:sz w:val="22"/>
          <w:highlight w:val="none"/>
          <w:u w:val="single"/>
        </w:rPr>
        <w:t>（1）合同协议书；（2）</w:t>
      </w:r>
      <w:r>
        <w:rPr>
          <w:rFonts w:hint="eastAsia" w:ascii="Arial" w:hAnsi="Arial" w:eastAsia="Arial" w:cs="Arial"/>
          <w:snapToGrid w:val="0"/>
          <w:color w:val="auto"/>
          <w:kern w:val="0"/>
          <w:sz w:val="22"/>
          <w:szCs w:val="21"/>
          <w:highlight w:val="none"/>
          <w:u w:val="single"/>
        </w:rPr>
        <w:t>成交</w:t>
      </w:r>
      <w:r>
        <w:rPr>
          <w:color w:val="auto"/>
          <w:kern w:val="0"/>
          <w:sz w:val="22"/>
          <w:highlight w:val="none"/>
          <w:u w:val="single"/>
        </w:rPr>
        <w:t>通知书；（3）</w:t>
      </w:r>
      <w:r>
        <w:rPr>
          <w:rFonts w:hint="eastAsia" w:ascii="Arial" w:hAnsi="Arial" w:eastAsia="Arial" w:cs="Arial"/>
          <w:snapToGrid w:val="0"/>
          <w:color w:val="auto"/>
          <w:kern w:val="0"/>
          <w:sz w:val="22"/>
          <w:szCs w:val="22"/>
          <w:highlight w:val="none"/>
          <w:u w:val="single"/>
        </w:rPr>
        <w:t>竞标</w:t>
      </w:r>
      <w:r>
        <w:rPr>
          <w:rFonts w:hint="eastAsia"/>
          <w:color w:val="auto"/>
          <w:kern w:val="0"/>
          <w:sz w:val="22"/>
          <w:szCs w:val="22"/>
          <w:highlight w:val="none"/>
          <w:u w:val="single"/>
        </w:rPr>
        <w:t>函</w:t>
      </w:r>
      <w:r>
        <w:rPr>
          <w:color w:val="auto"/>
          <w:kern w:val="0"/>
          <w:sz w:val="22"/>
          <w:szCs w:val="22"/>
          <w:highlight w:val="none"/>
          <w:u w:val="single"/>
        </w:rPr>
        <w:t>及其附</w:t>
      </w:r>
      <w:r>
        <w:rPr>
          <w:rFonts w:hint="eastAsia"/>
          <w:color w:val="auto"/>
          <w:kern w:val="0"/>
          <w:sz w:val="22"/>
          <w:szCs w:val="22"/>
          <w:highlight w:val="none"/>
          <w:u w:val="single"/>
        </w:rPr>
        <w:t>录</w:t>
      </w:r>
      <w:r>
        <w:rPr>
          <w:color w:val="auto"/>
          <w:kern w:val="0"/>
          <w:sz w:val="22"/>
          <w:highlight w:val="none"/>
          <w:u w:val="single"/>
        </w:rPr>
        <w:t>；（4）专用合同条款及其附件；（5）通用合同条款；（6）技术标准和要求；（7）已标价工程量清单或预算书；（8）图纸；（9）其他合同文件。</w:t>
      </w:r>
    </w:p>
    <w:p w14:paraId="579D9E1A">
      <w:pPr>
        <w:widowControl/>
        <w:spacing w:after="200" w:line="400" w:lineRule="exact"/>
        <w:ind w:firstLine="550" w:firstLineChars="250"/>
        <w:jc w:val="left"/>
        <w:rPr>
          <w:color w:val="auto"/>
          <w:kern w:val="0"/>
          <w:sz w:val="22"/>
          <w:szCs w:val="22"/>
          <w:highlight w:val="none"/>
          <w:u w:val="single"/>
        </w:rPr>
      </w:pPr>
      <w:r>
        <w:rPr>
          <w:rFonts w:hint="eastAsia" w:ascii="宋体" w:hAnsi="宋体"/>
          <w:color w:val="auto"/>
          <w:kern w:val="0"/>
          <w:sz w:val="22"/>
          <w:highlight w:val="none"/>
        </w:rPr>
        <w:t>合同协议书中约定采用</w:t>
      </w:r>
      <w:r>
        <w:rPr>
          <w:rFonts w:hint="eastAsia" w:ascii="宋体" w:hAnsi="宋体"/>
          <w:color w:val="auto"/>
          <w:kern w:val="0"/>
          <w:sz w:val="22"/>
          <w:highlight w:val="none"/>
          <w:u w:val="single"/>
        </w:rPr>
        <w:t>单价合同</w:t>
      </w:r>
      <w:r>
        <w:rPr>
          <w:rFonts w:hint="eastAsia" w:ascii="宋体" w:hAnsi="宋体"/>
          <w:color w:val="auto"/>
          <w:kern w:val="0"/>
          <w:sz w:val="22"/>
          <w:highlight w:val="none"/>
        </w:rPr>
        <w:t>形式的。图纸与技术标准和要求之间有矛盾或者不一致的，以其中要求较严格的标准为准。</w:t>
      </w:r>
      <w:r>
        <w:rPr>
          <w:rFonts w:hint="eastAsia"/>
          <w:color w:val="auto"/>
          <w:kern w:val="0"/>
          <w:sz w:val="22"/>
          <w:szCs w:val="22"/>
          <w:highlight w:val="none"/>
        </w:rPr>
        <w:t>合同双方在合同履行过程中签订的补充协议亦构成合同文件的组成部分，其解释顺序视其内容与其他合同文件的相互关系而定。</w:t>
      </w:r>
    </w:p>
    <w:p w14:paraId="5E2B0AD8">
      <w:pPr>
        <w:keepNext/>
        <w:keepLines/>
        <w:widowControl/>
        <w:spacing w:before="480" w:line="420" w:lineRule="exact"/>
        <w:jc w:val="left"/>
        <w:outlineLvl w:val="0"/>
        <w:rPr>
          <w:rFonts w:hAnsi="宋体"/>
          <w:b/>
          <w:bCs/>
          <w:color w:val="auto"/>
          <w:kern w:val="44"/>
          <w:highlight w:val="none"/>
        </w:rPr>
      </w:pPr>
      <w:bookmarkStart w:id="579" w:name="_Toc406522218"/>
      <w:bookmarkStart w:id="580" w:name="_Toc480967531"/>
      <w:r>
        <w:rPr>
          <w:rFonts w:hAnsi="宋体"/>
          <w:b/>
          <w:bCs/>
          <w:color w:val="auto"/>
          <w:kern w:val="44"/>
          <w:highlight w:val="none"/>
        </w:rPr>
        <w:t>1.6 图纸和承包人文件</w:t>
      </w:r>
      <w:bookmarkEnd w:id="579"/>
      <w:bookmarkEnd w:id="580"/>
      <w:r>
        <w:rPr>
          <w:rFonts w:hAnsi="宋体"/>
          <w:b/>
          <w:bCs/>
          <w:color w:val="auto"/>
          <w:kern w:val="44"/>
          <w:highlight w:val="none"/>
        </w:rPr>
        <w:tab/>
      </w:r>
    </w:p>
    <w:p w14:paraId="240E6C4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1.6.1 图纸的提供</w:t>
      </w:r>
    </w:p>
    <w:p w14:paraId="23033AD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发包人向承包人提供图纸的期限：</w:t>
      </w:r>
      <w:r>
        <w:rPr>
          <w:rFonts w:hint="eastAsia" w:ascii="宋体" w:hAnsi="宋体"/>
          <w:color w:val="auto"/>
          <w:highlight w:val="none"/>
          <w:u w:val="single"/>
        </w:rPr>
        <w:t>合同签订生效后7天内</w:t>
      </w:r>
      <w:r>
        <w:rPr>
          <w:rFonts w:ascii="宋体" w:hAnsi="宋体"/>
          <w:color w:val="auto"/>
          <w:highlight w:val="none"/>
          <w:u w:val="single"/>
        </w:rPr>
        <w:t xml:space="preserve">  </w:t>
      </w:r>
      <w:r>
        <w:rPr>
          <w:rFonts w:ascii="宋体" w:hAnsi="宋体"/>
          <w:color w:val="auto"/>
          <w:highlight w:val="none"/>
        </w:rPr>
        <w:t>；</w:t>
      </w:r>
    </w:p>
    <w:p w14:paraId="3520FB8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发包人向承包人提供图纸的数量：</w:t>
      </w:r>
      <w:r>
        <w:rPr>
          <w:rFonts w:hint="eastAsia" w:ascii="宋体" w:hAnsi="宋体"/>
          <w:color w:val="auto"/>
          <w:highlight w:val="none"/>
          <w:u w:val="single"/>
        </w:rPr>
        <w:t>合同签订生效后五天内向承包人免费提供施工图叁份</w:t>
      </w:r>
      <w:r>
        <w:rPr>
          <w:rFonts w:ascii="宋体" w:hAnsi="宋体"/>
          <w:color w:val="auto"/>
          <w:highlight w:val="none"/>
          <w:u w:val="single"/>
        </w:rPr>
        <w:t xml:space="preserve">   </w:t>
      </w:r>
      <w:r>
        <w:rPr>
          <w:rFonts w:ascii="宋体" w:hAnsi="宋体"/>
          <w:color w:val="auto"/>
          <w:highlight w:val="none"/>
        </w:rPr>
        <w:t>；</w:t>
      </w:r>
    </w:p>
    <w:p w14:paraId="1388D5E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发包人向承包人提供图纸的内容：</w:t>
      </w:r>
      <w:r>
        <w:rPr>
          <w:rFonts w:ascii="宋体" w:hAnsi="宋体"/>
          <w:color w:val="auto"/>
          <w:highlight w:val="none"/>
          <w:u w:val="single"/>
        </w:rPr>
        <w:t>工程承包范围内的各专业施工图</w:t>
      </w:r>
      <w:r>
        <w:rPr>
          <w:rFonts w:ascii="宋体" w:hAnsi="宋体"/>
          <w:color w:val="auto"/>
          <w:highlight w:val="none"/>
        </w:rPr>
        <w:t>。</w:t>
      </w:r>
    </w:p>
    <w:p w14:paraId="0A2A848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1.6.4 承包人文件</w:t>
      </w:r>
    </w:p>
    <w:p w14:paraId="2C890EF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需要由承包人提供的文件，包括：</w:t>
      </w:r>
      <w:r>
        <w:rPr>
          <w:rFonts w:hint="eastAsia" w:ascii="宋体" w:hAnsi="宋体"/>
          <w:color w:val="auto"/>
          <w:highlight w:val="none"/>
          <w:u w:val="single"/>
        </w:rPr>
        <w:t xml:space="preserve"> 1、施工组织设计；2、工程进度计划；3、管理人员名单、职称、职务、上岗证等；4、安全文明施工措施；5、质量保证体系；6、施工图以外的大样图、加工图、标准图、以及建筑装饰深化设计图纸设计优化建议等，但设计成果文件需经原设计单位审核及认可；最终设计成果归发包人所有。</w:t>
      </w:r>
    </w:p>
    <w:p w14:paraId="74B15FD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承包人提供的文件的期限为：构件开始施工前</w:t>
      </w:r>
      <w:r>
        <w:rPr>
          <w:rFonts w:hint="eastAsia" w:ascii="宋体" w:hAnsi="宋体"/>
          <w:color w:val="auto"/>
          <w:highlight w:val="none"/>
        </w:rPr>
        <w:t>7天内</w:t>
      </w:r>
      <w:r>
        <w:rPr>
          <w:rFonts w:ascii="宋体" w:hAnsi="宋体"/>
          <w:color w:val="auto"/>
          <w:highlight w:val="none"/>
          <w:u w:val="single"/>
        </w:rPr>
        <w:t xml:space="preserve"> </w:t>
      </w:r>
      <w:r>
        <w:rPr>
          <w:rFonts w:ascii="宋体" w:hAnsi="宋体"/>
          <w:color w:val="auto"/>
          <w:highlight w:val="none"/>
        </w:rPr>
        <w:t>；</w:t>
      </w:r>
    </w:p>
    <w:p w14:paraId="43917AF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承包人提供的文件的数量为：</w:t>
      </w:r>
      <w:r>
        <w:rPr>
          <w:rFonts w:ascii="宋体" w:hAnsi="宋体"/>
          <w:color w:val="auto"/>
          <w:highlight w:val="none"/>
          <w:u w:val="single"/>
        </w:rPr>
        <w:t xml:space="preserve"> 肆份</w:t>
      </w:r>
      <w:r>
        <w:rPr>
          <w:rFonts w:hint="eastAsia" w:ascii="宋体" w:hAnsi="宋体"/>
          <w:color w:val="auto"/>
          <w:highlight w:val="none"/>
          <w:u w:val="single"/>
        </w:rPr>
        <w:t xml:space="preserve"> </w:t>
      </w:r>
      <w:r>
        <w:rPr>
          <w:rFonts w:ascii="宋体" w:hAnsi="宋体"/>
          <w:color w:val="auto"/>
          <w:highlight w:val="none"/>
        </w:rPr>
        <w:t>；</w:t>
      </w:r>
    </w:p>
    <w:p w14:paraId="6187944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承包人提供的文件的形式为：</w:t>
      </w:r>
      <w:r>
        <w:rPr>
          <w:rFonts w:ascii="宋体" w:hAnsi="宋体"/>
          <w:color w:val="auto"/>
          <w:highlight w:val="none"/>
          <w:u w:val="single"/>
        </w:rPr>
        <w:t xml:space="preserve"> 纸质版 </w:t>
      </w:r>
      <w:r>
        <w:rPr>
          <w:rFonts w:ascii="宋体" w:hAnsi="宋体"/>
          <w:color w:val="auto"/>
          <w:highlight w:val="none"/>
        </w:rPr>
        <w:t>；</w:t>
      </w:r>
    </w:p>
    <w:p w14:paraId="77E5540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发包人审批承包人文件的期限：</w:t>
      </w:r>
      <w:r>
        <w:rPr>
          <w:rFonts w:ascii="宋体" w:hAnsi="宋体"/>
          <w:color w:val="auto"/>
          <w:highlight w:val="none"/>
          <w:u w:val="single"/>
        </w:rPr>
        <w:t xml:space="preserve"> </w:t>
      </w:r>
      <w:r>
        <w:rPr>
          <w:rFonts w:hint="eastAsia" w:ascii="宋体" w:hAnsi="宋体"/>
          <w:color w:val="auto"/>
          <w:highlight w:val="none"/>
          <w:u w:val="single"/>
        </w:rPr>
        <w:t>7天</w:t>
      </w:r>
      <w:r>
        <w:rPr>
          <w:rFonts w:ascii="宋体" w:hAnsi="宋体"/>
          <w:color w:val="auto"/>
          <w:highlight w:val="none"/>
          <w:u w:val="single"/>
        </w:rPr>
        <w:t xml:space="preserve"> </w:t>
      </w:r>
      <w:r>
        <w:rPr>
          <w:rFonts w:ascii="宋体" w:hAnsi="宋体"/>
          <w:color w:val="auto"/>
          <w:highlight w:val="none"/>
        </w:rPr>
        <w:t>。</w:t>
      </w:r>
    </w:p>
    <w:p w14:paraId="1021740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1.6.5 现场图纸准备</w:t>
      </w:r>
    </w:p>
    <w:p w14:paraId="05B7337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关于现场图纸准备的约定：</w:t>
      </w:r>
      <w:r>
        <w:rPr>
          <w:rFonts w:ascii="宋体" w:hAnsi="宋体"/>
          <w:color w:val="auto"/>
          <w:highlight w:val="none"/>
          <w:u w:val="single"/>
        </w:rPr>
        <w:t xml:space="preserve"> 承包人在施工现场保存至少</w:t>
      </w:r>
      <w:r>
        <w:rPr>
          <w:rFonts w:hint="eastAsia" w:ascii="宋体" w:hAnsi="宋体"/>
          <w:color w:val="auto"/>
          <w:highlight w:val="none"/>
          <w:u w:val="single"/>
        </w:rPr>
        <w:t>贰</w:t>
      </w:r>
      <w:r>
        <w:rPr>
          <w:rFonts w:ascii="宋体" w:hAnsi="宋体"/>
          <w:color w:val="auto"/>
          <w:highlight w:val="none"/>
          <w:u w:val="single"/>
        </w:rPr>
        <w:t xml:space="preserve">套完整施工图 </w:t>
      </w:r>
      <w:r>
        <w:rPr>
          <w:rFonts w:ascii="宋体" w:hAnsi="宋体"/>
          <w:color w:val="auto"/>
          <w:highlight w:val="none"/>
        </w:rPr>
        <w:t>。</w:t>
      </w:r>
    </w:p>
    <w:p w14:paraId="61E9743C">
      <w:pPr>
        <w:keepNext/>
        <w:keepLines/>
        <w:widowControl/>
        <w:spacing w:before="480" w:line="420" w:lineRule="exact"/>
        <w:jc w:val="left"/>
        <w:outlineLvl w:val="0"/>
        <w:rPr>
          <w:rFonts w:hAnsi="宋体"/>
          <w:b/>
          <w:bCs/>
          <w:color w:val="auto"/>
          <w:kern w:val="44"/>
          <w:highlight w:val="none"/>
        </w:rPr>
      </w:pPr>
      <w:bookmarkStart w:id="581" w:name="_Toc406522219"/>
      <w:bookmarkStart w:id="582" w:name="_Toc480967532"/>
      <w:r>
        <w:rPr>
          <w:rFonts w:hAnsi="宋体"/>
          <w:b/>
          <w:bCs/>
          <w:color w:val="auto"/>
          <w:kern w:val="44"/>
          <w:highlight w:val="none"/>
        </w:rPr>
        <w:t>1.7 联络</w:t>
      </w:r>
      <w:bookmarkEnd w:id="581"/>
      <w:bookmarkEnd w:id="582"/>
    </w:p>
    <w:p w14:paraId="09FC521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1.7.1发包人和承包人应当在</w:t>
      </w:r>
      <w:r>
        <w:rPr>
          <w:rFonts w:ascii="宋体" w:hAnsi="宋体"/>
          <w:color w:val="auto"/>
          <w:highlight w:val="none"/>
          <w:u w:val="single"/>
        </w:rPr>
        <w:t xml:space="preserve">  </w:t>
      </w:r>
      <w:r>
        <w:rPr>
          <w:rFonts w:hint="eastAsia" w:ascii="宋体" w:hAnsi="宋体"/>
          <w:color w:val="auto"/>
          <w:highlight w:val="none"/>
          <w:u w:val="single"/>
        </w:rPr>
        <w:t>3</w:t>
      </w:r>
      <w:r>
        <w:rPr>
          <w:rFonts w:ascii="宋体" w:hAnsi="宋体"/>
          <w:color w:val="auto"/>
          <w:highlight w:val="none"/>
          <w:u w:val="single"/>
        </w:rPr>
        <w:t xml:space="preserve"> </w:t>
      </w:r>
      <w:r>
        <w:rPr>
          <w:rFonts w:ascii="宋体" w:hAnsi="宋体"/>
          <w:color w:val="auto"/>
          <w:highlight w:val="none"/>
        </w:rPr>
        <w:t>天内将与合同有关的通知、批准、证明、证书、指示、指令、要求、请求、同意、意见、确定和决定等书面函件送达对方当事人。</w:t>
      </w:r>
    </w:p>
    <w:p w14:paraId="3637FAD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1.7.2 发包人接收文件的地点：</w:t>
      </w:r>
      <w:r>
        <w:rPr>
          <w:rFonts w:ascii="宋体" w:hAnsi="宋体"/>
          <w:color w:val="auto"/>
          <w:highlight w:val="none"/>
          <w:u w:val="single"/>
        </w:rPr>
        <w:t xml:space="preserve">双方按实际情况现场约定  </w:t>
      </w:r>
      <w:r>
        <w:rPr>
          <w:rFonts w:ascii="宋体" w:hAnsi="宋体"/>
          <w:color w:val="auto"/>
          <w:highlight w:val="none"/>
        </w:rPr>
        <w:t>；</w:t>
      </w:r>
    </w:p>
    <w:p w14:paraId="6D9BA81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发包人指定的接收人为：</w:t>
      </w:r>
      <w:r>
        <w:rPr>
          <w:rFonts w:ascii="宋体" w:hAnsi="宋体"/>
          <w:color w:val="auto"/>
          <w:highlight w:val="none"/>
          <w:u w:val="single"/>
        </w:rPr>
        <w:t>双方按实际情况现场约定</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531B4D3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承包人接收文件的地点：</w:t>
      </w:r>
      <w:r>
        <w:rPr>
          <w:rFonts w:ascii="宋体" w:hAnsi="宋体"/>
          <w:color w:val="auto"/>
          <w:highlight w:val="none"/>
          <w:u w:val="single"/>
        </w:rPr>
        <w:t xml:space="preserve"> 发包人指定地点</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1CA9B2A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承包人指定的接收人为：</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3E9A7EA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监理人接收文件的地点：</w:t>
      </w:r>
      <w:r>
        <w:rPr>
          <w:rFonts w:ascii="宋体" w:hAnsi="宋体"/>
          <w:color w:val="auto"/>
          <w:highlight w:val="none"/>
          <w:u w:val="single"/>
        </w:rPr>
        <w:t>发包人指定地点</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0F4ED5C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监理人指定的接收人为：</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w:t>
      </w:r>
    </w:p>
    <w:p w14:paraId="7A0C736D">
      <w:pPr>
        <w:keepNext/>
        <w:keepLines/>
        <w:widowControl/>
        <w:spacing w:before="480" w:line="420" w:lineRule="exact"/>
        <w:jc w:val="left"/>
        <w:outlineLvl w:val="0"/>
        <w:rPr>
          <w:rFonts w:hAnsi="宋体"/>
          <w:b/>
          <w:bCs/>
          <w:color w:val="auto"/>
          <w:kern w:val="44"/>
          <w:highlight w:val="none"/>
        </w:rPr>
      </w:pPr>
      <w:bookmarkStart w:id="583" w:name="_Toc480967533"/>
      <w:bookmarkStart w:id="584" w:name="_Toc406522220"/>
      <w:r>
        <w:rPr>
          <w:rFonts w:hAnsi="宋体"/>
          <w:b/>
          <w:bCs/>
          <w:color w:val="auto"/>
          <w:kern w:val="44"/>
          <w:highlight w:val="none"/>
        </w:rPr>
        <w:t>1.10 交通运输</w:t>
      </w:r>
      <w:bookmarkEnd w:id="583"/>
      <w:bookmarkEnd w:id="584"/>
    </w:p>
    <w:p w14:paraId="51558AC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w:t>
      </w:r>
      <w:bookmarkStart w:id="585" w:name="_Toc303539100"/>
      <w:bookmarkStart w:id="586" w:name="_Toc312677986"/>
      <w:bookmarkStart w:id="587" w:name="_Toc304295521"/>
      <w:bookmarkStart w:id="588" w:name="_Toc300934943"/>
      <w:bookmarkStart w:id="589" w:name="_Toc318581155"/>
      <w:r>
        <w:rPr>
          <w:rFonts w:ascii="宋体" w:hAnsi="宋体"/>
          <w:color w:val="auto"/>
          <w:highlight w:val="none"/>
        </w:rPr>
        <w:t>.10.1 出入现场的权利</w:t>
      </w:r>
    </w:p>
    <w:p w14:paraId="0B65FC2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关于出入现场的权利的约定：</w:t>
      </w:r>
      <w:r>
        <w:rPr>
          <w:rFonts w:ascii="宋体" w:hAnsi="宋体"/>
          <w:color w:val="auto"/>
          <w:highlight w:val="none"/>
          <w:u w:val="single"/>
        </w:rPr>
        <w:t xml:space="preserve"> 按通用条款执行。</w:t>
      </w:r>
      <w:r>
        <w:rPr>
          <w:rFonts w:hint="eastAsia" w:ascii="宋体" w:hAnsi="宋体"/>
          <w:color w:val="auto"/>
          <w:highlight w:val="none"/>
          <w:u w:val="single"/>
        </w:rPr>
        <w:t xml:space="preserve"> </w:t>
      </w:r>
    </w:p>
    <w:bookmarkEnd w:id="585"/>
    <w:bookmarkEnd w:id="586"/>
    <w:bookmarkEnd w:id="587"/>
    <w:bookmarkEnd w:id="588"/>
    <w:bookmarkEnd w:id="589"/>
    <w:p w14:paraId="0CDBE69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w:t>
      </w:r>
      <w:bookmarkStart w:id="590" w:name="_Toc318581156"/>
      <w:bookmarkStart w:id="591" w:name="_Toc304295522"/>
      <w:bookmarkStart w:id="592" w:name="_Toc303539101"/>
      <w:bookmarkStart w:id="593" w:name="_Toc312677987"/>
      <w:bookmarkStart w:id="594" w:name="_Toc300934944"/>
      <w:r>
        <w:rPr>
          <w:rFonts w:ascii="宋体" w:hAnsi="宋体"/>
          <w:color w:val="auto"/>
          <w:highlight w:val="none"/>
        </w:rPr>
        <w:t>.10.3 场内交通</w:t>
      </w:r>
    </w:p>
    <w:p w14:paraId="7AE8551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关于场外交通和场内交通的边界的约定：</w:t>
      </w:r>
      <w:r>
        <w:rPr>
          <w:rFonts w:hint="eastAsia" w:ascii="宋体" w:hAnsi="宋体"/>
          <w:color w:val="auto"/>
          <w:highlight w:val="none"/>
        </w:rPr>
        <w:t>以</w:t>
      </w:r>
      <w:r>
        <w:rPr>
          <w:rFonts w:hint="eastAsia" w:ascii="宋体" w:hAnsi="宋体"/>
          <w:color w:val="auto"/>
          <w:highlight w:val="none"/>
          <w:u w:val="single"/>
        </w:rPr>
        <w:t>本项目施工现场围墙为界</w:t>
      </w:r>
      <w:r>
        <w:rPr>
          <w:rFonts w:ascii="宋体" w:hAnsi="宋体"/>
          <w:color w:val="auto"/>
          <w:highlight w:val="none"/>
          <w:u w:val="single"/>
        </w:rPr>
        <w:t xml:space="preserve"> </w:t>
      </w:r>
      <w:r>
        <w:rPr>
          <w:rFonts w:ascii="宋体" w:hAnsi="宋体"/>
          <w:color w:val="auto"/>
          <w:highlight w:val="none"/>
        </w:rPr>
        <w:t>。</w:t>
      </w:r>
    </w:p>
    <w:p w14:paraId="6DD051A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关于发包人向承包人免费提供满足工程施工需要的场内道路和交通设施的约定：</w:t>
      </w:r>
      <w:r>
        <w:rPr>
          <w:rFonts w:hint="eastAsia" w:ascii="宋体" w:hAnsi="宋体"/>
          <w:color w:val="auto"/>
          <w:highlight w:val="none"/>
          <w:u w:val="single"/>
        </w:rPr>
        <w:t>由承包人负责场内道路和交通设施的修建并承担相应费用</w:t>
      </w:r>
      <w:r>
        <w:rPr>
          <w:rFonts w:hint="eastAsia" w:ascii="宋体" w:hAnsi="宋体"/>
          <w:color w:val="auto"/>
          <w:highlight w:val="none"/>
        </w:rPr>
        <w:t>。</w:t>
      </w:r>
      <w:r>
        <w:rPr>
          <w:rFonts w:ascii="宋体" w:hAnsi="宋体"/>
          <w:color w:val="auto"/>
          <w:highlight w:val="none"/>
        </w:rPr>
        <w:t xml:space="preserve">  </w:t>
      </w:r>
    </w:p>
    <w:bookmarkEnd w:id="590"/>
    <w:bookmarkEnd w:id="591"/>
    <w:bookmarkEnd w:id="592"/>
    <w:bookmarkEnd w:id="593"/>
    <w:bookmarkEnd w:id="594"/>
    <w:p w14:paraId="6E0FE09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1.10.4超大件和超重件的运输</w:t>
      </w:r>
    </w:p>
    <w:p w14:paraId="70A6C3C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运输超大件或超重件所需的道路和桥梁临时加固改造费用和其他有关费用由</w:t>
      </w:r>
      <w:r>
        <w:rPr>
          <w:rFonts w:hint="eastAsia" w:ascii="宋体" w:hAnsi="宋体"/>
          <w:color w:val="auto"/>
          <w:highlight w:val="none"/>
          <w:u w:val="single"/>
        </w:rPr>
        <w:t>承包人</w:t>
      </w:r>
      <w:r>
        <w:rPr>
          <w:rFonts w:ascii="宋体" w:hAnsi="宋体"/>
          <w:color w:val="auto"/>
          <w:highlight w:val="none"/>
        </w:rPr>
        <w:t>承担。</w:t>
      </w:r>
    </w:p>
    <w:p w14:paraId="4D5E733A">
      <w:pPr>
        <w:keepNext/>
        <w:keepLines/>
        <w:widowControl/>
        <w:spacing w:before="480" w:line="420" w:lineRule="exact"/>
        <w:jc w:val="left"/>
        <w:outlineLvl w:val="0"/>
        <w:rPr>
          <w:rFonts w:hAnsi="宋体"/>
          <w:b/>
          <w:bCs/>
          <w:color w:val="auto"/>
          <w:kern w:val="44"/>
          <w:highlight w:val="none"/>
        </w:rPr>
      </w:pPr>
      <w:bookmarkStart w:id="595" w:name="_Toc480967534"/>
      <w:bookmarkStart w:id="596" w:name="_Toc19187"/>
      <w:r>
        <w:rPr>
          <w:rFonts w:hAnsi="宋体"/>
          <w:b/>
          <w:bCs/>
          <w:color w:val="auto"/>
          <w:kern w:val="44"/>
          <w:highlight w:val="none"/>
        </w:rPr>
        <w:t>1.11 知识产权</w:t>
      </w:r>
      <w:bookmarkEnd w:id="595"/>
      <w:bookmarkEnd w:id="596"/>
    </w:p>
    <w:p w14:paraId="6C9659A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kern w:val="0"/>
          <w:highlight w:val="none"/>
          <w:u w:val="single"/>
        </w:rPr>
        <w:t>发包人</w:t>
      </w:r>
      <w:r>
        <w:rPr>
          <w:rFonts w:ascii="宋体" w:hAnsi="宋体"/>
          <w:color w:val="auto"/>
          <w:highlight w:val="none"/>
        </w:rPr>
        <w:t>。</w:t>
      </w:r>
    </w:p>
    <w:p w14:paraId="150B153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关于发包人提供的上述文件的使用限制的要求：</w:t>
      </w:r>
      <w:r>
        <w:rPr>
          <w:rFonts w:hint="eastAsia" w:ascii="宋体" w:hAnsi="宋体"/>
          <w:color w:val="auto"/>
          <w:kern w:val="0"/>
          <w:highlight w:val="none"/>
          <w:u w:val="single"/>
        </w:rPr>
        <w:t>只能用于本工地，未经批准不得转给第三方</w:t>
      </w:r>
      <w:r>
        <w:rPr>
          <w:rFonts w:ascii="宋体" w:hAnsi="宋体"/>
          <w:color w:val="auto"/>
          <w:highlight w:val="none"/>
        </w:rPr>
        <w:t>。</w:t>
      </w:r>
    </w:p>
    <w:p w14:paraId="145CFAC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1.11.2 关于承包人为实施工程所编制文件的著作权的归属</w:t>
      </w:r>
      <w:r>
        <w:rPr>
          <w:rFonts w:hint="eastAsia" w:ascii="宋体" w:hAnsi="宋体"/>
          <w:color w:val="auto"/>
          <w:highlight w:val="none"/>
        </w:rPr>
        <w:t>：</w:t>
      </w:r>
      <w:r>
        <w:rPr>
          <w:rFonts w:hint="eastAsia" w:ascii="宋体" w:hAnsi="宋体"/>
          <w:color w:val="auto"/>
          <w:kern w:val="0"/>
          <w:highlight w:val="none"/>
          <w:u w:val="single"/>
        </w:rPr>
        <w:t>发包人</w:t>
      </w:r>
      <w:r>
        <w:rPr>
          <w:rFonts w:ascii="宋体" w:hAnsi="宋体"/>
          <w:color w:val="auto"/>
          <w:highlight w:val="none"/>
        </w:rPr>
        <w:t>。</w:t>
      </w:r>
    </w:p>
    <w:p w14:paraId="32C9B00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关于承包人提供的上述文件的使用限制的要求：</w:t>
      </w:r>
      <w:r>
        <w:rPr>
          <w:rFonts w:hint="eastAsia" w:ascii="宋体" w:hAnsi="宋体"/>
          <w:color w:val="auto"/>
          <w:kern w:val="0"/>
          <w:highlight w:val="none"/>
          <w:u w:val="single"/>
        </w:rPr>
        <w:t>只能用于本工地施工、保修，未经承包人同意不得向第三方提供</w:t>
      </w:r>
      <w:r>
        <w:rPr>
          <w:rFonts w:ascii="宋体" w:hAnsi="宋体"/>
          <w:color w:val="auto"/>
          <w:highlight w:val="none"/>
        </w:rPr>
        <w:t>。</w:t>
      </w:r>
    </w:p>
    <w:p w14:paraId="148A284B">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1.11.4 承包人在施工过程中所采用的专利、专有技术、技术秘密的使用费的承担方式：</w:t>
      </w:r>
      <w:r>
        <w:rPr>
          <w:rFonts w:hint="eastAsia" w:ascii="宋体" w:hAnsi="宋体"/>
          <w:color w:val="auto"/>
          <w:kern w:val="0"/>
          <w:highlight w:val="none"/>
          <w:u w:val="single"/>
        </w:rPr>
        <w:t>承包人承担</w:t>
      </w:r>
      <w:r>
        <w:rPr>
          <w:rFonts w:ascii="宋体" w:hAnsi="宋体"/>
          <w:color w:val="auto"/>
          <w:kern w:val="0"/>
          <w:highlight w:val="none"/>
        </w:rPr>
        <w:t>。</w:t>
      </w:r>
    </w:p>
    <w:p w14:paraId="2AC9100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1.13工程量清单错误的修正</w:t>
      </w:r>
    </w:p>
    <w:p w14:paraId="1DA5DEAD">
      <w:pPr>
        <w:widowControl/>
        <w:spacing w:after="200" w:line="420" w:lineRule="exact"/>
        <w:ind w:firstLine="420" w:firstLineChars="200"/>
        <w:jc w:val="left"/>
        <w:rPr>
          <w:rFonts w:ascii="宋体" w:hAnsi="宋体"/>
          <w:color w:val="auto"/>
          <w:highlight w:val="none"/>
        </w:rPr>
      </w:pPr>
      <w:bookmarkStart w:id="597" w:name="_Toc27759"/>
      <w:bookmarkStart w:id="598" w:name="_Toc480967535"/>
      <w:r>
        <w:rPr>
          <w:rFonts w:ascii="宋体" w:hAnsi="宋体"/>
          <w:color w:val="auto"/>
          <w:highlight w:val="none"/>
        </w:rPr>
        <w:t>出现工程量清单错误时，是否调整合同价格：</w:t>
      </w:r>
      <w:r>
        <w:rPr>
          <w:rFonts w:hint="eastAsia" w:ascii="宋体" w:hAnsi="宋体"/>
          <w:color w:val="auto"/>
          <w:highlight w:val="none"/>
          <w:u w:val="single"/>
        </w:rPr>
        <w:t>允许调整</w:t>
      </w:r>
      <w:r>
        <w:rPr>
          <w:rFonts w:ascii="宋体" w:hAnsi="宋体"/>
          <w:color w:val="auto"/>
          <w:kern w:val="0"/>
          <w:highlight w:val="none"/>
        </w:rPr>
        <w:t>。</w:t>
      </w:r>
    </w:p>
    <w:p w14:paraId="53247EC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允许调整合同价格的工程量偏差范围</w:t>
      </w:r>
      <w:r>
        <w:rPr>
          <w:rFonts w:hint="eastAsia" w:ascii="宋体" w:hAnsi="宋体"/>
          <w:color w:val="auto"/>
          <w:highlight w:val="none"/>
        </w:rPr>
        <w:t>及调整方法</w:t>
      </w:r>
      <w:r>
        <w:rPr>
          <w:rFonts w:ascii="宋体" w:hAnsi="宋体"/>
          <w:color w:val="auto"/>
          <w:highlight w:val="none"/>
        </w:rPr>
        <w:t>：</w:t>
      </w:r>
      <w:r>
        <w:rPr>
          <w:rFonts w:hint="eastAsia" w:ascii="宋体" w:hAnsi="宋体" w:eastAsia="Arial" w:cs="Arial"/>
          <w:snapToGrid w:val="0"/>
          <w:color w:val="auto"/>
          <w:kern w:val="0"/>
          <w:szCs w:val="21"/>
          <w:highlight w:val="none"/>
          <w:u w:val="single"/>
        </w:rPr>
        <w:t>执行</w:t>
      </w:r>
      <w:r>
        <w:rPr>
          <w:rFonts w:ascii="宋体" w:hAnsi="宋体" w:eastAsia="Arial" w:cs="Arial"/>
          <w:snapToGrid w:val="0"/>
          <w:color w:val="auto"/>
          <w:kern w:val="0"/>
          <w:szCs w:val="21"/>
          <w:highlight w:val="none"/>
          <w:u w:val="single"/>
        </w:rPr>
        <w:t>《&lt;建设工程工程量清单计价规范&gt;（GB50500-2013）广西壮族自治区实施细则》</w:t>
      </w:r>
      <w:r>
        <w:rPr>
          <w:rFonts w:hint="eastAsia" w:ascii="宋体" w:hAnsi="宋体" w:eastAsia="Arial" w:cs="Arial"/>
          <w:snapToGrid w:val="0"/>
          <w:color w:val="auto"/>
          <w:kern w:val="0"/>
          <w:szCs w:val="21"/>
          <w:highlight w:val="none"/>
          <w:u w:val="single"/>
        </w:rPr>
        <w:t>（修订本）</w:t>
      </w:r>
      <w:r>
        <w:rPr>
          <w:rFonts w:ascii="宋体" w:hAnsi="宋体"/>
          <w:color w:val="auto"/>
          <w:highlight w:val="none"/>
        </w:rPr>
        <w:t>。</w:t>
      </w:r>
    </w:p>
    <w:p w14:paraId="78E280EB">
      <w:pPr>
        <w:keepNext/>
        <w:keepLines/>
        <w:widowControl/>
        <w:spacing w:before="480" w:line="420" w:lineRule="exact"/>
        <w:jc w:val="left"/>
        <w:outlineLvl w:val="0"/>
        <w:rPr>
          <w:rFonts w:hAnsi="宋体"/>
          <w:b/>
          <w:bCs/>
          <w:color w:val="auto"/>
          <w:kern w:val="44"/>
          <w:highlight w:val="none"/>
        </w:rPr>
      </w:pPr>
      <w:r>
        <w:rPr>
          <w:rFonts w:hAnsi="宋体"/>
          <w:b/>
          <w:bCs/>
          <w:color w:val="auto"/>
          <w:kern w:val="44"/>
          <w:highlight w:val="none"/>
        </w:rPr>
        <w:t>2. 发包人</w:t>
      </w:r>
      <w:bookmarkEnd w:id="597"/>
      <w:bookmarkEnd w:id="598"/>
    </w:p>
    <w:p w14:paraId="0BB3BD6F">
      <w:pPr>
        <w:keepNext/>
        <w:keepLines/>
        <w:widowControl/>
        <w:spacing w:before="480" w:line="420" w:lineRule="exact"/>
        <w:jc w:val="left"/>
        <w:outlineLvl w:val="0"/>
        <w:rPr>
          <w:rFonts w:hAnsi="宋体"/>
          <w:b/>
          <w:bCs/>
          <w:color w:val="auto"/>
          <w:kern w:val="44"/>
          <w:highlight w:val="none"/>
        </w:rPr>
      </w:pPr>
      <w:bookmarkStart w:id="599" w:name="_Toc480967536"/>
      <w:bookmarkStart w:id="600" w:name="_Toc25861"/>
      <w:r>
        <w:rPr>
          <w:rFonts w:hAnsi="宋体"/>
          <w:b/>
          <w:bCs/>
          <w:color w:val="auto"/>
          <w:kern w:val="44"/>
          <w:highlight w:val="none"/>
        </w:rPr>
        <w:t>2.2 发包人代表</w:t>
      </w:r>
      <w:bookmarkEnd w:id="599"/>
      <w:bookmarkEnd w:id="600"/>
    </w:p>
    <w:p w14:paraId="6A2ABDE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发包人代表：</w:t>
      </w:r>
    </w:p>
    <w:p w14:paraId="3932C91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姓    名：</w:t>
      </w:r>
      <w:r>
        <w:rPr>
          <w:rFonts w:hint="eastAsia" w:ascii="宋体" w:hAnsi="宋体"/>
          <w:color w:val="auto"/>
          <w:highlight w:val="none"/>
          <w:u w:val="single"/>
        </w:rPr>
        <w:t xml:space="preserve">      </w:t>
      </w:r>
      <w:r>
        <w:rPr>
          <w:rFonts w:ascii="宋体" w:hAnsi="宋体"/>
          <w:color w:val="auto"/>
          <w:highlight w:val="none"/>
        </w:rPr>
        <w:t>；</w:t>
      </w:r>
    </w:p>
    <w:p w14:paraId="51D72208">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身份证号：</w:t>
      </w:r>
      <w:r>
        <w:rPr>
          <w:rFonts w:hint="eastAsia" w:ascii="宋体" w:hAnsi="宋体"/>
          <w:color w:val="auto"/>
          <w:highlight w:val="none"/>
          <w:u w:val="single"/>
        </w:rPr>
        <w:t xml:space="preserve">           </w:t>
      </w:r>
      <w:r>
        <w:rPr>
          <w:rFonts w:ascii="宋体" w:hAnsi="宋体"/>
          <w:color w:val="auto"/>
          <w:highlight w:val="none"/>
        </w:rPr>
        <w:t>；</w:t>
      </w:r>
    </w:p>
    <w:p w14:paraId="130598D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职    务：</w:t>
      </w:r>
      <w:r>
        <w:rPr>
          <w:rFonts w:hint="eastAsia" w:ascii="宋体" w:hAnsi="宋体"/>
          <w:color w:val="auto"/>
          <w:highlight w:val="none"/>
          <w:u w:val="single"/>
        </w:rPr>
        <w:t xml:space="preserve">           </w:t>
      </w:r>
      <w:r>
        <w:rPr>
          <w:rFonts w:ascii="宋体" w:hAnsi="宋体"/>
          <w:color w:val="auto"/>
          <w:highlight w:val="none"/>
        </w:rPr>
        <w:t>；</w:t>
      </w:r>
    </w:p>
    <w:p w14:paraId="3DACC7C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联系电话：</w:t>
      </w:r>
      <w:r>
        <w:rPr>
          <w:rFonts w:hint="eastAsia" w:ascii="宋体" w:hAnsi="宋体"/>
          <w:color w:val="auto"/>
          <w:highlight w:val="none"/>
          <w:u w:val="single"/>
        </w:rPr>
        <w:t xml:space="preserve">       </w:t>
      </w:r>
      <w:r>
        <w:rPr>
          <w:rFonts w:ascii="宋体" w:hAnsi="宋体"/>
          <w:color w:val="auto"/>
          <w:highlight w:val="none"/>
        </w:rPr>
        <w:t>；</w:t>
      </w:r>
    </w:p>
    <w:p w14:paraId="3CCF395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电子信箱：</w:t>
      </w:r>
      <w:r>
        <w:rPr>
          <w:rFonts w:hint="eastAsia" w:ascii="宋体" w:hAnsi="宋体"/>
          <w:color w:val="auto"/>
          <w:highlight w:val="none"/>
          <w:u w:val="single"/>
        </w:rPr>
        <w:t xml:space="preserve">         </w:t>
      </w:r>
      <w:r>
        <w:rPr>
          <w:rFonts w:ascii="宋体" w:hAnsi="宋体"/>
          <w:color w:val="auto"/>
          <w:highlight w:val="none"/>
        </w:rPr>
        <w:t>；</w:t>
      </w:r>
    </w:p>
    <w:p w14:paraId="206D837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通信地址：</w:t>
      </w:r>
      <w:r>
        <w:rPr>
          <w:rFonts w:hint="eastAsia" w:ascii="宋体" w:hAnsi="宋体"/>
          <w:color w:val="auto"/>
          <w:highlight w:val="none"/>
          <w:u w:val="single"/>
        </w:rPr>
        <w:t xml:space="preserve"> 桂林市七星区金鸡路2号桂林航天工业学院  </w:t>
      </w:r>
      <w:r>
        <w:rPr>
          <w:rFonts w:ascii="宋体" w:hAnsi="宋体"/>
          <w:color w:val="auto"/>
          <w:highlight w:val="none"/>
        </w:rPr>
        <w:t>。</w:t>
      </w:r>
    </w:p>
    <w:p w14:paraId="581727DB">
      <w:pPr>
        <w:widowControl/>
        <w:spacing w:after="200" w:line="420" w:lineRule="exact"/>
        <w:ind w:firstLine="420" w:firstLineChars="200"/>
        <w:jc w:val="left"/>
        <w:rPr>
          <w:rFonts w:ascii="宋体" w:hAnsi="宋体"/>
          <w:b/>
          <w:color w:val="auto"/>
          <w:highlight w:val="none"/>
        </w:rPr>
      </w:pPr>
      <w:r>
        <w:rPr>
          <w:rFonts w:ascii="宋体" w:hAnsi="宋体"/>
          <w:color w:val="auto"/>
          <w:highlight w:val="none"/>
        </w:rPr>
        <w:t>发包人对发包人代表的授权范围如下：</w:t>
      </w:r>
      <w:r>
        <w:rPr>
          <w:rFonts w:hint="eastAsia" w:ascii="宋体" w:hAnsi="宋体"/>
          <w:color w:val="auto"/>
          <w:highlight w:val="none"/>
          <w:u w:val="single"/>
        </w:rPr>
        <w:t xml:space="preserve">  </w:t>
      </w:r>
      <w:r>
        <w:rPr>
          <w:rFonts w:hint="eastAsia" w:ascii="宋体" w:hAnsi="宋体"/>
          <w:color w:val="auto"/>
          <w:kern w:val="0"/>
          <w:highlight w:val="none"/>
          <w:u w:val="single"/>
        </w:rPr>
        <w:t>对工程进度、质量进行监督、办理工程验收手续，负责现场签证，解决由发包人授权处理的事宜</w:t>
      </w:r>
      <w:r>
        <w:rPr>
          <w:rFonts w:hint="eastAsia" w:ascii="宋体" w:hAnsi="宋体"/>
          <w:color w:val="auto"/>
          <w:highlight w:val="none"/>
          <w:u w:val="single"/>
        </w:rPr>
        <w:t xml:space="preserve">  </w:t>
      </w:r>
      <w:r>
        <w:rPr>
          <w:rFonts w:ascii="宋体" w:hAnsi="宋体"/>
          <w:color w:val="auto"/>
          <w:highlight w:val="none"/>
        </w:rPr>
        <w:t>。</w:t>
      </w:r>
    </w:p>
    <w:p w14:paraId="07DEA9EF">
      <w:pPr>
        <w:keepNext/>
        <w:keepLines/>
        <w:widowControl/>
        <w:spacing w:before="480" w:line="420" w:lineRule="exact"/>
        <w:jc w:val="left"/>
        <w:outlineLvl w:val="0"/>
        <w:rPr>
          <w:rFonts w:hAnsi="宋体"/>
          <w:b/>
          <w:bCs/>
          <w:color w:val="auto"/>
          <w:kern w:val="44"/>
          <w:highlight w:val="none"/>
        </w:rPr>
      </w:pPr>
      <w:bookmarkStart w:id="601" w:name="_Toc464"/>
      <w:bookmarkStart w:id="602" w:name="_Toc480967537"/>
      <w:r>
        <w:rPr>
          <w:rFonts w:hAnsi="宋体"/>
          <w:b/>
          <w:bCs/>
          <w:color w:val="auto"/>
          <w:kern w:val="44"/>
          <w:highlight w:val="none"/>
        </w:rPr>
        <w:t>2.4 施工现场、施工条件和基础资料的提供</w:t>
      </w:r>
      <w:bookmarkEnd w:id="601"/>
      <w:bookmarkEnd w:id="602"/>
    </w:p>
    <w:p w14:paraId="0A84311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2.4.1 提供施工现场</w:t>
      </w:r>
    </w:p>
    <w:p w14:paraId="0AB1374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关于发包人移交施工现场的期限要求：</w:t>
      </w:r>
      <w:r>
        <w:rPr>
          <w:rFonts w:hint="eastAsia" w:ascii="宋体" w:hAnsi="宋体"/>
          <w:color w:val="auto"/>
          <w:highlight w:val="none"/>
          <w:u w:val="single"/>
        </w:rPr>
        <w:t>除专用合同条款另有约定外，发包人应最迟于开工日期7天前向承包人移交施工现场</w:t>
      </w:r>
      <w:r>
        <w:rPr>
          <w:rFonts w:ascii="宋体" w:hAnsi="宋体"/>
          <w:color w:val="auto"/>
          <w:highlight w:val="none"/>
        </w:rPr>
        <w:t>。</w:t>
      </w:r>
    </w:p>
    <w:p w14:paraId="3E7E102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2.4.2 提供施工条件</w:t>
      </w:r>
    </w:p>
    <w:p w14:paraId="7FE32ED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关于发包人应负责提供施工所需要的条件，</w:t>
      </w:r>
      <w:r>
        <w:rPr>
          <w:rFonts w:hint="eastAsia" w:ascii="宋体" w:hAnsi="宋体"/>
          <w:color w:val="auto"/>
          <w:highlight w:val="none"/>
        </w:rPr>
        <w:t>包括：</w:t>
      </w:r>
    </w:p>
    <w:p w14:paraId="5311DEE5">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u w:val="single"/>
        </w:rPr>
        <w:t>发包人最迟应当在移交施工场地的同时向承包人提供施工场地内地下管线和地下设施等有关资料，并保证资料的真实、准确和完整，组织设计交底等</w:t>
      </w:r>
      <w:r>
        <w:rPr>
          <w:rFonts w:ascii="宋体" w:hAnsi="宋体"/>
          <w:color w:val="auto"/>
          <w:highlight w:val="none"/>
        </w:rPr>
        <w:t>。</w:t>
      </w:r>
    </w:p>
    <w:p w14:paraId="0649364B">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2、发包人负责提供电源，距离项目地块红线500米距离内，由本工程承包人接入施工现场，设置分电源箱，并单独装表计量。从发包人提供的电源至施工用电设备线路的安装由承包人负责实施，安装费、线路、设备购置费及施工过程中发生的所有电费，无论承包人是否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报价中单独列支，发包人均认为此项费用包含在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报价中。结算时，发包人将按照向供电部门缴纳电费的单价和承包人的实际用电数量扣回用电费用（含分摊的线路损耗费用）。</w:t>
      </w:r>
    </w:p>
    <w:p w14:paraId="44416581">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3、发包人负责提供水源，距离项目地块红线500米距离内，由本工程承包人接入施工现场，并单独装表计量。从水源至施工各用水点的管路安装、布置由承包人负责实施，其安装费、管材、设备购置费及施工过程中发生的所有水费，无论承包人是否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报价中单独列支，发包人均认为此项费用包含在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报价中。结算时，发包人将按照向供水部门缴纳水费的单价和承包人的实际用电数量扣回用水费用（含分摊的损耗费用）。</w:t>
      </w:r>
    </w:p>
    <w:p w14:paraId="220CC75D">
      <w:pPr>
        <w:keepNext/>
        <w:keepLines/>
        <w:widowControl/>
        <w:spacing w:before="480" w:line="420" w:lineRule="exact"/>
        <w:jc w:val="left"/>
        <w:outlineLvl w:val="0"/>
        <w:rPr>
          <w:rFonts w:hAnsi="宋体"/>
          <w:b/>
          <w:bCs/>
          <w:color w:val="auto"/>
          <w:kern w:val="44"/>
          <w:highlight w:val="none"/>
        </w:rPr>
      </w:pPr>
      <w:bookmarkStart w:id="603" w:name="_Toc32440"/>
      <w:bookmarkStart w:id="604" w:name="_Toc480967538"/>
      <w:r>
        <w:rPr>
          <w:rFonts w:hAnsi="宋体"/>
          <w:b/>
          <w:bCs/>
          <w:color w:val="auto"/>
          <w:kern w:val="44"/>
          <w:highlight w:val="none"/>
        </w:rPr>
        <w:t>2.5 资金来源证明及支付担保</w:t>
      </w:r>
      <w:bookmarkEnd w:id="603"/>
      <w:bookmarkEnd w:id="604"/>
    </w:p>
    <w:p w14:paraId="7772D93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发包人提供资金来源证明的期限要求：</w:t>
      </w:r>
      <w:r>
        <w:rPr>
          <w:rFonts w:hint="eastAsia" w:ascii="宋体" w:hAnsi="宋体"/>
          <w:color w:val="auto"/>
          <w:highlight w:val="none"/>
          <w:u w:val="single"/>
        </w:rPr>
        <w:t xml:space="preserve">  无  </w:t>
      </w:r>
      <w:r>
        <w:rPr>
          <w:rFonts w:ascii="宋体" w:hAnsi="宋体"/>
          <w:color w:val="auto"/>
          <w:highlight w:val="none"/>
        </w:rPr>
        <w:t>。</w:t>
      </w:r>
    </w:p>
    <w:p w14:paraId="1EA1B5A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发包人是否提供支付担保：</w:t>
      </w:r>
      <w:r>
        <w:rPr>
          <w:rFonts w:hint="eastAsia" w:ascii="宋体" w:hAnsi="宋体"/>
          <w:color w:val="auto"/>
          <w:highlight w:val="none"/>
          <w:u w:val="single"/>
        </w:rPr>
        <w:t xml:space="preserve"> 不提供  </w:t>
      </w:r>
      <w:r>
        <w:rPr>
          <w:rFonts w:ascii="宋体" w:hAnsi="宋体"/>
          <w:color w:val="auto"/>
          <w:highlight w:val="none"/>
        </w:rPr>
        <w:t>。</w:t>
      </w:r>
    </w:p>
    <w:p w14:paraId="3FE7ECD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发包人提供支付担保的形式：</w:t>
      </w:r>
      <w:r>
        <w:rPr>
          <w:rFonts w:hint="eastAsia" w:ascii="宋体" w:hAnsi="宋体"/>
          <w:color w:val="auto"/>
          <w:highlight w:val="none"/>
          <w:u w:val="single"/>
        </w:rPr>
        <w:t xml:space="preserve">  无  </w:t>
      </w:r>
      <w:r>
        <w:rPr>
          <w:rFonts w:ascii="宋体" w:hAnsi="宋体"/>
          <w:color w:val="auto"/>
          <w:highlight w:val="none"/>
        </w:rPr>
        <w:t>。</w:t>
      </w:r>
    </w:p>
    <w:p w14:paraId="39DAE628">
      <w:pPr>
        <w:keepNext/>
        <w:keepLines/>
        <w:widowControl/>
        <w:spacing w:before="480" w:line="420" w:lineRule="exact"/>
        <w:jc w:val="left"/>
        <w:outlineLvl w:val="0"/>
        <w:rPr>
          <w:rFonts w:hAnsi="宋体"/>
          <w:b/>
          <w:bCs/>
          <w:color w:val="auto"/>
          <w:kern w:val="44"/>
          <w:highlight w:val="none"/>
        </w:rPr>
      </w:pPr>
      <w:bookmarkStart w:id="605" w:name="_Toc480967539"/>
      <w:bookmarkStart w:id="606" w:name="_Toc6487"/>
      <w:r>
        <w:rPr>
          <w:rFonts w:hAnsi="宋体"/>
          <w:b/>
          <w:bCs/>
          <w:color w:val="auto"/>
          <w:kern w:val="44"/>
          <w:highlight w:val="none"/>
        </w:rPr>
        <w:t>3. 承包人</w:t>
      </w:r>
      <w:bookmarkEnd w:id="605"/>
      <w:bookmarkEnd w:id="606"/>
    </w:p>
    <w:p w14:paraId="749C703E">
      <w:pPr>
        <w:keepNext/>
        <w:keepLines/>
        <w:widowControl/>
        <w:spacing w:before="480" w:line="420" w:lineRule="exact"/>
        <w:jc w:val="left"/>
        <w:outlineLvl w:val="0"/>
        <w:rPr>
          <w:rFonts w:hAnsi="宋体"/>
          <w:b/>
          <w:bCs/>
          <w:color w:val="auto"/>
          <w:kern w:val="44"/>
          <w:highlight w:val="none"/>
        </w:rPr>
      </w:pPr>
      <w:bookmarkStart w:id="607" w:name="_Toc480967540"/>
      <w:bookmarkStart w:id="608" w:name="_Toc13291"/>
      <w:r>
        <w:rPr>
          <w:rFonts w:hAnsi="宋体"/>
          <w:b/>
          <w:bCs/>
          <w:color w:val="auto"/>
          <w:kern w:val="44"/>
          <w:highlight w:val="none"/>
        </w:rPr>
        <w:t>3.1 承包人的一般义务</w:t>
      </w:r>
      <w:bookmarkEnd w:id="607"/>
      <w:bookmarkEnd w:id="608"/>
    </w:p>
    <w:p w14:paraId="5D2EE9AF">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（9）</w:t>
      </w:r>
      <w:r>
        <w:rPr>
          <w:rFonts w:ascii="宋体" w:hAnsi="宋体"/>
          <w:color w:val="auto"/>
          <w:highlight w:val="none"/>
        </w:rPr>
        <w:t>承包人提交的竣工资料的内容：</w:t>
      </w:r>
      <w:r>
        <w:rPr>
          <w:rFonts w:hint="eastAsia" w:ascii="宋体" w:hAnsi="宋体"/>
          <w:color w:val="auto"/>
          <w:highlight w:val="none"/>
          <w:u w:val="single"/>
        </w:rPr>
        <w:t xml:space="preserve">按桂林市城建档案馆相关规定 </w:t>
      </w:r>
      <w:r>
        <w:rPr>
          <w:rFonts w:ascii="宋体" w:hAnsi="宋体"/>
          <w:color w:val="auto"/>
          <w:highlight w:val="none"/>
        </w:rPr>
        <w:t>。</w:t>
      </w:r>
    </w:p>
    <w:p w14:paraId="27B3B2F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承包人需要提交的竣工资料套数：</w:t>
      </w:r>
      <w:r>
        <w:rPr>
          <w:rFonts w:hint="eastAsia" w:ascii="宋体" w:hAnsi="宋体"/>
          <w:color w:val="auto"/>
          <w:highlight w:val="none"/>
          <w:u w:val="single"/>
        </w:rPr>
        <w:t>叁套</w:t>
      </w:r>
      <w:r>
        <w:rPr>
          <w:rFonts w:ascii="宋体" w:hAnsi="宋体"/>
          <w:color w:val="auto"/>
          <w:highlight w:val="none"/>
        </w:rPr>
        <w:t>。</w:t>
      </w:r>
    </w:p>
    <w:p w14:paraId="3F306B0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承包人提交的竣工资料的费用承担：</w:t>
      </w:r>
      <w:r>
        <w:rPr>
          <w:rFonts w:hint="eastAsia" w:ascii="宋体" w:hAnsi="宋体"/>
          <w:color w:val="auto"/>
          <w:highlight w:val="none"/>
          <w:u w:val="single"/>
        </w:rPr>
        <w:t>由承包人自行承担</w:t>
      </w:r>
      <w:r>
        <w:rPr>
          <w:rFonts w:ascii="宋体" w:hAnsi="宋体"/>
          <w:color w:val="auto"/>
          <w:highlight w:val="none"/>
        </w:rPr>
        <w:t>。</w:t>
      </w:r>
    </w:p>
    <w:p w14:paraId="62453B1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承包人提交的竣工资料移交时间：</w:t>
      </w:r>
      <w:r>
        <w:rPr>
          <w:rFonts w:hint="eastAsia" w:ascii="宋体" w:hAnsi="宋体"/>
          <w:color w:val="auto"/>
          <w:highlight w:val="none"/>
          <w:u w:val="single"/>
        </w:rPr>
        <w:t>双方按实际情况现场约定</w:t>
      </w:r>
      <w:r>
        <w:rPr>
          <w:rFonts w:ascii="宋体" w:hAnsi="宋体"/>
          <w:color w:val="auto"/>
          <w:highlight w:val="none"/>
        </w:rPr>
        <w:t>。</w:t>
      </w:r>
    </w:p>
    <w:p w14:paraId="1697BDD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承包人提交的竣工资料形式要求：</w:t>
      </w:r>
      <w:r>
        <w:rPr>
          <w:rFonts w:hint="eastAsia" w:ascii="宋体" w:hAnsi="宋体"/>
          <w:color w:val="auto"/>
          <w:highlight w:val="none"/>
          <w:u w:val="single"/>
        </w:rPr>
        <w:t>纸质版</w:t>
      </w:r>
      <w:r>
        <w:rPr>
          <w:rFonts w:ascii="宋体" w:hAnsi="宋体"/>
          <w:color w:val="auto"/>
          <w:highlight w:val="none"/>
        </w:rPr>
        <w:t>。</w:t>
      </w:r>
    </w:p>
    <w:p w14:paraId="4F57C8A1">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（10）承包人应履行的其他义务：</w:t>
      </w:r>
      <w:r>
        <w:rPr>
          <w:rFonts w:hint="eastAsia" w:ascii="宋体" w:hAnsi="宋体"/>
          <w:color w:val="auto"/>
          <w:highlight w:val="none"/>
          <w:u w:val="single"/>
        </w:rPr>
        <w:t>1、</w:t>
      </w:r>
      <w:r>
        <w:rPr>
          <w:rFonts w:ascii="宋体" w:hAnsi="宋体"/>
          <w:color w:val="auto"/>
          <w:highlight w:val="none"/>
          <w:u w:val="single"/>
        </w:rPr>
        <w:t>承包人应当</w:t>
      </w:r>
      <w:r>
        <w:rPr>
          <w:rFonts w:hint="eastAsia" w:ascii="宋体" w:hAnsi="宋体"/>
          <w:color w:val="auto"/>
          <w:highlight w:val="none"/>
          <w:u w:val="single"/>
        </w:rPr>
        <w:t>主动配合发包人</w:t>
      </w:r>
      <w:r>
        <w:rPr>
          <w:rFonts w:ascii="宋体" w:hAnsi="宋体"/>
          <w:color w:val="auto"/>
          <w:highlight w:val="none"/>
          <w:u w:val="single"/>
        </w:rPr>
        <w:t>协调与施工现场周边农村及村民的关系，确保项目施工顺利进行</w:t>
      </w:r>
      <w:r>
        <w:rPr>
          <w:rFonts w:hint="eastAsia" w:ascii="宋体" w:hAnsi="宋体"/>
          <w:color w:val="auto"/>
          <w:highlight w:val="none"/>
          <w:u w:val="single"/>
        </w:rPr>
        <w:t>；为发包人依法发包的专业工程承包商提供一切施工方便；2、农民工工资按国家法律法规、《保障农民工工资支付条例》和广西区的相关文件执行，承包人应按时足额支付农民工工资</w:t>
      </w:r>
      <w:r>
        <w:rPr>
          <w:rFonts w:ascii="宋体" w:hAnsi="宋体"/>
          <w:color w:val="auto"/>
          <w:highlight w:val="none"/>
          <w:u w:val="single"/>
        </w:rPr>
        <w:t>。</w:t>
      </w:r>
      <w:r>
        <w:rPr>
          <w:rFonts w:hint="eastAsia" w:ascii="宋体" w:hAnsi="宋体"/>
          <w:color w:val="auto"/>
          <w:highlight w:val="none"/>
          <w:u w:val="single"/>
        </w:rPr>
        <w:t>3、承包人应按发包人的指令，完成发包人要求的对工程内容的任何增加和删减。4、承包人应积极主动核对图纸中的标高、轴线等技术数据，充分理解设计意图。若由于明显的设计图纸问题（例如尺寸标注不闭合、文字标识相互矛盾等）和发包人（包括监理）不正确的指令，承包人发现后有书面告知义务，否则造成工程质量、安全、进度损失，也不能免除承包人的责任。5、承包人应按照政府相关规定，建立健全的雇员工资发放和劳动保障制度。</w:t>
      </w:r>
    </w:p>
    <w:p w14:paraId="1B1E5E1B">
      <w:pPr>
        <w:keepNext/>
        <w:keepLines/>
        <w:widowControl/>
        <w:spacing w:before="480" w:line="420" w:lineRule="exact"/>
        <w:jc w:val="left"/>
        <w:outlineLvl w:val="0"/>
        <w:rPr>
          <w:rFonts w:hAnsi="宋体"/>
          <w:b/>
          <w:bCs/>
          <w:color w:val="auto"/>
          <w:kern w:val="44"/>
          <w:highlight w:val="none"/>
        </w:rPr>
      </w:pPr>
      <w:bookmarkStart w:id="609" w:name="_Toc2443"/>
      <w:bookmarkStart w:id="610" w:name="_Toc480967541"/>
      <w:r>
        <w:rPr>
          <w:rFonts w:hAnsi="宋体"/>
          <w:b/>
          <w:bCs/>
          <w:color w:val="auto"/>
          <w:kern w:val="44"/>
          <w:highlight w:val="none"/>
        </w:rPr>
        <w:t>3.2 项目经理</w:t>
      </w:r>
      <w:bookmarkEnd w:id="609"/>
      <w:bookmarkEnd w:id="610"/>
    </w:p>
    <w:p w14:paraId="12A08B53">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 xml:space="preserve">3.2.1 </w:t>
      </w:r>
      <w:r>
        <w:rPr>
          <w:rFonts w:ascii="宋体" w:hAnsi="宋体"/>
          <w:color w:val="auto"/>
          <w:highlight w:val="none"/>
        </w:rPr>
        <w:t>项目经理：</w:t>
      </w:r>
    </w:p>
    <w:p w14:paraId="30093B2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姓    名：</w:t>
      </w:r>
      <w:r>
        <w:rPr>
          <w:rFonts w:hint="eastAsia" w:ascii="宋体" w:hAnsi="宋体"/>
          <w:color w:val="auto"/>
          <w:highlight w:val="none"/>
          <w:u w:val="single"/>
        </w:rPr>
        <w:t xml:space="preserve">            </w:t>
      </w:r>
      <w:r>
        <w:rPr>
          <w:rFonts w:ascii="宋体" w:hAnsi="宋体"/>
          <w:color w:val="auto"/>
          <w:highlight w:val="none"/>
        </w:rPr>
        <w:t>；</w:t>
      </w:r>
    </w:p>
    <w:p w14:paraId="201D19B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身份证号：</w:t>
      </w:r>
      <w:r>
        <w:rPr>
          <w:rFonts w:hint="eastAsia" w:ascii="宋体" w:hAnsi="宋体"/>
          <w:color w:val="auto"/>
          <w:highlight w:val="none"/>
          <w:u w:val="single"/>
        </w:rPr>
        <w:t xml:space="preserve">                  </w:t>
      </w:r>
      <w:r>
        <w:rPr>
          <w:rFonts w:ascii="宋体" w:hAnsi="宋体"/>
          <w:color w:val="auto"/>
          <w:highlight w:val="none"/>
        </w:rPr>
        <w:t>；</w:t>
      </w:r>
    </w:p>
    <w:p w14:paraId="4948ABA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建造师执业资格等级：</w:t>
      </w:r>
      <w:r>
        <w:rPr>
          <w:rFonts w:hint="eastAsia" w:ascii="宋体" w:hAnsi="宋体"/>
          <w:color w:val="auto"/>
          <w:highlight w:val="none"/>
          <w:u w:val="single"/>
        </w:rPr>
        <w:t xml:space="preserve">                  </w:t>
      </w:r>
      <w:r>
        <w:rPr>
          <w:rFonts w:ascii="宋体" w:hAnsi="宋体"/>
          <w:color w:val="auto"/>
          <w:highlight w:val="none"/>
        </w:rPr>
        <w:t>；</w:t>
      </w:r>
    </w:p>
    <w:p w14:paraId="0EB4A17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建造师注册证书号：</w:t>
      </w:r>
      <w:r>
        <w:rPr>
          <w:rFonts w:hint="eastAsia" w:ascii="宋体" w:hAnsi="宋体"/>
          <w:color w:val="auto"/>
          <w:highlight w:val="none"/>
          <w:u w:val="single"/>
        </w:rPr>
        <w:t xml:space="preserve">                      </w:t>
      </w:r>
      <w:r>
        <w:rPr>
          <w:rFonts w:ascii="宋体" w:hAnsi="宋体"/>
          <w:color w:val="auto"/>
          <w:highlight w:val="none"/>
        </w:rPr>
        <w:t>；</w:t>
      </w:r>
    </w:p>
    <w:p w14:paraId="7494C6F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建造师执业印章号：</w:t>
      </w:r>
      <w:r>
        <w:rPr>
          <w:rFonts w:hint="eastAsia" w:ascii="宋体" w:hAnsi="宋体"/>
          <w:color w:val="auto"/>
          <w:highlight w:val="none"/>
          <w:u w:val="single"/>
        </w:rPr>
        <w:t xml:space="preserve">                          </w:t>
      </w:r>
      <w:r>
        <w:rPr>
          <w:rFonts w:ascii="宋体" w:hAnsi="宋体"/>
          <w:color w:val="auto"/>
          <w:highlight w:val="none"/>
        </w:rPr>
        <w:t>；</w:t>
      </w:r>
    </w:p>
    <w:p w14:paraId="713C92A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安全生产考核合格证书号：</w:t>
      </w:r>
      <w:r>
        <w:rPr>
          <w:rFonts w:hint="eastAsia" w:ascii="宋体" w:hAnsi="宋体"/>
          <w:color w:val="auto"/>
          <w:highlight w:val="none"/>
          <w:u w:val="single"/>
        </w:rPr>
        <w:t xml:space="preserve">                      </w:t>
      </w:r>
      <w:r>
        <w:rPr>
          <w:rFonts w:ascii="宋体" w:hAnsi="宋体"/>
          <w:color w:val="auto"/>
          <w:highlight w:val="none"/>
        </w:rPr>
        <w:t>；</w:t>
      </w:r>
    </w:p>
    <w:p w14:paraId="4C572CA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联系电话：</w:t>
      </w:r>
      <w:r>
        <w:rPr>
          <w:rFonts w:hint="eastAsia" w:ascii="宋体" w:hAnsi="宋体"/>
          <w:color w:val="auto"/>
          <w:highlight w:val="none"/>
          <w:u w:val="single"/>
        </w:rPr>
        <w:t xml:space="preserve">                       </w:t>
      </w:r>
      <w:r>
        <w:rPr>
          <w:rFonts w:ascii="宋体" w:hAnsi="宋体"/>
          <w:color w:val="auto"/>
          <w:highlight w:val="none"/>
        </w:rPr>
        <w:t>；</w:t>
      </w:r>
    </w:p>
    <w:p w14:paraId="4C872DA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电子信箱：</w:t>
      </w:r>
      <w:r>
        <w:rPr>
          <w:rFonts w:hint="eastAsia" w:ascii="宋体" w:hAnsi="宋体"/>
          <w:color w:val="auto"/>
          <w:highlight w:val="none"/>
          <w:u w:val="single"/>
        </w:rPr>
        <w:t xml:space="preserve">  /        </w:t>
      </w:r>
      <w:r>
        <w:rPr>
          <w:rFonts w:ascii="宋体" w:hAnsi="宋体"/>
          <w:color w:val="auto"/>
          <w:highlight w:val="none"/>
        </w:rPr>
        <w:t>；</w:t>
      </w:r>
    </w:p>
    <w:p w14:paraId="23757E9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通信地址：</w:t>
      </w:r>
      <w:r>
        <w:rPr>
          <w:rFonts w:hint="eastAsia" w:ascii="宋体" w:hAnsi="宋体"/>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w:t>
      </w:r>
    </w:p>
    <w:p w14:paraId="3181D3BE">
      <w:pPr>
        <w:widowControl/>
        <w:spacing w:after="200" w:line="380" w:lineRule="exact"/>
        <w:ind w:firstLine="440" w:firstLineChars="200"/>
        <w:jc w:val="left"/>
        <w:rPr>
          <w:rFonts w:ascii="宋体" w:hAnsi="宋体"/>
          <w:color w:val="auto"/>
          <w:kern w:val="0"/>
          <w:sz w:val="22"/>
          <w:szCs w:val="22"/>
          <w:highlight w:val="none"/>
          <w:u w:val="single"/>
        </w:rPr>
      </w:pPr>
      <w:r>
        <w:rPr>
          <w:color w:val="auto"/>
          <w:kern w:val="0"/>
          <w:sz w:val="22"/>
          <w:szCs w:val="22"/>
          <w:highlight w:val="none"/>
        </w:rPr>
        <w:t>承包人对项目经理的授权范围如下：</w:t>
      </w:r>
      <w:r>
        <w:rPr>
          <w:rFonts w:hint="eastAsia" w:ascii="宋体" w:hAnsi="宋体"/>
          <w:color w:val="auto"/>
          <w:kern w:val="0"/>
          <w:sz w:val="22"/>
          <w:szCs w:val="22"/>
          <w:highlight w:val="none"/>
          <w:u w:val="single"/>
        </w:rPr>
        <w:t xml:space="preserve">  （1）对本工程的建设进行全面管理，行使合同约定的权利，履行合同约定的义务；（2）负责本工程的施工组织方案制定和施工组织设计；（3）负责本工程的劳动力组织和机械设备组织；（4）合同约定由承包人采购的材料、工程设备，项目经理参与选择物资供应单位；（5）在授权范围内协调与项目有关的内、外部关系；（6）负责与发包人、监理人办理设计变更、现场签证等手续，及时办理本工程相关索赔；（7）负责签收发包人、监理人往来函件，承包人的要求、通知均应以书面形式由承包人项目经理签字并加盖承包人公司公章后递交发包人；（8）代表承包人接受监理工程师或发包人现场代表发出的指示和指令。  </w:t>
      </w:r>
    </w:p>
    <w:p w14:paraId="38784964">
      <w:pPr>
        <w:widowControl/>
        <w:spacing w:after="200" w:line="380" w:lineRule="exact"/>
        <w:ind w:firstLine="440" w:firstLineChars="200"/>
        <w:jc w:val="left"/>
        <w:rPr>
          <w:rFonts w:ascii="宋体" w:hAnsi="宋体" w:cs="宋体"/>
          <w:color w:val="auto"/>
          <w:kern w:val="0"/>
          <w:sz w:val="22"/>
          <w:highlight w:val="none"/>
          <w:u w:val="single"/>
        </w:rPr>
      </w:pPr>
      <w:r>
        <w:rPr>
          <w:rFonts w:hint="eastAsia" w:ascii="宋体" w:hAnsi="宋体"/>
          <w:color w:val="auto"/>
          <w:kern w:val="0"/>
          <w:sz w:val="22"/>
          <w:szCs w:val="22"/>
          <w:highlight w:val="none"/>
        </w:rPr>
        <w:t>但未经承包人盖章同意不得以承包人名义向外融资、采购材料设备、租用建筑周转材料、雇佣劳动力、签订分包合同等从事一切为承包人设立义务或责任的行为。</w:t>
      </w:r>
    </w:p>
    <w:p w14:paraId="2D38A25C">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关于项目经理每月在施工现场的时间要求：</w:t>
      </w:r>
      <w:r>
        <w:rPr>
          <w:rFonts w:hint="eastAsia" w:ascii="宋体" w:hAnsi="宋体"/>
          <w:color w:val="auto"/>
          <w:highlight w:val="none"/>
          <w:u w:val="single"/>
        </w:rPr>
        <w:t>不得少于22个工作日，若项目经理每月在岗时间少于22个工作日，发包人有权更换项目经理，由此造成的一切损失由承包人承担。</w:t>
      </w:r>
    </w:p>
    <w:p w14:paraId="513D86AB">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项目经理未经批准，擅自离开施工现场的违约责任：</w:t>
      </w:r>
      <w:r>
        <w:rPr>
          <w:rFonts w:ascii="宋体" w:hAnsi="宋体"/>
          <w:color w:val="auto"/>
          <w:highlight w:val="none"/>
          <w:u w:val="single"/>
        </w:rPr>
        <w:t>项目经理每月在岗带班时间不得少于</w:t>
      </w:r>
      <w:r>
        <w:rPr>
          <w:rFonts w:hint="eastAsia" w:ascii="宋体" w:hAnsi="宋体"/>
          <w:color w:val="auto"/>
          <w:highlight w:val="none"/>
          <w:u w:val="single"/>
        </w:rPr>
        <w:t>当月施工时间的80%。</w:t>
      </w:r>
      <w:r>
        <w:rPr>
          <w:rFonts w:ascii="宋体" w:hAnsi="宋体"/>
          <w:color w:val="auto"/>
          <w:highlight w:val="none"/>
          <w:u w:val="single"/>
        </w:rPr>
        <w:t>未经发包人同意或正当理由，项目经理每月在岗带班时间少于</w:t>
      </w:r>
      <w:r>
        <w:rPr>
          <w:rFonts w:hint="eastAsia" w:ascii="宋体" w:hAnsi="宋体"/>
          <w:color w:val="auto"/>
          <w:highlight w:val="none"/>
          <w:u w:val="single"/>
        </w:rPr>
        <w:t>当月施工时间80%的</w:t>
      </w:r>
      <w:r>
        <w:rPr>
          <w:rFonts w:ascii="宋体" w:hAnsi="宋体"/>
          <w:color w:val="auto"/>
          <w:highlight w:val="none"/>
          <w:u w:val="single"/>
        </w:rPr>
        <w:t>，</w:t>
      </w:r>
      <w:r>
        <w:rPr>
          <w:rFonts w:hint="eastAsia" w:ascii="宋体" w:hAnsi="宋体"/>
          <w:color w:val="auto"/>
          <w:kern w:val="0"/>
          <w:position w:val="-2"/>
          <w:highlight w:val="none"/>
          <w:u w:val="single"/>
        </w:rPr>
        <w:t>少在岗带班一天，发包人有权处违约金500元/日（人民币）</w:t>
      </w:r>
      <w:r>
        <w:rPr>
          <w:rFonts w:ascii="宋体" w:hAnsi="宋体"/>
          <w:color w:val="auto"/>
          <w:highlight w:val="none"/>
        </w:rPr>
        <w:t>。</w:t>
      </w:r>
    </w:p>
    <w:p w14:paraId="347EB610">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承包人未提交劳动合同，以及没有为项目经理缴纳社会保险证明的违约责任：</w:t>
      </w:r>
      <w:r>
        <w:rPr>
          <w:rFonts w:hint="eastAsia" w:ascii="宋体" w:hAnsi="宋体"/>
          <w:color w:val="auto"/>
          <w:kern w:val="0"/>
          <w:highlight w:val="none"/>
          <w:u w:val="single"/>
        </w:rPr>
        <w:t>若经</w:t>
      </w:r>
      <w:r>
        <w:rPr>
          <w:rFonts w:hint="eastAsia" w:ascii="宋体" w:hAnsi="宋体"/>
          <w:color w:val="auto"/>
          <w:highlight w:val="none"/>
          <w:u w:val="single"/>
        </w:rPr>
        <w:t>发包人检查发现承包人违约则扣款1万元，若承包人不按要求及时整改，发包人有权解除合同</w:t>
      </w:r>
      <w:r>
        <w:rPr>
          <w:rFonts w:ascii="宋体" w:hAnsi="宋体"/>
          <w:color w:val="auto"/>
          <w:highlight w:val="none"/>
          <w:u w:val="single"/>
        </w:rPr>
        <w:t xml:space="preserve">  </w:t>
      </w:r>
      <w:r>
        <w:rPr>
          <w:rFonts w:ascii="宋体" w:hAnsi="宋体"/>
          <w:color w:val="auto"/>
          <w:highlight w:val="none"/>
        </w:rPr>
        <w:t>。</w:t>
      </w:r>
    </w:p>
    <w:p w14:paraId="2DF6CB4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3.2.3 承包人擅自更换项目经理的违约责任：</w:t>
      </w:r>
      <w:r>
        <w:rPr>
          <w:rFonts w:ascii="宋体" w:hAnsi="宋体"/>
          <w:color w:val="auto"/>
          <w:highlight w:val="none"/>
          <w:u w:val="single"/>
        </w:rPr>
        <w:t>承包人项目经理必须与承包人投标时所承诺的人员一致，并在</w:t>
      </w:r>
      <w:r>
        <w:rPr>
          <w:rFonts w:hint="eastAsia" w:ascii="宋体" w:hAnsi="宋体"/>
          <w:color w:val="auto"/>
          <w:highlight w:val="none"/>
          <w:u w:val="single"/>
        </w:rPr>
        <w:t>约定开工日期</w:t>
      </w:r>
      <w:r>
        <w:rPr>
          <w:rFonts w:ascii="宋体" w:hAnsi="宋体"/>
          <w:color w:val="auto"/>
          <w:highlight w:val="none"/>
          <w:u w:val="single"/>
        </w:rPr>
        <w:t>前到任。在监理人向承包人颁发</w:t>
      </w:r>
      <w:r>
        <w:rPr>
          <w:rFonts w:hint="eastAsia" w:ascii="宋体" w:hAnsi="宋体"/>
          <w:color w:val="auto"/>
          <w:highlight w:val="none"/>
          <w:u w:val="single"/>
        </w:rPr>
        <w:t>竣工证明材料名称前</w:t>
      </w:r>
      <w:r>
        <w:rPr>
          <w:rFonts w:ascii="宋体" w:hAnsi="宋体"/>
          <w:color w:val="auto"/>
          <w:highlight w:val="none"/>
          <w:u w:val="single"/>
        </w:rPr>
        <w:t>，项目经理不得同时兼任其他任何项目的项目经理</w:t>
      </w:r>
      <w:r>
        <w:rPr>
          <w:rFonts w:ascii="宋体" w:hAnsi="宋体"/>
          <w:color w:val="auto"/>
          <w:kern w:val="0"/>
          <w:highlight w:val="none"/>
          <w:u w:val="single"/>
        </w:rPr>
        <w:t>（</w:t>
      </w:r>
      <w:r>
        <w:rPr>
          <w:rFonts w:hint="eastAsia" w:ascii="宋体" w:hAnsi="宋体"/>
          <w:color w:val="auto"/>
          <w:kern w:val="0"/>
          <w:highlight w:val="none"/>
          <w:u w:val="single"/>
        </w:rPr>
        <w:t>符合桂建管【2013】17号文及桂建管【2016】70号除外</w:t>
      </w:r>
      <w:r>
        <w:rPr>
          <w:rFonts w:ascii="宋体" w:hAnsi="宋体"/>
          <w:color w:val="auto"/>
          <w:kern w:val="0"/>
          <w:highlight w:val="none"/>
          <w:u w:val="single"/>
        </w:rPr>
        <w:t>）</w:t>
      </w:r>
      <w:r>
        <w:rPr>
          <w:rFonts w:ascii="宋体" w:hAnsi="宋体"/>
          <w:color w:val="auto"/>
          <w:highlight w:val="none"/>
          <w:u w:val="single"/>
        </w:rPr>
        <w:t>。未经发包人书面同意，承包人擅自更换项目经理的视为违约，违约金处</w:t>
      </w:r>
      <w:r>
        <w:rPr>
          <w:rFonts w:hint="eastAsia" w:ascii="宋体" w:hAnsi="宋体"/>
          <w:color w:val="auto"/>
          <w:highlight w:val="none"/>
          <w:u w:val="single"/>
        </w:rPr>
        <w:t>10000.00</w:t>
      </w:r>
      <w:r>
        <w:rPr>
          <w:rFonts w:ascii="宋体" w:hAnsi="宋体"/>
          <w:color w:val="auto"/>
          <w:highlight w:val="none"/>
          <w:u w:val="single"/>
        </w:rPr>
        <w:t>元/人•次（人民币）</w:t>
      </w:r>
      <w:r>
        <w:rPr>
          <w:rFonts w:ascii="宋体" w:hAnsi="宋体"/>
          <w:color w:val="auto"/>
          <w:highlight w:val="none"/>
        </w:rPr>
        <w:t>。</w:t>
      </w:r>
    </w:p>
    <w:p w14:paraId="59E51C7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3.2.4 承包人无正当理由拒绝更换项目经理的违约责任：</w:t>
      </w:r>
      <w:r>
        <w:rPr>
          <w:rFonts w:ascii="宋体" w:hAnsi="宋体"/>
          <w:color w:val="auto"/>
          <w:highlight w:val="none"/>
          <w:u w:val="single"/>
        </w:rPr>
        <w:t>因承包人项目经理不称职，发包人要求调换而未及时调换的，视为承包人违约，必须向发包人交纳处罚金</w:t>
      </w:r>
      <w:r>
        <w:rPr>
          <w:rFonts w:hint="eastAsia" w:ascii="宋体" w:hAnsi="宋体"/>
          <w:color w:val="auto"/>
          <w:highlight w:val="none"/>
          <w:u w:val="single"/>
        </w:rPr>
        <w:t>5000.00</w:t>
      </w:r>
      <w:r>
        <w:rPr>
          <w:rFonts w:ascii="宋体" w:hAnsi="宋体"/>
          <w:color w:val="auto"/>
          <w:highlight w:val="none"/>
          <w:u w:val="single"/>
        </w:rPr>
        <w:t>元/人•次（人民币）</w:t>
      </w:r>
      <w:r>
        <w:rPr>
          <w:rFonts w:ascii="宋体" w:hAnsi="宋体"/>
          <w:color w:val="auto"/>
          <w:highlight w:val="none"/>
        </w:rPr>
        <w:t>。</w:t>
      </w:r>
    </w:p>
    <w:p w14:paraId="2B17C735">
      <w:pPr>
        <w:keepNext/>
        <w:keepLines/>
        <w:widowControl/>
        <w:spacing w:before="480" w:line="420" w:lineRule="exact"/>
        <w:jc w:val="left"/>
        <w:outlineLvl w:val="0"/>
        <w:rPr>
          <w:rFonts w:hAnsi="宋体"/>
          <w:b/>
          <w:bCs/>
          <w:color w:val="auto"/>
          <w:kern w:val="44"/>
          <w:highlight w:val="none"/>
        </w:rPr>
      </w:pPr>
      <w:bookmarkStart w:id="611" w:name="_Toc10887"/>
      <w:bookmarkStart w:id="612" w:name="_Toc480967542"/>
      <w:r>
        <w:rPr>
          <w:rFonts w:hAnsi="宋体"/>
          <w:b/>
          <w:bCs/>
          <w:color w:val="auto"/>
          <w:kern w:val="44"/>
          <w:highlight w:val="none"/>
        </w:rPr>
        <w:t>3.3 承包人人员</w:t>
      </w:r>
      <w:bookmarkEnd w:id="611"/>
      <w:bookmarkEnd w:id="612"/>
    </w:p>
    <w:p w14:paraId="5B0D9E7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3.3.1 承包人提交项目管理机构及施工现场管理人员安排报告（格式见合同附件</w:t>
      </w:r>
      <w:r>
        <w:rPr>
          <w:rFonts w:hint="eastAsia" w:ascii="宋体" w:hAnsi="宋体"/>
          <w:color w:val="auto"/>
          <w:highlight w:val="none"/>
        </w:rPr>
        <w:t>3</w:t>
      </w:r>
      <w:r>
        <w:rPr>
          <w:rFonts w:ascii="宋体" w:hAnsi="宋体"/>
          <w:color w:val="auto"/>
          <w:highlight w:val="none"/>
        </w:rPr>
        <w:t>）的期限：</w:t>
      </w:r>
      <w:r>
        <w:rPr>
          <w:rFonts w:ascii="宋体" w:hAnsi="宋体"/>
          <w:color w:val="auto"/>
          <w:highlight w:val="none"/>
          <w:u w:val="single"/>
        </w:rPr>
        <w:t xml:space="preserve"> </w:t>
      </w:r>
      <w:r>
        <w:rPr>
          <w:rFonts w:hint="eastAsia" w:ascii="宋体" w:hAnsi="宋体"/>
          <w:color w:val="auto"/>
          <w:highlight w:val="none"/>
          <w:u w:val="single"/>
        </w:rPr>
        <w:t xml:space="preserve">合同签订后14天内 </w:t>
      </w:r>
      <w:r>
        <w:rPr>
          <w:rFonts w:ascii="宋体" w:hAnsi="宋体"/>
          <w:color w:val="auto"/>
          <w:highlight w:val="none"/>
        </w:rPr>
        <w:t>。</w:t>
      </w:r>
    </w:p>
    <w:p w14:paraId="1C76040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3.3.3 承包人无正当理由拒绝撤换主要施工管理人员的违约责任：</w:t>
      </w:r>
      <w:r>
        <w:rPr>
          <w:rFonts w:hint="eastAsia" w:ascii="宋体" w:hAnsi="宋体"/>
          <w:color w:val="auto"/>
          <w:highlight w:val="none"/>
        </w:rPr>
        <w:t xml:space="preserve"> </w:t>
      </w:r>
      <w:r>
        <w:rPr>
          <w:rFonts w:ascii="宋体"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highlight w:val="none"/>
          <w:u w:val="single"/>
        </w:rPr>
        <w:t>5000</w:t>
      </w:r>
      <w:r>
        <w:rPr>
          <w:rFonts w:ascii="宋体" w:hAnsi="宋体"/>
          <w:color w:val="auto"/>
          <w:highlight w:val="none"/>
          <w:u w:val="single"/>
        </w:rPr>
        <w:t>元/人•次（人民币）；专业工程师</w:t>
      </w:r>
      <w:r>
        <w:rPr>
          <w:rFonts w:hint="eastAsia" w:ascii="宋体" w:hAnsi="宋体"/>
          <w:color w:val="auto"/>
          <w:highlight w:val="none"/>
          <w:u w:val="single"/>
        </w:rPr>
        <w:t>2000</w:t>
      </w:r>
      <w:r>
        <w:rPr>
          <w:rFonts w:ascii="宋体" w:hAnsi="宋体"/>
          <w:color w:val="auto"/>
          <w:highlight w:val="none"/>
          <w:u w:val="single"/>
        </w:rPr>
        <w:t>元/人•次（人民币）</w:t>
      </w:r>
      <w:r>
        <w:rPr>
          <w:rFonts w:ascii="宋体" w:hAnsi="宋体"/>
          <w:color w:val="auto"/>
          <w:highlight w:val="none"/>
        </w:rPr>
        <w:t>。</w:t>
      </w:r>
    </w:p>
    <w:p w14:paraId="2F1C236F">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3.3.4 承包人主要施工管理人员离开施工现场的批准要求：</w:t>
      </w:r>
      <w:r>
        <w:rPr>
          <w:rFonts w:ascii="宋体" w:hAnsi="宋体"/>
          <w:color w:val="auto"/>
          <w:highlight w:val="none"/>
          <w:u w:val="single"/>
        </w:rPr>
        <w:t xml:space="preserve"> </w:t>
      </w:r>
      <w:r>
        <w:rPr>
          <w:rFonts w:hint="eastAsia" w:ascii="宋体" w:hAnsi="宋体"/>
          <w:color w:val="auto"/>
          <w:highlight w:val="none"/>
          <w:u w:val="single"/>
        </w:rPr>
        <w:t xml:space="preserve">向发包人书面申请 </w:t>
      </w:r>
      <w:r>
        <w:rPr>
          <w:rFonts w:ascii="宋体" w:hAnsi="宋体"/>
          <w:color w:val="auto"/>
          <w:highlight w:val="none"/>
        </w:rPr>
        <w:t>。</w:t>
      </w:r>
    </w:p>
    <w:p w14:paraId="16415C1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3.3.5 承包人擅自更换主要施工管理人员的违约责任：</w:t>
      </w:r>
      <w:r>
        <w:rPr>
          <w:rFonts w:ascii="宋体" w:hAnsi="宋体"/>
          <w:color w:val="auto"/>
          <w:highlight w:val="none"/>
          <w:u w:val="single"/>
        </w:rPr>
        <w:t>项目技术负责人、专职安全员及其承诺的其它在场管理人员未经发包人书面同意不准擅自更换，擅自更换项目技术负责人处</w:t>
      </w:r>
      <w:r>
        <w:rPr>
          <w:rFonts w:hint="eastAsia" w:ascii="宋体" w:hAnsi="宋体"/>
          <w:color w:val="auto"/>
          <w:highlight w:val="none"/>
          <w:u w:val="single"/>
        </w:rPr>
        <w:t>2000</w:t>
      </w:r>
      <w:r>
        <w:rPr>
          <w:rFonts w:ascii="宋体" w:hAnsi="宋体"/>
          <w:color w:val="auto"/>
          <w:highlight w:val="none"/>
          <w:u w:val="single"/>
        </w:rPr>
        <w:t>元/人•次（人民币）违约金；擅自更换专职安全员处</w:t>
      </w:r>
      <w:r>
        <w:rPr>
          <w:rFonts w:hint="eastAsia" w:ascii="宋体" w:hAnsi="宋体"/>
          <w:color w:val="auto"/>
          <w:highlight w:val="none"/>
          <w:u w:val="single"/>
        </w:rPr>
        <w:t>3000</w:t>
      </w:r>
      <w:r>
        <w:rPr>
          <w:rFonts w:ascii="宋体" w:hAnsi="宋体"/>
          <w:color w:val="auto"/>
          <w:highlight w:val="none"/>
          <w:u w:val="single"/>
        </w:rPr>
        <w:t>元/人•次（人民币）违约金；擅自更换其它在场管理人员处</w:t>
      </w:r>
      <w:r>
        <w:rPr>
          <w:rFonts w:hint="eastAsia" w:ascii="宋体" w:hAnsi="宋体"/>
          <w:color w:val="auto"/>
          <w:highlight w:val="none"/>
          <w:u w:val="single"/>
        </w:rPr>
        <w:t>2000</w:t>
      </w:r>
      <w:r>
        <w:rPr>
          <w:rFonts w:ascii="宋体" w:hAnsi="宋体"/>
          <w:color w:val="auto"/>
          <w:highlight w:val="none"/>
          <w:u w:val="single"/>
        </w:rPr>
        <w:t>元/人•次（人民币）违约金</w:t>
      </w:r>
      <w:r>
        <w:rPr>
          <w:rFonts w:ascii="宋体" w:hAnsi="宋体"/>
          <w:color w:val="auto"/>
          <w:highlight w:val="none"/>
        </w:rPr>
        <w:t>。</w:t>
      </w:r>
    </w:p>
    <w:p w14:paraId="1FF6910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承包人主要施工管理人员擅自离开施工现场的违约责任：</w:t>
      </w:r>
      <w:r>
        <w:rPr>
          <w:rFonts w:ascii="宋体" w:hAnsi="宋体"/>
          <w:color w:val="auto"/>
          <w:highlight w:val="none"/>
          <w:u w:val="single"/>
        </w:rPr>
        <w:t>未经发包人同意，项目技术负责人擅自离岗的，视为承包人违约，发包人有权处违约金</w:t>
      </w:r>
      <w:r>
        <w:rPr>
          <w:rFonts w:hint="eastAsia" w:ascii="宋体" w:hAnsi="宋体"/>
          <w:color w:val="auto"/>
          <w:highlight w:val="none"/>
          <w:u w:val="single"/>
        </w:rPr>
        <w:t>2000</w:t>
      </w:r>
      <w:r>
        <w:rPr>
          <w:rFonts w:ascii="宋体" w:hAnsi="宋体"/>
          <w:color w:val="auto"/>
          <w:highlight w:val="none"/>
          <w:u w:val="single"/>
        </w:rPr>
        <w:t>元/人•次（人民币）；未经发包人同意，专职安全员擅自离岗的，视为承包人违约，发包人有权处违约金</w:t>
      </w:r>
      <w:r>
        <w:rPr>
          <w:rFonts w:hint="eastAsia" w:ascii="宋体" w:hAnsi="宋体"/>
          <w:color w:val="auto"/>
          <w:highlight w:val="none"/>
          <w:u w:val="single"/>
        </w:rPr>
        <w:t>1000</w:t>
      </w:r>
      <w:r>
        <w:rPr>
          <w:rFonts w:ascii="宋体" w:hAnsi="宋体"/>
          <w:color w:val="auto"/>
          <w:highlight w:val="none"/>
          <w:u w:val="single"/>
        </w:rPr>
        <w:t>元/人•次（人民币）；其它在场管理人员擅自离岗的，视为承包人违约，发包人有权处违约金</w:t>
      </w:r>
      <w:r>
        <w:rPr>
          <w:rFonts w:hint="eastAsia" w:ascii="宋体" w:hAnsi="宋体"/>
          <w:color w:val="auto"/>
          <w:highlight w:val="none"/>
          <w:u w:val="single"/>
        </w:rPr>
        <w:t>500</w:t>
      </w:r>
      <w:r>
        <w:rPr>
          <w:rFonts w:ascii="宋体" w:hAnsi="宋体"/>
          <w:color w:val="auto"/>
          <w:highlight w:val="none"/>
          <w:u w:val="single"/>
        </w:rPr>
        <w:t>元/人•次（人民币）</w:t>
      </w:r>
      <w:r>
        <w:rPr>
          <w:rFonts w:ascii="宋体" w:hAnsi="宋体"/>
          <w:color w:val="auto"/>
          <w:highlight w:val="none"/>
        </w:rPr>
        <w:t>。</w:t>
      </w:r>
      <w:bookmarkStart w:id="613" w:name="_Toc20371"/>
    </w:p>
    <w:p w14:paraId="3304BA5A">
      <w:pPr>
        <w:widowControl/>
        <w:spacing w:after="200" w:line="420" w:lineRule="exact"/>
        <w:ind w:firstLine="422" w:firstLineChars="200"/>
        <w:jc w:val="left"/>
        <w:rPr>
          <w:rFonts w:ascii="宋体" w:hAnsi="宋体"/>
          <w:b/>
          <w:bCs/>
          <w:color w:val="auto"/>
          <w:highlight w:val="none"/>
        </w:rPr>
      </w:pPr>
      <w:r>
        <w:rPr>
          <w:rFonts w:ascii="宋体" w:hAnsi="宋体"/>
          <w:b/>
          <w:bCs/>
          <w:color w:val="auto"/>
          <w:highlight w:val="none"/>
        </w:rPr>
        <w:t>3.6 工程照管与成品、半成品保护</w:t>
      </w:r>
      <w:bookmarkEnd w:id="613"/>
    </w:p>
    <w:p w14:paraId="5C8395B2">
      <w:pPr>
        <w:widowControl/>
        <w:spacing w:after="200" w:line="420" w:lineRule="exact"/>
        <w:ind w:firstLine="420" w:firstLineChars="200"/>
        <w:jc w:val="left"/>
        <w:rPr>
          <w:rFonts w:ascii="宋体" w:hAnsi="宋体"/>
          <w:color w:val="auto"/>
          <w:kern w:val="0"/>
          <w:highlight w:val="none"/>
          <w:u w:val="single"/>
        </w:rPr>
      </w:pPr>
      <w:r>
        <w:rPr>
          <w:rFonts w:ascii="宋体" w:hAnsi="宋体"/>
          <w:color w:val="auto"/>
          <w:kern w:val="0"/>
          <w:highlight w:val="none"/>
        </w:rPr>
        <w:t>承包人负责照管工程及工程相关的材料、工程设备的起始时间：</w:t>
      </w:r>
      <w:r>
        <w:rPr>
          <w:rFonts w:hint="eastAsia" w:ascii="宋体" w:hAnsi="宋体"/>
          <w:color w:val="auto"/>
          <w:highlight w:val="none"/>
          <w:u w:val="single"/>
        </w:rPr>
        <w:t xml:space="preserve">按通用条款 </w:t>
      </w:r>
      <w:r>
        <w:rPr>
          <w:rFonts w:ascii="宋体" w:hAnsi="宋体"/>
          <w:color w:val="auto"/>
          <w:kern w:val="0"/>
          <w:highlight w:val="none"/>
        </w:rPr>
        <w:t>。</w:t>
      </w:r>
    </w:p>
    <w:p w14:paraId="6249CE49">
      <w:pPr>
        <w:widowControl/>
        <w:spacing w:after="200" w:line="420" w:lineRule="exact"/>
        <w:ind w:firstLine="422" w:firstLineChars="200"/>
        <w:jc w:val="left"/>
        <w:rPr>
          <w:rFonts w:ascii="宋体" w:hAnsi="宋体"/>
          <w:b/>
          <w:bCs/>
          <w:color w:val="auto"/>
          <w:highlight w:val="none"/>
        </w:rPr>
      </w:pPr>
      <w:bookmarkStart w:id="614" w:name="_Toc23566"/>
      <w:bookmarkStart w:id="615" w:name="_Toc480967543"/>
      <w:r>
        <w:rPr>
          <w:rFonts w:ascii="宋体" w:hAnsi="宋体"/>
          <w:b/>
          <w:bCs/>
          <w:color w:val="auto"/>
          <w:highlight w:val="none"/>
        </w:rPr>
        <w:t>3.7 履约</w:t>
      </w:r>
      <w:bookmarkEnd w:id="614"/>
      <w:r>
        <w:rPr>
          <w:rFonts w:hint="eastAsia" w:ascii="宋体" w:hAnsi="宋体"/>
          <w:b/>
          <w:bCs/>
          <w:color w:val="auto"/>
          <w:highlight w:val="none"/>
        </w:rPr>
        <w:t>担保</w:t>
      </w:r>
      <w:bookmarkEnd w:id="615"/>
      <w:bookmarkStart w:id="616" w:name="_Toc480967544"/>
    </w:p>
    <w:p w14:paraId="629DAAB0">
      <w:pPr>
        <w:widowControl/>
        <w:spacing w:after="200" w:line="420" w:lineRule="exact"/>
        <w:ind w:firstLine="420" w:firstLineChars="200"/>
        <w:jc w:val="left"/>
        <w:rPr>
          <w:rFonts w:ascii="宋体" w:hAnsi="宋体"/>
          <w:b/>
          <w:bCs/>
          <w:color w:val="auto"/>
          <w:highlight w:val="none"/>
        </w:rPr>
      </w:pPr>
      <w:r>
        <w:rPr>
          <w:rFonts w:hint="eastAsia" w:hAnsi="宋体"/>
          <w:color w:val="auto"/>
          <w:kern w:val="44"/>
          <w:highlight w:val="none"/>
        </w:rPr>
        <w:t>承包人是否提供履约担保：</w:t>
      </w:r>
      <w:r>
        <w:rPr>
          <w:rFonts w:hint="eastAsia" w:hAnsi="宋体"/>
          <w:color w:val="auto"/>
          <w:kern w:val="44"/>
          <w:highlight w:val="none"/>
          <w:u w:val="single"/>
        </w:rPr>
        <w:t xml:space="preserve">      否         </w:t>
      </w:r>
      <w:r>
        <w:rPr>
          <w:rFonts w:hint="eastAsia" w:hAnsi="宋体"/>
          <w:color w:val="auto"/>
          <w:kern w:val="44"/>
          <w:highlight w:val="none"/>
        </w:rPr>
        <w:t>。</w:t>
      </w:r>
      <w:bookmarkEnd w:id="616"/>
    </w:p>
    <w:p w14:paraId="34B9E31B">
      <w:pPr>
        <w:keepNext/>
        <w:keepLines/>
        <w:widowControl/>
        <w:spacing w:before="480" w:line="420" w:lineRule="exact"/>
        <w:jc w:val="left"/>
        <w:outlineLvl w:val="0"/>
        <w:rPr>
          <w:rFonts w:hAnsi="宋体"/>
          <w:b/>
          <w:bCs/>
          <w:color w:val="auto"/>
          <w:kern w:val="44"/>
          <w:highlight w:val="none"/>
        </w:rPr>
      </w:pPr>
      <w:bookmarkStart w:id="617" w:name="_Toc12281"/>
      <w:bookmarkStart w:id="618" w:name="_Toc480967545"/>
      <w:r>
        <w:rPr>
          <w:rFonts w:hAnsi="宋体"/>
          <w:b/>
          <w:bCs/>
          <w:color w:val="auto"/>
          <w:kern w:val="44"/>
          <w:highlight w:val="none"/>
        </w:rPr>
        <w:t>4. 监理人</w:t>
      </w:r>
      <w:bookmarkEnd w:id="617"/>
      <w:bookmarkEnd w:id="618"/>
    </w:p>
    <w:p w14:paraId="5AD2FF3D">
      <w:pPr>
        <w:keepNext/>
        <w:keepLines/>
        <w:widowControl/>
        <w:spacing w:before="480" w:line="420" w:lineRule="exact"/>
        <w:jc w:val="left"/>
        <w:outlineLvl w:val="0"/>
        <w:rPr>
          <w:rFonts w:hAnsi="宋体"/>
          <w:b/>
          <w:bCs/>
          <w:color w:val="auto"/>
          <w:kern w:val="44"/>
          <w:highlight w:val="none"/>
        </w:rPr>
      </w:pPr>
      <w:bookmarkStart w:id="619" w:name="_Toc23705"/>
      <w:bookmarkStart w:id="620" w:name="_Toc480967546"/>
      <w:r>
        <w:rPr>
          <w:rFonts w:hAnsi="宋体"/>
          <w:b/>
          <w:bCs/>
          <w:color w:val="auto"/>
          <w:kern w:val="44"/>
          <w:highlight w:val="none"/>
        </w:rPr>
        <w:t>4.1监理人的一般规定</w:t>
      </w:r>
      <w:bookmarkEnd w:id="619"/>
      <w:bookmarkEnd w:id="620"/>
    </w:p>
    <w:p w14:paraId="2BFFBA9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关于监理人的监理内容：</w:t>
      </w:r>
      <w:r>
        <w:rPr>
          <w:rFonts w:hint="eastAsia" w:ascii="宋体" w:hAnsi="宋体"/>
          <w:color w:val="auto"/>
          <w:kern w:val="0"/>
          <w:highlight w:val="none"/>
          <w:u w:val="single"/>
        </w:rPr>
        <w:t xml:space="preserve"> </w:t>
      </w:r>
      <w:r>
        <w:rPr>
          <w:rFonts w:hint="eastAsia" w:ascii="宋体" w:hAnsi="宋体"/>
          <w:color w:val="auto"/>
          <w:highlight w:val="none"/>
          <w:u w:val="single"/>
        </w:rPr>
        <w:t>详见监理合同</w:t>
      </w:r>
      <w:r>
        <w:rPr>
          <w:rFonts w:hint="eastAsia" w:ascii="宋体" w:hAnsi="宋体"/>
          <w:color w:val="auto"/>
          <w:kern w:val="0"/>
          <w:highlight w:val="none"/>
          <w:u w:val="single"/>
        </w:rPr>
        <w:t xml:space="preserve">   </w:t>
      </w:r>
      <w:r>
        <w:rPr>
          <w:rFonts w:ascii="宋体" w:hAnsi="宋体"/>
          <w:color w:val="auto"/>
          <w:highlight w:val="none"/>
        </w:rPr>
        <w:t>。</w:t>
      </w:r>
    </w:p>
    <w:p w14:paraId="7724B35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关于监理人的监理权限：</w:t>
      </w:r>
      <w:r>
        <w:rPr>
          <w:rFonts w:hint="eastAsia" w:ascii="宋体" w:hAnsi="宋体"/>
          <w:color w:val="auto"/>
          <w:highlight w:val="none"/>
          <w:u w:val="single"/>
        </w:rPr>
        <w:t xml:space="preserve">详见监理合同   </w:t>
      </w:r>
      <w:r>
        <w:rPr>
          <w:rFonts w:ascii="宋体" w:hAnsi="宋体"/>
          <w:color w:val="auto"/>
          <w:highlight w:val="none"/>
        </w:rPr>
        <w:t xml:space="preserve"> </w:t>
      </w:r>
      <w:r>
        <w:rPr>
          <w:rFonts w:hint="eastAsia" w:ascii="宋体" w:hAnsi="宋体"/>
          <w:color w:val="auto"/>
          <w:highlight w:val="none"/>
        </w:rPr>
        <w:t>。</w:t>
      </w:r>
    </w:p>
    <w:p w14:paraId="444178C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关于监理人在施工现场的办公场所、生活场所的提供和费用承担的约定：</w:t>
      </w:r>
      <w:r>
        <w:rPr>
          <w:rFonts w:hint="eastAsia" w:ascii="宋体" w:hAnsi="宋体"/>
          <w:color w:val="auto"/>
          <w:highlight w:val="none"/>
          <w:u w:val="single"/>
        </w:rPr>
        <w:t>承包人提供并承担费用</w:t>
      </w:r>
      <w:r>
        <w:rPr>
          <w:rFonts w:ascii="宋体" w:hAnsi="宋体"/>
          <w:color w:val="auto"/>
          <w:highlight w:val="none"/>
        </w:rPr>
        <w:t>。</w:t>
      </w:r>
    </w:p>
    <w:p w14:paraId="1F9A6DE7">
      <w:pPr>
        <w:keepNext/>
        <w:keepLines/>
        <w:widowControl/>
        <w:spacing w:before="480" w:line="420" w:lineRule="exact"/>
        <w:jc w:val="left"/>
        <w:outlineLvl w:val="0"/>
        <w:rPr>
          <w:rFonts w:hAnsi="宋体"/>
          <w:b/>
          <w:bCs/>
          <w:color w:val="auto"/>
          <w:kern w:val="44"/>
          <w:highlight w:val="none"/>
        </w:rPr>
      </w:pPr>
      <w:bookmarkStart w:id="621" w:name="_Toc480967547"/>
      <w:bookmarkStart w:id="622" w:name="_Toc24645"/>
      <w:r>
        <w:rPr>
          <w:rFonts w:hAnsi="宋体"/>
          <w:b/>
          <w:bCs/>
          <w:color w:val="auto"/>
          <w:kern w:val="44"/>
          <w:highlight w:val="none"/>
        </w:rPr>
        <w:t>4.2 监理人员</w:t>
      </w:r>
      <w:bookmarkEnd w:id="621"/>
      <w:bookmarkEnd w:id="622"/>
    </w:p>
    <w:p w14:paraId="326B6646">
      <w:pPr>
        <w:pStyle w:val="18"/>
        <w:ind w:left="63" w:right="63"/>
        <w:rPr>
          <w:color w:val="auto"/>
          <w:highlight w:val="none"/>
        </w:rPr>
      </w:pPr>
      <w:r>
        <w:rPr>
          <w:rFonts w:hint="eastAsia"/>
          <w:color w:val="auto"/>
          <w:highlight w:val="none"/>
        </w:rPr>
        <w:t xml:space="preserve">   总监理工程师：</w:t>
      </w:r>
    </w:p>
    <w:p w14:paraId="7B817838">
      <w:pPr>
        <w:pStyle w:val="18"/>
        <w:ind w:left="63" w:right="63"/>
        <w:rPr>
          <w:color w:val="auto"/>
          <w:highlight w:val="none"/>
        </w:rPr>
      </w:pPr>
      <w:r>
        <w:rPr>
          <w:rFonts w:hint="eastAsia"/>
          <w:color w:val="auto"/>
          <w:highlight w:val="none"/>
        </w:rPr>
        <w:t xml:space="preserve">   姓     名：</w:t>
      </w:r>
      <w:r>
        <w:rPr>
          <w:rFonts w:hint="eastAsia"/>
          <w:color w:val="auto"/>
          <w:szCs w:val="21"/>
          <w:highlight w:val="none"/>
          <w:u w:val="single"/>
        </w:rPr>
        <w:t xml:space="preserve">                 </w:t>
      </w:r>
    </w:p>
    <w:p w14:paraId="2BEF01D8">
      <w:pPr>
        <w:pStyle w:val="18"/>
        <w:ind w:left="63" w:right="63"/>
        <w:rPr>
          <w:color w:val="auto"/>
          <w:highlight w:val="none"/>
        </w:rPr>
      </w:pPr>
      <w:r>
        <w:rPr>
          <w:rFonts w:hint="eastAsia"/>
          <w:color w:val="auto"/>
          <w:highlight w:val="none"/>
        </w:rPr>
        <w:t xml:space="preserve">   职     务：</w:t>
      </w:r>
      <w:r>
        <w:rPr>
          <w:rFonts w:hint="eastAsia"/>
          <w:color w:val="auto"/>
          <w:highlight w:val="none"/>
          <w:u w:val="single"/>
        </w:rPr>
        <w:t xml:space="preserve">总监理工程师     </w:t>
      </w:r>
    </w:p>
    <w:p w14:paraId="2C06752A">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监理</w:t>
      </w:r>
      <w:r>
        <w:rPr>
          <w:rFonts w:ascii="宋体" w:hAnsi="宋体"/>
          <w:color w:val="auto"/>
          <w:highlight w:val="none"/>
        </w:rPr>
        <w:t>工程师执业资格证书号：</w:t>
      </w:r>
      <w:r>
        <w:rPr>
          <w:rFonts w:hint="eastAsia"/>
          <w:color w:val="auto"/>
          <w:kern w:val="0"/>
          <w:sz w:val="22"/>
          <w:szCs w:val="20"/>
          <w:highlight w:val="none"/>
          <w:u w:val="single"/>
        </w:rPr>
        <w:t xml:space="preserve">       </w:t>
      </w:r>
      <w:r>
        <w:rPr>
          <w:color w:val="auto"/>
          <w:kern w:val="0"/>
          <w:sz w:val="22"/>
          <w:szCs w:val="20"/>
          <w:highlight w:val="none"/>
          <w:u w:val="single"/>
        </w:rPr>
        <w:t>；</w:t>
      </w:r>
    </w:p>
    <w:p w14:paraId="79A5576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联系电话：</w:t>
      </w:r>
      <w:r>
        <w:rPr>
          <w:rFonts w:hint="eastAsia" w:ascii="宋体" w:hAnsi="宋体"/>
          <w:color w:val="auto"/>
          <w:highlight w:val="none"/>
          <w:u w:val="single"/>
        </w:rPr>
        <w:t xml:space="preserve">            </w:t>
      </w:r>
      <w:r>
        <w:rPr>
          <w:rFonts w:ascii="宋体" w:hAnsi="宋体"/>
          <w:color w:val="auto"/>
          <w:highlight w:val="none"/>
        </w:rPr>
        <w:t>；</w:t>
      </w:r>
    </w:p>
    <w:p w14:paraId="3CA6598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电子信箱：</w:t>
      </w:r>
      <w:r>
        <w:rPr>
          <w:rFonts w:hint="eastAsia" w:ascii="宋体" w:hAnsi="宋体"/>
          <w:color w:val="auto"/>
          <w:highlight w:val="none"/>
          <w:u w:val="single"/>
        </w:rPr>
        <w:t xml:space="preserve">  /    </w:t>
      </w:r>
      <w:r>
        <w:rPr>
          <w:rFonts w:ascii="宋体" w:hAnsi="宋体"/>
          <w:color w:val="auto"/>
          <w:highlight w:val="none"/>
        </w:rPr>
        <w:t>；</w:t>
      </w:r>
    </w:p>
    <w:p w14:paraId="4D022BD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通信地址：</w:t>
      </w:r>
      <w:r>
        <w:rPr>
          <w:rFonts w:hint="eastAsia" w:ascii="宋体" w:hAnsi="宋体"/>
          <w:color w:val="auto"/>
          <w:highlight w:val="none"/>
          <w:u w:val="single"/>
        </w:rPr>
        <w:t xml:space="preserve"> /  </w:t>
      </w:r>
      <w:r>
        <w:rPr>
          <w:rFonts w:ascii="宋体" w:hAnsi="宋体"/>
          <w:color w:val="auto"/>
          <w:highlight w:val="none"/>
        </w:rPr>
        <w:t>；</w:t>
      </w:r>
    </w:p>
    <w:p w14:paraId="6E2AB74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关于监理人的其他约定：</w:t>
      </w:r>
      <w:r>
        <w:rPr>
          <w:rFonts w:hint="eastAsia" w:ascii="宋体" w:hAnsi="宋体"/>
          <w:color w:val="auto"/>
          <w:highlight w:val="none"/>
          <w:u w:val="single"/>
        </w:rPr>
        <w:t xml:space="preserve">  详见监理合同  </w:t>
      </w:r>
      <w:r>
        <w:rPr>
          <w:rFonts w:ascii="宋体" w:hAnsi="宋体"/>
          <w:color w:val="auto"/>
          <w:highlight w:val="none"/>
        </w:rPr>
        <w:t>。</w:t>
      </w:r>
    </w:p>
    <w:p w14:paraId="2C927A7F">
      <w:pPr>
        <w:keepNext/>
        <w:keepLines/>
        <w:widowControl/>
        <w:spacing w:before="480" w:line="420" w:lineRule="exact"/>
        <w:jc w:val="left"/>
        <w:outlineLvl w:val="0"/>
        <w:rPr>
          <w:rFonts w:hAnsi="宋体"/>
          <w:b/>
          <w:bCs/>
          <w:color w:val="auto"/>
          <w:kern w:val="44"/>
          <w:highlight w:val="none"/>
        </w:rPr>
      </w:pPr>
      <w:bookmarkStart w:id="623" w:name="_Toc28808"/>
      <w:bookmarkStart w:id="624" w:name="_Toc480967548"/>
      <w:r>
        <w:rPr>
          <w:rFonts w:hAnsi="宋体"/>
          <w:b/>
          <w:bCs/>
          <w:color w:val="auto"/>
          <w:kern w:val="44"/>
          <w:highlight w:val="none"/>
        </w:rPr>
        <w:t>4.4 商定或确定</w:t>
      </w:r>
      <w:bookmarkEnd w:id="623"/>
      <w:bookmarkEnd w:id="624"/>
    </w:p>
    <w:p w14:paraId="43101D7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在发包人和承包人不能通过协商达成一致意见时，发包人授权监理人对以下事项进行确定：</w:t>
      </w:r>
    </w:p>
    <w:p w14:paraId="2CDBE449">
      <w:pPr>
        <w:widowControl/>
        <w:autoSpaceDE w:val="0"/>
        <w:autoSpaceDN w:val="0"/>
        <w:adjustRightInd w:val="0"/>
        <w:spacing w:after="200" w:line="400" w:lineRule="exact"/>
        <w:ind w:firstLine="440" w:firstLineChars="200"/>
        <w:jc w:val="left"/>
        <w:rPr>
          <w:rFonts w:ascii="宋体" w:hAnsi="宋体"/>
          <w:color w:val="auto"/>
          <w:kern w:val="0"/>
          <w:sz w:val="22"/>
          <w:highlight w:val="none"/>
        </w:rPr>
      </w:pPr>
      <w:r>
        <w:rPr>
          <w:rFonts w:hint="eastAsia" w:ascii="宋体" w:hAnsi="宋体"/>
          <w:color w:val="auto"/>
          <w:kern w:val="0"/>
          <w:sz w:val="22"/>
          <w:highlight w:val="none"/>
        </w:rPr>
        <w:t xml:space="preserve">  </w:t>
      </w:r>
      <w:r>
        <w:rPr>
          <w:rFonts w:hint="eastAsia" w:ascii="宋体" w:hAnsi="宋体"/>
          <w:color w:val="auto"/>
          <w:highlight w:val="none"/>
          <w:u w:val="single"/>
        </w:rPr>
        <w:t xml:space="preserve">详见监理合同  </w:t>
      </w:r>
      <w:r>
        <w:rPr>
          <w:rFonts w:ascii="宋体" w:hAnsi="宋体"/>
          <w:color w:val="auto"/>
          <w:highlight w:val="none"/>
        </w:rPr>
        <w:t>。</w:t>
      </w:r>
    </w:p>
    <w:p w14:paraId="2DB8BB7E">
      <w:pPr>
        <w:keepNext/>
        <w:keepLines/>
        <w:widowControl/>
        <w:spacing w:before="480" w:line="420" w:lineRule="exact"/>
        <w:jc w:val="left"/>
        <w:outlineLvl w:val="0"/>
        <w:rPr>
          <w:rFonts w:hAnsi="宋体"/>
          <w:b/>
          <w:bCs/>
          <w:color w:val="auto"/>
          <w:kern w:val="44"/>
          <w:highlight w:val="none"/>
        </w:rPr>
      </w:pPr>
      <w:bookmarkStart w:id="625" w:name="_Toc1560"/>
      <w:bookmarkStart w:id="626" w:name="_Toc480967549"/>
      <w:r>
        <w:rPr>
          <w:rFonts w:hAnsi="宋体"/>
          <w:b/>
          <w:bCs/>
          <w:color w:val="auto"/>
          <w:kern w:val="44"/>
          <w:highlight w:val="none"/>
        </w:rPr>
        <w:t>5. 工程质量</w:t>
      </w:r>
      <w:bookmarkEnd w:id="625"/>
      <w:bookmarkEnd w:id="626"/>
    </w:p>
    <w:p w14:paraId="5B5A4009">
      <w:pPr>
        <w:keepNext/>
        <w:keepLines/>
        <w:widowControl/>
        <w:spacing w:before="480" w:line="420" w:lineRule="exact"/>
        <w:jc w:val="left"/>
        <w:outlineLvl w:val="0"/>
        <w:rPr>
          <w:rFonts w:hAnsi="宋体"/>
          <w:b/>
          <w:bCs/>
          <w:color w:val="auto"/>
          <w:kern w:val="44"/>
          <w:highlight w:val="none"/>
        </w:rPr>
      </w:pPr>
      <w:bookmarkStart w:id="627" w:name="_Toc27088"/>
      <w:bookmarkStart w:id="628" w:name="_Toc480967550"/>
      <w:r>
        <w:rPr>
          <w:rFonts w:hAnsi="宋体"/>
          <w:b/>
          <w:bCs/>
          <w:color w:val="auto"/>
          <w:kern w:val="44"/>
          <w:highlight w:val="none"/>
        </w:rPr>
        <w:t>5.1 质量要求</w:t>
      </w:r>
      <w:bookmarkEnd w:id="627"/>
      <w:bookmarkEnd w:id="628"/>
    </w:p>
    <w:p w14:paraId="52B714E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5.1.1 特殊质量标准和要求：</w:t>
      </w:r>
      <w:r>
        <w:rPr>
          <w:rFonts w:hint="eastAsia" w:ascii="宋体" w:hAnsi="宋体"/>
          <w:color w:val="auto"/>
          <w:highlight w:val="none"/>
          <w:u w:val="single"/>
        </w:rPr>
        <w:t xml:space="preserve">按国家规定  </w:t>
      </w:r>
      <w:r>
        <w:rPr>
          <w:rFonts w:ascii="宋体" w:hAnsi="宋体"/>
          <w:color w:val="auto"/>
          <w:highlight w:val="none"/>
        </w:rPr>
        <w:t>。</w:t>
      </w:r>
    </w:p>
    <w:p w14:paraId="1F89142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关于工程奖项的约定：</w:t>
      </w:r>
      <w:r>
        <w:rPr>
          <w:rFonts w:ascii="宋体" w:hAnsi="宋体"/>
          <w:color w:val="auto"/>
          <w:highlight w:val="none"/>
          <w:u w:val="single"/>
        </w:rPr>
        <w:t xml:space="preserve"> </w:t>
      </w:r>
      <w:r>
        <w:rPr>
          <w:rFonts w:hint="eastAsia" w:ascii="宋体" w:hAnsi="宋体"/>
          <w:color w:val="auto"/>
          <w:highlight w:val="none"/>
          <w:u w:val="single"/>
        </w:rPr>
        <w:t xml:space="preserve">无  </w:t>
      </w:r>
      <w:r>
        <w:rPr>
          <w:rFonts w:ascii="宋体" w:hAnsi="宋体"/>
          <w:color w:val="auto"/>
          <w:highlight w:val="none"/>
        </w:rPr>
        <w:t>。</w:t>
      </w:r>
    </w:p>
    <w:p w14:paraId="453CF9A0">
      <w:pPr>
        <w:keepNext/>
        <w:keepLines/>
        <w:widowControl/>
        <w:spacing w:before="480" w:line="420" w:lineRule="exact"/>
        <w:jc w:val="left"/>
        <w:outlineLvl w:val="0"/>
        <w:rPr>
          <w:rFonts w:hAnsi="宋体"/>
          <w:color w:val="auto"/>
          <w:kern w:val="44"/>
          <w:highlight w:val="none"/>
        </w:rPr>
      </w:pPr>
      <w:bookmarkStart w:id="629" w:name="_Toc11032"/>
      <w:bookmarkStart w:id="630" w:name="_Toc480967551"/>
      <w:r>
        <w:rPr>
          <w:rFonts w:hAnsi="宋体"/>
          <w:b/>
          <w:bCs/>
          <w:color w:val="auto"/>
          <w:kern w:val="44"/>
          <w:highlight w:val="none"/>
        </w:rPr>
        <w:t>5.3 隐蔽工程检查</w:t>
      </w:r>
      <w:bookmarkEnd w:id="629"/>
      <w:bookmarkEnd w:id="630"/>
    </w:p>
    <w:p w14:paraId="4AFC906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5.3.2承包人提前通知监理人隐蔽工程检查的期限的约定：</w:t>
      </w:r>
      <w:r>
        <w:rPr>
          <w:rFonts w:hint="eastAsia" w:ascii="宋体" w:hAnsi="宋体"/>
          <w:color w:val="auto"/>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r>
        <w:rPr>
          <w:rFonts w:ascii="宋体" w:hAnsi="宋体"/>
          <w:color w:val="auto"/>
          <w:highlight w:val="none"/>
          <w:u w:val="single"/>
        </w:rPr>
        <w:t>。</w:t>
      </w:r>
    </w:p>
    <w:p w14:paraId="31234B8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监理人不能按时进行检查时，应提前</w:t>
      </w:r>
      <w:r>
        <w:rPr>
          <w:rFonts w:ascii="宋体" w:hAnsi="宋体"/>
          <w:color w:val="auto"/>
          <w:highlight w:val="none"/>
          <w:u w:val="single"/>
        </w:rPr>
        <w:t xml:space="preserve"> </w:t>
      </w:r>
      <w:r>
        <w:rPr>
          <w:rFonts w:hint="eastAsia" w:ascii="宋体" w:hAnsi="宋体"/>
          <w:color w:val="auto"/>
          <w:highlight w:val="none"/>
          <w:u w:val="single"/>
        </w:rPr>
        <w:t>24</w:t>
      </w:r>
      <w:r>
        <w:rPr>
          <w:rFonts w:ascii="宋体" w:hAnsi="宋体"/>
          <w:color w:val="auto"/>
          <w:highlight w:val="none"/>
        </w:rPr>
        <w:t>小时提交书面延期要求。</w:t>
      </w:r>
    </w:p>
    <w:p w14:paraId="48807A4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关于延期最长不得超过：</w:t>
      </w:r>
      <w:r>
        <w:rPr>
          <w:rFonts w:hint="eastAsia" w:ascii="宋体" w:hAnsi="宋体"/>
          <w:color w:val="auto"/>
          <w:highlight w:val="none"/>
          <w:u w:val="single"/>
        </w:rPr>
        <w:t>48</w:t>
      </w:r>
      <w:r>
        <w:rPr>
          <w:rFonts w:ascii="宋体" w:hAnsi="宋体"/>
          <w:color w:val="auto"/>
          <w:highlight w:val="none"/>
          <w:u w:val="single"/>
        </w:rPr>
        <w:t xml:space="preserve"> </w:t>
      </w:r>
      <w:r>
        <w:rPr>
          <w:rFonts w:ascii="宋体" w:hAnsi="宋体"/>
          <w:color w:val="auto"/>
          <w:highlight w:val="none"/>
        </w:rPr>
        <w:t>小时。</w:t>
      </w:r>
    </w:p>
    <w:p w14:paraId="1404ECDA">
      <w:pPr>
        <w:keepNext/>
        <w:keepLines/>
        <w:widowControl/>
        <w:spacing w:before="480" w:line="420" w:lineRule="exact"/>
        <w:jc w:val="left"/>
        <w:outlineLvl w:val="0"/>
        <w:rPr>
          <w:rFonts w:hAnsi="宋体"/>
          <w:b/>
          <w:bCs/>
          <w:color w:val="auto"/>
          <w:kern w:val="44"/>
          <w:highlight w:val="none"/>
        </w:rPr>
      </w:pPr>
      <w:bookmarkStart w:id="631" w:name="_Toc21729"/>
      <w:bookmarkStart w:id="632" w:name="_Toc480967552"/>
      <w:r>
        <w:rPr>
          <w:rFonts w:hAnsi="宋体"/>
          <w:b/>
          <w:bCs/>
          <w:color w:val="auto"/>
          <w:kern w:val="44"/>
          <w:highlight w:val="none"/>
        </w:rPr>
        <w:t>6. 安全文明施工与环境保护</w:t>
      </w:r>
      <w:bookmarkEnd w:id="631"/>
      <w:bookmarkEnd w:id="632"/>
    </w:p>
    <w:p w14:paraId="28F47B2D">
      <w:pPr>
        <w:keepNext/>
        <w:keepLines/>
        <w:widowControl/>
        <w:spacing w:before="480" w:line="420" w:lineRule="exact"/>
        <w:jc w:val="left"/>
        <w:outlineLvl w:val="0"/>
        <w:rPr>
          <w:rFonts w:hAnsi="宋体"/>
          <w:b/>
          <w:bCs/>
          <w:color w:val="auto"/>
          <w:kern w:val="44"/>
          <w:highlight w:val="none"/>
        </w:rPr>
      </w:pPr>
      <w:bookmarkStart w:id="633" w:name="_Toc480967553"/>
      <w:bookmarkStart w:id="634" w:name="_Toc13784"/>
      <w:r>
        <w:rPr>
          <w:rFonts w:hAnsi="宋体"/>
          <w:b/>
          <w:bCs/>
          <w:color w:val="auto"/>
          <w:kern w:val="44"/>
          <w:highlight w:val="none"/>
        </w:rPr>
        <w:t>6.1安全文明施工</w:t>
      </w:r>
      <w:bookmarkEnd w:id="633"/>
      <w:bookmarkEnd w:id="634"/>
    </w:p>
    <w:p w14:paraId="6F20AA7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6.1.1 项目安全生产的达标目标及相应事项的约定：</w:t>
      </w:r>
      <w:r>
        <w:rPr>
          <w:rFonts w:hint="eastAsia" w:ascii="宋体" w:hAnsi="宋体"/>
          <w:color w:val="auto"/>
          <w:highlight w:val="none"/>
          <w:u w:val="single"/>
        </w:rPr>
        <w:t>按国家及其地方安全文明施工的有关规定</w:t>
      </w:r>
      <w:r>
        <w:rPr>
          <w:rFonts w:ascii="宋体" w:hAnsi="宋体"/>
          <w:color w:val="auto"/>
          <w:highlight w:val="none"/>
        </w:rPr>
        <w:t>。</w:t>
      </w:r>
    </w:p>
    <w:p w14:paraId="3D907F4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6.1.4 关于治安保卫的特别约定：</w:t>
      </w:r>
      <w:r>
        <w:rPr>
          <w:rFonts w:ascii="宋体" w:hAnsi="宋体"/>
          <w:color w:val="auto"/>
          <w:highlight w:val="none"/>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82CED5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关于编制施工场地治安管理计划的约定：</w:t>
      </w:r>
      <w:r>
        <w:rPr>
          <w:rFonts w:hint="eastAsia" w:ascii="宋体" w:hAnsi="宋体"/>
          <w:color w:val="auto"/>
          <w:highlight w:val="none"/>
          <w:u w:val="single"/>
        </w:rPr>
        <w:t xml:space="preserve">合同签订后14天内 </w:t>
      </w:r>
      <w:r>
        <w:rPr>
          <w:rFonts w:ascii="宋体" w:hAnsi="宋体"/>
          <w:color w:val="auto"/>
          <w:highlight w:val="none"/>
        </w:rPr>
        <w:t>。</w:t>
      </w:r>
    </w:p>
    <w:p w14:paraId="52073DD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6.1.5 文明施工</w:t>
      </w:r>
    </w:p>
    <w:p w14:paraId="6661411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合同当事人对文明施工的要求：</w:t>
      </w:r>
      <w:r>
        <w:rPr>
          <w:rFonts w:hint="eastAsia" w:ascii="宋体" w:hAnsi="宋体"/>
          <w:color w:val="auto"/>
          <w:highlight w:val="none"/>
          <w:u w:val="single"/>
        </w:rPr>
        <w:t>按照国家及地方安全文明施工的有关规定执行，此外承包人需自行办理的有关施工场地交通、环卫和施工噪音管理等手续，并应符合国家相关规定，并自行承担其费用；对施工中的地上地下建筑物（构筑物）管线、电力设施等应按有关规定加强监控测量和保护，相应的费用或因保护不当造成的损失及法律责任由承包人承担；环境保护工作由承包方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上述增加列项涉及的费用由承包人承担</w:t>
      </w:r>
      <w:r>
        <w:rPr>
          <w:rFonts w:ascii="宋体" w:hAnsi="宋体"/>
          <w:color w:val="auto"/>
          <w:highlight w:val="none"/>
        </w:rPr>
        <w:t>。</w:t>
      </w:r>
    </w:p>
    <w:p w14:paraId="5D44050A">
      <w:pPr>
        <w:widowControl/>
        <w:spacing w:after="200" w:line="420" w:lineRule="exact"/>
        <w:ind w:firstLine="420" w:firstLineChars="200"/>
        <w:jc w:val="left"/>
        <w:rPr>
          <w:rFonts w:ascii="宋体" w:hAnsi="宋体"/>
          <w:color w:val="auto"/>
          <w:kern w:val="0"/>
          <w:highlight w:val="none"/>
          <w:u w:val="single"/>
        </w:rPr>
      </w:pPr>
      <w:r>
        <w:rPr>
          <w:rFonts w:ascii="宋体" w:hAnsi="宋体"/>
          <w:color w:val="auto"/>
          <w:highlight w:val="none"/>
        </w:rPr>
        <w:t>6.1.6 关于安全文明施工费支付比例和支付期限的约定：</w:t>
      </w:r>
      <w:r>
        <w:rPr>
          <w:rFonts w:ascii="宋体" w:hAnsi="宋体"/>
          <w:color w:val="auto"/>
          <w:kern w:val="0"/>
          <w:highlight w:val="none"/>
          <w:u w:val="single"/>
        </w:rPr>
        <w:t>使用要求：专款专用。具体按</w:t>
      </w:r>
      <w:r>
        <w:rPr>
          <w:rFonts w:hint="eastAsia"/>
          <w:color w:val="auto"/>
          <w:highlight w:val="none"/>
          <w:u w:val="single"/>
        </w:rPr>
        <w:t>《广西壮族自治区住房和城乡建设厅关于印发&lt;广西壮族自治区建设工程安全文明施工费使用管理细则&gt;的通知》（桂建发〔2022〕9号）及桂林市</w:t>
      </w:r>
      <w:r>
        <w:rPr>
          <w:rFonts w:ascii="宋体" w:hAnsi="宋体"/>
          <w:color w:val="auto"/>
          <w:kern w:val="0"/>
          <w:highlight w:val="none"/>
          <w:u w:val="single"/>
        </w:rPr>
        <w:t>相关规定执行。</w:t>
      </w:r>
    </w:p>
    <w:p w14:paraId="6D954A01">
      <w:pPr>
        <w:keepNext/>
        <w:keepLines/>
        <w:widowControl/>
        <w:spacing w:before="480" w:line="420" w:lineRule="exact"/>
        <w:jc w:val="left"/>
        <w:outlineLvl w:val="0"/>
        <w:rPr>
          <w:rFonts w:hAnsi="宋体"/>
          <w:b/>
          <w:bCs/>
          <w:color w:val="auto"/>
          <w:kern w:val="44"/>
          <w:highlight w:val="none"/>
        </w:rPr>
      </w:pPr>
      <w:bookmarkStart w:id="635" w:name="_Toc480967554"/>
      <w:bookmarkStart w:id="636" w:name="_Toc17011"/>
      <w:r>
        <w:rPr>
          <w:rFonts w:hAnsi="宋体"/>
          <w:b/>
          <w:bCs/>
          <w:color w:val="auto"/>
          <w:kern w:val="44"/>
          <w:highlight w:val="none"/>
        </w:rPr>
        <w:t>7. 工期和进度</w:t>
      </w:r>
      <w:bookmarkEnd w:id="635"/>
      <w:bookmarkEnd w:id="636"/>
    </w:p>
    <w:p w14:paraId="1F4F4B91">
      <w:pPr>
        <w:keepNext/>
        <w:keepLines/>
        <w:widowControl/>
        <w:spacing w:before="480" w:line="420" w:lineRule="exact"/>
        <w:jc w:val="left"/>
        <w:outlineLvl w:val="0"/>
        <w:rPr>
          <w:rFonts w:hAnsi="宋体"/>
          <w:b/>
          <w:bCs/>
          <w:color w:val="auto"/>
          <w:kern w:val="44"/>
          <w:highlight w:val="none"/>
        </w:rPr>
      </w:pPr>
      <w:bookmarkStart w:id="637" w:name="_Toc28369"/>
      <w:bookmarkStart w:id="638" w:name="_Toc480967555"/>
      <w:r>
        <w:rPr>
          <w:rFonts w:hAnsi="宋体"/>
          <w:b/>
          <w:bCs/>
          <w:color w:val="auto"/>
          <w:kern w:val="44"/>
          <w:highlight w:val="none"/>
        </w:rPr>
        <w:t>7.1 施工组织设计</w:t>
      </w:r>
      <w:bookmarkEnd w:id="637"/>
      <w:bookmarkEnd w:id="638"/>
    </w:p>
    <w:p w14:paraId="4AAF5015">
      <w:pPr>
        <w:widowControl/>
        <w:spacing w:after="200" w:line="420" w:lineRule="exact"/>
        <w:ind w:firstLine="420" w:firstLineChars="200"/>
        <w:jc w:val="left"/>
        <w:rPr>
          <w:rFonts w:ascii="宋体" w:hAnsi="宋体"/>
          <w:color w:val="auto"/>
          <w:kern w:val="0"/>
          <w:highlight w:val="none"/>
        </w:rPr>
      </w:pPr>
      <w:r>
        <w:rPr>
          <w:rFonts w:ascii="宋体" w:hAnsi="宋体"/>
          <w:color w:val="auto"/>
          <w:highlight w:val="none"/>
        </w:rPr>
        <w:t>7.1.1 合</w:t>
      </w:r>
      <w:r>
        <w:rPr>
          <w:rFonts w:ascii="宋体" w:hAnsi="宋体"/>
          <w:color w:val="auto"/>
          <w:kern w:val="0"/>
          <w:highlight w:val="none"/>
        </w:rPr>
        <w:t>同当事人约定的施工组织设计应包括的其他内容：</w:t>
      </w:r>
      <w:r>
        <w:rPr>
          <w:rFonts w:hint="eastAsia" w:ascii="宋体" w:hAnsi="宋体"/>
          <w:color w:val="auto"/>
          <w:kern w:val="0"/>
          <w:highlight w:val="none"/>
          <w:u w:val="single"/>
        </w:rPr>
        <w:t xml:space="preserve">按规范要求 </w:t>
      </w:r>
      <w:r>
        <w:rPr>
          <w:rFonts w:hint="eastAsia" w:ascii="宋体" w:hAnsi="宋体"/>
          <w:color w:val="auto"/>
          <w:kern w:val="0"/>
          <w:highlight w:val="none"/>
        </w:rPr>
        <w:t>。</w:t>
      </w:r>
    </w:p>
    <w:p w14:paraId="28BF6526">
      <w:pPr>
        <w:widowControl/>
        <w:spacing w:after="200" w:line="420" w:lineRule="exact"/>
        <w:ind w:firstLine="420" w:firstLineChars="200"/>
        <w:jc w:val="left"/>
        <w:rPr>
          <w:rFonts w:ascii="宋体" w:hAnsi="宋体"/>
          <w:color w:val="auto"/>
          <w:kern w:val="0"/>
          <w:highlight w:val="none"/>
        </w:rPr>
      </w:pPr>
      <w:r>
        <w:rPr>
          <w:rFonts w:ascii="宋体" w:hAnsi="宋体"/>
          <w:color w:val="auto"/>
          <w:highlight w:val="none"/>
        </w:rPr>
        <w:t xml:space="preserve">7.1.2 </w:t>
      </w:r>
      <w:r>
        <w:rPr>
          <w:rFonts w:ascii="宋体" w:hAnsi="宋体"/>
          <w:color w:val="auto"/>
          <w:kern w:val="0"/>
          <w:highlight w:val="none"/>
        </w:rPr>
        <w:t>施工组织设计的提交和修改</w:t>
      </w:r>
    </w:p>
    <w:p w14:paraId="02B134D0">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承包人提交详细施工组织设计的期限的约定：</w:t>
      </w:r>
      <w:r>
        <w:rPr>
          <w:rFonts w:hint="eastAsia" w:ascii="宋体" w:hAnsi="宋体"/>
          <w:color w:val="auto"/>
          <w:highlight w:val="none"/>
          <w:u w:val="single"/>
        </w:rPr>
        <w:t xml:space="preserve">合同签订后14天内 </w:t>
      </w:r>
      <w:r>
        <w:rPr>
          <w:rFonts w:ascii="宋体" w:hAnsi="宋体"/>
          <w:color w:val="auto"/>
          <w:highlight w:val="none"/>
        </w:rPr>
        <w:t>。</w:t>
      </w:r>
    </w:p>
    <w:p w14:paraId="04F6039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发包人和监理人在收到详细的施工组织设计后确认或提出修改意见的期限：</w:t>
      </w:r>
      <w:r>
        <w:rPr>
          <w:rFonts w:hint="eastAsia" w:ascii="宋体" w:hAnsi="宋体"/>
          <w:color w:val="auto"/>
          <w:highlight w:val="none"/>
          <w:u w:val="single"/>
        </w:rPr>
        <w:t xml:space="preserve">7天内 </w:t>
      </w:r>
      <w:r>
        <w:rPr>
          <w:rFonts w:ascii="宋体" w:hAnsi="宋体"/>
          <w:color w:val="auto"/>
          <w:highlight w:val="none"/>
        </w:rPr>
        <w:t>。</w:t>
      </w:r>
    </w:p>
    <w:p w14:paraId="6675C69E">
      <w:pPr>
        <w:keepNext/>
        <w:keepLines/>
        <w:widowControl/>
        <w:spacing w:before="480" w:line="420" w:lineRule="exact"/>
        <w:jc w:val="left"/>
        <w:outlineLvl w:val="0"/>
        <w:rPr>
          <w:rFonts w:hAnsi="宋体"/>
          <w:b/>
          <w:bCs/>
          <w:color w:val="auto"/>
          <w:kern w:val="44"/>
          <w:highlight w:val="none"/>
        </w:rPr>
      </w:pPr>
      <w:bookmarkStart w:id="639" w:name="_Toc480967556"/>
      <w:bookmarkStart w:id="640" w:name="_Toc4378"/>
      <w:r>
        <w:rPr>
          <w:rFonts w:hAnsi="宋体"/>
          <w:b/>
          <w:bCs/>
          <w:color w:val="auto"/>
          <w:kern w:val="44"/>
          <w:highlight w:val="none"/>
        </w:rPr>
        <w:t>7.2 施工进度计划</w:t>
      </w:r>
      <w:bookmarkEnd w:id="639"/>
      <w:bookmarkEnd w:id="640"/>
    </w:p>
    <w:p w14:paraId="3A45FE3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7.2.2 施工进度计划的修订</w:t>
      </w:r>
    </w:p>
    <w:p w14:paraId="47B770D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发包人和监理人在收到修订的施工进度计划后确认或提出修改意见的期限：</w:t>
      </w:r>
      <w:r>
        <w:rPr>
          <w:rFonts w:hint="eastAsia" w:ascii="宋体" w:hAnsi="宋体"/>
          <w:color w:val="auto"/>
          <w:highlight w:val="none"/>
          <w:u w:val="single"/>
        </w:rPr>
        <w:t xml:space="preserve">收到修订合同进度计划后7天 </w:t>
      </w:r>
      <w:r>
        <w:rPr>
          <w:rFonts w:ascii="宋体" w:hAnsi="宋体"/>
          <w:color w:val="auto"/>
          <w:highlight w:val="none"/>
        </w:rPr>
        <w:t>。</w:t>
      </w:r>
    </w:p>
    <w:p w14:paraId="25C3ADF2">
      <w:pPr>
        <w:keepNext/>
        <w:keepLines/>
        <w:widowControl/>
        <w:spacing w:before="480" w:line="420" w:lineRule="exact"/>
        <w:jc w:val="left"/>
        <w:outlineLvl w:val="0"/>
        <w:rPr>
          <w:rFonts w:hAnsi="宋体"/>
          <w:b/>
          <w:bCs/>
          <w:color w:val="auto"/>
          <w:kern w:val="44"/>
          <w:highlight w:val="none"/>
        </w:rPr>
      </w:pPr>
      <w:bookmarkStart w:id="641" w:name="_Toc480967557"/>
      <w:bookmarkStart w:id="642" w:name="_Toc6722"/>
      <w:r>
        <w:rPr>
          <w:rFonts w:hAnsi="宋体"/>
          <w:b/>
          <w:bCs/>
          <w:color w:val="auto"/>
          <w:kern w:val="44"/>
          <w:highlight w:val="none"/>
        </w:rPr>
        <w:t>7.3 开工</w:t>
      </w:r>
      <w:bookmarkEnd w:id="641"/>
      <w:bookmarkEnd w:id="642"/>
    </w:p>
    <w:p w14:paraId="23F27C9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7.3.1 开工准备</w:t>
      </w:r>
    </w:p>
    <w:p w14:paraId="27570007">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关于承包人提交</w:t>
      </w:r>
      <w:r>
        <w:rPr>
          <w:rFonts w:ascii="宋体" w:hAnsi="宋体"/>
          <w:color w:val="auto"/>
          <w:kern w:val="0"/>
          <w:highlight w:val="none"/>
        </w:rPr>
        <w:t>工程开工报审表的期限：</w:t>
      </w:r>
      <w:r>
        <w:rPr>
          <w:rFonts w:hint="eastAsia" w:ascii="宋体" w:hAnsi="宋体"/>
          <w:color w:val="auto"/>
          <w:highlight w:val="none"/>
          <w:u w:val="single"/>
        </w:rPr>
        <w:t xml:space="preserve">合同签订后14天 </w:t>
      </w:r>
      <w:r>
        <w:rPr>
          <w:rFonts w:ascii="宋体" w:hAnsi="宋体"/>
          <w:color w:val="auto"/>
          <w:highlight w:val="none"/>
        </w:rPr>
        <w:t>。</w:t>
      </w:r>
    </w:p>
    <w:p w14:paraId="1109E472">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关于发包人应完成的其他开工准备工作及期限：</w:t>
      </w:r>
      <w:r>
        <w:rPr>
          <w:rFonts w:hint="eastAsia" w:ascii="宋体" w:hAnsi="宋体"/>
          <w:color w:val="auto"/>
          <w:highlight w:val="none"/>
          <w:u w:val="single"/>
        </w:rPr>
        <w:t xml:space="preserve">合同签订后14天 </w:t>
      </w:r>
      <w:r>
        <w:rPr>
          <w:rFonts w:ascii="宋体" w:hAnsi="宋体"/>
          <w:color w:val="auto"/>
          <w:highlight w:val="none"/>
        </w:rPr>
        <w:t>。</w:t>
      </w:r>
    </w:p>
    <w:p w14:paraId="745D144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关于承包人应完成的其他开工准备工作及期限：</w:t>
      </w:r>
      <w:r>
        <w:rPr>
          <w:rFonts w:hint="eastAsia" w:ascii="宋体" w:hAnsi="宋体"/>
          <w:color w:val="auto"/>
          <w:highlight w:val="none"/>
          <w:u w:val="single"/>
        </w:rPr>
        <w:t xml:space="preserve">合同签订后14天 </w:t>
      </w:r>
      <w:r>
        <w:rPr>
          <w:rFonts w:ascii="宋体" w:hAnsi="宋体"/>
          <w:color w:val="auto"/>
          <w:highlight w:val="none"/>
        </w:rPr>
        <w:t>。</w:t>
      </w:r>
    </w:p>
    <w:p w14:paraId="22EEC24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7.3.2开工通知</w:t>
      </w:r>
    </w:p>
    <w:p w14:paraId="40438CF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因发包人原因造成监理人未能在计划开工日期之日起</w:t>
      </w:r>
      <w:r>
        <w:rPr>
          <w:rFonts w:hint="eastAsia" w:ascii="宋体" w:hAnsi="宋体"/>
          <w:color w:val="auto"/>
          <w:highlight w:val="none"/>
          <w:u w:val="single"/>
        </w:rPr>
        <w:t>180</w:t>
      </w:r>
      <w:r>
        <w:rPr>
          <w:rFonts w:ascii="宋体" w:hAnsi="宋体"/>
          <w:color w:val="auto"/>
          <w:highlight w:val="none"/>
        </w:rPr>
        <w:t>天内发出开工通知的，承包人有权提出价格调整要求，或者解除合同。</w:t>
      </w:r>
    </w:p>
    <w:p w14:paraId="77A740AD">
      <w:pPr>
        <w:keepNext/>
        <w:keepLines/>
        <w:widowControl/>
        <w:spacing w:before="480" w:line="420" w:lineRule="exact"/>
        <w:jc w:val="left"/>
        <w:outlineLvl w:val="0"/>
        <w:rPr>
          <w:rFonts w:hAnsi="宋体"/>
          <w:b/>
          <w:bCs/>
          <w:color w:val="auto"/>
          <w:kern w:val="44"/>
          <w:highlight w:val="none"/>
        </w:rPr>
      </w:pPr>
      <w:bookmarkStart w:id="643" w:name="_Toc15405"/>
      <w:bookmarkStart w:id="644" w:name="_Toc480967558"/>
      <w:r>
        <w:rPr>
          <w:rFonts w:hAnsi="宋体"/>
          <w:b/>
          <w:bCs/>
          <w:color w:val="auto"/>
          <w:kern w:val="44"/>
          <w:highlight w:val="none"/>
        </w:rPr>
        <w:t>7.4 测量放线</w:t>
      </w:r>
      <w:bookmarkEnd w:id="643"/>
      <w:bookmarkEnd w:id="644"/>
    </w:p>
    <w:p w14:paraId="75D94278">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7.4.1发包人通过监理人向承包人提供测量基准点、基准线和水准点及其书面资料的期限：</w:t>
      </w:r>
      <w:r>
        <w:rPr>
          <w:rFonts w:hint="eastAsia" w:ascii="宋体" w:hAnsi="宋体"/>
          <w:color w:val="auto"/>
          <w:highlight w:val="none"/>
          <w:u w:val="single"/>
        </w:rPr>
        <w:t xml:space="preserve">合同签订后14天 </w:t>
      </w:r>
      <w:r>
        <w:rPr>
          <w:rFonts w:ascii="宋体" w:hAnsi="宋体"/>
          <w:color w:val="auto"/>
          <w:highlight w:val="none"/>
        </w:rPr>
        <w:t>。</w:t>
      </w:r>
    </w:p>
    <w:p w14:paraId="460032E7">
      <w:pPr>
        <w:keepNext/>
        <w:keepLines/>
        <w:widowControl/>
        <w:spacing w:before="480" w:line="420" w:lineRule="exact"/>
        <w:jc w:val="left"/>
        <w:outlineLvl w:val="0"/>
        <w:rPr>
          <w:rFonts w:hAnsi="宋体"/>
          <w:b/>
          <w:bCs/>
          <w:color w:val="auto"/>
          <w:kern w:val="44"/>
          <w:highlight w:val="none"/>
        </w:rPr>
      </w:pPr>
      <w:bookmarkStart w:id="645" w:name="_Toc480967559"/>
      <w:bookmarkStart w:id="646" w:name="_Toc13814"/>
      <w:r>
        <w:rPr>
          <w:rFonts w:hAnsi="宋体"/>
          <w:b/>
          <w:bCs/>
          <w:color w:val="auto"/>
          <w:kern w:val="44"/>
          <w:highlight w:val="none"/>
        </w:rPr>
        <w:t>7.5 工期延误</w:t>
      </w:r>
      <w:bookmarkEnd w:id="645"/>
      <w:bookmarkEnd w:id="646"/>
    </w:p>
    <w:p w14:paraId="4E19B289">
      <w:pPr>
        <w:widowControl/>
        <w:spacing w:after="200" w:line="420" w:lineRule="exact"/>
        <w:ind w:firstLine="420" w:firstLineChars="200"/>
        <w:jc w:val="left"/>
        <w:outlineLvl w:val="0"/>
        <w:rPr>
          <w:rFonts w:ascii="宋体" w:hAnsi="宋体"/>
          <w:color w:val="auto"/>
          <w:highlight w:val="none"/>
        </w:rPr>
      </w:pPr>
      <w:bookmarkStart w:id="647" w:name="_Toc8944"/>
      <w:r>
        <w:rPr>
          <w:rFonts w:ascii="宋体" w:hAnsi="宋体"/>
          <w:color w:val="auto"/>
          <w:highlight w:val="none"/>
        </w:rPr>
        <w:t>7.5.1 因发包人原因导致工期延误</w:t>
      </w:r>
      <w:bookmarkEnd w:id="647"/>
    </w:p>
    <w:p w14:paraId="6355EF84">
      <w:pPr>
        <w:widowControl/>
        <w:numPr>
          <w:ilvl w:val="0"/>
          <w:numId w:val="4"/>
        </w:numPr>
        <w:spacing w:after="200" w:line="420" w:lineRule="exact"/>
        <w:ind w:firstLine="420" w:firstLineChars="200"/>
        <w:jc w:val="left"/>
        <w:rPr>
          <w:rFonts w:ascii="宋体" w:hAnsi="宋体"/>
          <w:color w:val="auto"/>
          <w:highlight w:val="none"/>
          <w:u w:val="single"/>
        </w:rPr>
      </w:pPr>
      <w:r>
        <w:rPr>
          <w:rFonts w:ascii="宋体" w:hAnsi="宋体"/>
          <w:color w:val="auto"/>
          <w:highlight w:val="none"/>
        </w:rPr>
        <w:t>因发包人原因导致工期延误的其他情形：</w:t>
      </w:r>
      <w:r>
        <w:rPr>
          <w:rFonts w:hint="eastAsia" w:ascii="宋体" w:hAnsi="宋体"/>
          <w:color w:val="auto"/>
          <w:highlight w:val="none"/>
          <w:u w:val="single"/>
        </w:rPr>
        <w:t xml:space="preserve"> ①未按合同约定期限提供施工场地的，工期顺延；②由于设计变更导致工程量增加的，工期顺延，顺延时间按现场签证确定</w:t>
      </w:r>
      <w:r>
        <w:rPr>
          <w:rFonts w:ascii="宋体" w:hAnsi="宋体"/>
          <w:color w:val="auto"/>
          <w:highlight w:val="none"/>
          <w:u w:val="single"/>
        </w:rPr>
        <w:t>。</w:t>
      </w:r>
      <w:r>
        <w:rPr>
          <w:rFonts w:hint="eastAsia" w:ascii="宋体" w:hAnsi="宋体"/>
          <w:color w:val="auto"/>
          <w:highlight w:val="none"/>
          <w:u w:val="single"/>
        </w:rPr>
        <w:t>③由于征地拆迁的影响，致使施工不能正常进行的，工期顺延。④不可抗力等延误承包人关键线路工作的情况工期按时顺延，由上述情况引起的相关费用发包人不予承担，承包人也不能因此提出任何索赔。</w:t>
      </w:r>
    </w:p>
    <w:p w14:paraId="3856310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7.5.2 因承包人原因导致工期延误</w:t>
      </w:r>
    </w:p>
    <w:p w14:paraId="013710E9">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因承包人原因造成工期延误，逾期竣工违约金的计算方法为：</w:t>
      </w:r>
      <w:r>
        <w:rPr>
          <w:rFonts w:ascii="宋体" w:hAnsi="宋体"/>
          <w:color w:val="auto"/>
          <w:highlight w:val="none"/>
          <w:u w:val="single"/>
        </w:rPr>
        <w:t>非</w:t>
      </w:r>
      <w:r>
        <w:rPr>
          <w:rFonts w:hint="eastAsia" w:ascii="宋体" w:hAnsi="宋体"/>
          <w:color w:val="auto"/>
          <w:highlight w:val="none"/>
          <w:u w:val="single"/>
        </w:rPr>
        <w:t>7.5.1</w:t>
      </w:r>
      <w:r>
        <w:rPr>
          <w:rFonts w:ascii="宋体" w:hAnsi="宋体"/>
          <w:color w:val="auto"/>
          <w:highlight w:val="none"/>
          <w:u w:val="single"/>
        </w:rPr>
        <w:t>原因，承包人不能按合同约定的时间竣工，承包人应承担违约责任</w:t>
      </w:r>
      <w:r>
        <w:rPr>
          <w:rFonts w:hint="eastAsia" w:ascii="宋体" w:hAnsi="宋体"/>
          <w:color w:val="auto"/>
          <w:highlight w:val="none"/>
          <w:u w:val="single"/>
        </w:rPr>
        <w:t>。应向</w:t>
      </w:r>
      <w:r>
        <w:rPr>
          <w:rFonts w:ascii="宋体" w:hAnsi="宋体"/>
          <w:color w:val="auto"/>
          <w:highlight w:val="none"/>
          <w:u w:val="single"/>
        </w:rPr>
        <w:t>发包人支付误期赔偿费</w:t>
      </w:r>
      <w:r>
        <w:rPr>
          <w:rFonts w:hint="eastAsia" w:ascii="宋体" w:hAnsi="宋体"/>
          <w:color w:val="auto"/>
          <w:highlight w:val="none"/>
          <w:u w:val="single"/>
        </w:rPr>
        <w:t>（每天赔偿金额为合同价款扣除社会保险费、发包人材料价款、暂估专业工程、暂列金额后的的万分之四），</w:t>
      </w:r>
      <w:r>
        <w:rPr>
          <w:rFonts w:ascii="宋体" w:hAnsi="宋体"/>
          <w:color w:val="auto"/>
          <w:highlight w:val="none"/>
          <w:u w:val="single"/>
        </w:rPr>
        <w:t>误期时间从规定竣工日期起直到全部工程或相应部分工程竣工验收各方签章日期之间的天数（扣除发包人批准顺延的工期）。发包人可从应向承包人支付的任何金额中扣除此项赔</w:t>
      </w:r>
      <w:r>
        <w:rPr>
          <w:rFonts w:hint="eastAsia" w:ascii="宋体" w:hAnsi="宋体"/>
          <w:color w:val="auto"/>
          <w:highlight w:val="none"/>
          <w:u w:val="single"/>
        </w:rPr>
        <w:t>偿</w:t>
      </w:r>
      <w:r>
        <w:rPr>
          <w:rFonts w:ascii="宋体" w:hAnsi="宋体"/>
          <w:color w:val="auto"/>
          <w:highlight w:val="none"/>
          <w:u w:val="single"/>
        </w:rPr>
        <w:t>费或其他方式收回此款，此赔偿款的支付并不能解除承包人应完成工程的责任或合同规定的其他责任。</w:t>
      </w:r>
    </w:p>
    <w:p w14:paraId="7305E8B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因承包人原因造成工期延误，逾期竣工违约金的上限：</w:t>
      </w:r>
      <w:r>
        <w:rPr>
          <w:rFonts w:ascii="宋体" w:hAnsi="宋体"/>
          <w:color w:val="auto"/>
          <w:highlight w:val="none"/>
          <w:u w:val="single"/>
        </w:rPr>
        <w:t>合同价扣除建安劳保费、发包人材料价款、暂估专业工程、暂列金额后的</w:t>
      </w:r>
      <w:r>
        <w:rPr>
          <w:rFonts w:hint="eastAsia" w:ascii="宋体" w:hAnsi="宋体"/>
          <w:color w:val="auto"/>
          <w:highlight w:val="none"/>
          <w:u w:val="single"/>
        </w:rPr>
        <w:t xml:space="preserve">2%，超过2个月，按合同通用条款执行 </w:t>
      </w:r>
      <w:r>
        <w:rPr>
          <w:rFonts w:ascii="宋体" w:hAnsi="宋体"/>
          <w:color w:val="auto"/>
          <w:highlight w:val="none"/>
        </w:rPr>
        <w:t>。</w:t>
      </w:r>
    </w:p>
    <w:p w14:paraId="38E051AA">
      <w:pPr>
        <w:keepNext/>
        <w:keepLines/>
        <w:widowControl/>
        <w:spacing w:before="480" w:line="420" w:lineRule="exact"/>
        <w:jc w:val="left"/>
        <w:outlineLvl w:val="0"/>
        <w:rPr>
          <w:rFonts w:hAnsi="宋体"/>
          <w:b/>
          <w:bCs/>
          <w:color w:val="auto"/>
          <w:kern w:val="44"/>
          <w:highlight w:val="none"/>
        </w:rPr>
      </w:pPr>
      <w:bookmarkStart w:id="648" w:name="_Toc8759"/>
      <w:bookmarkStart w:id="649" w:name="_Toc480967560"/>
      <w:r>
        <w:rPr>
          <w:rFonts w:hAnsi="宋体"/>
          <w:b/>
          <w:bCs/>
          <w:color w:val="auto"/>
          <w:kern w:val="44"/>
          <w:highlight w:val="none"/>
        </w:rPr>
        <w:t>7.6 不利物质条件</w:t>
      </w:r>
      <w:bookmarkEnd w:id="648"/>
      <w:bookmarkEnd w:id="649"/>
    </w:p>
    <w:p w14:paraId="052C45C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不利物质条件的其他情形和有关约定：</w:t>
      </w:r>
      <w:r>
        <w:rPr>
          <w:rFonts w:hint="eastAsia" w:ascii="宋体" w:hAnsi="宋体"/>
          <w:color w:val="auto"/>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ascii="宋体" w:hAnsi="宋体"/>
          <w:color w:val="auto"/>
          <w:highlight w:val="none"/>
        </w:rPr>
        <w:t>。</w:t>
      </w:r>
    </w:p>
    <w:p w14:paraId="76AF2455">
      <w:pPr>
        <w:keepNext/>
        <w:keepLines/>
        <w:widowControl/>
        <w:spacing w:before="480" w:line="420" w:lineRule="exact"/>
        <w:jc w:val="left"/>
        <w:outlineLvl w:val="0"/>
        <w:rPr>
          <w:rFonts w:hAnsi="宋体"/>
          <w:b/>
          <w:bCs/>
          <w:color w:val="auto"/>
          <w:kern w:val="44"/>
          <w:highlight w:val="none"/>
        </w:rPr>
      </w:pPr>
      <w:bookmarkStart w:id="650" w:name="_Toc480967561"/>
      <w:bookmarkStart w:id="651" w:name="_Toc4657"/>
      <w:r>
        <w:rPr>
          <w:rFonts w:hAnsi="宋体"/>
          <w:b/>
          <w:bCs/>
          <w:color w:val="auto"/>
          <w:kern w:val="44"/>
          <w:highlight w:val="none"/>
        </w:rPr>
        <w:t>7.7异常恶劣的气候条件</w:t>
      </w:r>
      <w:bookmarkEnd w:id="650"/>
      <w:bookmarkEnd w:id="651"/>
    </w:p>
    <w:p w14:paraId="36251FA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发包人和承包人同意以下情形视为异常恶劣的气候条件：（</w:t>
      </w:r>
      <w:r>
        <w:rPr>
          <w:rFonts w:ascii="宋体" w:hAnsi="宋体"/>
          <w:color w:val="auto"/>
          <w:highlight w:val="none"/>
          <w:u w:val="single"/>
        </w:rPr>
        <w:t>1）</w:t>
      </w:r>
      <w:r>
        <w:rPr>
          <w:rFonts w:hint="eastAsia" w:ascii="宋体" w:hAnsi="宋体"/>
          <w:color w:val="auto"/>
          <w:highlight w:val="none"/>
          <w:u w:val="single"/>
        </w:rPr>
        <w:t>10级及以上持续1天的大风</w:t>
      </w:r>
      <w:r>
        <w:rPr>
          <w:rFonts w:ascii="宋体" w:hAnsi="宋体"/>
          <w:color w:val="auto"/>
          <w:highlight w:val="none"/>
          <w:u w:val="single"/>
        </w:rPr>
        <w:t>；（2）</w:t>
      </w:r>
      <w:r>
        <w:rPr>
          <w:rFonts w:hint="eastAsia" w:ascii="宋体" w:hAnsi="宋体"/>
          <w:color w:val="auto"/>
          <w:highlight w:val="none"/>
          <w:u w:val="single"/>
        </w:rPr>
        <w:t>暴雨级以上持续1天的大雨天；</w:t>
      </w:r>
      <w:r>
        <w:rPr>
          <w:rFonts w:ascii="宋体" w:hAnsi="宋体"/>
          <w:color w:val="auto"/>
          <w:highlight w:val="none"/>
          <w:u w:val="single"/>
        </w:rPr>
        <w:t>（3）</w:t>
      </w:r>
      <w:r>
        <w:rPr>
          <w:rFonts w:hint="eastAsia" w:ascii="宋体" w:hAnsi="宋体"/>
          <w:color w:val="auto"/>
          <w:highlight w:val="none"/>
          <w:u w:val="single"/>
        </w:rPr>
        <w:t>50年及以上未发生过，持续2天的高温天气；（4）50年及以上未发生过，持续2天的低温天气。</w:t>
      </w:r>
    </w:p>
    <w:p w14:paraId="477CD306">
      <w:pPr>
        <w:keepNext/>
        <w:keepLines/>
        <w:widowControl/>
        <w:numPr>
          <w:ilvl w:val="0"/>
          <w:numId w:val="5"/>
        </w:numPr>
        <w:spacing w:after="200" w:line="420" w:lineRule="exact"/>
        <w:jc w:val="left"/>
        <w:outlineLvl w:val="0"/>
        <w:rPr>
          <w:rFonts w:hAnsi="宋体"/>
          <w:b/>
          <w:bCs/>
          <w:color w:val="auto"/>
          <w:kern w:val="44"/>
          <w:highlight w:val="none"/>
        </w:rPr>
      </w:pPr>
      <w:bookmarkStart w:id="652" w:name="_Toc27576"/>
      <w:bookmarkStart w:id="653" w:name="_Toc480967564"/>
      <w:r>
        <w:rPr>
          <w:rFonts w:hAnsi="宋体"/>
          <w:b/>
          <w:bCs/>
          <w:color w:val="auto"/>
          <w:kern w:val="44"/>
          <w:highlight w:val="none"/>
        </w:rPr>
        <w:t>材料与设备</w:t>
      </w:r>
      <w:bookmarkEnd w:id="652"/>
      <w:bookmarkEnd w:id="653"/>
    </w:p>
    <w:p w14:paraId="3B3D84D5">
      <w:pPr>
        <w:keepNext/>
        <w:keepLines/>
        <w:widowControl/>
        <w:spacing w:before="480" w:line="420" w:lineRule="exact"/>
        <w:jc w:val="left"/>
        <w:outlineLvl w:val="0"/>
        <w:rPr>
          <w:rFonts w:hAnsi="宋体"/>
          <w:b/>
          <w:bCs/>
          <w:color w:val="auto"/>
          <w:kern w:val="44"/>
          <w:highlight w:val="none"/>
        </w:rPr>
      </w:pPr>
      <w:bookmarkStart w:id="654" w:name="_Toc480967565"/>
      <w:bookmarkStart w:id="655" w:name="_Toc5823"/>
      <w:r>
        <w:rPr>
          <w:rFonts w:hAnsi="宋体"/>
          <w:b/>
          <w:bCs/>
          <w:color w:val="auto"/>
          <w:kern w:val="44"/>
          <w:highlight w:val="none"/>
        </w:rPr>
        <w:t>8.4材料与工程设备的保管与使用</w:t>
      </w:r>
      <w:bookmarkEnd w:id="654"/>
      <w:bookmarkEnd w:id="655"/>
    </w:p>
    <w:p w14:paraId="0303DF0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8.4.1发包人供应的材料设备的保管费用的承担：</w:t>
      </w:r>
      <w:r>
        <w:rPr>
          <w:rFonts w:hint="eastAsia" w:ascii="宋体" w:hAnsi="宋体"/>
          <w:color w:val="auto"/>
          <w:highlight w:val="none"/>
          <w:u w:val="single"/>
        </w:rPr>
        <w:t>承包人承担</w:t>
      </w:r>
      <w:r>
        <w:rPr>
          <w:rFonts w:ascii="宋体" w:hAnsi="宋体"/>
          <w:color w:val="auto"/>
          <w:highlight w:val="none"/>
        </w:rPr>
        <w:t>。</w:t>
      </w:r>
    </w:p>
    <w:p w14:paraId="107E0B06">
      <w:pPr>
        <w:keepNext/>
        <w:keepLines/>
        <w:widowControl/>
        <w:spacing w:before="480" w:line="420" w:lineRule="exact"/>
        <w:jc w:val="left"/>
        <w:outlineLvl w:val="0"/>
        <w:rPr>
          <w:rFonts w:hAnsi="宋体"/>
          <w:b/>
          <w:bCs/>
          <w:color w:val="auto"/>
          <w:kern w:val="44"/>
          <w:highlight w:val="none"/>
        </w:rPr>
      </w:pPr>
      <w:bookmarkStart w:id="656" w:name="_Toc480967566"/>
      <w:bookmarkStart w:id="657" w:name="_Toc25141"/>
      <w:r>
        <w:rPr>
          <w:rFonts w:hAnsi="宋体"/>
          <w:b/>
          <w:bCs/>
          <w:color w:val="auto"/>
          <w:kern w:val="44"/>
          <w:highlight w:val="none"/>
        </w:rPr>
        <w:t>8.6 样品</w:t>
      </w:r>
      <w:bookmarkEnd w:id="656"/>
      <w:bookmarkEnd w:id="657"/>
    </w:p>
    <w:p w14:paraId="2FAEE726">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8.6.1样品的报送与封存</w:t>
      </w:r>
    </w:p>
    <w:p w14:paraId="68AD6204">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需要承包人报送样品的材料或工程设备，样品的种类、名称、规格、数量要求：</w:t>
      </w:r>
      <w:r>
        <w:rPr>
          <w:rFonts w:hint="eastAsia"/>
          <w:color w:val="auto"/>
          <w:highlight w:val="none"/>
          <w:u w:val="single"/>
        </w:rPr>
        <w:t>材料或工程设备的品牌、规格、型号、颜色、外观质感等方面的内容，承包人应在计划采购前将材料样品报送监理人，并经发包人最终确认后方能采购</w:t>
      </w:r>
      <w:r>
        <w:rPr>
          <w:color w:val="auto"/>
          <w:highlight w:val="none"/>
          <w:u w:val="single"/>
        </w:rPr>
        <w:t>。</w:t>
      </w:r>
      <w:r>
        <w:rPr>
          <w:rFonts w:hint="eastAsia"/>
          <w:color w:val="auto"/>
          <w:highlight w:val="none"/>
          <w:u w:val="single"/>
        </w:rPr>
        <w:t>承包人使用的上述主要材料的品牌</w:t>
      </w:r>
      <w:r>
        <w:rPr>
          <w:rFonts w:hint="eastAsia" w:cs="宋体"/>
          <w:color w:val="auto"/>
          <w:highlight w:val="none"/>
          <w:u w:val="single"/>
        </w:rPr>
        <w:t>应从工程量清单中给定的品牌中选定。承包人因特殊原因需要从工程量清单以外选择品牌时，</w:t>
      </w:r>
      <w:r>
        <w:rPr>
          <w:rFonts w:hint="eastAsia"/>
          <w:color w:val="auto"/>
          <w:highlight w:val="none"/>
          <w:u w:val="single"/>
        </w:rPr>
        <w:t>必须选择相当于或优于工程量清单中参考品牌</w:t>
      </w:r>
      <w:r>
        <w:rPr>
          <w:rFonts w:hint="eastAsia" w:cs="宋体"/>
          <w:color w:val="auto"/>
          <w:highlight w:val="none"/>
          <w:u w:val="single"/>
        </w:rPr>
        <w:t>且需征得发包人书面批准</w:t>
      </w:r>
      <w:r>
        <w:rPr>
          <w:rFonts w:hint="eastAsia"/>
          <w:color w:val="auto"/>
          <w:highlight w:val="none"/>
          <w:u w:val="single"/>
        </w:rPr>
        <w:t>，并且材料价格按原报价价格不变，否则按不合格材料处理并不予计量计价</w:t>
      </w:r>
      <w:r>
        <w:rPr>
          <w:rFonts w:ascii="宋体" w:hAnsi="宋体"/>
          <w:color w:val="auto"/>
          <w:highlight w:val="none"/>
        </w:rPr>
        <w:t>。</w:t>
      </w:r>
    </w:p>
    <w:p w14:paraId="58881E62">
      <w:pPr>
        <w:keepNext/>
        <w:keepLines/>
        <w:widowControl/>
        <w:spacing w:before="480" w:line="420" w:lineRule="exact"/>
        <w:jc w:val="left"/>
        <w:outlineLvl w:val="0"/>
        <w:rPr>
          <w:rFonts w:hAnsi="宋体"/>
          <w:b/>
          <w:bCs/>
          <w:color w:val="auto"/>
          <w:kern w:val="44"/>
          <w:highlight w:val="none"/>
        </w:rPr>
      </w:pPr>
      <w:bookmarkStart w:id="658" w:name="_Toc480967567"/>
      <w:bookmarkStart w:id="659" w:name="_Toc12260"/>
      <w:r>
        <w:rPr>
          <w:rFonts w:hAnsi="宋体"/>
          <w:b/>
          <w:bCs/>
          <w:color w:val="auto"/>
          <w:kern w:val="44"/>
          <w:highlight w:val="none"/>
        </w:rPr>
        <w:t>8.8 施工设备和临时设施</w:t>
      </w:r>
      <w:bookmarkEnd w:id="658"/>
      <w:bookmarkEnd w:id="659"/>
    </w:p>
    <w:p w14:paraId="2012F31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8.8.1 承包人提供的施工设备和临时设施</w:t>
      </w:r>
      <w:r>
        <w:rPr>
          <w:rFonts w:hint="eastAsia" w:ascii="宋体" w:hAnsi="宋体"/>
          <w:color w:val="auto"/>
          <w:highlight w:val="none"/>
        </w:rPr>
        <w:t>：</w:t>
      </w:r>
      <w:r>
        <w:rPr>
          <w:rFonts w:ascii="宋体" w:hAnsi="宋体"/>
          <w:color w:val="auto"/>
          <w:highlight w:val="none"/>
        </w:rPr>
        <w:t>承包人运入施工场地的所有施工设备以及在施工场地建设的临时设施仅限于用于合同工程。承包人用于本工程的主要机械设备清单见合同附件</w:t>
      </w:r>
      <w:r>
        <w:rPr>
          <w:rFonts w:hint="eastAsia" w:ascii="宋体" w:hAnsi="宋体"/>
          <w:color w:val="auto"/>
          <w:highlight w:val="none"/>
        </w:rPr>
        <w:t>6</w:t>
      </w:r>
      <w:r>
        <w:rPr>
          <w:rFonts w:ascii="宋体" w:hAnsi="宋体"/>
          <w:color w:val="auto"/>
          <w:highlight w:val="none"/>
        </w:rPr>
        <w:t>。</w:t>
      </w:r>
    </w:p>
    <w:p w14:paraId="73A394C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关于修建临时设施费用承担的约定：</w:t>
      </w:r>
    </w:p>
    <w:p w14:paraId="35DB5CB3">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报价中综合考虑。</w:t>
      </w:r>
    </w:p>
    <w:p w14:paraId="361C8B21">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②承包人负责合同实施期间其合同段内临时交通道路（含场内外连接公共交通道路）和交通设施的修建、维修、养护和交通管理工作，并承担一切费用 。</w:t>
      </w:r>
    </w:p>
    <w:p w14:paraId="5FA69F1F">
      <w:pPr>
        <w:widowControl/>
        <w:spacing w:after="200" w:line="420" w:lineRule="exact"/>
        <w:ind w:firstLine="420" w:firstLineChars="200"/>
        <w:jc w:val="left"/>
        <w:rPr>
          <w:rFonts w:ascii="宋体" w:hAnsi="宋体"/>
          <w:color w:val="auto"/>
          <w:highlight w:val="none"/>
          <w:u w:val="single"/>
        </w:rPr>
      </w:pPr>
      <w:r>
        <w:rPr>
          <w:rFonts w:hint="eastAsia" w:ascii="宋体"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E24B15">
      <w:pPr>
        <w:widowControl/>
        <w:autoSpaceDE w:val="0"/>
        <w:autoSpaceDN w:val="0"/>
        <w:adjustRightInd w:val="0"/>
        <w:spacing w:after="200" w:line="360" w:lineRule="auto"/>
        <w:ind w:firstLine="440" w:firstLineChars="200"/>
        <w:jc w:val="left"/>
        <w:rPr>
          <w:color w:val="auto"/>
          <w:kern w:val="0"/>
          <w:sz w:val="22"/>
          <w:highlight w:val="none"/>
        </w:rPr>
      </w:pPr>
      <w:r>
        <w:rPr>
          <w:color w:val="auto"/>
          <w:kern w:val="0"/>
          <w:sz w:val="22"/>
          <w:highlight w:val="none"/>
        </w:rPr>
        <w:t xml:space="preserve">8.8.2 </w:t>
      </w:r>
      <w:r>
        <w:rPr>
          <w:rFonts w:hAnsi="宋体"/>
          <w:color w:val="auto"/>
          <w:kern w:val="0"/>
          <w:sz w:val="22"/>
          <w:highlight w:val="none"/>
        </w:rPr>
        <w:t>发包人提供的施工设备和临时设施</w:t>
      </w:r>
    </w:p>
    <w:p w14:paraId="5338E582">
      <w:pPr>
        <w:widowControl/>
        <w:autoSpaceDE w:val="0"/>
        <w:autoSpaceDN w:val="0"/>
        <w:adjustRightInd w:val="0"/>
        <w:spacing w:after="200" w:line="360" w:lineRule="auto"/>
        <w:ind w:firstLine="440" w:firstLineChars="200"/>
        <w:jc w:val="left"/>
        <w:rPr>
          <w:color w:val="auto"/>
          <w:kern w:val="0"/>
          <w:sz w:val="22"/>
          <w:highlight w:val="none"/>
        </w:rPr>
      </w:pPr>
      <w:r>
        <w:rPr>
          <w:rFonts w:hAnsi="宋体"/>
          <w:color w:val="auto"/>
          <w:kern w:val="0"/>
          <w:sz w:val="22"/>
          <w:highlight w:val="none"/>
        </w:rPr>
        <w:t>发包人提供的施工设备和临时设施：</w:t>
      </w:r>
      <w:r>
        <w:rPr>
          <w:rFonts w:hint="eastAsia" w:ascii="宋体" w:hAnsi="宋体"/>
          <w:color w:val="auto"/>
          <w:kern w:val="0"/>
          <w:sz w:val="22"/>
          <w:szCs w:val="22"/>
          <w:highlight w:val="none"/>
          <w:u w:val="single"/>
        </w:rPr>
        <w:t xml:space="preserve">  无 </w:t>
      </w:r>
      <w:r>
        <w:rPr>
          <w:rFonts w:hAnsi="宋体"/>
          <w:color w:val="auto"/>
          <w:kern w:val="0"/>
          <w:sz w:val="22"/>
          <w:highlight w:val="none"/>
        </w:rPr>
        <w:t>。</w:t>
      </w:r>
    </w:p>
    <w:p w14:paraId="48C9B958">
      <w:pPr>
        <w:widowControl/>
        <w:autoSpaceDE w:val="0"/>
        <w:autoSpaceDN w:val="0"/>
        <w:adjustRightInd w:val="0"/>
        <w:spacing w:after="200" w:line="360" w:lineRule="auto"/>
        <w:ind w:firstLine="440" w:firstLineChars="200"/>
        <w:jc w:val="left"/>
        <w:rPr>
          <w:color w:val="auto"/>
          <w:kern w:val="0"/>
          <w:sz w:val="22"/>
          <w:highlight w:val="none"/>
        </w:rPr>
      </w:pPr>
      <w:r>
        <w:rPr>
          <w:rFonts w:hAnsi="宋体"/>
          <w:color w:val="auto"/>
          <w:kern w:val="0"/>
          <w:sz w:val="22"/>
          <w:highlight w:val="none"/>
        </w:rPr>
        <w:t>发包人提供的施工设备和临时设施的运行、维护、拆除、清运费用的承担人：</w:t>
      </w:r>
      <w:r>
        <w:rPr>
          <w:rFonts w:hint="eastAsia" w:ascii="宋体" w:hAnsi="宋体"/>
          <w:color w:val="auto"/>
          <w:kern w:val="0"/>
          <w:sz w:val="22"/>
          <w:szCs w:val="22"/>
          <w:highlight w:val="none"/>
          <w:u w:val="single"/>
        </w:rPr>
        <w:t xml:space="preserve"> 无 </w:t>
      </w:r>
      <w:r>
        <w:rPr>
          <w:color w:val="auto"/>
          <w:kern w:val="0"/>
          <w:sz w:val="22"/>
          <w:szCs w:val="22"/>
          <w:highlight w:val="none"/>
        </w:rPr>
        <w:t>。</w:t>
      </w:r>
    </w:p>
    <w:p w14:paraId="4AFF6569">
      <w:pPr>
        <w:keepNext/>
        <w:keepLines/>
        <w:widowControl/>
        <w:spacing w:before="480" w:line="420" w:lineRule="exact"/>
        <w:jc w:val="left"/>
        <w:outlineLvl w:val="0"/>
        <w:rPr>
          <w:rFonts w:hAnsi="宋体"/>
          <w:b/>
          <w:bCs/>
          <w:color w:val="auto"/>
          <w:kern w:val="44"/>
          <w:highlight w:val="none"/>
        </w:rPr>
      </w:pPr>
      <w:bookmarkStart w:id="660" w:name="_Toc13710"/>
      <w:bookmarkStart w:id="661" w:name="_Toc480967568"/>
      <w:r>
        <w:rPr>
          <w:rFonts w:hAnsi="宋体"/>
          <w:b/>
          <w:bCs/>
          <w:color w:val="auto"/>
          <w:kern w:val="44"/>
          <w:highlight w:val="none"/>
        </w:rPr>
        <w:t>9. 试验与检验</w:t>
      </w:r>
      <w:bookmarkEnd w:id="660"/>
      <w:bookmarkEnd w:id="661"/>
    </w:p>
    <w:p w14:paraId="6936824E">
      <w:pPr>
        <w:keepNext/>
        <w:keepLines/>
        <w:widowControl/>
        <w:spacing w:before="480" w:line="420" w:lineRule="exact"/>
        <w:jc w:val="left"/>
        <w:outlineLvl w:val="0"/>
        <w:rPr>
          <w:rFonts w:hAnsi="宋体"/>
          <w:b/>
          <w:bCs/>
          <w:color w:val="auto"/>
          <w:kern w:val="44"/>
          <w:highlight w:val="none"/>
        </w:rPr>
      </w:pPr>
      <w:bookmarkStart w:id="662" w:name="_Toc7069"/>
      <w:bookmarkStart w:id="663" w:name="_Toc480967569"/>
      <w:r>
        <w:rPr>
          <w:rFonts w:hAnsi="宋体"/>
          <w:b/>
          <w:bCs/>
          <w:color w:val="auto"/>
          <w:kern w:val="44"/>
          <w:highlight w:val="none"/>
        </w:rPr>
        <w:t>9.1试验设备与试验人员</w:t>
      </w:r>
      <w:bookmarkEnd w:id="662"/>
      <w:bookmarkEnd w:id="663"/>
    </w:p>
    <w:p w14:paraId="3623F18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9.1.2 试验设备</w:t>
      </w:r>
    </w:p>
    <w:p w14:paraId="3A3FD99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施工现场需要配置的试验场所：</w:t>
      </w:r>
      <w:r>
        <w:rPr>
          <w:rFonts w:hint="eastAsia" w:ascii="宋体" w:hAnsi="宋体"/>
          <w:color w:val="auto"/>
          <w:highlight w:val="none"/>
          <w:u w:val="single"/>
        </w:rPr>
        <w:t>由承包人承担，所需费用包含在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w:t>
      </w:r>
      <w:r>
        <w:rPr>
          <w:rFonts w:ascii="宋体" w:hAnsi="宋体"/>
          <w:color w:val="auto"/>
          <w:highlight w:val="none"/>
        </w:rPr>
        <w:t xml:space="preserve">。 </w:t>
      </w:r>
    </w:p>
    <w:p w14:paraId="23E8ADA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施工现场需要配备的试验设备：</w:t>
      </w:r>
      <w:r>
        <w:rPr>
          <w:rFonts w:hint="eastAsia" w:ascii="宋体" w:hAnsi="宋体"/>
          <w:color w:val="auto"/>
          <w:highlight w:val="none"/>
          <w:u w:val="single"/>
        </w:rPr>
        <w:t>由承包人承担，所需费用包含在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w:t>
      </w:r>
      <w:r>
        <w:rPr>
          <w:rFonts w:ascii="宋体" w:hAnsi="宋体"/>
          <w:color w:val="auto"/>
          <w:highlight w:val="none"/>
        </w:rPr>
        <w:t>。</w:t>
      </w:r>
    </w:p>
    <w:p w14:paraId="73FE3C9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施工现场需要具备的其他试验条件：</w:t>
      </w:r>
      <w:r>
        <w:rPr>
          <w:rFonts w:hint="eastAsia" w:ascii="宋体" w:hAnsi="宋体"/>
          <w:color w:val="auto"/>
          <w:highlight w:val="none"/>
          <w:u w:val="single"/>
        </w:rPr>
        <w:t>由承包人承担，所需费用包含在</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w:t>
      </w:r>
      <w:r>
        <w:rPr>
          <w:rFonts w:ascii="宋体" w:hAnsi="宋体"/>
          <w:color w:val="auto"/>
          <w:highlight w:val="none"/>
        </w:rPr>
        <w:t>。</w:t>
      </w:r>
    </w:p>
    <w:p w14:paraId="56D3E003">
      <w:pPr>
        <w:keepNext/>
        <w:keepLines/>
        <w:widowControl/>
        <w:spacing w:before="480" w:line="420" w:lineRule="exact"/>
        <w:jc w:val="left"/>
        <w:outlineLvl w:val="0"/>
        <w:rPr>
          <w:rFonts w:hAnsi="宋体"/>
          <w:b/>
          <w:bCs/>
          <w:color w:val="auto"/>
          <w:kern w:val="44"/>
          <w:highlight w:val="none"/>
        </w:rPr>
      </w:pPr>
      <w:bookmarkStart w:id="664" w:name="_Toc31422"/>
      <w:bookmarkStart w:id="665" w:name="_Toc480967570"/>
      <w:r>
        <w:rPr>
          <w:rFonts w:hAnsi="宋体"/>
          <w:b/>
          <w:bCs/>
          <w:color w:val="auto"/>
          <w:kern w:val="44"/>
          <w:highlight w:val="none"/>
        </w:rPr>
        <w:t>9.4 现场工艺试验</w:t>
      </w:r>
      <w:bookmarkEnd w:id="664"/>
      <w:bookmarkEnd w:id="665"/>
      <w:r>
        <w:rPr>
          <w:rFonts w:hAnsi="宋体"/>
          <w:b/>
          <w:bCs/>
          <w:color w:val="auto"/>
          <w:kern w:val="44"/>
          <w:highlight w:val="none"/>
        </w:rPr>
        <w:t xml:space="preserve"> </w:t>
      </w:r>
    </w:p>
    <w:p w14:paraId="6840678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现场工艺试验的有关约定：</w:t>
      </w:r>
      <w:r>
        <w:rPr>
          <w:rFonts w:hint="eastAsia" w:ascii="宋体" w:hAnsi="宋体"/>
          <w:color w:val="auto"/>
          <w:highlight w:val="none"/>
          <w:u w:val="single"/>
        </w:rPr>
        <w:t>按实际需要和国家规定</w:t>
      </w:r>
      <w:r>
        <w:rPr>
          <w:rFonts w:ascii="宋体" w:hAnsi="宋体"/>
          <w:color w:val="auto"/>
          <w:highlight w:val="none"/>
        </w:rPr>
        <w:t>。</w:t>
      </w:r>
    </w:p>
    <w:p w14:paraId="3DC5D5BE">
      <w:pPr>
        <w:keepNext/>
        <w:keepLines/>
        <w:widowControl/>
        <w:spacing w:before="480" w:line="420" w:lineRule="exact"/>
        <w:jc w:val="left"/>
        <w:outlineLvl w:val="0"/>
        <w:rPr>
          <w:rFonts w:hAnsi="宋体"/>
          <w:b/>
          <w:bCs/>
          <w:color w:val="auto"/>
          <w:kern w:val="44"/>
          <w:highlight w:val="none"/>
        </w:rPr>
      </w:pPr>
      <w:bookmarkStart w:id="666" w:name="_Toc480967571"/>
      <w:bookmarkStart w:id="667" w:name="_Toc1564"/>
      <w:r>
        <w:rPr>
          <w:rFonts w:hAnsi="宋体"/>
          <w:b/>
          <w:bCs/>
          <w:color w:val="auto"/>
          <w:kern w:val="44"/>
          <w:highlight w:val="none"/>
        </w:rPr>
        <w:t>9.5 检验费用</w:t>
      </w:r>
      <w:bookmarkEnd w:id="666"/>
      <w:bookmarkEnd w:id="667"/>
    </w:p>
    <w:p w14:paraId="1CFC29D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根据</w:t>
      </w:r>
      <w:r>
        <w:rPr>
          <w:rFonts w:hint="eastAsia" w:ascii="宋体" w:hAnsi="宋体"/>
          <w:color w:val="auto"/>
          <w:highlight w:val="none"/>
        </w:rPr>
        <w:t>《建设工程质量检测管理办法》（住房和城乡建设部令第57号）</w:t>
      </w:r>
      <w:r>
        <w:rPr>
          <w:rFonts w:ascii="宋体" w:hAnsi="宋体"/>
          <w:color w:val="auto"/>
          <w:highlight w:val="none"/>
        </w:rPr>
        <w:t>以及</w:t>
      </w:r>
      <w:r>
        <w:rPr>
          <w:rFonts w:hint="eastAsia" w:ascii="宋体" w:hAnsi="宋体"/>
          <w:color w:val="auto"/>
          <w:highlight w:val="none"/>
        </w:rPr>
        <w:t>《广西壮族自治区建设工程质量检测管理规定》（桂建管〔2018〕36号）</w:t>
      </w:r>
      <w:r>
        <w:rPr>
          <w:rFonts w:ascii="宋体" w:hAnsi="宋体"/>
          <w:color w:val="auto"/>
          <w:highlight w:val="none"/>
        </w:rPr>
        <w:t>规定，工程质量检测业务由</w:t>
      </w:r>
      <w:r>
        <w:rPr>
          <w:rFonts w:hint="eastAsia" w:ascii="宋体" w:hAnsi="宋体"/>
          <w:color w:val="auto"/>
          <w:highlight w:val="none"/>
        </w:rPr>
        <w:t>发包人</w:t>
      </w:r>
      <w:r>
        <w:rPr>
          <w:rFonts w:ascii="宋体" w:hAnsi="宋体"/>
          <w:color w:val="auto"/>
          <w:highlight w:val="none"/>
        </w:rPr>
        <w:t>委托有相应资质的检测机构检测。费用</w:t>
      </w:r>
      <w:r>
        <w:rPr>
          <w:rFonts w:hint="eastAsia" w:ascii="宋体" w:hAnsi="宋体"/>
          <w:color w:val="auto"/>
          <w:highlight w:val="none"/>
        </w:rPr>
        <w:t>从发包人的项目建设经费中支出并</w:t>
      </w:r>
      <w:r>
        <w:rPr>
          <w:rFonts w:ascii="宋体" w:hAnsi="宋体"/>
          <w:color w:val="auto"/>
          <w:highlight w:val="none"/>
        </w:rPr>
        <w:t>直接支付给检测机构，不计入合同价款内。</w:t>
      </w:r>
      <w:bookmarkStart w:id="668" w:name="_Toc5038"/>
      <w:bookmarkStart w:id="669" w:name="_Toc480967572"/>
    </w:p>
    <w:p w14:paraId="0E7727F3">
      <w:pPr>
        <w:widowControl/>
        <w:spacing w:after="200" w:line="360" w:lineRule="auto"/>
        <w:jc w:val="left"/>
        <w:rPr>
          <w:rFonts w:hAnsi="宋体"/>
          <w:b/>
          <w:bCs/>
          <w:color w:val="auto"/>
          <w:kern w:val="44"/>
          <w:highlight w:val="none"/>
        </w:rPr>
      </w:pPr>
      <w:r>
        <w:rPr>
          <w:rFonts w:hAnsi="宋体"/>
          <w:b/>
          <w:bCs/>
          <w:color w:val="auto"/>
          <w:kern w:val="44"/>
          <w:highlight w:val="none"/>
        </w:rPr>
        <w:t>10. 变更</w:t>
      </w:r>
      <w:bookmarkEnd w:id="668"/>
      <w:bookmarkEnd w:id="669"/>
    </w:p>
    <w:p w14:paraId="183F8177">
      <w:pPr>
        <w:keepNext/>
        <w:keepLines/>
        <w:widowControl/>
        <w:spacing w:before="480" w:line="420" w:lineRule="exact"/>
        <w:jc w:val="left"/>
        <w:outlineLvl w:val="0"/>
        <w:rPr>
          <w:rFonts w:hAnsi="宋体"/>
          <w:b/>
          <w:bCs/>
          <w:color w:val="auto"/>
          <w:kern w:val="44"/>
          <w:highlight w:val="none"/>
        </w:rPr>
      </w:pPr>
      <w:bookmarkStart w:id="670" w:name="_Toc7719"/>
      <w:bookmarkStart w:id="671" w:name="_Toc480967573"/>
      <w:r>
        <w:rPr>
          <w:rFonts w:hAnsi="宋体"/>
          <w:b/>
          <w:bCs/>
          <w:color w:val="auto"/>
          <w:kern w:val="44"/>
          <w:highlight w:val="none"/>
        </w:rPr>
        <w:t>10.1变更的范围</w:t>
      </w:r>
      <w:bookmarkEnd w:id="670"/>
      <w:bookmarkEnd w:id="671"/>
    </w:p>
    <w:p w14:paraId="68806979">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关于变更的范围的约定：</w:t>
      </w:r>
      <w:r>
        <w:rPr>
          <w:rFonts w:ascii="宋体" w:hAnsi="宋体"/>
          <w:color w:val="auto"/>
          <w:highlight w:val="none"/>
          <w:u w:val="single"/>
        </w:rPr>
        <w:t xml:space="preserve">增加或减少合同中任何工作，或追加额外的工作；改变合同中任何工作的质量标准或其他特性    </w:t>
      </w:r>
      <w:r>
        <w:rPr>
          <w:rFonts w:ascii="宋体" w:hAnsi="宋体"/>
          <w:color w:val="auto"/>
          <w:highlight w:val="none"/>
        </w:rPr>
        <w:t>。</w:t>
      </w:r>
    </w:p>
    <w:p w14:paraId="11CE0A3D">
      <w:pPr>
        <w:keepNext/>
        <w:keepLines/>
        <w:widowControl/>
        <w:spacing w:before="480" w:line="420" w:lineRule="exact"/>
        <w:jc w:val="left"/>
        <w:outlineLvl w:val="0"/>
        <w:rPr>
          <w:rFonts w:hAnsi="宋体"/>
          <w:b/>
          <w:bCs/>
          <w:color w:val="auto"/>
          <w:kern w:val="44"/>
          <w:highlight w:val="none"/>
        </w:rPr>
      </w:pPr>
      <w:bookmarkStart w:id="672" w:name="_Toc480967574"/>
      <w:bookmarkStart w:id="673" w:name="_Toc20803"/>
      <w:r>
        <w:rPr>
          <w:rFonts w:hAnsi="宋体"/>
          <w:b/>
          <w:bCs/>
          <w:color w:val="auto"/>
          <w:kern w:val="44"/>
          <w:highlight w:val="none"/>
        </w:rPr>
        <w:t>10.3 变更程序</w:t>
      </w:r>
      <w:bookmarkEnd w:id="672"/>
      <w:bookmarkEnd w:id="673"/>
    </w:p>
    <w:p w14:paraId="7BCBF239">
      <w:pPr>
        <w:widowControl/>
        <w:spacing w:after="200" w:line="420" w:lineRule="exact"/>
        <w:ind w:firstLine="420" w:firstLineChars="200"/>
        <w:jc w:val="left"/>
        <w:rPr>
          <w:rFonts w:ascii="宋体" w:hAnsi="宋体"/>
          <w:b/>
          <w:bCs/>
          <w:color w:val="auto"/>
          <w:highlight w:val="none"/>
          <w:u w:val="single"/>
        </w:rPr>
      </w:pPr>
      <w:r>
        <w:rPr>
          <w:rFonts w:ascii="宋体" w:hAnsi="宋体"/>
          <w:bCs/>
          <w:color w:val="auto"/>
          <w:highlight w:val="none"/>
        </w:rPr>
        <w:t>10.3.1 国有投资项目：</w:t>
      </w:r>
    </w:p>
    <w:p w14:paraId="18AA0B9E">
      <w:pPr>
        <w:widowControl/>
        <w:spacing w:after="200" w:line="420" w:lineRule="exact"/>
        <w:ind w:firstLine="420" w:firstLineChars="200"/>
        <w:jc w:val="left"/>
        <w:rPr>
          <w:rFonts w:ascii="宋体" w:hAnsi="宋体"/>
          <w:bCs/>
          <w:color w:val="auto"/>
          <w:highlight w:val="none"/>
        </w:rPr>
      </w:pPr>
      <w:r>
        <w:rPr>
          <w:rFonts w:hint="eastAsia" w:ascii="宋体" w:hAnsi="宋体" w:cs="宋体"/>
          <w:bCs/>
          <w:color w:val="auto"/>
          <w:highlight w:val="none"/>
        </w:rPr>
        <w:t>⑴</w:t>
      </w:r>
      <w:r>
        <w:rPr>
          <w:rFonts w:ascii="宋体" w:hAnsi="宋体"/>
          <w:bCs/>
          <w:color w:val="auto"/>
          <w:highlight w:val="none"/>
        </w:rPr>
        <w:t>设计变更和工程签证，按各市政府或相关部门的规定办理。属不可抗力（自然灾害、突发事件等）造成变更的，按特事特办原则予以办理。</w:t>
      </w:r>
    </w:p>
    <w:p w14:paraId="1F816A51">
      <w:pPr>
        <w:widowControl/>
        <w:spacing w:after="200" w:line="420" w:lineRule="exact"/>
        <w:ind w:firstLine="420" w:firstLineChars="200"/>
        <w:jc w:val="left"/>
        <w:rPr>
          <w:rFonts w:ascii="宋体" w:hAnsi="宋体"/>
          <w:bCs/>
          <w:color w:val="auto"/>
          <w:highlight w:val="none"/>
        </w:rPr>
      </w:pPr>
      <w:r>
        <w:rPr>
          <w:rFonts w:hint="eastAsia" w:ascii="宋体" w:hAnsi="宋体" w:cs="宋体"/>
          <w:bCs/>
          <w:color w:val="auto"/>
          <w:highlight w:val="none"/>
        </w:rPr>
        <w:t>⑵</w:t>
      </w:r>
      <w:r>
        <w:rPr>
          <w:rFonts w:ascii="宋体" w:hAnsi="宋体"/>
          <w:bCs/>
          <w:color w:val="auto"/>
          <w:highlight w:val="none"/>
        </w:rPr>
        <w:t>建设单位在实施项目过程中，若发生单价变动，由建设单位、监理单位、施工单位及其他相关单位共同商定并签字确认。</w:t>
      </w:r>
    </w:p>
    <w:p w14:paraId="31BBD63D">
      <w:pPr>
        <w:widowControl/>
        <w:spacing w:after="200" w:line="420" w:lineRule="exact"/>
        <w:ind w:firstLine="420" w:firstLineChars="200"/>
        <w:jc w:val="left"/>
        <w:rPr>
          <w:rFonts w:ascii="宋体" w:hAnsi="宋体"/>
          <w:bCs/>
          <w:color w:val="auto"/>
          <w:highlight w:val="none"/>
        </w:rPr>
      </w:pPr>
      <w:r>
        <w:rPr>
          <w:rFonts w:hint="eastAsia" w:ascii="宋体" w:hAnsi="宋体" w:cs="宋体"/>
          <w:bCs/>
          <w:color w:val="auto"/>
          <w:highlight w:val="none"/>
        </w:rPr>
        <w:t>⑶</w:t>
      </w:r>
      <w:r>
        <w:rPr>
          <w:rFonts w:ascii="宋体" w:hAnsi="宋体"/>
          <w:bCs/>
          <w:color w:val="auto"/>
          <w:highlight w:val="none"/>
        </w:rPr>
        <w:t xml:space="preserve"> 当合同规定的合同价款调整情况发生后，承包人未在规定时间内通知发包人，或者未在规定时间内提出调整报告，发包人可以根据有关资料，决定是否调整和调整的金额，并书面通知承包人。</w:t>
      </w:r>
    </w:p>
    <w:p w14:paraId="243A71BF">
      <w:pPr>
        <w:widowControl/>
        <w:spacing w:after="200" w:line="420" w:lineRule="exact"/>
        <w:ind w:firstLine="420" w:firstLineChars="200"/>
        <w:jc w:val="left"/>
        <w:rPr>
          <w:rFonts w:ascii="宋体" w:hAnsi="宋体"/>
          <w:bCs/>
          <w:color w:val="auto"/>
          <w:highlight w:val="none"/>
        </w:rPr>
      </w:pPr>
      <w:r>
        <w:rPr>
          <w:rFonts w:ascii="宋体" w:hAnsi="宋体"/>
          <w:bCs/>
          <w:color w:val="auto"/>
          <w:highlight w:val="none"/>
        </w:rPr>
        <w:t>10.3.2 非国有投资项目：</w:t>
      </w:r>
      <w:r>
        <w:rPr>
          <w:rFonts w:hint="eastAsia" w:ascii="宋体" w:hAnsi="宋体"/>
          <w:bCs/>
          <w:color w:val="auto"/>
          <w:highlight w:val="none"/>
          <w:u w:val="single"/>
        </w:rPr>
        <w:t xml:space="preserve">       无        </w:t>
      </w:r>
      <w:r>
        <w:rPr>
          <w:rFonts w:ascii="宋体" w:hAnsi="宋体"/>
          <w:bCs/>
          <w:color w:val="auto"/>
          <w:highlight w:val="none"/>
        </w:rPr>
        <w:t>。</w:t>
      </w:r>
    </w:p>
    <w:p w14:paraId="6E7C8199">
      <w:pPr>
        <w:keepNext/>
        <w:keepLines/>
        <w:widowControl/>
        <w:spacing w:before="480" w:line="420" w:lineRule="exact"/>
        <w:jc w:val="left"/>
        <w:outlineLvl w:val="0"/>
        <w:rPr>
          <w:rFonts w:hAnsi="宋体"/>
          <w:b/>
          <w:bCs/>
          <w:color w:val="auto"/>
          <w:kern w:val="44"/>
          <w:highlight w:val="none"/>
        </w:rPr>
      </w:pPr>
      <w:bookmarkStart w:id="674" w:name="_Toc480967575"/>
      <w:bookmarkStart w:id="675" w:name="_Toc8738"/>
      <w:r>
        <w:rPr>
          <w:rFonts w:hAnsi="宋体"/>
          <w:b/>
          <w:bCs/>
          <w:color w:val="auto"/>
          <w:kern w:val="44"/>
          <w:highlight w:val="none"/>
        </w:rPr>
        <w:t>10.4 变更估价</w:t>
      </w:r>
      <w:bookmarkEnd w:id="674"/>
      <w:bookmarkEnd w:id="675"/>
    </w:p>
    <w:p w14:paraId="4CB816F6">
      <w:pPr>
        <w:widowControl/>
        <w:spacing w:after="200" w:line="360" w:lineRule="auto"/>
        <w:ind w:firstLine="420" w:firstLineChars="200"/>
        <w:jc w:val="left"/>
        <w:rPr>
          <w:rFonts w:ascii="宋体" w:hAnsi="宋体"/>
          <w:color w:val="auto"/>
          <w:highlight w:val="none"/>
          <w:u w:val="single"/>
        </w:rPr>
      </w:pPr>
      <w:r>
        <w:rPr>
          <w:rFonts w:ascii="宋体" w:hAnsi="宋体"/>
          <w:color w:val="auto"/>
          <w:highlight w:val="none"/>
        </w:rPr>
        <w:t>10.4.1 变更估价原则</w:t>
      </w:r>
      <w:r>
        <w:rPr>
          <w:rFonts w:hint="eastAsia" w:ascii="宋体" w:hAnsi="宋体"/>
          <w:color w:val="auto"/>
          <w:highlight w:val="none"/>
        </w:rPr>
        <w:t>：</w:t>
      </w:r>
      <w:r>
        <w:rPr>
          <w:rFonts w:ascii="宋体" w:hAnsi="宋体"/>
          <w:bCs/>
          <w:color w:val="auto"/>
          <w:highlight w:val="none"/>
          <w:u w:val="single"/>
        </w:rPr>
        <w:t>因设计变更、相关签证引起工程项目、工程量任何变化的，变更合同价款按下列方法进行：</w:t>
      </w:r>
      <w:r>
        <w:rPr>
          <w:rFonts w:hint="eastAsia" w:ascii="宋体" w:hAnsi="宋体"/>
          <w:color w:val="auto"/>
          <w:highlight w:val="none"/>
          <w:u w:val="single"/>
        </w:rPr>
        <w:t>（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eastAsia="Arial" w:cs="Arial"/>
          <w:snapToGrid w:val="0"/>
          <w:color w:val="auto"/>
          <w:kern w:val="0"/>
          <w:szCs w:val="21"/>
          <w:highlight w:val="none"/>
          <w:u w:val="single"/>
        </w:rPr>
        <w:t>成交的最后</w:t>
      </w:r>
      <w:r>
        <w:rPr>
          <w:rFonts w:hint="eastAsia" w:ascii="宋体" w:hAnsi="宋体"/>
          <w:color w:val="auto"/>
          <w:highlight w:val="none"/>
          <w:u w:val="single"/>
        </w:rPr>
        <w:t xml:space="preserve">报价/本项目招标控制价）计算，其中材料价格按施工期间的 《桂林市建设工程造价信息》相应价格信息进行计算；《桂林市建设工程造价信息》没有相应价格信息的按市场价计算；无定额可套的，根据市场价格协商确定综合价格；对于国有资产投资的项目，新增项目的单价必须经发包人委托的第三方审核机构审定。             </w:t>
      </w:r>
    </w:p>
    <w:p w14:paraId="392467D7">
      <w:pPr>
        <w:widowControl/>
        <w:spacing w:after="200" w:line="360" w:lineRule="auto"/>
        <w:ind w:firstLine="567" w:firstLineChars="270"/>
        <w:jc w:val="left"/>
        <w:textAlignment w:val="baseline"/>
        <w:rPr>
          <w:rFonts w:ascii="宋体" w:hAnsi="宋体"/>
          <w:color w:val="auto"/>
          <w:highlight w:val="none"/>
          <w:u w:val="single"/>
        </w:rPr>
      </w:pPr>
      <w:r>
        <w:rPr>
          <w:rFonts w:hint="eastAsia" w:ascii="宋体" w:hAnsi="宋体"/>
          <w:color w:val="auto"/>
          <w:highlight w:val="none"/>
          <w:u w:val="single"/>
        </w:rPr>
        <w:t>关于变更估价的约定：（1）</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报价中已有适用于变更工程的综合单价，按已有的综合单价，综合单价不随工程量的增减而变化</w:t>
      </w:r>
      <w:r>
        <w:rPr>
          <w:rFonts w:hint="eastAsia" w:ascii="宋体" w:hAnsi="宋体" w:eastAsia="Arial" w:cs="Arial"/>
          <w:snapToGrid w:val="0"/>
          <w:color w:val="auto"/>
          <w:kern w:val="0"/>
          <w:szCs w:val="21"/>
          <w:highlight w:val="none"/>
          <w:u w:val="single"/>
        </w:rPr>
        <w:t>；（2）最后</w:t>
      </w:r>
      <w:r>
        <w:rPr>
          <w:rFonts w:hint="eastAsia" w:ascii="宋体" w:hAnsi="宋体"/>
          <w:color w:val="auto"/>
          <w:highlight w:val="none"/>
          <w:u w:val="single"/>
        </w:rPr>
        <w:t>报价中有类似变更工程的综合单价，可参照</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报价中类似的综合单价确定</w:t>
      </w:r>
      <w:r>
        <w:rPr>
          <w:rFonts w:hint="eastAsia" w:ascii="宋体" w:hAnsi="宋体" w:eastAsia="Arial" w:cs="Arial"/>
          <w:snapToGrid w:val="0"/>
          <w:color w:val="auto"/>
          <w:kern w:val="0"/>
          <w:szCs w:val="21"/>
          <w:highlight w:val="none"/>
          <w:u w:val="single"/>
        </w:rPr>
        <w:t>；</w:t>
      </w:r>
      <w:r>
        <w:rPr>
          <w:rFonts w:hint="eastAsia" w:ascii="宋体" w:hAnsi="宋体"/>
          <w:color w:val="auto"/>
          <w:highlight w:val="none"/>
          <w:u w:val="single"/>
        </w:rPr>
        <w:t>（3）</w:t>
      </w:r>
      <w:r>
        <w:rPr>
          <w:rFonts w:hint="eastAsia" w:ascii="宋体" w:hAnsi="宋体" w:eastAsia="Arial" w:cs="Arial"/>
          <w:snapToGrid w:val="0"/>
          <w:color w:val="auto"/>
          <w:kern w:val="0"/>
          <w:szCs w:val="21"/>
          <w:highlight w:val="none"/>
          <w:u w:val="single"/>
        </w:rPr>
        <w:t>最后</w:t>
      </w:r>
      <w:r>
        <w:rPr>
          <w:rFonts w:hint="eastAsia" w:ascii="宋体" w:hAnsi="宋体"/>
          <w:color w:val="auto"/>
          <w:highlight w:val="none"/>
          <w:u w:val="single"/>
        </w:rPr>
        <w:t>报价中没有适用或类似于变更工程的综合单价，则有定额的套定额计算，执行本工程编制招标控制价的参考依据，其中材料价格有信息价的按合同该新增子项实施期间《桂林市建设工程造价信息》的平均值计取，无信息价的，按市场价格由发包人、承包人、发包人工地代表、发包人委托的造价咨询机构、现场监管代表及监理协商确定材料价，不在下浮范围之内；新增结算综合单价=定额计算的综合单价×（</w:t>
      </w:r>
      <w:r>
        <w:rPr>
          <w:rFonts w:hint="eastAsia" w:ascii="宋体" w:hAnsi="宋体" w:eastAsia="Arial" w:cs="Arial"/>
          <w:snapToGrid w:val="0"/>
          <w:color w:val="auto"/>
          <w:kern w:val="0"/>
          <w:szCs w:val="21"/>
          <w:highlight w:val="none"/>
          <w:u w:val="single"/>
        </w:rPr>
        <w:t>成交的最后</w:t>
      </w:r>
      <w:r>
        <w:rPr>
          <w:rFonts w:hint="eastAsia" w:ascii="宋体" w:hAnsi="宋体"/>
          <w:color w:val="auto"/>
          <w:highlight w:val="none"/>
          <w:u w:val="single"/>
        </w:rPr>
        <w:t>报价/本项目招标控制价），新增项目无定额可套时，由发包人、承包人驻现场代表（包括发包人工地代表、发包人委托的造价咨询机构）及监理三方共同协商确定包干价，不在下浮范围之内。暂定价调整方法为：暂定材料价格部分仅调整合同实施期间材料市场价与暂定价之间的价差并计相应的规费和增值税，投标书中相应的综合单价不再调整。本工程最终结算经发包人委托的中介机构审定并经甲乙双方签字确认为准。</w:t>
      </w:r>
    </w:p>
    <w:p w14:paraId="5ED98FAF">
      <w:pPr>
        <w:keepNext/>
        <w:keepLines/>
        <w:widowControl/>
        <w:spacing w:before="480" w:line="420" w:lineRule="exact"/>
        <w:jc w:val="left"/>
        <w:outlineLvl w:val="0"/>
        <w:rPr>
          <w:rFonts w:hAnsi="宋体"/>
          <w:b/>
          <w:bCs/>
          <w:color w:val="auto"/>
          <w:kern w:val="44"/>
          <w:highlight w:val="none"/>
        </w:rPr>
      </w:pPr>
      <w:bookmarkStart w:id="676" w:name="_Toc480967576"/>
      <w:bookmarkStart w:id="677" w:name="_Toc9812"/>
      <w:r>
        <w:rPr>
          <w:rFonts w:hAnsi="宋体"/>
          <w:b/>
          <w:bCs/>
          <w:color w:val="auto"/>
          <w:kern w:val="44"/>
          <w:highlight w:val="none"/>
        </w:rPr>
        <w:t>10.5承包人的合理化建议</w:t>
      </w:r>
      <w:bookmarkEnd w:id="676"/>
      <w:bookmarkEnd w:id="677"/>
    </w:p>
    <w:p w14:paraId="4474AA1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监理人审查承包人合理化建议的期限：</w:t>
      </w:r>
      <w:r>
        <w:rPr>
          <w:rFonts w:hint="eastAsia" w:ascii="宋体" w:hAnsi="宋体"/>
          <w:color w:val="auto"/>
          <w:kern w:val="0"/>
          <w:highlight w:val="none"/>
          <w:u w:val="single"/>
        </w:rPr>
        <w:t>7天内</w:t>
      </w:r>
      <w:r>
        <w:rPr>
          <w:rFonts w:ascii="宋体" w:hAnsi="宋体"/>
          <w:color w:val="auto"/>
          <w:highlight w:val="none"/>
        </w:rPr>
        <w:t>。</w:t>
      </w:r>
    </w:p>
    <w:p w14:paraId="7E63A0C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发包人审批承包人合理化建议的期限：</w:t>
      </w:r>
      <w:r>
        <w:rPr>
          <w:rFonts w:hint="eastAsia" w:ascii="宋体" w:hAnsi="宋体"/>
          <w:color w:val="auto"/>
          <w:kern w:val="0"/>
          <w:highlight w:val="none"/>
          <w:u w:val="single"/>
        </w:rPr>
        <w:t>7天内</w:t>
      </w:r>
      <w:r>
        <w:rPr>
          <w:rFonts w:ascii="宋体" w:hAnsi="宋体"/>
          <w:color w:val="auto"/>
          <w:highlight w:val="none"/>
        </w:rPr>
        <w:t>。</w:t>
      </w:r>
    </w:p>
    <w:p w14:paraId="7119B2DA">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承包人提出的合理化建议降低了合同价格或者提高了工程经济效益的奖励的方法和金额为：</w:t>
      </w:r>
      <w:r>
        <w:rPr>
          <w:rFonts w:hint="eastAsia" w:ascii="宋体" w:hAnsi="宋体"/>
          <w:color w:val="auto"/>
          <w:highlight w:val="none"/>
          <w:u w:val="single"/>
        </w:rPr>
        <w:t xml:space="preserve">无  </w:t>
      </w:r>
      <w:r>
        <w:rPr>
          <w:rFonts w:ascii="宋体" w:hAnsi="宋体"/>
          <w:color w:val="auto"/>
          <w:highlight w:val="none"/>
        </w:rPr>
        <w:t>。</w:t>
      </w:r>
    </w:p>
    <w:p w14:paraId="6A2025AF">
      <w:pPr>
        <w:keepNext/>
        <w:keepLines/>
        <w:widowControl/>
        <w:spacing w:before="480" w:line="420" w:lineRule="exact"/>
        <w:jc w:val="left"/>
        <w:outlineLvl w:val="0"/>
        <w:rPr>
          <w:rFonts w:hAnsi="宋体"/>
          <w:b/>
          <w:bCs/>
          <w:color w:val="auto"/>
          <w:kern w:val="44"/>
          <w:highlight w:val="none"/>
        </w:rPr>
      </w:pPr>
      <w:bookmarkStart w:id="678" w:name="_Toc8636"/>
      <w:bookmarkStart w:id="679" w:name="_Toc480967577"/>
      <w:r>
        <w:rPr>
          <w:rFonts w:hAnsi="宋体"/>
          <w:b/>
          <w:bCs/>
          <w:color w:val="auto"/>
          <w:kern w:val="44"/>
          <w:highlight w:val="none"/>
        </w:rPr>
        <w:t>10.7 暂估价</w:t>
      </w:r>
      <w:bookmarkEnd w:id="678"/>
      <w:bookmarkEnd w:id="679"/>
    </w:p>
    <w:p w14:paraId="60899B8D">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暂估价材料和工程设备的明细详见</w:t>
      </w:r>
      <w:r>
        <w:rPr>
          <w:rFonts w:hint="eastAsia" w:ascii="宋体" w:hAnsi="宋体"/>
          <w:color w:val="auto"/>
          <w:kern w:val="0"/>
          <w:highlight w:val="none"/>
        </w:rPr>
        <w:t>附件11：</w:t>
      </w:r>
      <w:r>
        <w:rPr>
          <w:rFonts w:ascii="宋体" w:hAnsi="宋体"/>
          <w:color w:val="auto"/>
          <w:kern w:val="0"/>
          <w:highlight w:val="none"/>
        </w:rPr>
        <w:t>《</w:t>
      </w:r>
      <w:r>
        <w:rPr>
          <w:rFonts w:ascii="宋体" w:hAnsi="宋体"/>
          <w:color w:val="auto"/>
          <w:highlight w:val="none"/>
        </w:rPr>
        <w:t>暂估价</w:t>
      </w:r>
      <w:r>
        <w:rPr>
          <w:rFonts w:hint="eastAsia" w:ascii="宋体" w:hAnsi="宋体"/>
          <w:color w:val="auto"/>
          <w:highlight w:val="none"/>
        </w:rPr>
        <w:t>一览</w:t>
      </w:r>
      <w:r>
        <w:rPr>
          <w:rFonts w:ascii="宋体" w:hAnsi="宋体"/>
          <w:color w:val="auto"/>
          <w:highlight w:val="none"/>
        </w:rPr>
        <w:t>表》</w:t>
      </w:r>
      <w:r>
        <w:rPr>
          <w:rFonts w:ascii="宋体" w:hAnsi="宋体"/>
          <w:color w:val="auto"/>
          <w:kern w:val="0"/>
          <w:highlight w:val="none"/>
        </w:rPr>
        <w:t>。</w:t>
      </w:r>
    </w:p>
    <w:p w14:paraId="500B45F9">
      <w:pPr>
        <w:widowControl/>
        <w:spacing w:after="200" w:line="420" w:lineRule="exact"/>
        <w:ind w:firstLine="420" w:firstLineChars="200"/>
        <w:jc w:val="left"/>
        <w:outlineLvl w:val="0"/>
        <w:rPr>
          <w:rFonts w:ascii="宋体" w:hAnsi="宋体"/>
          <w:color w:val="auto"/>
          <w:highlight w:val="none"/>
        </w:rPr>
      </w:pPr>
      <w:r>
        <w:rPr>
          <w:rFonts w:ascii="宋体" w:hAnsi="宋体"/>
          <w:color w:val="auto"/>
          <w:highlight w:val="none"/>
        </w:rPr>
        <w:t>10.7.1 依法必须招标的暂估价项目</w:t>
      </w:r>
    </w:p>
    <w:p w14:paraId="4ACC421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对于依法必须招标的暂估价项目的确认和批准采取第</w:t>
      </w:r>
      <w:r>
        <w:rPr>
          <w:rFonts w:hint="eastAsia" w:ascii="宋体" w:hAnsi="宋体"/>
          <w:bCs/>
          <w:color w:val="auto"/>
          <w:highlight w:val="none"/>
          <w:u w:val="single"/>
        </w:rPr>
        <w:t>双方协定</w:t>
      </w:r>
      <w:r>
        <w:rPr>
          <w:rFonts w:ascii="宋体" w:hAnsi="宋体"/>
          <w:color w:val="auto"/>
          <w:highlight w:val="none"/>
        </w:rPr>
        <w:t>种方式确定。</w:t>
      </w:r>
    </w:p>
    <w:p w14:paraId="2024021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10.7.2 不属于依法必须招标的暂估价项目</w:t>
      </w:r>
    </w:p>
    <w:p w14:paraId="257C98F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对于不属于依法必须招标的暂估价项目的确认和批准采取第</w:t>
      </w:r>
      <w:r>
        <w:rPr>
          <w:rFonts w:hint="eastAsia" w:ascii="宋体" w:hAnsi="宋体"/>
          <w:color w:val="auto"/>
          <w:highlight w:val="none"/>
          <w:u w:val="single"/>
        </w:rPr>
        <w:t>3</w:t>
      </w:r>
      <w:r>
        <w:rPr>
          <w:rFonts w:ascii="宋体" w:hAnsi="宋体"/>
          <w:color w:val="auto"/>
          <w:highlight w:val="none"/>
        </w:rPr>
        <w:t xml:space="preserve"> 种方式确定。</w:t>
      </w:r>
    </w:p>
    <w:p w14:paraId="29D4AF1D">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第3种方式：承包人直接实施的暂估价项目</w:t>
      </w:r>
    </w:p>
    <w:p w14:paraId="674B7A70">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承包人直接实施的暂估价项目的约定：</w:t>
      </w:r>
      <w:r>
        <w:rPr>
          <w:rFonts w:ascii="宋体" w:hAnsi="宋体"/>
          <w:color w:val="auto"/>
          <w:kern w:val="0"/>
          <w:highlight w:val="none"/>
          <w:u w:val="single"/>
        </w:rPr>
        <w:t>承包人具备实施暂估价项目的资格和条件的，经发包人和承包人协商一致后，可由承包人自行实施暂估价项目</w:t>
      </w:r>
      <w:r>
        <w:rPr>
          <w:rFonts w:hint="eastAsia" w:ascii="宋体" w:hAnsi="宋体"/>
          <w:color w:val="auto"/>
          <w:kern w:val="0"/>
          <w:highlight w:val="none"/>
          <w:u w:val="single"/>
        </w:rPr>
        <w:t xml:space="preserve">，合同当事人可以在合同条款约定具体事项 </w:t>
      </w:r>
      <w:r>
        <w:rPr>
          <w:rFonts w:hint="eastAsia" w:ascii="宋体" w:hAnsi="宋体"/>
          <w:color w:val="auto"/>
          <w:highlight w:val="none"/>
          <w:u w:val="single"/>
        </w:rPr>
        <w:t>。</w:t>
      </w:r>
    </w:p>
    <w:p w14:paraId="52C18D75">
      <w:pPr>
        <w:keepNext/>
        <w:keepLines/>
        <w:widowControl/>
        <w:spacing w:before="480" w:line="420" w:lineRule="exact"/>
        <w:jc w:val="left"/>
        <w:outlineLvl w:val="0"/>
        <w:rPr>
          <w:rFonts w:hAnsi="宋体"/>
          <w:b/>
          <w:bCs/>
          <w:color w:val="auto"/>
          <w:kern w:val="44"/>
          <w:highlight w:val="none"/>
        </w:rPr>
      </w:pPr>
      <w:bookmarkStart w:id="680" w:name="_Toc26782"/>
      <w:bookmarkStart w:id="681" w:name="_Toc480967578"/>
      <w:r>
        <w:rPr>
          <w:rFonts w:hAnsi="宋体"/>
          <w:b/>
          <w:bCs/>
          <w:color w:val="auto"/>
          <w:kern w:val="44"/>
          <w:highlight w:val="none"/>
        </w:rPr>
        <w:t>10.8 暂列金额</w:t>
      </w:r>
      <w:bookmarkEnd w:id="680"/>
      <w:bookmarkEnd w:id="681"/>
    </w:p>
    <w:p w14:paraId="5B9F72FE">
      <w:pPr>
        <w:widowControl/>
        <w:spacing w:after="200" w:line="300" w:lineRule="auto"/>
        <w:ind w:firstLine="440" w:firstLineChars="200"/>
        <w:jc w:val="left"/>
        <w:rPr>
          <w:rFonts w:ascii="宋体" w:hAnsi="宋体"/>
          <w:color w:val="auto"/>
          <w:kern w:val="0"/>
          <w:sz w:val="22"/>
          <w:highlight w:val="none"/>
        </w:rPr>
      </w:pPr>
      <w:r>
        <w:rPr>
          <w:color w:val="auto"/>
          <w:kern w:val="0"/>
          <w:sz w:val="22"/>
          <w:szCs w:val="22"/>
          <w:highlight w:val="none"/>
        </w:rPr>
        <w:t>合同当事人关于暂列金额使用的约定：</w:t>
      </w:r>
      <w:r>
        <w:rPr>
          <w:rFonts w:hint="eastAsia"/>
          <w:color w:val="auto"/>
          <w:kern w:val="0"/>
          <w:sz w:val="22"/>
          <w:highlight w:val="none"/>
          <w:u w:val="single"/>
        </w:rPr>
        <w:t>（1）已签约合同价中的暂列金额由发包人掌握使用。（2）发包人按照规定所作支付后，暂列金额如有余额归发包人</w:t>
      </w:r>
      <w:r>
        <w:rPr>
          <w:rFonts w:hint="eastAsia"/>
          <w:color w:val="auto"/>
          <w:kern w:val="0"/>
          <w:sz w:val="22"/>
          <w:szCs w:val="22"/>
          <w:highlight w:val="none"/>
        </w:rPr>
        <w:t>。</w:t>
      </w:r>
    </w:p>
    <w:p w14:paraId="449E7FE4">
      <w:pPr>
        <w:keepNext/>
        <w:keepLines/>
        <w:widowControl/>
        <w:spacing w:before="480" w:line="420" w:lineRule="exact"/>
        <w:jc w:val="left"/>
        <w:outlineLvl w:val="0"/>
        <w:rPr>
          <w:rFonts w:hAnsi="宋体"/>
          <w:b/>
          <w:bCs/>
          <w:color w:val="auto"/>
          <w:kern w:val="44"/>
          <w:highlight w:val="none"/>
        </w:rPr>
      </w:pPr>
      <w:bookmarkStart w:id="682" w:name="_Toc15895"/>
      <w:bookmarkStart w:id="683" w:name="_Toc480967579"/>
      <w:r>
        <w:rPr>
          <w:rFonts w:hAnsi="宋体"/>
          <w:b/>
          <w:bCs/>
          <w:color w:val="auto"/>
          <w:kern w:val="44"/>
          <w:highlight w:val="none"/>
        </w:rPr>
        <w:t>11. 价格调整</w:t>
      </w:r>
      <w:bookmarkEnd w:id="682"/>
      <w:bookmarkEnd w:id="683"/>
    </w:p>
    <w:p w14:paraId="2725A39F">
      <w:pPr>
        <w:keepNext/>
        <w:keepLines/>
        <w:widowControl/>
        <w:spacing w:before="480" w:line="420" w:lineRule="exact"/>
        <w:jc w:val="left"/>
        <w:outlineLvl w:val="0"/>
        <w:rPr>
          <w:rFonts w:hAnsi="宋体"/>
          <w:b/>
          <w:bCs/>
          <w:color w:val="auto"/>
          <w:kern w:val="44"/>
          <w:highlight w:val="none"/>
        </w:rPr>
      </w:pPr>
      <w:bookmarkStart w:id="684" w:name="_Toc788"/>
      <w:bookmarkStart w:id="685" w:name="_Toc480967580"/>
      <w:r>
        <w:rPr>
          <w:rFonts w:hAnsi="宋体"/>
          <w:b/>
          <w:bCs/>
          <w:color w:val="auto"/>
          <w:kern w:val="44"/>
          <w:highlight w:val="none"/>
        </w:rPr>
        <w:t>11.1 市场价格波动引起的调整</w:t>
      </w:r>
      <w:bookmarkEnd w:id="684"/>
      <w:bookmarkEnd w:id="685"/>
    </w:p>
    <w:p w14:paraId="6BF343D9">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市场价格波动是否调整合同价格的约定：</w:t>
      </w:r>
      <w:r>
        <w:rPr>
          <w:rFonts w:hint="eastAsia" w:ascii="宋体" w:hAnsi="宋体"/>
          <w:b/>
          <w:color w:val="auto"/>
          <w:highlight w:val="none"/>
          <w:u w:val="single"/>
        </w:rPr>
        <w:t xml:space="preserve">不调整 </w:t>
      </w:r>
      <w:r>
        <w:rPr>
          <w:rFonts w:ascii="宋体" w:hAnsi="宋体"/>
          <w:color w:val="auto"/>
          <w:highlight w:val="none"/>
        </w:rPr>
        <w:t>。</w:t>
      </w:r>
    </w:p>
    <w:p w14:paraId="01A65E8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因市场价格波动调整合同价格，采用以下第</w:t>
      </w:r>
      <w:r>
        <w:rPr>
          <w:rFonts w:hint="eastAsia" w:ascii="宋体" w:hAnsi="宋体"/>
          <w:color w:val="auto"/>
          <w:highlight w:val="none"/>
          <w:u w:val="single"/>
        </w:rPr>
        <w:t xml:space="preserve">/  </w:t>
      </w:r>
      <w:r>
        <w:rPr>
          <w:rFonts w:ascii="宋体" w:hAnsi="宋体"/>
          <w:color w:val="auto"/>
          <w:highlight w:val="none"/>
        </w:rPr>
        <w:t>种方式对合同价格进行调整：</w:t>
      </w:r>
    </w:p>
    <w:p w14:paraId="0A11235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第1种方式：采用价格指数进行价格调整。</w:t>
      </w:r>
    </w:p>
    <w:p w14:paraId="325CAE3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关于各可调因子、定值和变值权重，以及基本价格指数及其来源的约定：</w:t>
      </w:r>
      <w:r>
        <w:rPr>
          <w:rFonts w:hint="eastAsia" w:ascii="宋体" w:hAnsi="宋体"/>
          <w:color w:val="auto"/>
          <w:highlight w:val="none"/>
          <w:u w:val="single"/>
        </w:rPr>
        <w:t>无</w:t>
      </w:r>
      <w:r>
        <w:rPr>
          <w:rFonts w:ascii="宋体" w:hAnsi="宋体"/>
          <w:color w:val="auto"/>
          <w:highlight w:val="none"/>
        </w:rPr>
        <w:t xml:space="preserve">； </w:t>
      </w:r>
    </w:p>
    <w:p w14:paraId="11470BF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第2种方式：采用造价信息进行价格调整。</w:t>
      </w:r>
    </w:p>
    <w:p w14:paraId="4B360275">
      <w:pPr>
        <w:widowControl/>
        <w:numPr>
          <w:ilvl w:val="0"/>
          <w:numId w:val="6"/>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关于基准价格的约定</w:t>
      </w:r>
      <w:r>
        <w:rPr>
          <w:rFonts w:ascii="宋体" w:hAnsi="宋体"/>
          <w:color w:val="auto"/>
          <w:highlight w:val="none"/>
        </w:rPr>
        <w:t>：</w:t>
      </w:r>
      <w:r>
        <w:rPr>
          <w:rFonts w:hint="eastAsia" w:ascii="宋体" w:hAnsi="宋体"/>
          <w:color w:val="auto"/>
          <w:highlight w:val="none"/>
          <w:u w:val="single"/>
        </w:rPr>
        <w:t xml:space="preserve">    无      </w:t>
      </w:r>
      <w:r>
        <w:rPr>
          <w:rFonts w:hint="eastAsia" w:ascii="宋体" w:hAnsi="宋体"/>
          <w:color w:val="auto"/>
          <w:highlight w:val="none"/>
        </w:rPr>
        <w:t>。</w:t>
      </w:r>
    </w:p>
    <w:p w14:paraId="0A87896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专用合同条款</w:t>
      </w:r>
      <w:r>
        <w:rPr>
          <w:rFonts w:hint="eastAsia" w:ascii="宋体" w:hAnsi="宋体" w:cs="宋体"/>
          <w:color w:val="auto"/>
          <w:highlight w:val="none"/>
        </w:rPr>
        <w:t>①</w:t>
      </w:r>
      <w:r>
        <w:rPr>
          <w:rFonts w:ascii="宋体" w:hAnsi="宋体"/>
          <w:color w:val="auto"/>
          <w:highlight w:val="none"/>
        </w:rPr>
        <w:t>承包人在已标价工程量清单或预算书中载明的材料单价低于基准价格的：专用合同条款合同履行期间材料单价涨幅以基准价格为基础超过</w:t>
      </w:r>
      <w:r>
        <w:rPr>
          <w:rFonts w:hint="eastAsia" w:ascii="宋体" w:hAnsi="宋体"/>
          <w:color w:val="auto"/>
          <w:highlight w:val="none"/>
          <w:u w:val="single"/>
        </w:rPr>
        <w:t xml:space="preserve"> /</w:t>
      </w:r>
      <w:r>
        <w:rPr>
          <w:rFonts w:ascii="宋体" w:hAnsi="宋体"/>
          <w:color w:val="auto"/>
          <w:highlight w:val="none"/>
        </w:rPr>
        <w:t>%时，或材料单价跌幅以已标价工程量清单或预算书中载明材料单价为基础超过</w:t>
      </w:r>
      <w:r>
        <w:rPr>
          <w:rFonts w:hint="eastAsia" w:ascii="宋体" w:hAnsi="宋体"/>
          <w:color w:val="auto"/>
          <w:highlight w:val="none"/>
          <w:u w:val="single"/>
        </w:rPr>
        <w:t>/</w:t>
      </w:r>
      <w:r>
        <w:rPr>
          <w:rFonts w:ascii="宋体" w:hAnsi="宋体"/>
          <w:color w:val="auto"/>
          <w:highlight w:val="none"/>
        </w:rPr>
        <w:t>%时，其超过部分据实调整。</w:t>
      </w:r>
    </w:p>
    <w:p w14:paraId="491C0EDE">
      <w:pPr>
        <w:widowControl/>
        <w:spacing w:after="200" w:line="420" w:lineRule="exact"/>
        <w:ind w:firstLine="420" w:firstLineChars="200"/>
        <w:jc w:val="left"/>
        <w:rPr>
          <w:rFonts w:ascii="宋体" w:hAnsi="宋体"/>
          <w:color w:val="auto"/>
          <w:highlight w:val="none"/>
        </w:rPr>
      </w:pPr>
      <w:r>
        <w:rPr>
          <w:rFonts w:hint="eastAsia" w:ascii="宋体" w:hAnsi="宋体" w:cs="宋体"/>
          <w:color w:val="auto"/>
          <w:highlight w:val="none"/>
        </w:rPr>
        <w:t>②</w:t>
      </w:r>
      <w:r>
        <w:rPr>
          <w:rFonts w:ascii="宋体" w:hAnsi="宋体"/>
          <w:color w:val="auto"/>
          <w:highlight w:val="none"/>
        </w:rPr>
        <w:t>承包人在已标价工程量清单或预算书中载明的材料单价高于基准价格的：专用合同条款合同履行期间材料单价跌幅以基准价格为基础超过</w:t>
      </w:r>
      <w:r>
        <w:rPr>
          <w:rFonts w:hint="eastAsia" w:ascii="宋体" w:hAnsi="宋体"/>
          <w:color w:val="auto"/>
          <w:highlight w:val="none"/>
          <w:u w:val="single"/>
        </w:rPr>
        <w:t xml:space="preserve">/ </w:t>
      </w:r>
      <w:r>
        <w:rPr>
          <w:rFonts w:ascii="宋体" w:hAnsi="宋体"/>
          <w:color w:val="auto"/>
          <w:highlight w:val="none"/>
        </w:rPr>
        <w:t>%时，材料单价涨幅以已标价工程量清单或预算书中载明材料单价为基础超过</w:t>
      </w:r>
      <w:r>
        <w:rPr>
          <w:rFonts w:hint="eastAsia" w:ascii="宋体" w:hAnsi="宋体"/>
          <w:color w:val="auto"/>
          <w:highlight w:val="none"/>
          <w:u w:val="single"/>
        </w:rPr>
        <w:t xml:space="preserve">/ </w:t>
      </w:r>
      <w:r>
        <w:rPr>
          <w:rFonts w:ascii="宋体" w:hAnsi="宋体"/>
          <w:color w:val="auto"/>
          <w:highlight w:val="none"/>
        </w:rPr>
        <w:t>%时，其超过部分据实调整。</w:t>
      </w:r>
    </w:p>
    <w:p w14:paraId="245D8893">
      <w:pPr>
        <w:widowControl/>
        <w:spacing w:after="200" w:line="420" w:lineRule="exact"/>
        <w:ind w:firstLine="420" w:firstLineChars="200"/>
        <w:jc w:val="left"/>
        <w:rPr>
          <w:rFonts w:ascii="宋体" w:hAnsi="宋体"/>
          <w:color w:val="auto"/>
          <w:highlight w:val="none"/>
        </w:rPr>
      </w:pPr>
      <w:r>
        <w:rPr>
          <w:rFonts w:hint="eastAsia" w:ascii="宋体" w:hAnsi="宋体" w:cs="宋体"/>
          <w:color w:val="auto"/>
          <w:highlight w:val="none"/>
        </w:rPr>
        <w:t>③</w:t>
      </w:r>
      <w:r>
        <w:rPr>
          <w:rFonts w:ascii="宋体" w:hAnsi="宋体"/>
          <w:color w:val="auto"/>
          <w:highlight w:val="none"/>
        </w:rPr>
        <w:t>承包人在已标价工程量清单或预算书中载明的材料单价等于基准单价的：专用合同条款合同履行期间材料单价涨跌幅以基准单价为基础超过±</w:t>
      </w:r>
      <w:r>
        <w:rPr>
          <w:rFonts w:hint="eastAsia" w:ascii="宋体" w:hAnsi="宋体"/>
          <w:color w:val="auto"/>
          <w:highlight w:val="none"/>
          <w:u w:val="single"/>
        </w:rPr>
        <w:t>/</w:t>
      </w:r>
      <w:r>
        <w:rPr>
          <w:rFonts w:ascii="宋体" w:hAnsi="宋体"/>
          <w:color w:val="auto"/>
          <w:highlight w:val="none"/>
        </w:rPr>
        <w:t>%时，其超过部分据实调整。</w:t>
      </w:r>
    </w:p>
    <w:p w14:paraId="108E5D75">
      <w:pPr>
        <w:keepNext/>
        <w:keepLines/>
        <w:widowControl/>
        <w:spacing w:before="480" w:line="420" w:lineRule="exact"/>
        <w:jc w:val="left"/>
        <w:outlineLvl w:val="0"/>
        <w:rPr>
          <w:rFonts w:hAnsi="宋体"/>
          <w:b/>
          <w:bCs/>
          <w:color w:val="auto"/>
          <w:kern w:val="44"/>
          <w:highlight w:val="none"/>
        </w:rPr>
      </w:pPr>
      <w:bookmarkStart w:id="686" w:name="_Toc13714"/>
      <w:bookmarkStart w:id="687" w:name="_Toc480967581"/>
      <w:r>
        <w:rPr>
          <w:rFonts w:hAnsi="宋体"/>
          <w:b/>
          <w:bCs/>
          <w:color w:val="auto"/>
          <w:kern w:val="44"/>
          <w:highlight w:val="none"/>
        </w:rPr>
        <w:t>12. 合同价格、计量与支付</w:t>
      </w:r>
      <w:bookmarkEnd w:id="686"/>
      <w:bookmarkEnd w:id="687"/>
    </w:p>
    <w:p w14:paraId="04B4A0DE">
      <w:pPr>
        <w:keepNext/>
        <w:keepLines/>
        <w:widowControl/>
        <w:spacing w:before="480" w:line="420" w:lineRule="exact"/>
        <w:jc w:val="left"/>
        <w:outlineLvl w:val="0"/>
        <w:rPr>
          <w:rFonts w:hAnsi="宋体"/>
          <w:b/>
          <w:bCs/>
          <w:color w:val="auto"/>
          <w:kern w:val="44"/>
          <w:highlight w:val="none"/>
        </w:rPr>
      </w:pPr>
      <w:bookmarkStart w:id="688" w:name="_Toc25768"/>
      <w:bookmarkStart w:id="689" w:name="_Toc480967582"/>
      <w:r>
        <w:rPr>
          <w:rFonts w:hAnsi="宋体"/>
          <w:b/>
          <w:bCs/>
          <w:color w:val="auto"/>
          <w:kern w:val="44"/>
          <w:highlight w:val="none"/>
        </w:rPr>
        <w:t>12.1 合同价格形式</w:t>
      </w:r>
      <w:bookmarkEnd w:id="688"/>
      <w:bookmarkEnd w:id="689"/>
    </w:p>
    <w:p w14:paraId="68281CAC">
      <w:pPr>
        <w:widowControl/>
        <w:numPr>
          <w:ilvl w:val="0"/>
          <w:numId w:val="7"/>
        </w:numPr>
        <w:adjustRightInd w:val="0"/>
        <w:snapToGrid w:val="0"/>
        <w:spacing w:after="200" w:line="420" w:lineRule="exact"/>
        <w:ind w:firstLine="440" w:firstLineChars="200"/>
        <w:jc w:val="left"/>
        <w:rPr>
          <w:rFonts w:hAnsi="宋体"/>
          <w:color w:val="auto"/>
          <w:kern w:val="0"/>
          <w:sz w:val="22"/>
          <w:highlight w:val="none"/>
        </w:rPr>
      </w:pPr>
      <w:r>
        <w:rPr>
          <w:rFonts w:hAnsi="宋体"/>
          <w:color w:val="auto"/>
          <w:kern w:val="0"/>
          <w:sz w:val="22"/>
          <w:highlight w:val="none"/>
        </w:rPr>
        <w:t>单价合同。</w:t>
      </w:r>
    </w:p>
    <w:p w14:paraId="1E5E5665">
      <w:pPr>
        <w:widowControl/>
        <w:adjustRightInd w:val="0"/>
        <w:snapToGrid w:val="0"/>
        <w:spacing w:after="200" w:line="420" w:lineRule="exact"/>
        <w:ind w:firstLine="440" w:firstLineChars="200"/>
        <w:jc w:val="left"/>
        <w:rPr>
          <w:rFonts w:hAnsi="宋体"/>
          <w:color w:val="auto"/>
          <w:kern w:val="0"/>
          <w:sz w:val="22"/>
          <w:highlight w:val="none"/>
        </w:rPr>
      </w:pPr>
      <w:r>
        <w:rPr>
          <w:rFonts w:hint="eastAsia" w:hAnsi="宋体"/>
          <w:color w:val="auto"/>
          <w:kern w:val="0"/>
          <w:sz w:val="22"/>
          <w:highlight w:val="none"/>
        </w:rPr>
        <w:t>本合同价款</w:t>
      </w:r>
      <w:r>
        <w:rPr>
          <w:rFonts w:hAnsi="宋体"/>
          <w:color w:val="auto"/>
          <w:kern w:val="0"/>
          <w:sz w:val="22"/>
          <w:highlight w:val="none"/>
        </w:rPr>
        <w:t>采用</w:t>
      </w:r>
      <w:r>
        <w:rPr>
          <w:rFonts w:hint="eastAsia" w:hAnsi="宋体"/>
          <w:color w:val="auto"/>
          <w:kern w:val="0"/>
          <w:sz w:val="22"/>
          <w:highlight w:val="none"/>
        </w:rPr>
        <w:t>固定</w:t>
      </w:r>
      <w:r>
        <w:rPr>
          <w:rFonts w:hAnsi="宋体"/>
          <w:color w:val="auto"/>
          <w:kern w:val="0"/>
          <w:sz w:val="22"/>
          <w:highlight w:val="none"/>
        </w:rPr>
        <w:t>综合单价方式确定。</w:t>
      </w:r>
    </w:p>
    <w:p w14:paraId="1CF982B1">
      <w:pPr>
        <w:widowControl/>
        <w:adjustRightInd w:val="0"/>
        <w:snapToGrid w:val="0"/>
        <w:spacing w:after="200" w:line="420" w:lineRule="exact"/>
        <w:ind w:firstLine="440" w:firstLineChars="200"/>
        <w:jc w:val="left"/>
        <w:rPr>
          <w:rFonts w:hAnsi="宋体"/>
          <w:color w:val="auto"/>
          <w:kern w:val="0"/>
          <w:sz w:val="22"/>
          <w:highlight w:val="none"/>
          <w:u w:val="single"/>
        </w:rPr>
      </w:pPr>
      <w:r>
        <w:rPr>
          <w:rFonts w:hAnsi="宋体"/>
          <w:color w:val="auto"/>
          <w:kern w:val="0"/>
          <w:sz w:val="22"/>
          <w:highlight w:val="none"/>
        </w:rPr>
        <w:t>综合单价包含的风险范围：</w:t>
      </w:r>
      <w:r>
        <w:rPr>
          <w:rFonts w:hAnsi="宋体"/>
          <w:color w:val="auto"/>
          <w:kern w:val="0"/>
          <w:sz w:val="22"/>
          <w:highlight w:val="none"/>
          <w:u w:val="single"/>
        </w:rPr>
        <w:t>除工程变更、政策性调整</w:t>
      </w:r>
      <w:r>
        <w:rPr>
          <w:rFonts w:hint="eastAsia" w:hAnsi="宋体"/>
          <w:color w:val="auto"/>
          <w:kern w:val="0"/>
          <w:sz w:val="22"/>
          <w:highlight w:val="none"/>
          <w:u w:val="single"/>
        </w:rPr>
        <w:t>、</w:t>
      </w:r>
      <w:r>
        <w:rPr>
          <w:rFonts w:hAnsi="宋体"/>
          <w:color w:val="auto"/>
          <w:kern w:val="0"/>
          <w:sz w:val="22"/>
          <w:highlight w:val="none"/>
          <w:u w:val="single"/>
        </w:rPr>
        <w:t>11.1约定的材料价格风险以外因素。</w:t>
      </w:r>
    </w:p>
    <w:p w14:paraId="27B2105E">
      <w:pPr>
        <w:widowControl/>
        <w:adjustRightInd w:val="0"/>
        <w:snapToGrid w:val="0"/>
        <w:spacing w:after="200" w:line="420" w:lineRule="exact"/>
        <w:ind w:firstLine="440" w:firstLineChars="200"/>
        <w:jc w:val="left"/>
        <w:rPr>
          <w:rFonts w:hAnsi="宋体"/>
          <w:color w:val="auto"/>
          <w:kern w:val="0"/>
          <w:sz w:val="22"/>
          <w:highlight w:val="none"/>
        </w:rPr>
      </w:pPr>
      <w:r>
        <w:rPr>
          <w:rFonts w:hint="eastAsia" w:hAnsi="宋体"/>
          <w:color w:val="auto"/>
          <w:kern w:val="0"/>
          <w:sz w:val="22"/>
          <w:highlight w:val="none"/>
        </w:rPr>
        <w:t>风险范围以外合同价格的调整方法：</w:t>
      </w:r>
    </w:p>
    <w:p w14:paraId="7F346A2B">
      <w:pPr>
        <w:widowControl/>
        <w:adjustRightInd w:val="0"/>
        <w:snapToGrid w:val="0"/>
        <w:spacing w:after="200" w:line="420" w:lineRule="exact"/>
        <w:ind w:firstLine="440" w:firstLineChars="200"/>
        <w:jc w:val="left"/>
        <w:rPr>
          <w:rFonts w:hAnsi="宋体"/>
          <w:color w:val="auto"/>
          <w:kern w:val="0"/>
          <w:sz w:val="22"/>
          <w:highlight w:val="none"/>
        </w:rPr>
      </w:pPr>
      <w:r>
        <w:rPr>
          <w:rFonts w:hAnsi="宋体"/>
          <w:color w:val="auto"/>
          <w:kern w:val="0"/>
          <w:sz w:val="22"/>
          <w:highlight w:val="none"/>
        </w:rPr>
        <w:t>①工程变更：按10.4.1变更估价原则的约定调整。</w:t>
      </w:r>
    </w:p>
    <w:p w14:paraId="2E1F313B">
      <w:pPr>
        <w:widowControl/>
        <w:adjustRightInd w:val="0"/>
        <w:snapToGrid w:val="0"/>
        <w:spacing w:after="200" w:line="420" w:lineRule="exact"/>
        <w:ind w:firstLine="462" w:firstLineChars="210"/>
        <w:jc w:val="left"/>
        <w:rPr>
          <w:rFonts w:hAnsi="宋体"/>
          <w:color w:val="auto"/>
          <w:kern w:val="0"/>
          <w:sz w:val="22"/>
          <w:highlight w:val="none"/>
        </w:rPr>
      </w:pPr>
      <w:r>
        <w:rPr>
          <w:rFonts w:hAnsi="宋体"/>
          <w:color w:val="auto"/>
          <w:kern w:val="0"/>
          <w:sz w:val="22"/>
          <w:highlight w:val="none"/>
        </w:rPr>
        <w:t>②政策性调整：按自治区建设行政主管部门颁布的文件执行。</w:t>
      </w:r>
    </w:p>
    <w:p w14:paraId="082DD053">
      <w:pPr>
        <w:widowControl/>
        <w:adjustRightInd w:val="0"/>
        <w:snapToGrid w:val="0"/>
        <w:spacing w:after="200" w:line="420" w:lineRule="exact"/>
        <w:ind w:firstLine="462" w:firstLineChars="210"/>
        <w:jc w:val="left"/>
        <w:rPr>
          <w:rFonts w:hAnsi="宋体"/>
          <w:color w:val="auto"/>
          <w:kern w:val="0"/>
          <w:sz w:val="22"/>
          <w:highlight w:val="none"/>
        </w:rPr>
      </w:pPr>
      <w:r>
        <w:rPr>
          <w:rFonts w:hAnsi="宋体"/>
          <w:color w:val="auto"/>
          <w:kern w:val="0"/>
          <w:sz w:val="22"/>
          <w:highlight w:val="none"/>
        </w:rPr>
        <w:t>③材料价格风险：按11.1的约定调整。</w:t>
      </w:r>
    </w:p>
    <w:p w14:paraId="78E43B29">
      <w:pPr>
        <w:widowControl/>
        <w:adjustRightInd w:val="0"/>
        <w:snapToGrid w:val="0"/>
        <w:spacing w:after="200" w:line="420" w:lineRule="exact"/>
        <w:ind w:firstLine="440" w:firstLineChars="200"/>
        <w:jc w:val="left"/>
        <w:rPr>
          <w:rFonts w:hAnsi="宋体"/>
          <w:color w:val="auto"/>
          <w:kern w:val="0"/>
          <w:sz w:val="22"/>
          <w:highlight w:val="none"/>
        </w:rPr>
      </w:pPr>
      <w:r>
        <w:rPr>
          <w:rFonts w:hAnsi="宋体"/>
          <w:color w:val="auto"/>
          <w:kern w:val="0"/>
          <w:sz w:val="22"/>
          <w:highlight w:val="none"/>
        </w:rPr>
        <w:t>④其它</w:t>
      </w:r>
      <w:r>
        <w:rPr>
          <w:rFonts w:ascii="Arial" w:hAnsi="宋体" w:eastAsia="Arial" w:cs="Arial"/>
          <w:snapToGrid w:val="0"/>
          <w:color w:val="auto"/>
          <w:kern w:val="0"/>
          <w:sz w:val="22"/>
          <w:szCs w:val="21"/>
          <w:highlight w:val="none"/>
          <w:lang w:eastAsia="en-US"/>
        </w:rPr>
        <w:t>：</w:t>
      </w:r>
      <w:r>
        <w:rPr>
          <w:rFonts w:hint="eastAsia" w:hAnsi="宋体"/>
          <w:color w:val="auto"/>
          <w:kern w:val="0"/>
          <w:sz w:val="22"/>
          <w:highlight w:val="none"/>
          <w:u w:val="single"/>
        </w:rPr>
        <w:t xml:space="preserve">无    </w:t>
      </w:r>
      <w:r>
        <w:rPr>
          <w:rFonts w:hAnsi="宋体"/>
          <w:color w:val="auto"/>
          <w:kern w:val="0"/>
          <w:sz w:val="22"/>
          <w:highlight w:val="none"/>
        </w:rPr>
        <w:t>。</w:t>
      </w:r>
    </w:p>
    <w:p w14:paraId="090CB0E9">
      <w:pPr>
        <w:widowControl/>
        <w:numPr>
          <w:ilvl w:val="0"/>
          <w:numId w:val="8"/>
        </w:numPr>
        <w:adjustRightInd w:val="0"/>
        <w:snapToGrid w:val="0"/>
        <w:spacing w:after="200" w:line="420" w:lineRule="exact"/>
        <w:ind w:firstLine="440" w:firstLineChars="200"/>
        <w:jc w:val="left"/>
        <w:rPr>
          <w:rFonts w:hAnsi="宋体"/>
          <w:color w:val="auto"/>
          <w:kern w:val="0"/>
          <w:sz w:val="22"/>
          <w:highlight w:val="none"/>
        </w:rPr>
      </w:pPr>
      <w:r>
        <w:rPr>
          <w:rFonts w:hint="eastAsia" w:hAnsi="宋体"/>
          <w:color w:val="auto"/>
          <w:kern w:val="0"/>
          <w:sz w:val="22"/>
          <w:highlight w:val="none"/>
        </w:rPr>
        <w:t>总价合同。</w:t>
      </w:r>
    </w:p>
    <w:p w14:paraId="3645939D">
      <w:pPr>
        <w:widowControl/>
        <w:adjustRightInd w:val="0"/>
        <w:snapToGrid w:val="0"/>
        <w:spacing w:after="200" w:line="420" w:lineRule="exact"/>
        <w:ind w:firstLine="440" w:firstLineChars="200"/>
        <w:jc w:val="left"/>
        <w:rPr>
          <w:rFonts w:hAnsi="宋体"/>
          <w:color w:val="auto"/>
          <w:kern w:val="0"/>
          <w:sz w:val="22"/>
          <w:highlight w:val="none"/>
        </w:rPr>
      </w:pPr>
      <w:r>
        <w:rPr>
          <w:rFonts w:hint="eastAsia" w:hAnsi="宋体"/>
          <w:color w:val="auto"/>
          <w:kern w:val="0"/>
          <w:sz w:val="22"/>
          <w:highlight w:val="none"/>
        </w:rPr>
        <w:t>总价包含的风险范围：</w:t>
      </w:r>
      <w:r>
        <w:rPr>
          <w:rFonts w:hint="eastAsia" w:hAnsi="宋体"/>
          <w:color w:val="auto"/>
          <w:kern w:val="0"/>
          <w:sz w:val="22"/>
          <w:highlight w:val="none"/>
          <w:u w:val="single"/>
        </w:rPr>
        <w:t xml:space="preserve">  按国家规定  </w:t>
      </w:r>
      <w:r>
        <w:rPr>
          <w:rFonts w:hAnsi="宋体"/>
          <w:color w:val="auto"/>
          <w:kern w:val="0"/>
          <w:sz w:val="22"/>
          <w:highlight w:val="none"/>
        </w:rPr>
        <w:t>。</w:t>
      </w:r>
    </w:p>
    <w:p w14:paraId="2D796CAE">
      <w:pPr>
        <w:widowControl/>
        <w:adjustRightInd w:val="0"/>
        <w:snapToGrid w:val="0"/>
        <w:spacing w:after="200" w:line="420" w:lineRule="exact"/>
        <w:ind w:firstLine="440" w:firstLineChars="200"/>
        <w:jc w:val="left"/>
        <w:rPr>
          <w:rFonts w:hAnsi="宋体"/>
          <w:color w:val="auto"/>
          <w:kern w:val="0"/>
          <w:sz w:val="22"/>
          <w:highlight w:val="none"/>
        </w:rPr>
      </w:pPr>
      <w:r>
        <w:rPr>
          <w:rFonts w:hAnsi="宋体"/>
          <w:color w:val="auto"/>
          <w:kern w:val="0"/>
          <w:sz w:val="22"/>
          <w:highlight w:val="none"/>
        </w:rPr>
        <w:t>风险范围以外合同价格的调整方法：</w:t>
      </w:r>
      <w:r>
        <w:rPr>
          <w:rFonts w:hint="eastAsia" w:hAnsi="宋体"/>
          <w:color w:val="auto"/>
          <w:kern w:val="0"/>
          <w:sz w:val="22"/>
          <w:highlight w:val="none"/>
          <w:u w:val="single"/>
        </w:rPr>
        <w:t xml:space="preserve">   按国家规定   </w:t>
      </w:r>
      <w:r>
        <w:rPr>
          <w:rFonts w:hAnsi="宋体"/>
          <w:color w:val="auto"/>
          <w:kern w:val="0"/>
          <w:sz w:val="22"/>
          <w:highlight w:val="none"/>
        </w:rPr>
        <w:t>。</w:t>
      </w:r>
    </w:p>
    <w:p w14:paraId="21CBDAB3">
      <w:pPr>
        <w:widowControl/>
        <w:adjustRightInd w:val="0"/>
        <w:snapToGrid w:val="0"/>
        <w:spacing w:after="200" w:line="420" w:lineRule="exact"/>
        <w:ind w:firstLine="440" w:firstLineChars="200"/>
        <w:jc w:val="left"/>
        <w:rPr>
          <w:rFonts w:hAnsi="宋体"/>
          <w:color w:val="auto"/>
          <w:kern w:val="0"/>
          <w:sz w:val="22"/>
          <w:highlight w:val="none"/>
        </w:rPr>
      </w:pPr>
      <w:r>
        <w:rPr>
          <w:rFonts w:hint="eastAsia" w:hAnsi="宋体"/>
          <w:color w:val="auto"/>
          <w:kern w:val="0"/>
          <w:sz w:val="22"/>
          <w:highlight w:val="none"/>
        </w:rPr>
        <w:t>（3）其他价格方式：</w:t>
      </w:r>
      <w:r>
        <w:rPr>
          <w:rFonts w:hint="eastAsia" w:hAnsi="宋体"/>
          <w:color w:val="auto"/>
          <w:kern w:val="0"/>
          <w:sz w:val="22"/>
          <w:highlight w:val="none"/>
          <w:u w:val="single"/>
        </w:rPr>
        <w:t xml:space="preserve">   无        </w:t>
      </w:r>
      <w:r>
        <w:rPr>
          <w:rFonts w:hAnsi="宋体"/>
          <w:color w:val="auto"/>
          <w:kern w:val="0"/>
          <w:sz w:val="22"/>
          <w:highlight w:val="none"/>
        </w:rPr>
        <w:t>。</w:t>
      </w:r>
    </w:p>
    <w:p w14:paraId="391E322C">
      <w:pPr>
        <w:keepNext/>
        <w:keepLines/>
        <w:widowControl/>
        <w:spacing w:before="480" w:line="420" w:lineRule="exact"/>
        <w:jc w:val="left"/>
        <w:outlineLvl w:val="0"/>
        <w:rPr>
          <w:rFonts w:hAnsi="宋体"/>
          <w:b/>
          <w:bCs/>
          <w:color w:val="auto"/>
          <w:kern w:val="44"/>
          <w:highlight w:val="none"/>
        </w:rPr>
      </w:pPr>
      <w:bookmarkStart w:id="690" w:name="_Toc480967583"/>
      <w:r>
        <w:rPr>
          <w:rFonts w:hAnsi="宋体"/>
          <w:b/>
          <w:bCs/>
          <w:color w:val="auto"/>
          <w:kern w:val="44"/>
          <w:highlight w:val="none"/>
        </w:rPr>
        <w:t>12.2 预付款</w:t>
      </w:r>
      <w:bookmarkEnd w:id="690"/>
    </w:p>
    <w:p w14:paraId="0FB5F539">
      <w:pPr>
        <w:widowControl/>
        <w:spacing w:after="200" w:line="360" w:lineRule="auto"/>
        <w:jc w:val="left"/>
        <w:rPr>
          <w:rFonts w:ascii="宋体" w:hAnsi="宋体"/>
          <w:color w:val="auto"/>
          <w:kern w:val="0"/>
          <w:sz w:val="22"/>
          <w:highlight w:val="none"/>
        </w:rPr>
      </w:pPr>
      <w:r>
        <w:rPr>
          <w:rFonts w:hint="eastAsia" w:ascii="宋体" w:hAnsi="宋体"/>
          <w:color w:val="auto"/>
          <w:spacing w:val="1"/>
          <w:kern w:val="0"/>
          <w:sz w:val="22"/>
          <w:highlight w:val="none"/>
        </w:rPr>
        <w:t>12</w:t>
      </w:r>
      <w:r>
        <w:rPr>
          <w:rFonts w:hint="eastAsia" w:ascii="宋体" w:hAnsi="宋体"/>
          <w:color w:val="auto"/>
          <w:spacing w:val="-1"/>
          <w:kern w:val="0"/>
          <w:sz w:val="22"/>
          <w:highlight w:val="none"/>
        </w:rPr>
        <w:t>.</w:t>
      </w:r>
      <w:r>
        <w:rPr>
          <w:rFonts w:hint="eastAsia" w:ascii="宋体" w:hAnsi="宋体"/>
          <w:color w:val="auto"/>
          <w:spacing w:val="1"/>
          <w:kern w:val="0"/>
          <w:sz w:val="22"/>
          <w:highlight w:val="none"/>
        </w:rPr>
        <w:t>2</w:t>
      </w:r>
      <w:r>
        <w:rPr>
          <w:rFonts w:hint="eastAsia" w:ascii="宋体" w:hAnsi="宋体"/>
          <w:color w:val="auto"/>
          <w:spacing w:val="-1"/>
          <w:kern w:val="0"/>
          <w:sz w:val="22"/>
          <w:highlight w:val="none"/>
        </w:rPr>
        <w:t>.</w:t>
      </w:r>
      <w:r>
        <w:rPr>
          <w:rFonts w:hint="eastAsia" w:ascii="宋体" w:hAnsi="宋体"/>
          <w:color w:val="auto"/>
          <w:kern w:val="0"/>
          <w:sz w:val="22"/>
          <w:highlight w:val="none"/>
        </w:rPr>
        <w:t>1 预</w:t>
      </w:r>
      <w:r>
        <w:rPr>
          <w:rFonts w:hint="eastAsia" w:ascii="宋体" w:hAnsi="宋体"/>
          <w:color w:val="auto"/>
          <w:spacing w:val="-1"/>
          <w:kern w:val="0"/>
          <w:sz w:val="22"/>
          <w:highlight w:val="none"/>
        </w:rPr>
        <w:t>付</w:t>
      </w:r>
      <w:r>
        <w:rPr>
          <w:rFonts w:hint="eastAsia" w:ascii="宋体" w:hAnsi="宋体"/>
          <w:color w:val="auto"/>
          <w:kern w:val="0"/>
          <w:sz w:val="22"/>
          <w:highlight w:val="none"/>
        </w:rPr>
        <w:t>款的支付</w:t>
      </w:r>
    </w:p>
    <w:p w14:paraId="1C45EF6C">
      <w:pPr>
        <w:spacing w:after="200" w:line="360" w:lineRule="auto"/>
        <w:jc w:val="left"/>
        <w:rPr>
          <w:rFonts w:ascii="宋体" w:hAnsi="宋体"/>
          <w:color w:val="auto"/>
          <w:kern w:val="0"/>
          <w:sz w:val="22"/>
          <w:highlight w:val="none"/>
        </w:rPr>
      </w:pPr>
      <w:r>
        <w:rPr>
          <w:rFonts w:hint="eastAsia" w:ascii="宋体" w:hAnsi="宋体"/>
          <w:color w:val="auto"/>
          <w:spacing w:val="1"/>
          <w:kern w:val="0"/>
          <w:sz w:val="22"/>
          <w:highlight w:val="none"/>
        </w:rPr>
        <w:t>12</w:t>
      </w:r>
      <w:r>
        <w:rPr>
          <w:rFonts w:hint="eastAsia" w:ascii="宋体" w:hAnsi="宋体"/>
          <w:color w:val="auto"/>
          <w:spacing w:val="-1"/>
          <w:kern w:val="0"/>
          <w:sz w:val="22"/>
          <w:highlight w:val="none"/>
        </w:rPr>
        <w:t>.</w:t>
      </w:r>
      <w:r>
        <w:rPr>
          <w:rFonts w:hint="eastAsia" w:ascii="宋体" w:hAnsi="宋体"/>
          <w:color w:val="auto"/>
          <w:spacing w:val="1"/>
          <w:kern w:val="0"/>
          <w:sz w:val="22"/>
          <w:highlight w:val="none"/>
        </w:rPr>
        <w:t>2</w:t>
      </w:r>
      <w:r>
        <w:rPr>
          <w:rFonts w:hint="eastAsia" w:ascii="宋体" w:hAnsi="宋体"/>
          <w:color w:val="auto"/>
          <w:spacing w:val="-1"/>
          <w:kern w:val="0"/>
          <w:sz w:val="22"/>
          <w:highlight w:val="none"/>
        </w:rPr>
        <w:t>.</w:t>
      </w:r>
      <w:r>
        <w:rPr>
          <w:rFonts w:hint="eastAsia" w:ascii="宋体" w:hAnsi="宋体"/>
          <w:color w:val="auto"/>
          <w:kern w:val="0"/>
          <w:sz w:val="22"/>
          <w:highlight w:val="none"/>
        </w:rPr>
        <w:t>1 预</w:t>
      </w:r>
      <w:r>
        <w:rPr>
          <w:rFonts w:hint="eastAsia" w:ascii="宋体" w:hAnsi="宋体"/>
          <w:color w:val="auto"/>
          <w:spacing w:val="-1"/>
          <w:kern w:val="0"/>
          <w:sz w:val="22"/>
          <w:highlight w:val="none"/>
        </w:rPr>
        <w:t>付</w:t>
      </w:r>
      <w:r>
        <w:rPr>
          <w:rFonts w:hint="eastAsia" w:ascii="宋体" w:hAnsi="宋体"/>
          <w:color w:val="auto"/>
          <w:kern w:val="0"/>
          <w:sz w:val="22"/>
          <w:highlight w:val="none"/>
        </w:rPr>
        <w:t>款的支付</w:t>
      </w:r>
    </w:p>
    <w:p w14:paraId="48C104DA">
      <w:pPr>
        <w:spacing w:after="200" w:line="360" w:lineRule="auto"/>
        <w:jc w:val="left"/>
        <w:rPr>
          <w:rFonts w:ascii="宋体" w:hAnsi="宋体"/>
          <w:color w:val="auto"/>
          <w:kern w:val="0"/>
          <w:sz w:val="22"/>
          <w:highlight w:val="none"/>
        </w:rPr>
      </w:pPr>
      <w:r>
        <w:rPr>
          <w:rFonts w:hint="eastAsia" w:ascii="宋体" w:hAnsi="宋体"/>
          <w:color w:val="auto"/>
          <w:kern w:val="0"/>
          <w:sz w:val="22"/>
          <w:highlight w:val="none"/>
        </w:rPr>
        <w:t xml:space="preserve">    预付款支付比例或金额：</w:t>
      </w:r>
      <w:r>
        <w:rPr>
          <w:rFonts w:hint="eastAsia" w:ascii="宋体" w:hAnsi="宋体"/>
          <w:color w:val="auto"/>
          <w:kern w:val="0"/>
          <w:sz w:val="22"/>
          <w:highlight w:val="none"/>
          <w:u w:val="single"/>
        </w:rPr>
        <w:t xml:space="preserve"> 合同价款的30%  </w:t>
      </w:r>
      <w:r>
        <w:rPr>
          <w:rFonts w:hint="eastAsia" w:ascii="宋体" w:hAnsi="宋体"/>
          <w:color w:val="auto"/>
          <w:kern w:val="0"/>
          <w:sz w:val="22"/>
          <w:highlight w:val="none"/>
        </w:rPr>
        <w:t>。</w:t>
      </w:r>
    </w:p>
    <w:p w14:paraId="4E7444BA">
      <w:pPr>
        <w:spacing w:after="200" w:line="420" w:lineRule="exact"/>
        <w:ind w:firstLine="315" w:firstLineChars="150"/>
        <w:jc w:val="left"/>
        <w:rPr>
          <w:rFonts w:ascii="宋体" w:hAnsi="宋体"/>
          <w:color w:val="auto"/>
          <w:highlight w:val="none"/>
        </w:rPr>
      </w:pPr>
      <w:r>
        <w:rPr>
          <w:rFonts w:hint="eastAsia" w:ascii="宋体" w:hAnsi="宋体"/>
          <w:color w:val="auto"/>
          <w:highlight w:val="none"/>
        </w:rPr>
        <w:t xml:space="preserve"> 预付款支付期限：</w:t>
      </w:r>
      <w:r>
        <w:rPr>
          <w:rFonts w:hint="eastAsia" w:ascii="宋体" w:hAnsi="宋体"/>
          <w:color w:val="auto"/>
          <w:highlight w:val="none"/>
          <w:u w:val="single"/>
        </w:rPr>
        <w:t xml:space="preserve"> 收到预付款担保后，发包人10个工作日之内付款 </w:t>
      </w:r>
      <w:r>
        <w:rPr>
          <w:rFonts w:hint="eastAsia" w:ascii="宋体" w:hAnsi="宋体"/>
          <w:color w:val="auto"/>
          <w:highlight w:val="none"/>
        </w:rPr>
        <w:t>。</w:t>
      </w:r>
    </w:p>
    <w:p w14:paraId="6409869F">
      <w:p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预付款扣回的方式：</w:t>
      </w:r>
      <w:r>
        <w:rPr>
          <w:rFonts w:hint="eastAsia" w:ascii="宋体" w:hAnsi="宋体"/>
          <w:color w:val="auto"/>
          <w:highlight w:val="none"/>
          <w:u w:val="single"/>
        </w:rPr>
        <w:t xml:space="preserve"> 分两期扣回，每期扣回金额为预付款的50%，扣完为止  </w:t>
      </w:r>
      <w:r>
        <w:rPr>
          <w:rFonts w:hint="eastAsia" w:ascii="宋体" w:hAnsi="宋体"/>
          <w:color w:val="auto"/>
          <w:highlight w:val="none"/>
        </w:rPr>
        <w:t>。</w:t>
      </w:r>
    </w:p>
    <w:p w14:paraId="0FCD503A">
      <w:pPr>
        <w:spacing w:after="200" w:line="360" w:lineRule="auto"/>
        <w:jc w:val="left"/>
        <w:rPr>
          <w:rFonts w:ascii="宋体" w:hAnsi="宋体"/>
          <w:color w:val="auto"/>
          <w:kern w:val="0"/>
          <w:sz w:val="22"/>
          <w:highlight w:val="none"/>
        </w:rPr>
      </w:pPr>
      <w:r>
        <w:rPr>
          <w:rFonts w:hint="eastAsia" w:ascii="宋体" w:hAnsi="宋体"/>
          <w:color w:val="auto"/>
          <w:spacing w:val="1"/>
          <w:kern w:val="0"/>
          <w:sz w:val="22"/>
          <w:highlight w:val="none"/>
        </w:rPr>
        <w:t>12</w:t>
      </w:r>
      <w:r>
        <w:rPr>
          <w:rFonts w:hint="eastAsia" w:ascii="宋体" w:hAnsi="宋体"/>
          <w:color w:val="auto"/>
          <w:spacing w:val="-1"/>
          <w:kern w:val="0"/>
          <w:sz w:val="22"/>
          <w:highlight w:val="none"/>
        </w:rPr>
        <w:t>.</w:t>
      </w:r>
      <w:r>
        <w:rPr>
          <w:rFonts w:hint="eastAsia" w:ascii="宋体" w:hAnsi="宋体"/>
          <w:color w:val="auto"/>
          <w:spacing w:val="1"/>
          <w:kern w:val="0"/>
          <w:sz w:val="22"/>
          <w:highlight w:val="none"/>
        </w:rPr>
        <w:t>2</w:t>
      </w:r>
      <w:r>
        <w:rPr>
          <w:rFonts w:hint="eastAsia" w:ascii="宋体" w:hAnsi="宋体"/>
          <w:color w:val="auto"/>
          <w:spacing w:val="-1"/>
          <w:kern w:val="0"/>
          <w:sz w:val="22"/>
          <w:highlight w:val="none"/>
        </w:rPr>
        <w:t>.</w:t>
      </w:r>
      <w:r>
        <w:rPr>
          <w:rFonts w:hint="eastAsia" w:ascii="宋体" w:hAnsi="宋体"/>
          <w:color w:val="auto"/>
          <w:kern w:val="0"/>
          <w:sz w:val="22"/>
          <w:highlight w:val="none"/>
        </w:rPr>
        <w:t>2 预</w:t>
      </w:r>
      <w:r>
        <w:rPr>
          <w:rFonts w:hint="eastAsia" w:ascii="宋体" w:hAnsi="宋体"/>
          <w:color w:val="auto"/>
          <w:spacing w:val="-1"/>
          <w:kern w:val="0"/>
          <w:sz w:val="22"/>
          <w:highlight w:val="none"/>
        </w:rPr>
        <w:t>付</w:t>
      </w:r>
      <w:r>
        <w:rPr>
          <w:rFonts w:hint="eastAsia" w:ascii="宋体" w:hAnsi="宋体"/>
          <w:color w:val="auto"/>
          <w:kern w:val="0"/>
          <w:sz w:val="22"/>
          <w:highlight w:val="none"/>
        </w:rPr>
        <w:t>款担保</w:t>
      </w:r>
    </w:p>
    <w:p w14:paraId="0D5B4B91">
      <w:pPr>
        <w:spacing w:after="200" w:line="360" w:lineRule="auto"/>
        <w:ind w:firstLine="440" w:firstLineChars="200"/>
        <w:jc w:val="left"/>
        <w:rPr>
          <w:rFonts w:ascii="宋体" w:hAnsi="宋体"/>
          <w:color w:val="auto"/>
          <w:kern w:val="0"/>
          <w:sz w:val="22"/>
          <w:highlight w:val="none"/>
        </w:rPr>
      </w:pPr>
      <w:r>
        <w:rPr>
          <w:rFonts w:hint="eastAsia" w:ascii="宋体" w:hAnsi="宋体"/>
          <w:color w:val="auto"/>
          <w:kern w:val="0"/>
          <w:sz w:val="22"/>
          <w:highlight w:val="none"/>
        </w:rPr>
        <w:t>预付款担保额度：</w:t>
      </w:r>
      <w:r>
        <w:rPr>
          <w:rFonts w:hint="eastAsia" w:ascii="宋体" w:hAnsi="宋体"/>
          <w:color w:val="auto"/>
          <w:kern w:val="0"/>
          <w:sz w:val="22"/>
          <w:highlight w:val="none"/>
          <w:u w:val="single"/>
        </w:rPr>
        <w:t xml:space="preserve">  与预付款同等金额，合同价款的30%    </w:t>
      </w:r>
      <w:r>
        <w:rPr>
          <w:rFonts w:hint="eastAsia" w:ascii="宋体" w:hAnsi="宋体"/>
          <w:color w:val="auto"/>
          <w:kern w:val="0"/>
          <w:sz w:val="22"/>
          <w:highlight w:val="none"/>
        </w:rPr>
        <w:t>。</w:t>
      </w:r>
    </w:p>
    <w:p w14:paraId="5EEB7FA7">
      <w:pPr>
        <w:spacing w:after="200" w:line="360" w:lineRule="auto"/>
        <w:ind w:firstLine="440" w:firstLineChars="200"/>
        <w:jc w:val="left"/>
        <w:rPr>
          <w:rFonts w:ascii="宋体" w:hAnsi="宋体"/>
          <w:color w:val="auto"/>
          <w:kern w:val="0"/>
          <w:sz w:val="22"/>
          <w:highlight w:val="none"/>
        </w:rPr>
      </w:pPr>
      <w:r>
        <w:rPr>
          <w:rFonts w:hint="eastAsia" w:ascii="宋体" w:hAnsi="宋体"/>
          <w:color w:val="auto"/>
          <w:kern w:val="0"/>
          <w:sz w:val="22"/>
          <w:highlight w:val="none"/>
        </w:rPr>
        <w:t>预付款担保的形式为：</w:t>
      </w:r>
      <w:r>
        <w:rPr>
          <w:rFonts w:hint="eastAsia" w:ascii="宋体" w:hAnsi="宋体"/>
          <w:b/>
          <w:color w:val="auto"/>
          <w:kern w:val="0"/>
          <w:sz w:val="22"/>
          <w:highlight w:val="none"/>
          <w:u w:val="single"/>
        </w:rPr>
        <w:t>可以采用现金、银行保函、工程担保或保证保险等形式</w:t>
      </w:r>
      <w:r>
        <w:rPr>
          <w:rFonts w:hint="eastAsia" w:ascii="宋体" w:hAnsi="宋体"/>
          <w:color w:val="auto"/>
          <w:kern w:val="0"/>
          <w:sz w:val="22"/>
          <w:highlight w:val="none"/>
        </w:rPr>
        <w:t>。</w:t>
      </w:r>
    </w:p>
    <w:p w14:paraId="2B1F7008">
      <w:pPr>
        <w:spacing w:after="200" w:line="360" w:lineRule="auto"/>
        <w:ind w:firstLine="440" w:firstLineChars="200"/>
        <w:jc w:val="left"/>
        <w:rPr>
          <w:rFonts w:ascii="宋体" w:hAnsi="宋体"/>
          <w:color w:val="auto"/>
          <w:kern w:val="0"/>
          <w:sz w:val="22"/>
          <w:highlight w:val="none"/>
        </w:rPr>
      </w:pPr>
      <w:r>
        <w:rPr>
          <w:rFonts w:hint="eastAsia" w:ascii="宋体" w:hAnsi="宋体"/>
          <w:color w:val="auto"/>
          <w:kern w:val="0"/>
          <w:sz w:val="22"/>
          <w:highlight w:val="none"/>
        </w:rPr>
        <w:t>承包人提交预付款担保的期限：</w:t>
      </w:r>
      <w:r>
        <w:rPr>
          <w:rFonts w:hint="eastAsia" w:ascii="宋体" w:hAnsi="宋体"/>
          <w:color w:val="auto"/>
          <w:kern w:val="0"/>
          <w:sz w:val="22"/>
          <w:szCs w:val="22"/>
          <w:highlight w:val="none"/>
          <w:u w:val="single"/>
        </w:rPr>
        <w:t>签订施工合同后，5个工作日内</w:t>
      </w:r>
      <w:r>
        <w:rPr>
          <w:rFonts w:hint="eastAsia" w:ascii="宋体" w:hAnsi="宋体"/>
          <w:color w:val="auto"/>
          <w:kern w:val="0"/>
          <w:sz w:val="22"/>
          <w:highlight w:val="none"/>
        </w:rPr>
        <w:t>。</w:t>
      </w:r>
    </w:p>
    <w:p w14:paraId="01DD4DAB">
      <w:pPr>
        <w:keepNext/>
        <w:keepLines/>
        <w:widowControl/>
        <w:spacing w:before="480" w:line="420" w:lineRule="exact"/>
        <w:jc w:val="left"/>
        <w:outlineLvl w:val="0"/>
        <w:rPr>
          <w:rFonts w:hAnsi="宋体"/>
          <w:b/>
          <w:bCs/>
          <w:color w:val="auto"/>
          <w:kern w:val="44"/>
          <w:highlight w:val="none"/>
        </w:rPr>
      </w:pPr>
      <w:bookmarkStart w:id="691" w:name="_Toc480967584"/>
      <w:bookmarkStart w:id="692" w:name="_Toc26623"/>
      <w:r>
        <w:rPr>
          <w:rFonts w:hAnsi="宋体"/>
          <w:b/>
          <w:bCs/>
          <w:color w:val="auto"/>
          <w:kern w:val="44"/>
          <w:highlight w:val="none"/>
        </w:rPr>
        <w:t>12.3 计量</w:t>
      </w:r>
      <w:bookmarkEnd w:id="691"/>
      <w:bookmarkEnd w:id="692"/>
    </w:p>
    <w:p w14:paraId="09CCE384">
      <w:pPr>
        <w:widowControl/>
        <w:spacing w:after="200" w:line="360" w:lineRule="auto"/>
        <w:ind w:firstLine="440" w:firstLineChars="200"/>
        <w:jc w:val="left"/>
        <w:rPr>
          <w:color w:val="auto"/>
          <w:kern w:val="0"/>
          <w:sz w:val="22"/>
          <w:highlight w:val="none"/>
        </w:rPr>
      </w:pPr>
      <w:r>
        <w:rPr>
          <w:color w:val="auto"/>
          <w:kern w:val="0"/>
          <w:sz w:val="22"/>
          <w:highlight w:val="none"/>
        </w:rPr>
        <w:t xml:space="preserve">12.3.1 </w:t>
      </w:r>
      <w:r>
        <w:rPr>
          <w:rFonts w:hAnsi="宋体"/>
          <w:color w:val="auto"/>
          <w:kern w:val="0"/>
          <w:sz w:val="22"/>
          <w:highlight w:val="none"/>
        </w:rPr>
        <w:t>计量原则</w:t>
      </w:r>
    </w:p>
    <w:p w14:paraId="34EB2ECF">
      <w:pPr>
        <w:widowControl/>
        <w:spacing w:after="200" w:line="360" w:lineRule="auto"/>
        <w:ind w:firstLine="440" w:firstLineChars="200"/>
        <w:jc w:val="left"/>
        <w:rPr>
          <w:color w:val="auto"/>
          <w:kern w:val="0"/>
          <w:sz w:val="22"/>
          <w:highlight w:val="none"/>
        </w:rPr>
      </w:pPr>
      <w:r>
        <w:rPr>
          <w:rFonts w:hAnsi="宋体"/>
          <w:color w:val="auto"/>
          <w:kern w:val="0"/>
          <w:sz w:val="22"/>
          <w:highlight w:val="none"/>
        </w:rPr>
        <w:t>工程量计算规则：</w:t>
      </w:r>
      <w:r>
        <w:rPr>
          <w:rFonts w:ascii="宋体" w:hAnsi="宋体" w:eastAsia="Arial" w:cs="Arial"/>
          <w:snapToGrid w:val="0"/>
          <w:color w:val="auto"/>
          <w:kern w:val="0"/>
          <w:sz w:val="22"/>
          <w:szCs w:val="21"/>
          <w:highlight w:val="none"/>
          <w:u w:val="single"/>
        </w:rPr>
        <w:t>工程的计量均以《建设工程工程量清单计价规范》（GB50500－2013）和及其广西壮族自治区实施细则、《建设工程工程量清单计算规范》（GB50854</w:t>
      </w:r>
      <w:r>
        <w:rPr>
          <w:rFonts w:hint="eastAsia" w:ascii="宋体" w:hAnsi="宋体" w:eastAsia="Arial" w:cs="Arial"/>
          <w:snapToGrid w:val="0"/>
          <w:color w:val="auto"/>
          <w:kern w:val="0"/>
          <w:sz w:val="22"/>
          <w:szCs w:val="21"/>
          <w:highlight w:val="none"/>
          <w:u w:val="single"/>
        </w:rPr>
        <w:t>～</w:t>
      </w:r>
      <w:r>
        <w:rPr>
          <w:rFonts w:ascii="宋体" w:hAnsi="宋体" w:eastAsia="Arial" w:cs="Arial"/>
          <w:snapToGrid w:val="0"/>
          <w:color w:val="auto"/>
          <w:kern w:val="0"/>
          <w:sz w:val="22"/>
          <w:szCs w:val="21"/>
          <w:highlight w:val="none"/>
          <w:u w:val="single"/>
        </w:rPr>
        <w:t>50862－2013）及其广西壮族自治区实施细则、本工程补充项目清单为准</w:t>
      </w:r>
      <w:r>
        <w:rPr>
          <w:rFonts w:hint="eastAsia" w:ascii="宋体" w:hAnsi="宋体"/>
          <w:color w:val="auto"/>
          <w:kern w:val="0"/>
          <w:sz w:val="22"/>
          <w:highlight w:val="none"/>
          <w:u w:val="single"/>
        </w:rPr>
        <w:t>。</w:t>
      </w:r>
    </w:p>
    <w:p w14:paraId="11E2AE3E">
      <w:pPr>
        <w:widowControl/>
        <w:spacing w:after="200" w:line="420" w:lineRule="exact"/>
        <w:ind w:firstLine="420" w:firstLineChars="200"/>
        <w:jc w:val="left"/>
        <w:outlineLvl w:val="0"/>
        <w:rPr>
          <w:rFonts w:ascii="宋体" w:hAnsi="宋体"/>
          <w:color w:val="auto"/>
          <w:highlight w:val="none"/>
        </w:rPr>
      </w:pPr>
      <w:bookmarkStart w:id="693" w:name="_Toc12761"/>
      <w:r>
        <w:rPr>
          <w:rFonts w:ascii="宋体" w:hAnsi="宋体"/>
          <w:color w:val="auto"/>
          <w:highlight w:val="none"/>
        </w:rPr>
        <w:t>12.3.2 计量周期</w:t>
      </w:r>
      <w:bookmarkEnd w:id="693"/>
    </w:p>
    <w:p w14:paraId="33B31DA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关于计量周期的约定：</w:t>
      </w:r>
      <w:r>
        <w:rPr>
          <w:rFonts w:hint="eastAsia" w:ascii="宋体" w:hAnsi="宋体"/>
          <w:color w:val="auto"/>
          <w:highlight w:val="none"/>
          <w:u w:val="single"/>
        </w:rPr>
        <w:t>本合同的计量周期为月，每月 25 日为当月计量截止日期（不含当日）和下月计量起始日期（含当日）</w:t>
      </w:r>
      <w:r>
        <w:rPr>
          <w:rFonts w:ascii="宋体" w:hAnsi="宋体"/>
          <w:color w:val="auto"/>
          <w:highlight w:val="none"/>
        </w:rPr>
        <w:t>。</w:t>
      </w:r>
    </w:p>
    <w:p w14:paraId="29E0BAC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12.3.3 单价合同的计量</w:t>
      </w:r>
    </w:p>
    <w:p w14:paraId="4EF22D9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关于单价合同计量的约定：</w:t>
      </w:r>
      <w:r>
        <w:rPr>
          <w:rFonts w:hint="eastAsia" w:ascii="宋体" w:hAnsi="宋体"/>
          <w:color w:val="auto"/>
          <w:highlight w:val="none"/>
          <w:u w:val="single"/>
        </w:rPr>
        <w:t xml:space="preserve">按实际完成量 </w:t>
      </w:r>
      <w:r>
        <w:rPr>
          <w:rFonts w:hint="eastAsia" w:ascii="宋体" w:hAnsi="宋体"/>
          <w:color w:val="auto"/>
          <w:highlight w:val="none"/>
        </w:rPr>
        <w:t>。</w:t>
      </w:r>
    </w:p>
    <w:p w14:paraId="0E53890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12.3.</w:t>
      </w:r>
      <w:r>
        <w:rPr>
          <w:rFonts w:hint="eastAsia" w:ascii="宋体" w:hAnsi="宋体"/>
          <w:color w:val="auto"/>
          <w:highlight w:val="none"/>
        </w:rPr>
        <w:t>4总</w:t>
      </w:r>
      <w:r>
        <w:rPr>
          <w:rFonts w:ascii="宋体" w:hAnsi="宋体"/>
          <w:color w:val="auto"/>
          <w:highlight w:val="none"/>
        </w:rPr>
        <w:t>价合同的计量</w:t>
      </w:r>
    </w:p>
    <w:p w14:paraId="0BBF394C">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关于总价合同计量的约定：</w:t>
      </w:r>
      <w:r>
        <w:rPr>
          <w:rFonts w:hint="eastAsia" w:ascii="宋体" w:hAnsi="宋体"/>
          <w:color w:val="auto"/>
          <w:highlight w:val="none"/>
          <w:u w:val="single"/>
        </w:rPr>
        <w:t xml:space="preserve">     无    </w:t>
      </w:r>
      <w:r>
        <w:rPr>
          <w:rFonts w:hint="eastAsia" w:ascii="宋体" w:hAnsi="宋体"/>
          <w:color w:val="auto"/>
          <w:highlight w:val="none"/>
        </w:rPr>
        <w:t>。</w:t>
      </w:r>
    </w:p>
    <w:p w14:paraId="74F42304">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12.3.5 总价采用支付分解表计量支付的，是否适用第12.3.4项〔总价合同的计量〕约定进行计量：</w:t>
      </w:r>
      <w:r>
        <w:rPr>
          <w:rFonts w:hint="eastAsia" w:ascii="宋体" w:hAnsi="宋体"/>
          <w:color w:val="auto"/>
          <w:highlight w:val="none"/>
          <w:u w:val="single"/>
        </w:rPr>
        <w:t xml:space="preserve">  无  。</w:t>
      </w:r>
    </w:p>
    <w:p w14:paraId="468FA4DA">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12.3.6 其他价格形式合同的计量</w:t>
      </w:r>
    </w:p>
    <w:p w14:paraId="3A5332F6">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其他价格形式的计量方式和程序：</w:t>
      </w:r>
      <w:r>
        <w:rPr>
          <w:rFonts w:hint="eastAsia" w:ascii="宋体" w:hAnsi="宋体"/>
          <w:color w:val="auto"/>
          <w:highlight w:val="none"/>
          <w:u w:val="single"/>
        </w:rPr>
        <w:t>无</w:t>
      </w:r>
      <w:r>
        <w:rPr>
          <w:rFonts w:hint="eastAsia" w:ascii="宋体" w:hAnsi="宋体"/>
          <w:color w:val="auto"/>
          <w:highlight w:val="none"/>
        </w:rPr>
        <w:t>。</w:t>
      </w:r>
    </w:p>
    <w:p w14:paraId="02C159B9">
      <w:pPr>
        <w:keepNext/>
        <w:keepLines/>
        <w:widowControl/>
        <w:spacing w:before="480" w:line="420" w:lineRule="exact"/>
        <w:jc w:val="left"/>
        <w:outlineLvl w:val="0"/>
        <w:rPr>
          <w:rFonts w:hAnsi="宋体"/>
          <w:b/>
          <w:bCs/>
          <w:color w:val="auto"/>
          <w:kern w:val="44"/>
          <w:highlight w:val="none"/>
        </w:rPr>
      </w:pPr>
      <w:bookmarkStart w:id="694" w:name="_Toc480967585"/>
      <w:r>
        <w:rPr>
          <w:rFonts w:hAnsi="宋体"/>
          <w:b/>
          <w:bCs/>
          <w:color w:val="auto"/>
          <w:kern w:val="44"/>
          <w:highlight w:val="none"/>
        </w:rPr>
        <w:t>12.4 工程进度款支付</w:t>
      </w:r>
      <w:bookmarkEnd w:id="694"/>
    </w:p>
    <w:p w14:paraId="6F40ECD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12.4.1 付款周期</w:t>
      </w:r>
    </w:p>
    <w:p w14:paraId="389F880D">
      <w:pPr>
        <w:widowControl/>
        <w:spacing w:after="200" w:line="420" w:lineRule="exact"/>
        <w:ind w:firstLine="420" w:firstLineChars="200"/>
        <w:jc w:val="left"/>
        <w:rPr>
          <w:rFonts w:ascii="宋体" w:hAnsi="宋体"/>
          <w:color w:val="auto"/>
          <w:spacing w:val="-2"/>
          <w:highlight w:val="none"/>
          <w:u w:val="single"/>
        </w:rPr>
      </w:pPr>
      <w:r>
        <w:rPr>
          <w:rFonts w:ascii="宋体" w:hAnsi="宋体"/>
          <w:color w:val="auto"/>
          <w:highlight w:val="none"/>
        </w:rPr>
        <w:t>关于付款周期的约定：</w:t>
      </w:r>
      <w:r>
        <w:rPr>
          <w:rFonts w:ascii="宋体" w:hAnsi="宋体"/>
          <w:bCs/>
          <w:color w:val="auto"/>
          <w:highlight w:val="none"/>
          <w:u w:val="single"/>
        </w:rPr>
        <w:t>工程款原则上按</w:t>
      </w:r>
      <w:r>
        <w:rPr>
          <w:rFonts w:hint="eastAsia" w:ascii="宋体" w:hAnsi="宋体"/>
          <w:bCs/>
          <w:color w:val="auto"/>
          <w:highlight w:val="none"/>
          <w:u w:val="single"/>
        </w:rPr>
        <w:t>期</w:t>
      </w:r>
      <w:r>
        <w:rPr>
          <w:rFonts w:ascii="宋体" w:hAnsi="宋体"/>
          <w:bCs/>
          <w:color w:val="auto"/>
          <w:highlight w:val="none"/>
          <w:u w:val="single"/>
        </w:rPr>
        <w:t xml:space="preserve">支付，合同内进度款支付限额为已完成工程量的 </w:t>
      </w:r>
      <w:r>
        <w:rPr>
          <w:rFonts w:hint="eastAsia" w:ascii="宋体" w:hAnsi="宋体"/>
          <w:bCs/>
          <w:color w:val="auto"/>
          <w:highlight w:val="none"/>
          <w:u w:val="single"/>
        </w:rPr>
        <w:t>85%</w:t>
      </w:r>
      <w:r>
        <w:rPr>
          <w:rFonts w:ascii="宋体" w:hAnsi="宋体"/>
          <w:bCs/>
          <w:color w:val="auto"/>
          <w:highlight w:val="none"/>
          <w:u w:val="single"/>
        </w:rPr>
        <w:t>，</w:t>
      </w:r>
      <w:r>
        <w:rPr>
          <w:rFonts w:hint="eastAsia" w:ascii="宋体" w:hAnsi="宋体"/>
          <w:bCs/>
          <w:color w:val="auto"/>
          <w:highlight w:val="none"/>
          <w:u w:val="single"/>
        </w:rPr>
        <w:t>增加工程</w:t>
      </w:r>
      <w:r>
        <w:rPr>
          <w:rFonts w:ascii="宋体" w:hAnsi="宋体"/>
          <w:bCs/>
          <w:color w:val="auto"/>
          <w:highlight w:val="none"/>
          <w:u w:val="single"/>
        </w:rPr>
        <w:t>进度款支付限额为已完成工程量的</w:t>
      </w:r>
      <w:r>
        <w:rPr>
          <w:rFonts w:hint="eastAsia" w:ascii="宋体" w:hAnsi="宋体"/>
          <w:bCs/>
          <w:color w:val="auto"/>
          <w:highlight w:val="none"/>
          <w:u w:val="single"/>
        </w:rPr>
        <w:t>70</w:t>
      </w:r>
      <w:r>
        <w:rPr>
          <w:rFonts w:ascii="宋体" w:hAnsi="宋体"/>
          <w:bCs/>
          <w:color w:val="auto"/>
          <w:highlight w:val="none"/>
          <w:u w:val="single"/>
        </w:rPr>
        <w:t>%；工程完工验收达到质量要求，结算经</w:t>
      </w:r>
      <w:r>
        <w:rPr>
          <w:rFonts w:hint="eastAsia" w:ascii="宋体" w:hAnsi="宋体"/>
          <w:bCs/>
          <w:color w:val="auto"/>
          <w:highlight w:val="none"/>
          <w:u w:val="single"/>
        </w:rPr>
        <w:t>发包人委托中介机构或区财政厅评审中心</w:t>
      </w:r>
      <w:r>
        <w:rPr>
          <w:rFonts w:ascii="宋体" w:hAnsi="宋体"/>
          <w:bCs/>
          <w:color w:val="auto"/>
          <w:highlight w:val="none"/>
          <w:u w:val="single"/>
        </w:rPr>
        <w:t>审定后，工程款支付至结算总价的9</w:t>
      </w:r>
      <w:r>
        <w:rPr>
          <w:rFonts w:hint="eastAsia" w:ascii="宋体" w:hAnsi="宋体"/>
          <w:bCs/>
          <w:color w:val="auto"/>
          <w:highlight w:val="none"/>
          <w:u w:val="single"/>
        </w:rPr>
        <w:t>7</w:t>
      </w:r>
      <w:r>
        <w:rPr>
          <w:rFonts w:ascii="宋体" w:hAnsi="宋体"/>
          <w:bCs/>
          <w:color w:val="auto"/>
          <w:highlight w:val="none"/>
          <w:u w:val="single"/>
        </w:rPr>
        <w:t>%；发包人按工程价款结算总额的</w:t>
      </w:r>
      <w:r>
        <w:rPr>
          <w:rFonts w:hint="eastAsia" w:ascii="宋体" w:hAnsi="宋体"/>
          <w:bCs/>
          <w:color w:val="auto"/>
          <w:highlight w:val="none"/>
          <w:u w:val="single"/>
        </w:rPr>
        <w:t>3</w:t>
      </w:r>
      <w:r>
        <w:rPr>
          <w:rFonts w:ascii="宋体" w:hAnsi="宋体"/>
          <w:bCs/>
          <w:color w:val="auto"/>
          <w:highlight w:val="none"/>
          <w:u w:val="single"/>
        </w:rPr>
        <w:t>%预留工程质量</w:t>
      </w:r>
      <w:r>
        <w:rPr>
          <w:rFonts w:hint="eastAsia" w:ascii="宋体" w:hAnsi="宋体" w:eastAsia="Arial" w:cs="Arial"/>
          <w:bCs/>
          <w:snapToGrid w:val="0"/>
          <w:color w:val="auto"/>
          <w:kern w:val="0"/>
          <w:szCs w:val="21"/>
          <w:highlight w:val="none"/>
          <w:u w:val="single"/>
        </w:rPr>
        <w:t>保证金</w:t>
      </w:r>
      <w:r>
        <w:rPr>
          <w:rFonts w:ascii="宋体" w:hAnsi="宋体"/>
          <w:bCs/>
          <w:color w:val="auto"/>
          <w:highlight w:val="none"/>
          <w:u w:val="single"/>
        </w:rPr>
        <w:t>，待工程质量</w:t>
      </w:r>
      <w:r>
        <w:rPr>
          <w:rFonts w:hint="eastAsia" w:ascii="宋体" w:hAnsi="宋体"/>
          <w:bCs/>
          <w:color w:val="auto"/>
          <w:highlight w:val="none"/>
          <w:u w:val="single"/>
        </w:rPr>
        <w:t>缺陷责任期</w:t>
      </w:r>
      <w:r>
        <w:rPr>
          <w:rFonts w:ascii="宋体" w:hAnsi="宋体"/>
          <w:bCs/>
          <w:color w:val="auto"/>
          <w:highlight w:val="none"/>
          <w:u w:val="single"/>
        </w:rPr>
        <w:t>满后返还。</w:t>
      </w:r>
    </w:p>
    <w:p w14:paraId="1D9711A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12.4.2 进度付款申请单的编制</w:t>
      </w:r>
    </w:p>
    <w:p w14:paraId="2939DDE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关于进度付款申请单编制的约定：</w:t>
      </w:r>
      <w:r>
        <w:rPr>
          <w:rFonts w:hint="eastAsia" w:ascii="宋体" w:hAnsi="宋体"/>
          <w:color w:val="auto"/>
          <w:highlight w:val="none"/>
          <w:u w:val="single"/>
        </w:rPr>
        <w:t xml:space="preserve">承包人应在每个计量周期到期后的7天内向发包人提交已完工程进度款支付申请一式四份，详细说明此周期自己认为有权得到的款额，包括分包人已完工程的价款 </w:t>
      </w:r>
      <w:r>
        <w:rPr>
          <w:rFonts w:hint="eastAsia" w:ascii="宋体" w:hAnsi="宋体"/>
          <w:color w:val="auto"/>
          <w:highlight w:val="none"/>
        </w:rPr>
        <w:t>。</w:t>
      </w:r>
    </w:p>
    <w:p w14:paraId="6239B4A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12.4.3 进度付款申请单的提交</w:t>
      </w:r>
    </w:p>
    <w:p w14:paraId="4EE8B5C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（1）单价合同进度付款申请单提交的约定：</w:t>
      </w:r>
      <w:r>
        <w:rPr>
          <w:rFonts w:hint="eastAsia" w:ascii="宋体" w:hAnsi="宋体"/>
          <w:color w:val="auto"/>
          <w:highlight w:val="none"/>
          <w:u w:val="single"/>
        </w:rPr>
        <w:t xml:space="preserve">按支付方式的进度  </w:t>
      </w:r>
      <w:r>
        <w:rPr>
          <w:rFonts w:hint="eastAsia" w:ascii="宋体" w:hAnsi="宋体"/>
          <w:color w:val="auto"/>
          <w:highlight w:val="none"/>
        </w:rPr>
        <w:t>。</w:t>
      </w:r>
    </w:p>
    <w:p w14:paraId="2F35342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（2）总价合同进度付款申请单提交的约定：</w:t>
      </w:r>
      <w:r>
        <w:rPr>
          <w:rFonts w:hint="eastAsia" w:ascii="宋体" w:hAnsi="宋体"/>
          <w:color w:val="auto"/>
          <w:highlight w:val="none"/>
          <w:u w:val="single"/>
        </w:rPr>
        <w:t xml:space="preserve">无 </w:t>
      </w:r>
      <w:r>
        <w:rPr>
          <w:rFonts w:hint="eastAsia" w:ascii="宋体" w:hAnsi="宋体"/>
          <w:color w:val="auto"/>
          <w:highlight w:val="none"/>
        </w:rPr>
        <w:t>。</w:t>
      </w:r>
    </w:p>
    <w:p w14:paraId="4E66B0E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（3）其他价格形式合同进度付款申请单提交的约定：</w:t>
      </w:r>
      <w:r>
        <w:rPr>
          <w:rFonts w:hint="eastAsia" w:ascii="宋体" w:hAnsi="宋体"/>
          <w:color w:val="auto"/>
          <w:highlight w:val="none"/>
          <w:u w:val="single"/>
        </w:rPr>
        <w:t xml:space="preserve">无 </w:t>
      </w:r>
      <w:r>
        <w:rPr>
          <w:rFonts w:hint="eastAsia" w:ascii="宋体" w:hAnsi="宋体"/>
          <w:color w:val="auto"/>
          <w:highlight w:val="none"/>
        </w:rPr>
        <w:t>。</w:t>
      </w:r>
    </w:p>
    <w:p w14:paraId="64289EA4">
      <w:pPr>
        <w:widowControl/>
        <w:spacing w:after="200" w:line="420" w:lineRule="exact"/>
        <w:ind w:firstLine="420" w:firstLineChars="200"/>
        <w:jc w:val="left"/>
        <w:outlineLvl w:val="0"/>
        <w:rPr>
          <w:rFonts w:ascii="宋体" w:hAnsi="宋体"/>
          <w:color w:val="auto"/>
          <w:highlight w:val="none"/>
        </w:rPr>
      </w:pPr>
      <w:bookmarkStart w:id="695" w:name="_Toc13743"/>
      <w:r>
        <w:rPr>
          <w:rFonts w:ascii="宋体" w:hAnsi="宋体"/>
          <w:color w:val="auto"/>
          <w:highlight w:val="none"/>
        </w:rPr>
        <w:t>12.4.4 进度款审核和支付</w:t>
      </w:r>
      <w:bookmarkEnd w:id="695"/>
    </w:p>
    <w:p w14:paraId="6CA44958">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（1）监理人审查并报送发包人的期限：</w:t>
      </w:r>
      <w:r>
        <w:rPr>
          <w:rFonts w:hint="eastAsia" w:ascii="宋体" w:hAnsi="宋体"/>
          <w:color w:val="auto"/>
          <w:highlight w:val="none"/>
          <w:u w:val="single"/>
        </w:rPr>
        <w:t xml:space="preserve"> 3天内</w:t>
      </w:r>
      <w:r>
        <w:rPr>
          <w:rFonts w:ascii="宋体" w:hAnsi="宋体"/>
          <w:color w:val="auto"/>
          <w:highlight w:val="none"/>
        </w:rPr>
        <w:t>。</w:t>
      </w:r>
    </w:p>
    <w:p w14:paraId="74C1466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发包人完成审批并签发进度款支付证书的期限：</w:t>
      </w:r>
      <w:r>
        <w:rPr>
          <w:rFonts w:hint="eastAsia" w:ascii="宋体" w:hAnsi="宋体"/>
          <w:color w:val="auto"/>
          <w:highlight w:val="none"/>
          <w:u w:val="single"/>
        </w:rPr>
        <w:t xml:space="preserve">承包人提出书面申请后10天内 </w:t>
      </w:r>
      <w:r>
        <w:rPr>
          <w:rFonts w:ascii="宋体" w:hAnsi="宋体"/>
          <w:color w:val="auto"/>
          <w:highlight w:val="none"/>
        </w:rPr>
        <w:t>。</w:t>
      </w:r>
    </w:p>
    <w:p w14:paraId="405F2F6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（2）发包人支付进度款的期限：</w:t>
      </w:r>
      <w:r>
        <w:rPr>
          <w:rFonts w:hint="eastAsia" w:ascii="宋体" w:hAnsi="宋体"/>
          <w:color w:val="auto"/>
          <w:highlight w:val="none"/>
          <w:u w:val="single"/>
        </w:rPr>
        <w:t xml:space="preserve"> 无 </w:t>
      </w:r>
      <w:r>
        <w:rPr>
          <w:rFonts w:ascii="宋体" w:hAnsi="宋体"/>
          <w:color w:val="auto"/>
          <w:highlight w:val="none"/>
        </w:rPr>
        <w:t>。</w:t>
      </w:r>
    </w:p>
    <w:p w14:paraId="15F51CD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发包人逾期支付进度款的违约金的计算方式：</w:t>
      </w:r>
      <w:r>
        <w:rPr>
          <w:rFonts w:hint="eastAsia" w:ascii="宋体" w:hAnsi="宋体"/>
          <w:color w:val="auto"/>
          <w:highlight w:val="none"/>
          <w:u w:val="single"/>
        </w:rPr>
        <w:t xml:space="preserve">按支付方式 </w:t>
      </w:r>
      <w:r>
        <w:rPr>
          <w:rFonts w:ascii="宋体" w:hAnsi="宋体"/>
          <w:color w:val="auto"/>
          <w:highlight w:val="none"/>
        </w:rPr>
        <w:t>。</w:t>
      </w:r>
    </w:p>
    <w:p w14:paraId="679BCF2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12.4.6 支付分解表的编制</w:t>
      </w:r>
    </w:p>
    <w:p w14:paraId="59858C4D">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2、总价合同支付分解表的编制与审批：</w:t>
      </w:r>
      <w:r>
        <w:rPr>
          <w:rFonts w:hint="eastAsia" w:ascii="宋体" w:hAnsi="宋体" w:eastAsia="Arial" w:cs="Arial"/>
          <w:snapToGrid w:val="0"/>
          <w:color w:val="auto"/>
          <w:kern w:val="0"/>
          <w:szCs w:val="21"/>
          <w:highlight w:val="none"/>
          <w:u w:val="single"/>
        </w:rPr>
        <w:t>总价项目不采用支付分解表的方式计算，而按《建设工程工程量清单计价规范（GB50500-2013）广西壮族自治区实施细则》的规定执行</w:t>
      </w:r>
      <w:r>
        <w:rPr>
          <w:rFonts w:ascii="宋体" w:hAnsi="宋体"/>
          <w:color w:val="auto"/>
          <w:highlight w:val="none"/>
          <w:u w:val="single"/>
        </w:rPr>
        <w:t>。</w:t>
      </w:r>
    </w:p>
    <w:p w14:paraId="2C41426D">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3、单价合同的总价项目支付分解表的编制与审批：</w:t>
      </w:r>
      <w:r>
        <w:rPr>
          <w:rFonts w:hint="eastAsia" w:ascii="宋体" w:hAnsi="宋体" w:eastAsia="Arial" w:cs="Arial"/>
          <w:snapToGrid w:val="0"/>
          <w:color w:val="auto"/>
          <w:kern w:val="0"/>
          <w:szCs w:val="21"/>
          <w:highlight w:val="none"/>
          <w:u w:val="single"/>
        </w:rPr>
        <w:t>总价项目不采用支付分解表的方式计算，而按《建设工程工程量清单计价规范（GB50500-2013）广西壮族自治区实施细则》的规定执行</w:t>
      </w:r>
      <w:r>
        <w:rPr>
          <w:rFonts w:ascii="宋体" w:hAnsi="宋体"/>
          <w:color w:val="auto"/>
          <w:highlight w:val="none"/>
          <w:u w:val="single"/>
        </w:rPr>
        <w:t>。</w:t>
      </w:r>
    </w:p>
    <w:p w14:paraId="4538E943">
      <w:pPr>
        <w:keepNext/>
        <w:keepLines/>
        <w:widowControl/>
        <w:spacing w:before="480" w:line="420" w:lineRule="exact"/>
        <w:jc w:val="left"/>
        <w:outlineLvl w:val="0"/>
        <w:rPr>
          <w:rFonts w:hAnsi="宋体"/>
          <w:b/>
          <w:bCs/>
          <w:color w:val="auto"/>
          <w:kern w:val="44"/>
          <w:highlight w:val="none"/>
        </w:rPr>
      </w:pPr>
      <w:bookmarkStart w:id="696" w:name="_Toc480967586"/>
      <w:bookmarkStart w:id="697" w:name="_Toc7347"/>
      <w:r>
        <w:rPr>
          <w:rFonts w:hAnsi="宋体"/>
          <w:b/>
          <w:bCs/>
          <w:color w:val="auto"/>
          <w:kern w:val="44"/>
          <w:highlight w:val="none"/>
        </w:rPr>
        <w:t>13. 验收和工程试车</w:t>
      </w:r>
      <w:bookmarkEnd w:id="696"/>
      <w:bookmarkEnd w:id="697"/>
    </w:p>
    <w:p w14:paraId="59360059">
      <w:pPr>
        <w:keepNext/>
        <w:keepLines/>
        <w:widowControl/>
        <w:spacing w:before="480" w:line="420" w:lineRule="exact"/>
        <w:jc w:val="left"/>
        <w:outlineLvl w:val="0"/>
        <w:rPr>
          <w:rFonts w:hAnsi="宋体"/>
          <w:b/>
          <w:bCs/>
          <w:color w:val="auto"/>
          <w:kern w:val="44"/>
          <w:highlight w:val="none"/>
        </w:rPr>
      </w:pPr>
      <w:bookmarkStart w:id="698" w:name="_Toc480967587"/>
      <w:bookmarkStart w:id="699" w:name="_Toc22007"/>
      <w:r>
        <w:rPr>
          <w:rFonts w:hAnsi="宋体"/>
          <w:b/>
          <w:bCs/>
          <w:color w:val="auto"/>
          <w:kern w:val="44"/>
          <w:highlight w:val="none"/>
        </w:rPr>
        <w:t>13.1 分部分项工程验收</w:t>
      </w:r>
      <w:bookmarkEnd w:id="698"/>
      <w:bookmarkEnd w:id="699"/>
    </w:p>
    <w:p w14:paraId="05D4A61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13.1.2监理人不能按时进行验收时，应提前</w:t>
      </w:r>
      <w:r>
        <w:rPr>
          <w:rFonts w:hint="eastAsia" w:ascii="宋体" w:hAnsi="宋体"/>
          <w:color w:val="auto"/>
          <w:highlight w:val="none"/>
          <w:u w:val="single"/>
        </w:rPr>
        <w:t>24</w:t>
      </w:r>
      <w:r>
        <w:rPr>
          <w:rFonts w:ascii="宋体" w:hAnsi="宋体"/>
          <w:color w:val="auto"/>
          <w:highlight w:val="none"/>
        </w:rPr>
        <w:t>小时提交书面延期要求。</w:t>
      </w:r>
    </w:p>
    <w:p w14:paraId="03FBF0DB">
      <w:pPr>
        <w:widowControl/>
        <w:spacing w:after="200" w:line="420" w:lineRule="exact"/>
        <w:ind w:firstLine="420" w:firstLineChars="200"/>
        <w:jc w:val="left"/>
        <w:rPr>
          <w:rFonts w:ascii="宋体" w:hAnsi="宋体"/>
          <w:b/>
          <w:color w:val="auto"/>
          <w:highlight w:val="none"/>
        </w:rPr>
      </w:pPr>
      <w:r>
        <w:rPr>
          <w:rFonts w:ascii="宋体" w:hAnsi="宋体"/>
          <w:color w:val="auto"/>
          <w:highlight w:val="none"/>
        </w:rPr>
        <w:t>关于延期最长不得超过：</w:t>
      </w:r>
      <w:r>
        <w:rPr>
          <w:rFonts w:hint="eastAsia" w:ascii="宋体" w:hAnsi="宋体"/>
          <w:color w:val="auto"/>
          <w:highlight w:val="none"/>
          <w:u w:val="single"/>
        </w:rPr>
        <w:t>48</w:t>
      </w:r>
      <w:r>
        <w:rPr>
          <w:rFonts w:ascii="宋体" w:hAnsi="宋体"/>
          <w:color w:val="auto"/>
          <w:highlight w:val="none"/>
        </w:rPr>
        <w:t>小时。</w:t>
      </w:r>
    </w:p>
    <w:p w14:paraId="1A24FE10">
      <w:pPr>
        <w:keepNext/>
        <w:keepLines/>
        <w:widowControl/>
        <w:spacing w:before="480" w:line="420" w:lineRule="exact"/>
        <w:jc w:val="left"/>
        <w:outlineLvl w:val="0"/>
        <w:rPr>
          <w:rFonts w:hAnsi="宋体"/>
          <w:b/>
          <w:bCs/>
          <w:color w:val="auto"/>
          <w:kern w:val="44"/>
          <w:highlight w:val="none"/>
        </w:rPr>
      </w:pPr>
      <w:bookmarkStart w:id="700" w:name="_Toc28718"/>
      <w:bookmarkStart w:id="701" w:name="_Toc480967588"/>
      <w:r>
        <w:rPr>
          <w:rFonts w:hAnsi="宋体"/>
          <w:b/>
          <w:bCs/>
          <w:color w:val="auto"/>
          <w:kern w:val="44"/>
          <w:highlight w:val="none"/>
        </w:rPr>
        <w:t>13.2 竣工验收</w:t>
      </w:r>
      <w:bookmarkEnd w:id="700"/>
      <w:bookmarkEnd w:id="701"/>
    </w:p>
    <w:p w14:paraId="2404BE7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13.2.1竣工验收条件</w:t>
      </w:r>
    </w:p>
    <w:p w14:paraId="3C7AC51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（3）承包人负责整理和提交的竣工验收资料应当符合工程所在地建设行政主管部门和</w:t>
      </w:r>
      <w:r>
        <w:rPr>
          <w:rFonts w:hint="eastAsia" w:ascii="宋体" w:hAnsi="宋体"/>
          <w:color w:val="auto"/>
          <w:highlight w:val="none"/>
        </w:rPr>
        <w:t>（</w:t>
      </w:r>
      <w:r>
        <w:rPr>
          <w:rFonts w:ascii="宋体" w:hAnsi="宋体"/>
          <w:color w:val="auto"/>
          <w:highlight w:val="none"/>
        </w:rPr>
        <w:t>或</w:t>
      </w:r>
      <w:r>
        <w:rPr>
          <w:rFonts w:hint="eastAsia" w:ascii="宋体" w:hAnsi="宋体"/>
          <w:color w:val="auto"/>
          <w:highlight w:val="none"/>
        </w:rPr>
        <w:t>）</w:t>
      </w:r>
      <w:r>
        <w:rPr>
          <w:rFonts w:ascii="宋体" w:hAnsi="宋体"/>
          <w:color w:val="auto"/>
          <w:highlight w:val="none"/>
        </w:rPr>
        <w:t>城市建设档案管理机构有关施工资料的要求，具体内容包括：</w:t>
      </w:r>
      <w:r>
        <w:rPr>
          <w:rFonts w:hint="eastAsia" w:ascii="宋体" w:hAnsi="宋体"/>
          <w:color w:val="auto"/>
          <w:highlight w:val="none"/>
          <w:u w:val="single"/>
        </w:rPr>
        <w:t xml:space="preserve"> 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 </w:t>
      </w:r>
      <w:r>
        <w:rPr>
          <w:rFonts w:ascii="宋体" w:hAnsi="宋体"/>
          <w:color w:val="auto"/>
          <w:highlight w:val="none"/>
        </w:rPr>
        <w:t>。</w:t>
      </w:r>
    </w:p>
    <w:p w14:paraId="76D26FC4">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竣工验收资料的份数：</w:t>
      </w:r>
      <w:r>
        <w:rPr>
          <w:rFonts w:hint="eastAsia" w:ascii="宋体" w:hAnsi="宋体"/>
          <w:color w:val="auto"/>
          <w:highlight w:val="none"/>
          <w:u w:val="single"/>
        </w:rPr>
        <w:t>4份</w:t>
      </w:r>
      <w:r>
        <w:rPr>
          <w:rFonts w:ascii="宋体" w:hAnsi="宋体"/>
          <w:color w:val="auto"/>
          <w:highlight w:val="none"/>
        </w:rPr>
        <w:t>。</w:t>
      </w:r>
    </w:p>
    <w:p w14:paraId="1EF5EBF3">
      <w:pPr>
        <w:widowControl/>
        <w:spacing w:after="200" w:line="420" w:lineRule="exact"/>
        <w:ind w:firstLine="420" w:firstLineChars="200"/>
        <w:jc w:val="left"/>
        <w:rPr>
          <w:rFonts w:ascii="宋体" w:hAnsi="宋体"/>
          <w:color w:val="auto"/>
          <w:highlight w:val="none"/>
        </w:rPr>
      </w:pPr>
      <w:r>
        <w:rPr>
          <w:rFonts w:ascii="宋体" w:hAnsi="宋体"/>
          <w:bCs/>
          <w:color w:val="auto"/>
          <w:highlight w:val="none"/>
        </w:rPr>
        <w:t>承包人提供竣工图的约定：</w:t>
      </w:r>
      <w:r>
        <w:rPr>
          <w:rFonts w:ascii="宋体" w:hAnsi="宋体"/>
          <w:bCs/>
          <w:color w:val="auto"/>
          <w:highlight w:val="none"/>
          <w:u w:val="single"/>
        </w:rPr>
        <w:t>竣工验收正式通过</w:t>
      </w:r>
      <w:r>
        <w:rPr>
          <w:rFonts w:hint="eastAsia" w:ascii="宋体" w:hAnsi="宋体"/>
          <w:bCs/>
          <w:color w:val="auto"/>
          <w:highlight w:val="none"/>
          <w:u w:val="single"/>
        </w:rPr>
        <w:t>后1</w:t>
      </w:r>
      <w:r>
        <w:rPr>
          <w:rFonts w:ascii="宋体" w:hAnsi="宋体"/>
          <w:bCs/>
          <w:color w:val="auto"/>
          <w:highlight w:val="none"/>
          <w:u w:val="single"/>
        </w:rPr>
        <w:t>5天，提供竣工图</w:t>
      </w:r>
      <w:r>
        <w:rPr>
          <w:rFonts w:hint="eastAsia" w:ascii="宋体" w:hAnsi="宋体"/>
          <w:bCs/>
          <w:color w:val="auto"/>
          <w:highlight w:val="none"/>
          <w:u w:val="single"/>
        </w:rPr>
        <w:t>叁</w:t>
      </w:r>
      <w:r>
        <w:rPr>
          <w:rFonts w:ascii="宋体" w:hAnsi="宋体"/>
          <w:bCs/>
          <w:color w:val="auto"/>
          <w:highlight w:val="none"/>
          <w:u w:val="single"/>
        </w:rPr>
        <w:t>套。</w:t>
      </w:r>
    </w:p>
    <w:p w14:paraId="3FD67C7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13.2.2竣工验收程序</w:t>
      </w:r>
    </w:p>
    <w:p w14:paraId="621C5F41">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关于竣工验收程序的约定：</w:t>
      </w:r>
      <w:r>
        <w:rPr>
          <w:rFonts w:hint="eastAsia" w:ascii="宋体" w:hAnsi="宋体"/>
          <w:color w:val="auto"/>
          <w:highlight w:val="none"/>
          <w:u w:val="single"/>
        </w:rPr>
        <w:t xml:space="preserve">按国家及地方规定和规范要求 </w:t>
      </w:r>
      <w:r>
        <w:rPr>
          <w:rFonts w:ascii="宋体" w:hAnsi="宋体"/>
          <w:color w:val="auto"/>
          <w:highlight w:val="none"/>
        </w:rPr>
        <w:t>。</w:t>
      </w:r>
    </w:p>
    <w:p w14:paraId="3E665921">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发包人不按照本项约定组织竣工验收、颁发工程接收证书的违约金的计算方法：</w:t>
      </w:r>
      <w:r>
        <w:rPr>
          <w:rFonts w:hint="eastAsia" w:ascii="宋体" w:hAnsi="宋体"/>
          <w:color w:val="auto"/>
          <w:highlight w:val="none"/>
          <w:u w:val="single"/>
        </w:rPr>
        <w:t xml:space="preserve"> 无 </w:t>
      </w:r>
      <w:r>
        <w:rPr>
          <w:rFonts w:ascii="宋体" w:hAnsi="宋体"/>
          <w:color w:val="auto"/>
          <w:highlight w:val="none"/>
        </w:rPr>
        <w:t>。</w:t>
      </w:r>
    </w:p>
    <w:p w14:paraId="4D2D3C2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13.2.5移交、接收全部与部分工程</w:t>
      </w:r>
    </w:p>
    <w:p w14:paraId="6891BD72">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承包人向发包人移交工程的期限：</w:t>
      </w:r>
      <w:r>
        <w:rPr>
          <w:rFonts w:hint="eastAsia" w:ascii="宋体" w:hAnsi="宋体"/>
          <w:color w:val="auto"/>
          <w:highlight w:val="none"/>
          <w:u w:val="single"/>
        </w:rPr>
        <w:t xml:space="preserve"> 竣工验收后7天内 </w:t>
      </w:r>
      <w:r>
        <w:rPr>
          <w:rFonts w:ascii="宋体" w:hAnsi="宋体"/>
          <w:color w:val="auto"/>
          <w:highlight w:val="none"/>
        </w:rPr>
        <w:t>。</w:t>
      </w:r>
    </w:p>
    <w:p w14:paraId="2E0FEA2A">
      <w:pPr>
        <w:spacing w:line="360" w:lineRule="auto"/>
        <w:ind w:firstLine="420" w:firstLineChars="200"/>
        <w:rPr>
          <w:rFonts w:ascii="宋体" w:hAnsi="宋体"/>
          <w:color w:val="auto"/>
          <w:highlight w:val="none"/>
          <w:u w:val="single"/>
        </w:rPr>
      </w:pPr>
      <w:r>
        <w:rPr>
          <w:rFonts w:ascii="宋体" w:hAnsi="宋体"/>
          <w:color w:val="auto"/>
          <w:kern w:val="0"/>
          <w:highlight w:val="none"/>
        </w:rPr>
        <w:t>发包人未按本合同约定接收全部或部分工程的，违约金的计算方法为：</w:t>
      </w:r>
      <w:r>
        <w:rPr>
          <w:rFonts w:hint="eastAsia" w:ascii="宋体" w:hAnsi="宋体"/>
          <w:color w:val="auto"/>
          <w:highlight w:val="none"/>
          <w:u w:val="single"/>
        </w:rPr>
        <w:t>每拖延一天支付给承包人最终结算总价的万分之四/天的违约金，最高限额为工程结算价的2%</w:t>
      </w:r>
      <w:r>
        <w:rPr>
          <w:rFonts w:ascii="宋体" w:hAnsi="宋体"/>
          <w:color w:val="auto"/>
          <w:highlight w:val="none"/>
        </w:rPr>
        <w:t>。</w:t>
      </w:r>
    </w:p>
    <w:p w14:paraId="59FF8912">
      <w:pPr>
        <w:widowControl/>
        <w:spacing w:after="200" w:line="420" w:lineRule="exact"/>
        <w:ind w:firstLine="420" w:firstLineChars="200"/>
        <w:jc w:val="left"/>
        <w:rPr>
          <w:rFonts w:ascii="宋体" w:hAnsi="宋体"/>
          <w:color w:val="auto"/>
          <w:highlight w:val="none"/>
          <w:u w:val="single"/>
        </w:rPr>
      </w:pPr>
    </w:p>
    <w:p w14:paraId="30D1ACC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承包人未按时移交工程的，违约金的计算方法为：</w:t>
      </w:r>
      <w:r>
        <w:rPr>
          <w:rFonts w:hint="eastAsia" w:ascii="宋体" w:hAnsi="宋体"/>
          <w:color w:val="auto"/>
          <w:highlight w:val="none"/>
          <w:u w:val="single"/>
        </w:rPr>
        <w:t xml:space="preserve">每拖延一天支付给发包人最终结算总价的万分之四/天的违约金，最高限额为工程结算价的2%  </w:t>
      </w:r>
      <w:r>
        <w:rPr>
          <w:rFonts w:ascii="宋体" w:hAnsi="宋体"/>
          <w:color w:val="auto"/>
          <w:highlight w:val="none"/>
        </w:rPr>
        <w:t>。</w:t>
      </w:r>
    </w:p>
    <w:p w14:paraId="67413640">
      <w:pPr>
        <w:keepNext/>
        <w:keepLines/>
        <w:widowControl/>
        <w:spacing w:before="480" w:line="420" w:lineRule="exact"/>
        <w:jc w:val="left"/>
        <w:outlineLvl w:val="0"/>
        <w:rPr>
          <w:rFonts w:hAnsi="宋体"/>
          <w:b/>
          <w:bCs/>
          <w:color w:val="auto"/>
          <w:kern w:val="44"/>
          <w:highlight w:val="none"/>
        </w:rPr>
      </w:pPr>
      <w:bookmarkStart w:id="702" w:name="_Toc480967589"/>
      <w:bookmarkStart w:id="703" w:name="_Toc23733"/>
      <w:r>
        <w:rPr>
          <w:rFonts w:hAnsi="宋体"/>
          <w:b/>
          <w:bCs/>
          <w:color w:val="auto"/>
          <w:kern w:val="44"/>
          <w:highlight w:val="none"/>
        </w:rPr>
        <w:t>13.3 工程试车</w:t>
      </w:r>
      <w:bookmarkEnd w:id="702"/>
      <w:bookmarkEnd w:id="703"/>
    </w:p>
    <w:p w14:paraId="02BB2531">
      <w:pPr>
        <w:widowControl/>
        <w:spacing w:after="200" w:line="420" w:lineRule="exact"/>
        <w:ind w:firstLine="420" w:firstLineChars="200"/>
        <w:jc w:val="left"/>
        <w:outlineLvl w:val="0"/>
        <w:rPr>
          <w:rFonts w:ascii="宋体" w:hAnsi="宋体"/>
          <w:color w:val="auto"/>
          <w:kern w:val="0"/>
          <w:highlight w:val="none"/>
        </w:rPr>
      </w:pPr>
      <w:bookmarkStart w:id="704" w:name="_Toc32269"/>
      <w:r>
        <w:rPr>
          <w:rFonts w:ascii="宋体" w:hAnsi="宋体"/>
          <w:color w:val="auto"/>
          <w:kern w:val="0"/>
          <w:highlight w:val="none"/>
        </w:rPr>
        <w:t>13.3.1 试车程序</w:t>
      </w:r>
      <w:bookmarkEnd w:id="704"/>
    </w:p>
    <w:p w14:paraId="4583AF2D">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工程试车内容：</w:t>
      </w:r>
      <w:r>
        <w:rPr>
          <w:rFonts w:hint="eastAsia" w:ascii="宋体" w:hAnsi="宋体"/>
          <w:color w:val="auto"/>
          <w:highlight w:val="none"/>
          <w:u w:val="single"/>
        </w:rPr>
        <w:t>按规范要求</w:t>
      </w:r>
      <w:r>
        <w:rPr>
          <w:rFonts w:ascii="宋体" w:hAnsi="宋体"/>
          <w:color w:val="auto"/>
          <w:highlight w:val="none"/>
        </w:rPr>
        <w:t>。</w:t>
      </w:r>
    </w:p>
    <w:p w14:paraId="0759B9AB">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（1）单机无负荷试车费用由</w:t>
      </w:r>
      <w:r>
        <w:rPr>
          <w:rFonts w:hint="eastAsia" w:ascii="宋体" w:hAnsi="宋体"/>
          <w:color w:val="auto"/>
          <w:highlight w:val="none"/>
          <w:u w:val="single"/>
        </w:rPr>
        <w:t xml:space="preserve">      承包人        </w:t>
      </w:r>
      <w:r>
        <w:rPr>
          <w:rFonts w:ascii="宋体" w:hAnsi="宋体"/>
          <w:color w:val="auto"/>
          <w:kern w:val="0"/>
          <w:highlight w:val="none"/>
        </w:rPr>
        <w:t>承担；</w:t>
      </w:r>
    </w:p>
    <w:p w14:paraId="6C37DD5D">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（2）无负荷联动试车费用由</w:t>
      </w:r>
      <w:r>
        <w:rPr>
          <w:rFonts w:hint="eastAsia" w:ascii="宋体" w:hAnsi="宋体"/>
          <w:color w:val="auto"/>
          <w:highlight w:val="none"/>
          <w:u w:val="single"/>
        </w:rPr>
        <w:t xml:space="preserve">      发包人        </w:t>
      </w:r>
      <w:r>
        <w:rPr>
          <w:rFonts w:ascii="宋体" w:hAnsi="宋体"/>
          <w:color w:val="auto"/>
          <w:kern w:val="0"/>
          <w:highlight w:val="none"/>
        </w:rPr>
        <w:t>承担。</w:t>
      </w:r>
    </w:p>
    <w:p w14:paraId="5D079D36">
      <w:pPr>
        <w:widowControl/>
        <w:spacing w:after="200" w:line="420" w:lineRule="exact"/>
        <w:ind w:firstLine="420" w:firstLineChars="200"/>
        <w:jc w:val="left"/>
        <w:outlineLvl w:val="0"/>
        <w:rPr>
          <w:rFonts w:ascii="宋体" w:hAnsi="宋体"/>
          <w:color w:val="auto"/>
          <w:kern w:val="0"/>
          <w:highlight w:val="none"/>
        </w:rPr>
      </w:pPr>
      <w:bookmarkStart w:id="705" w:name="_Toc23530"/>
      <w:r>
        <w:rPr>
          <w:rFonts w:ascii="宋体" w:hAnsi="宋体"/>
          <w:color w:val="auto"/>
          <w:kern w:val="0"/>
          <w:highlight w:val="none"/>
        </w:rPr>
        <w:t>13.3.3 投料试车</w:t>
      </w:r>
      <w:bookmarkEnd w:id="705"/>
    </w:p>
    <w:p w14:paraId="4DD13868">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关于投料试车相关事项的约定：</w:t>
      </w:r>
      <w:r>
        <w:rPr>
          <w:rFonts w:hint="eastAsia" w:ascii="宋体" w:hAnsi="宋体"/>
          <w:color w:val="auto"/>
          <w:highlight w:val="none"/>
          <w:u w:val="single"/>
        </w:rPr>
        <w:t xml:space="preserve"> 投料试运行应在工程竣工验收后由发包人负责，如发包人要求在工程竣工验收前进行或需要承包人配合时，应征得承包人的同意，另行签订补充协议 </w:t>
      </w:r>
      <w:r>
        <w:rPr>
          <w:rFonts w:ascii="宋体" w:hAnsi="宋体"/>
          <w:color w:val="auto"/>
          <w:highlight w:val="none"/>
        </w:rPr>
        <w:t>。</w:t>
      </w:r>
    </w:p>
    <w:p w14:paraId="608E2C38">
      <w:pPr>
        <w:keepNext/>
        <w:keepLines/>
        <w:widowControl/>
        <w:spacing w:before="480" w:line="420" w:lineRule="exact"/>
        <w:jc w:val="left"/>
        <w:outlineLvl w:val="0"/>
        <w:rPr>
          <w:rFonts w:hAnsi="宋体"/>
          <w:b/>
          <w:bCs/>
          <w:color w:val="auto"/>
          <w:kern w:val="44"/>
          <w:highlight w:val="none"/>
        </w:rPr>
      </w:pPr>
      <w:bookmarkStart w:id="706" w:name="_Toc480967590"/>
      <w:bookmarkStart w:id="707" w:name="_Toc22673"/>
      <w:r>
        <w:rPr>
          <w:rFonts w:hAnsi="宋体"/>
          <w:b/>
          <w:bCs/>
          <w:color w:val="auto"/>
          <w:kern w:val="44"/>
          <w:highlight w:val="none"/>
        </w:rPr>
        <w:t>13.6 竣工退场</w:t>
      </w:r>
      <w:bookmarkEnd w:id="706"/>
      <w:bookmarkEnd w:id="707"/>
    </w:p>
    <w:p w14:paraId="513D89A3">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13.6.1 竣工退场</w:t>
      </w:r>
    </w:p>
    <w:p w14:paraId="1EBD49AB">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承包人完成竣工退场的期限：</w:t>
      </w:r>
      <w:r>
        <w:rPr>
          <w:rFonts w:hint="eastAsia" w:ascii="宋体" w:hAnsi="宋体"/>
          <w:color w:val="auto"/>
          <w:kern w:val="0"/>
          <w:highlight w:val="none"/>
          <w:u w:val="single"/>
        </w:rPr>
        <w:t xml:space="preserve">承包人按照通用合同条款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 </w:t>
      </w:r>
      <w:r>
        <w:rPr>
          <w:rFonts w:ascii="宋体" w:hAnsi="宋体"/>
          <w:color w:val="auto"/>
          <w:kern w:val="0"/>
          <w:highlight w:val="none"/>
        </w:rPr>
        <w:t>。</w:t>
      </w:r>
    </w:p>
    <w:p w14:paraId="0BFC43AC">
      <w:pPr>
        <w:widowControl/>
        <w:spacing w:after="200" w:line="420" w:lineRule="exact"/>
        <w:ind w:firstLine="420" w:firstLineChars="200"/>
        <w:jc w:val="left"/>
        <w:rPr>
          <w:rFonts w:ascii="宋体" w:hAnsi="宋体"/>
          <w:color w:val="auto"/>
          <w:kern w:val="0"/>
          <w:highlight w:val="none"/>
        </w:rPr>
      </w:pPr>
      <w:r>
        <w:rPr>
          <w:rFonts w:hint="eastAsia" w:ascii="宋体" w:hAnsi="宋体"/>
          <w:color w:val="auto"/>
          <w:kern w:val="0"/>
          <w:highlight w:val="none"/>
        </w:rPr>
        <w:t>缺陷责任期满时，承包人可以继续在施工场地保留的人员和施工设备以及最终撤离的期限：</w:t>
      </w:r>
      <w:r>
        <w:rPr>
          <w:rFonts w:hint="eastAsia" w:ascii="宋体" w:hAnsi="宋体"/>
          <w:color w:val="auto"/>
          <w:kern w:val="0"/>
          <w:highlight w:val="none"/>
          <w:u w:val="single"/>
        </w:rPr>
        <w:t>在合同解除之日起15天内，承包人应将除为安全需要以外的所有其它物资、机具、设备和设施，全部撤离现场 。</w:t>
      </w:r>
    </w:p>
    <w:p w14:paraId="20F81546">
      <w:pPr>
        <w:keepNext/>
        <w:keepLines/>
        <w:widowControl/>
        <w:spacing w:before="480" w:line="420" w:lineRule="exact"/>
        <w:jc w:val="left"/>
        <w:outlineLvl w:val="0"/>
        <w:rPr>
          <w:rFonts w:hAnsi="宋体"/>
          <w:b/>
          <w:bCs/>
          <w:color w:val="auto"/>
          <w:kern w:val="44"/>
          <w:highlight w:val="none"/>
        </w:rPr>
      </w:pPr>
      <w:bookmarkStart w:id="708" w:name="_Toc19478"/>
      <w:bookmarkStart w:id="709" w:name="_Toc480967591"/>
      <w:r>
        <w:rPr>
          <w:rFonts w:hAnsi="宋体"/>
          <w:b/>
          <w:bCs/>
          <w:color w:val="auto"/>
          <w:kern w:val="44"/>
          <w:highlight w:val="none"/>
        </w:rPr>
        <w:t>14. 竣工结算</w:t>
      </w:r>
      <w:bookmarkEnd w:id="708"/>
      <w:bookmarkEnd w:id="709"/>
    </w:p>
    <w:p w14:paraId="74FF4D26">
      <w:pPr>
        <w:keepNext/>
        <w:keepLines/>
        <w:widowControl/>
        <w:spacing w:before="480" w:line="420" w:lineRule="exact"/>
        <w:jc w:val="left"/>
        <w:outlineLvl w:val="0"/>
        <w:rPr>
          <w:rFonts w:hAnsi="宋体"/>
          <w:b/>
          <w:bCs/>
          <w:color w:val="auto"/>
          <w:kern w:val="44"/>
          <w:highlight w:val="none"/>
        </w:rPr>
      </w:pPr>
      <w:bookmarkStart w:id="710" w:name="_Toc28815"/>
      <w:bookmarkStart w:id="711" w:name="_Toc480967592"/>
      <w:r>
        <w:rPr>
          <w:rFonts w:hAnsi="宋体"/>
          <w:b/>
          <w:bCs/>
          <w:color w:val="auto"/>
          <w:kern w:val="44"/>
          <w:highlight w:val="none"/>
        </w:rPr>
        <w:t>14.1 竣工结算申请</w:t>
      </w:r>
      <w:bookmarkEnd w:id="710"/>
      <w:bookmarkEnd w:id="711"/>
    </w:p>
    <w:p w14:paraId="37A8C63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承包人提交竣工</w:t>
      </w:r>
      <w:r>
        <w:rPr>
          <w:rFonts w:hint="eastAsia" w:ascii="宋体" w:hAnsi="宋体"/>
          <w:color w:val="auto"/>
          <w:highlight w:val="none"/>
        </w:rPr>
        <w:t>结算</w:t>
      </w:r>
      <w:r>
        <w:rPr>
          <w:rFonts w:ascii="宋体" w:hAnsi="宋体"/>
          <w:color w:val="auto"/>
          <w:highlight w:val="none"/>
        </w:rPr>
        <w:t>申请单的期限：</w:t>
      </w:r>
      <w:r>
        <w:rPr>
          <w:rFonts w:hint="eastAsia" w:ascii="宋体" w:hAnsi="宋体"/>
          <w:color w:val="auto"/>
          <w:highlight w:val="none"/>
          <w:u w:val="single"/>
        </w:rPr>
        <w:t xml:space="preserve"> 28天内</w:t>
      </w:r>
      <w:r>
        <w:rPr>
          <w:rFonts w:ascii="宋体" w:hAnsi="宋体"/>
          <w:color w:val="auto"/>
          <w:highlight w:val="none"/>
        </w:rPr>
        <w:t>。</w:t>
      </w:r>
    </w:p>
    <w:p w14:paraId="7F5EE61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竣工</w:t>
      </w:r>
      <w:r>
        <w:rPr>
          <w:rFonts w:hint="eastAsia" w:ascii="宋体" w:hAnsi="宋体"/>
          <w:color w:val="auto"/>
          <w:highlight w:val="none"/>
        </w:rPr>
        <w:t>结算</w:t>
      </w:r>
      <w:r>
        <w:rPr>
          <w:rFonts w:ascii="宋体" w:hAnsi="宋体"/>
          <w:color w:val="auto"/>
          <w:highlight w:val="none"/>
        </w:rPr>
        <w:t>申请单应包括的内容：</w:t>
      </w:r>
      <w:r>
        <w:rPr>
          <w:rFonts w:hint="eastAsia" w:ascii="宋体" w:hAnsi="宋体"/>
          <w:color w:val="auto"/>
          <w:highlight w:val="none"/>
          <w:u w:val="single"/>
        </w:rPr>
        <w:t xml:space="preserve">由承包人提交相关结算资料（主要包括合同、工程量计算书、结算书、变更设计通知单、签证单、竣工图）齐全后经监理初审，发包人审核，必须经发包人审定后方可办理工程结算或竣工决算 </w:t>
      </w:r>
      <w:r>
        <w:rPr>
          <w:rFonts w:ascii="宋体" w:hAnsi="宋体"/>
          <w:color w:val="auto"/>
          <w:highlight w:val="none"/>
        </w:rPr>
        <w:t>。</w:t>
      </w:r>
    </w:p>
    <w:p w14:paraId="1770BE66">
      <w:pPr>
        <w:keepNext/>
        <w:keepLines/>
        <w:widowControl/>
        <w:spacing w:before="480" w:line="420" w:lineRule="exact"/>
        <w:jc w:val="left"/>
        <w:outlineLvl w:val="0"/>
        <w:rPr>
          <w:rFonts w:hAnsi="宋体"/>
          <w:b/>
          <w:bCs/>
          <w:color w:val="auto"/>
          <w:kern w:val="44"/>
          <w:highlight w:val="none"/>
        </w:rPr>
      </w:pPr>
      <w:bookmarkStart w:id="712" w:name="_Toc480967593"/>
      <w:bookmarkStart w:id="713" w:name="_Toc5053"/>
      <w:r>
        <w:rPr>
          <w:rFonts w:hAnsi="宋体"/>
          <w:b/>
          <w:bCs/>
          <w:color w:val="auto"/>
          <w:kern w:val="44"/>
          <w:highlight w:val="none"/>
        </w:rPr>
        <w:t>14.2 竣工结算审核</w:t>
      </w:r>
      <w:bookmarkEnd w:id="712"/>
      <w:bookmarkEnd w:id="713"/>
    </w:p>
    <w:p w14:paraId="16B1358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发包人审批竣工付款申请单的期限：</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00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A8BFDCC">
            <w:pPr>
              <w:widowControl/>
              <w:spacing w:after="200" w:line="420" w:lineRule="exact"/>
              <w:jc w:val="center"/>
              <w:rPr>
                <w:rFonts w:ascii="宋体" w:hAnsi="宋体"/>
                <w:bCs/>
                <w:color w:val="auto"/>
                <w:highlight w:val="none"/>
              </w:rPr>
            </w:pPr>
            <w:r>
              <w:rPr>
                <w:rFonts w:hint="eastAsia" w:ascii="宋体" w:hAnsi="宋体"/>
                <w:bCs/>
                <w:color w:val="auto"/>
                <w:highlight w:val="none"/>
              </w:rPr>
              <w:t>序号</w:t>
            </w:r>
          </w:p>
        </w:tc>
        <w:tc>
          <w:tcPr>
            <w:tcW w:w="2466" w:type="dxa"/>
            <w:vAlign w:val="center"/>
          </w:tcPr>
          <w:p w14:paraId="1A299079">
            <w:pPr>
              <w:widowControl/>
              <w:spacing w:after="200" w:line="420" w:lineRule="exact"/>
              <w:jc w:val="center"/>
              <w:rPr>
                <w:rFonts w:ascii="宋体" w:hAnsi="宋体"/>
                <w:bCs/>
                <w:color w:val="auto"/>
                <w:highlight w:val="none"/>
              </w:rPr>
            </w:pPr>
            <w:r>
              <w:rPr>
                <w:rFonts w:ascii="宋体" w:hAnsi="宋体"/>
                <w:bCs/>
                <w:color w:val="auto"/>
                <w:highlight w:val="none"/>
              </w:rPr>
              <w:t>工程竣工结算报告金额</w:t>
            </w:r>
          </w:p>
        </w:tc>
        <w:tc>
          <w:tcPr>
            <w:tcW w:w="5967" w:type="dxa"/>
            <w:vAlign w:val="center"/>
          </w:tcPr>
          <w:p w14:paraId="4D46FB66">
            <w:pPr>
              <w:widowControl/>
              <w:spacing w:after="200" w:line="420" w:lineRule="exact"/>
              <w:jc w:val="center"/>
              <w:rPr>
                <w:rFonts w:ascii="宋体" w:hAnsi="宋体"/>
                <w:bCs/>
                <w:color w:val="auto"/>
                <w:highlight w:val="none"/>
              </w:rPr>
            </w:pPr>
            <w:r>
              <w:rPr>
                <w:rFonts w:ascii="宋体" w:hAnsi="宋体"/>
                <w:bCs/>
                <w:color w:val="auto"/>
                <w:highlight w:val="none"/>
              </w:rPr>
              <w:t>发包人审查时间</w:t>
            </w:r>
          </w:p>
        </w:tc>
      </w:tr>
      <w:tr w14:paraId="29E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9D91631">
            <w:pPr>
              <w:widowControl/>
              <w:spacing w:after="200" w:line="420" w:lineRule="exact"/>
              <w:jc w:val="center"/>
              <w:rPr>
                <w:rFonts w:ascii="宋体" w:hAnsi="宋体"/>
                <w:bCs/>
                <w:color w:val="auto"/>
                <w:highlight w:val="none"/>
              </w:rPr>
            </w:pPr>
            <w:r>
              <w:rPr>
                <w:rFonts w:ascii="宋体" w:hAnsi="宋体"/>
                <w:bCs/>
                <w:color w:val="auto"/>
                <w:highlight w:val="none"/>
              </w:rPr>
              <w:t>1</w:t>
            </w:r>
          </w:p>
        </w:tc>
        <w:tc>
          <w:tcPr>
            <w:tcW w:w="2466" w:type="dxa"/>
            <w:vAlign w:val="center"/>
          </w:tcPr>
          <w:p w14:paraId="2EE94343">
            <w:pPr>
              <w:widowControl/>
              <w:spacing w:after="200" w:line="420" w:lineRule="exact"/>
              <w:jc w:val="center"/>
              <w:rPr>
                <w:rFonts w:ascii="宋体" w:hAnsi="宋体"/>
                <w:bCs/>
                <w:color w:val="auto"/>
                <w:highlight w:val="none"/>
              </w:rPr>
            </w:pPr>
            <w:r>
              <w:rPr>
                <w:rFonts w:ascii="宋体" w:hAnsi="宋体"/>
                <w:bCs/>
                <w:color w:val="auto"/>
                <w:highlight w:val="none"/>
              </w:rPr>
              <w:t>500万元以下</w:t>
            </w:r>
          </w:p>
        </w:tc>
        <w:tc>
          <w:tcPr>
            <w:tcW w:w="5967" w:type="dxa"/>
            <w:vAlign w:val="center"/>
          </w:tcPr>
          <w:p w14:paraId="6C41514F">
            <w:pPr>
              <w:widowControl/>
              <w:spacing w:after="200" w:line="420" w:lineRule="exact"/>
              <w:jc w:val="center"/>
              <w:rPr>
                <w:rFonts w:ascii="宋体" w:hAnsi="宋体"/>
                <w:bCs/>
                <w:color w:val="auto"/>
                <w:highlight w:val="none"/>
              </w:rPr>
            </w:pPr>
            <w:r>
              <w:rPr>
                <w:rFonts w:ascii="宋体" w:hAnsi="宋体"/>
                <w:bCs/>
                <w:color w:val="auto"/>
                <w:highlight w:val="none"/>
              </w:rPr>
              <w:t>从接到竣工结算报告和完整的竣工结算资料之日起20天</w:t>
            </w:r>
          </w:p>
        </w:tc>
      </w:tr>
      <w:tr w14:paraId="3405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76713A5">
            <w:pPr>
              <w:widowControl/>
              <w:spacing w:after="200" w:line="420" w:lineRule="exact"/>
              <w:jc w:val="center"/>
              <w:rPr>
                <w:rFonts w:ascii="宋体" w:hAnsi="宋体"/>
                <w:bCs/>
                <w:color w:val="auto"/>
                <w:highlight w:val="none"/>
              </w:rPr>
            </w:pPr>
            <w:r>
              <w:rPr>
                <w:rFonts w:ascii="宋体" w:hAnsi="宋体"/>
                <w:bCs/>
                <w:color w:val="auto"/>
                <w:highlight w:val="none"/>
              </w:rPr>
              <w:t>2</w:t>
            </w:r>
          </w:p>
        </w:tc>
        <w:tc>
          <w:tcPr>
            <w:tcW w:w="2466" w:type="dxa"/>
            <w:vAlign w:val="center"/>
          </w:tcPr>
          <w:p w14:paraId="1664F46E">
            <w:pPr>
              <w:widowControl/>
              <w:spacing w:after="200" w:line="420" w:lineRule="exact"/>
              <w:jc w:val="center"/>
              <w:rPr>
                <w:rFonts w:ascii="宋体" w:hAnsi="宋体"/>
                <w:bCs/>
                <w:color w:val="auto"/>
                <w:highlight w:val="none"/>
              </w:rPr>
            </w:pPr>
            <w:r>
              <w:rPr>
                <w:rFonts w:ascii="宋体" w:hAnsi="宋体"/>
                <w:bCs/>
                <w:color w:val="auto"/>
                <w:highlight w:val="none"/>
              </w:rPr>
              <w:t>500万元-2000万元</w:t>
            </w:r>
          </w:p>
        </w:tc>
        <w:tc>
          <w:tcPr>
            <w:tcW w:w="5967" w:type="dxa"/>
            <w:vAlign w:val="center"/>
          </w:tcPr>
          <w:p w14:paraId="0C39676A">
            <w:pPr>
              <w:widowControl/>
              <w:spacing w:after="200" w:line="420" w:lineRule="exact"/>
              <w:jc w:val="center"/>
              <w:rPr>
                <w:rFonts w:ascii="宋体" w:hAnsi="宋体"/>
                <w:bCs/>
                <w:color w:val="auto"/>
                <w:highlight w:val="none"/>
              </w:rPr>
            </w:pPr>
            <w:r>
              <w:rPr>
                <w:rFonts w:ascii="宋体" w:hAnsi="宋体"/>
                <w:bCs/>
                <w:color w:val="auto"/>
                <w:highlight w:val="none"/>
              </w:rPr>
              <w:t>从接到竣工结算报告和完整的竣工结算资料之日起30天</w:t>
            </w:r>
          </w:p>
        </w:tc>
      </w:tr>
      <w:tr w14:paraId="457E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5B6CCAE">
            <w:pPr>
              <w:widowControl/>
              <w:spacing w:after="200" w:line="420" w:lineRule="exact"/>
              <w:jc w:val="center"/>
              <w:rPr>
                <w:rFonts w:ascii="宋体" w:hAnsi="宋体"/>
                <w:bCs/>
                <w:color w:val="auto"/>
                <w:highlight w:val="none"/>
              </w:rPr>
            </w:pPr>
            <w:r>
              <w:rPr>
                <w:rFonts w:ascii="宋体" w:hAnsi="宋体"/>
                <w:bCs/>
                <w:color w:val="auto"/>
                <w:highlight w:val="none"/>
              </w:rPr>
              <w:t>3</w:t>
            </w:r>
          </w:p>
        </w:tc>
        <w:tc>
          <w:tcPr>
            <w:tcW w:w="2466" w:type="dxa"/>
            <w:vAlign w:val="center"/>
          </w:tcPr>
          <w:p w14:paraId="2FAD8FF6">
            <w:pPr>
              <w:widowControl/>
              <w:spacing w:after="200" w:line="420" w:lineRule="exact"/>
              <w:jc w:val="center"/>
              <w:rPr>
                <w:rFonts w:ascii="宋体" w:hAnsi="宋体"/>
                <w:bCs/>
                <w:color w:val="auto"/>
                <w:highlight w:val="none"/>
              </w:rPr>
            </w:pPr>
            <w:r>
              <w:rPr>
                <w:rFonts w:ascii="宋体" w:hAnsi="宋体"/>
                <w:bCs/>
                <w:color w:val="auto"/>
                <w:highlight w:val="none"/>
              </w:rPr>
              <w:t>2000万元-5000万元</w:t>
            </w:r>
          </w:p>
        </w:tc>
        <w:tc>
          <w:tcPr>
            <w:tcW w:w="5967" w:type="dxa"/>
            <w:vAlign w:val="center"/>
          </w:tcPr>
          <w:p w14:paraId="54022052">
            <w:pPr>
              <w:widowControl/>
              <w:spacing w:after="200" w:line="420" w:lineRule="exact"/>
              <w:jc w:val="center"/>
              <w:rPr>
                <w:rFonts w:ascii="宋体" w:hAnsi="宋体"/>
                <w:bCs/>
                <w:color w:val="auto"/>
                <w:highlight w:val="none"/>
              </w:rPr>
            </w:pPr>
            <w:r>
              <w:rPr>
                <w:rFonts w:ascii="宋体" w:hAnsi="宋体"/>
                <w:bCs/>
                <w:color w:val="auto"/>
                <w:highlight w:val="none"/>
              </w:rPr>
              <w:t>从接到竣工结算报告和完整的竣工结算资料之日起45天</w:t>
            </w:r>
          </w:p>
        </w:tc>
      </w:tr>
      <w:tr w14:paraId="6B51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6029574">
            <w:pPr>
              <w:widowControl/>
              <w:spacing w:after="200" w:line="420" w:lineRule="exact"/>
              <w:jc w:val="center"/>
              <w:rPr>
                <w:rFonts w:ascii="宋体" w:hAnsi="宋体"/>
                <w:bCs/>
                <w:color w:val="auto"/>
                <w:highlight w:val="none"/>
              </w:rPr>
            </w:pPr>
            <w:r>
              <w:rPr>
                <w:rFonts w:ascii="宋体" w:hAnsi="宋体"/>
                <w:bCs/>
                <w:color w:val="auto"/>
                <w:highlight w:val="none"/>
              </w:rPr>
              <w:t>4</w:t>
            </w:r>
          </w:p>
        </w:tc>
        <w:tc>
          <w:tcPr>
            <w:tcW w:w="2466" w:type="dxa"/>
            <w:vAlign w:val="center"/>
          </w:tcPr>
          <w:p w14:paraId="77349DC7">
            <w:pPr>
              <w:widowControl/>
              <w:spacing w:after="200" w:line="420" w:lineRule="exact"/>
              <w:jc w:val="center"/>
              <w:rPr>
                <w:rFonts w:ascii="宋体" w:hAnsi="宋体"/>
                <w:bCs/>
                <w:color w:val="auto"/>
                <w:highlight w:val="none"/>
              </w:rPr>
            </w:pPr>
            <w:r>
              <w:rPr>
                <w:rFonts w:ascii="宋体" w:hAnsi="宋体"/>
                <w:bCs/>
                <w:color w:val="auto"/>
                <w:highlight w:val="none"/>
              </w:rPr>
              <w:t>5000万元以上</w:t>
            </w:r>
          </w:p>
        </w:tc>
        <w:tc>
          <w:tcPr>
            <w:tcW w:w="5967" w:type="dxa"/>
            <w:vAlign w:val="center"/>
          </w:tcPr>
          <w:p w14:paraId="2BCE6946">
            <w:pPr>
              <w:widowControl/>
              <w:spacing w:after="200" w:line="420" w:lineRule="exact"/>
              <w:jc w:val="center"/>
              <w:rPr>
                <w:rFonts w:ascii="宋体" w:hAnsi="宋体"/>
                <w:bCs/>
                <w:color w:val="auto"/>
                <w:highlight w:val="none"/>
              </w:rPr>
            </w:pPr>
            <w:r>
              <w:rPr>
                <w:rFonts w:ascii="宋体" w:hAnsi="宋体"/>
                <w:bCs/>
                <w:color w:val="auto"/>
                <w:highlight w:val="none"/>
              </w:rPr>
              <w:t>从接到竣工结算报告和完整的竣工结算资料之日起60天</w:t>
            </w:r>
          </w:p>
        </w:tc>
      </w:tr>
    </w:tbl>
    <w:p w14:paraId="03F6F881">
      <w:pPr>
        <w:widowControl/>
        <w:spacing w:after="200" w:line="420" w:lineRule="exact"/>
        <w:ind w:firstLine="420" w:firstLineChars="200"/>
        <w:jc w:val="left"/>
        <w:rPr>
          <w:rFonts w:ascii="宋体" w:hAnsi="宋体"/>
          <w:bCs/>
          <w:color w:val="auto"/>
          <w:highlight w:val="none"/>
        </w:rPr>
      </w:pPr>
      <w:r>
        <w:rPr>
          <w:rFonts w:hint="eastAsia" w:ascii="宋体" w:hAnsi="宋体"/>
          <w:bCs/>
          <w:color w:val="auto"/>
          <w:highlight w:val="none"/>
        </w:rPr>
        <w:t>因承包人提供的结算资料不完整而需要补充或承包人不按时对账耽误时间时，审查时间应相应顺延。</w:t>
      </w:r>
    </w:p>
    <w:p w14:paraId="5AA70A47">
      <w:pPr>
        <w:widowControl/>
        <w:spacing w:after="200" w:line="420" w:lineRule="exact"/>
        <w:ind w:firstLine="420" w:firstLineChars="200"/>
        <w:jc w:val="left"/>
        <w:rPr>
          <w:rFonts w:ascii="宋体" w:hAnsi="宋体"/>
          <w:bCs/>
          <w:color w:val="auto"/>
          <w:highlight w:val="none"/>
        </w:rPr>
      </w:pPr>
      <w:r>
        <w:rPr>
          <w:rFonts w:hint="eastAsia" w:ascii="宋体" w:hAnsi="宋体"/>
          <w:bCs/>
          <w:color w:val="auto"/>
          <w:highlight w:val="none"/>
        </w:rPr>
        <w:t>发包人审批竣工付款申请单的期限：</w:t>
      </w:r>
      <w:r>
        <w:rPr>
          <w:rFonts w:hint="eastAsia" w:ascii="宋体" w:hAnsi="宋体"/>
          <w:color w:val="auto"/>
          <w:highlight w:val="none"/>
          <w:u w:val="single"/>
        </w:rPr>
        <w:t>按通用条款</w:t>
      </w:r>
      <w:r>
        <w:rPr>
          <w:rFonts w:ascii="宋体" w:hAnsi="宋体"/>
          <w:color w:val="auto"/>
          <w:highlight w:val="none"/>
        </w:rPr>
        <w:t>。</w:t>
      </w:r>
    </w:p>
    <w:p w14:paraId="4406CF88">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发包人完成竣工付款的期限：</w:t>
      </w:r>
      <w:r>
        <w:rPr>
          <w:rFonts w:hint="eastAsia" w:ascii="宋体" w:hAnsi="宋体"/>
          <w:color w:val="auto"/>
          <w:highlight w:val="none"/>
          <w:u w:val="single"/>
        </w:rPr>
        <w:t>按通用条款</w:t>
      </w:r>
      <w:r>
        <w:rPr>
          <w:rFonts w:ascii="宋体" w:hAnsi="宋体"/>
          <w:color w:val="auto"/>
          <w:highlight w:val="none"/>
        </w:rPr>
        <w:t>。</w:t>
      </w:r>
    </w:p>
    <w:p w14:paraId="2825B02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关于竣工付款证书异议部分复核的方式和程序：</w:t>
      </w:r>
      <w:r>
        <w:rPr>
          <w:rFonts w:hint="eastAsia" w:ascii="宋体" w:hAnsi="宋体"/>
          <w:color w:val="auto"/>
          <w:highlight w:val="none"/>
          <w:u w:val="single"/>
        </w:rPr>
        <w:t xml:space="preserve">承包人提出书面申请14天内 </w:t>
      </w:r>
      <w:r>
        <w:rPr>
          <w:rFonts w:ascii="宋体" w:hAnsi="宋体"/>
          <w:color w:val="auto"/>
          <w:highlight w:val="none"/>
        </w:rPr>
        <w:t>。</w:t>
      </w:r>
    </w:p>
    <w:p w14:paraId="6337F809">
      <w:pPr>
        <w:widowControl/>
        <w:spacing w:after="200" w:line="420" w:lineRule="exact"/>
        <w:ind w:firstLine="422" w:firstLineChars="200"/>
        <w:jc w:val="left"/>
        <w:rPr>
          <w:rFonts w:ascii="宋体" w:hAnsi="宋体"/>
          <w:b/>
          <w:color w:val="auto"/>
          <w:highlight w:val="none"/>
        </w:rPr>
      </w:pPr>
      <w:r>
        <w:rPr>
          <w:rFonts w:hint="eastAsia" w:ascii="宋体" w:hAnsi="宋体"/>
          <w:b/>
          <w:color w:val="auto"/>
          <w:highlight w:val="none"/>
        </w:rPr>
        <w:t>结算送审金额与最终审定金额审减率超出5%部分的审核费用由</w:t>
      </w:r>
      <w:r>
        <w:rPr>
          <w:rFonts w:hint="eastAsia" w:ascii="宋体" w:hAnsi="宋体"/>
          <w:b/>
          <w:color w:val="auto"/>
          <w:highlight w:val="none"/>
          <w:u w:val="single"/>
        </w:rPr>
        <w:t>承包人</w:t>
      </w:r>
      <w:r>
        <w:rPr>
          <w:rFonts w:hint="eastAsia" w:ascii="宋体" w:hAnsi="宋体"/>
          <w:b/>
          <w:color w:val="auto"/>
          <w:highlight w:val="none"/>
        </w:rPr>
        <w:t>承担。</w:t>
      </w:r>
    </w:p>
    <w:p w14:paraId="538B2DCA">
      <w:pPr>
        <w:keepNext/>
        <w:keepLines/>
        <w:widowControl/>
        <w:spacing w:before="480" w:line="420" w:lineRule="exact"/>
        <w:jc w:val="left"/>
        <w:outlineLvl w:val="0"/>
        <w:rPr>
          <w:rFonts w:hAnsi="宋体"/>
          <w:b/>
          <w:bCs/>
          <w:color w:val="auto"/>
          <w:kern w:val="44"/>
          <w:highlight w:val="none"/>
        </w:rPr>
      </w:pPr>
      <w:bookmarkStart w:id="714" w:name="_Toc3928"/>
      <w:bookmarkStart w:id="715" w:name="_Toc480967594"/>
      <w:r>
        <w:rPr>
          <w:rFonts w:hAnsi="宋体"/>
          <w:b/>
          <w:bCs/>
          <w:color w:val="auto"/>
          <w:kern w:val="44"/>
          <w:highlight w:val="none"/>
        </w:rPr>
        <w:t>14.4 最终结清</w:t>
      </w:r>
      <w:bookmarkEnd w:id="714"/>
      <w:bookmarkEnd w:id="715"/>
    </w:p>
    <w:p w14:paraId="2A4FA983">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14.4.1 最终结清申请单</w:t>
      </w:r>
    </w:p>
    <w:p w14:paraId="52C3D697">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承包人提交最终结清申请单的份数：</w:t>
      </w:r>
      <w:r>
        <w:rPr>
          <w:rFonts w:hint="eastAsia" w:ascii="宋体" w:hAnsi="宋体"/>
          <w:color w:val="auto"/>
          <w:kern w:val="0"/>
          <w:highlight w:val="none"/>
          <w:u w:val="single"/>
        </w:rPr>
        <w:t>四份</w:t>
      </w:r>
      <w:r>
        <w:rPr>
          <w:rFonts w:ascii="宋体" w:hAnsi="宋体"/>
          <w:color w:val="auto"/>
          <w:highlight w:val="none"/>
        </w:rPr>
        <w:t>。</w:t>
      </w:r>
    </w:p>
    <w:p w14:paraId="6D8C4623">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承包人提交最终结算申请单的期限：</w:t>
      </w:r>
      <w:r>
        <w:rPr>
          <w:rFonts w:hint="eastAsia" w:ascii="宋体" w:hAnsi="宋体"/>
          <w:color w:val="auto"/>
          <w:highlight w:val="none"/>
          <w:u w:val="single"/>
        </w:rPr>
        <w:t>缺陷责任期终止证书签发后14天内向监理人提交4份竣工付款申请单及相关证明材料</w:t>
      </w:r>
      <w:r>
        <w:rPr>
          <w:rFonts w:ascii="宋体" w:hAnsi="宋体"/>
          <w:color w:val="auto"/>
          <w:highlight w:val="none"/>
        </w:rPr>
        <w:t xml:space="preserve">。 </w:t>
      </w:r>
    </w:p>
    <w:p w14:paraId="671F0E5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14.4.2 最终结清证书和支付</w:t>
      </w:r>
    </w:p>
    <w:p w14:paraId="35346DF0">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（1）发包人完成最终结清申请单的审批并颁发最终结清证书的期限：</w:t>
      </w:r>
      <w:r>
        <w:rPr>
          <w:rFonts w:hint="eastAsia" w:ascii="宋体" w:hAnsi="宋体"/>
          <w:color w:val="auto"/>
          <w:highlight w:val="none"/>
          <w:u w:val="single"/>
        </w:rPr>
        <w:t>按通用条款执行</w:t>
      </w:r>
      <w:r>
        <w:rPr>
          <w:rFonts w:ascii="宋体" w:hAnsi="宋体"/>
          <w:color w:val="auto"/>
          <w:highlight w:val="none"/>
        </w:rPr>
        <w:t>。</w:t>
      </w:r>
    </w:p>
    <w:p w14:paraId="7C0BF7DC">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（2）发包人完成支付的期限：</w:t>
      </w:r>
      <w:r>
        <w:rPr>
          <w:rFonts w:hint="eastAsia" w:ascii="宋体" w:hAnsi="宋体"/>
          <w:color w:val="auto"/>
          <w:highlight w:val="none"/>
          <w:u w:val="single"/>
        </w:rPr>
        <w:t>在颁发最终结清证书后30天内</w:t>
      </w:r>
      <w:r>
        <w:rPr>
          <w:rFonts w:ascii="宋体" w:hAnsi="宋体"/>
          <w:color w:val="auto"/>
          <w:highlight w:val="none"/>
        </w:rPr>
        <w:t>。</w:t>
      </w:r>
    </w:p>
    <w:p w14:paraId="79FD1CC5">
      <w:pPr>
        <w:keepNext/>
        <w:keepLines/>
        <w:widowControl/>
        <w:spacing w:before="480" w:line="420" w:lineRule="exact"/>
        <w:jc w:val="left"/>
        <w:outlineLvl w:val="0"/>
        <w:rPr>
          <w:rFonts w:hAnsi="宋体"/>
          <w:b/>
          <w:bCs/>
          <w:color w:val="auto"/>
          <w:kern w:val="44"/>
          <w:highlight w:val="none"/>
        </w:rPr>
      </w:pPr>
      <w:bookmarkStart w:id="716" w:name="_Toc480967595"/>
      <w:bookmarkStart w:id="717" w:name="_Toc26696"/>
      <w:r>
        <w:rPr>
          <w:rFonts w:hAnsi="宋体"/>
          <w:b/>
          <w:bCs/>
          <w:color w:val="auto"/>
          <w:kern w:val="44"/>
          <w:highlight w:val="none"/>
        </w:rPr>
        <w:t>15. 缺陷责任期与保修</w:t>
      </w:r>
      <w:bookmarkEnd w:id="716"/>
      <w:bookmarkEnd w:id="717"/>
    </w:p>
    <w:p w14:paraId="5A812B2D">
      <w:pPr>
        <w:keepNext/>
        <w:keepLines/>
        <w:widowControl/>
        <w:spacing w:before="480" w:line="420" w:lineRule="exact"/>
        <w:jc w:val="left"/>
        <w:outlineLvl w:val="0"/>
        <w:rPr>
          <w:rFonts w:hAnsi="宋体"/>
          <w:b/>
          <w:bCs/>
          <w:color w:val="auto"/>
          <w:kern w:val="44"/>
          <w:highlight w:val="none"/>
        </w:rPr>
      </w:pPr>
      <w:bookmarkStart w:id="718" w:name="_Toc18597"/>
      <w:bookmarkStart w:id="719" w:name="_Toc480967596"/>
      <w:r>
        <w:rPr>
          <w:rFonts w:hAnsi="宋体"/>
          <w:b/>
          <w:bCs/>
          <w:color w:val="auto"/>
          <w:kern w:val="44"/>
          <w:highlight w:val="none"/>
        </w:rPr>
        <w:t>15.2缺陷责任期</w:t>
      </w:r>
      <w:bookmarkEnd w:id="718"/>
      <w:bookmarkEnd w:id="719"/>
    </w:p>
    <w:p w14:paraId="2E058DE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缺陷责任期的具体期限：</w:t>
      </w:r>
      <w:r>
        <w:rPr>
          <w:rFonts w:hint="eastAsia" w:ascii="宋体" w:hAnsi="宋体"/>
          <w:color w:val="auto"/>
          <w:highlight w:val="none"/>
          <w:u w:val="single"/>
        </w:rPr>
        <w:t xml:space="preserve">    24个月   </w:t>
      </w:r>
      <w:r>
        <w:rPr>
          <w:rFonts w:ascii="宋体" w:hAnsi="宋体"/>
          <w:color w:val="auto"/>
          <w:highlight w:val="none"/>
        </w:rPr>
        <w:t>。</w:t>
      </w:r>
    </w:p>
    <w:p w14:paraId="63CE6BDB">
      <w:pPr>
        <w:keepNext/>
        <w:keepLines/>
        <w:widowControl/>
        <w:spacing w:before="480" w:line="420" w:lineRule="exact"/>
        <w:jc w:val="left"/>
        <w:outlineLvl w:val="0"/>
        <w:rPr>
          <w:rFonts w:hAnsi="宋体"/>
          <w:b/>
          <w:bCs/>
          <w:color w:val="auto"/>
          <w:kern w:val="44"/>
          <w:highlight w:val="none"/>
        </w:rPr>
      </w:pPr>
      <w:bookmarkStart w:id="720" w:name="_Toc480967597"/>
      <w:bookmarkStart w:id="721" w:name="_Toc15030"/>
      <w:r>
        <w:rPr>
          <w:rFonts w:hAnsi="宋体"/>
          <w:b/>
          <w:bCs/>
          <w:color w:val="auto"/>
          <w:kern w:val="44"/>
          <w:highlight w:val="none"/>
        </w:rPr>
        <w:t>15.3 质量保证金</w:t>
      </w:r>
      <w:bookmarkEnd w:id="720"/>
      <w:bookmarkEnd w:id="721"/>
    </w:p>
    <w:p w14:paraId="524BBA8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关于是否扣留质量保证金的约定：</w:t>
      </w:r>
      <w:r>
        <w:rPr>
          <w:rFonts w:hint="eastAsia" w:ascii="宋体" w:hAnsi="宋体"/>
          <w:color w:val="auto"/>
          <w:highlight w:val="none"/>
          <w:u w:val="single"/>
        </w:rPr>
        <w:t xml:space="preserve"> 是 </w:t>
      </w:r>
      <w:r>
        <w:rPr>
          <w:rFonts w:ascii="宋体" w:hAnsi="宋体"/>
          <w:color w:val="auto"/>
          <w:highlight w:val="none"/>
        </w:rPr>
        <w:t>。</w:t>
      </w:r>
    </w:p>
    <w:p w14:paraId="18555A3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15.3.1 承包人提供质量保证金的方式</w:t>
      </w:r>
    </w:p>
    <w:p w14:paraId="2FB642C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质量保证金采用以下第</w:t>
      </w:r>
      <w:r>
        <w:rPr>
          <w:rFonts w:hint="eastAsia" w:ascii="宋体" w:hAnsi="宋体"/>
          <w:color w:val="auto"/>
          <w:highlight w:val="none"/>
          <w:u w:val="single"/>
        </w:rPr>
        <w:t>（2）</w:t>
      </w:r>
      <w:r>
        <w:rPr>
          <w:rFonts w:ascii="宋体" w:hAnsi="宋体"/>
          <w:color w:val="auto"/>
          <w:highlight w:val="none"/>
        </w:rPr>
        <w:t>种方式：</w:t>
      </w:r>
    </w:p>
    <w:p w14:paraId="6327659C">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（1）质量保证金保函，保证金额为：</w:t>
      </w:r>
      <w:r>
        <w:rPr>
          <w:rFonts w:hint="eastAsia" w:ascii="宋体" w:hAnsi="宋体"/>
          <w:color w:val="auto"/>
          <w:kern w:val="0"/>
          <w:highlight w:val="none"/>
          <w:u w:val="single"/>
        </w:rPr>
        <w:t>工程</w:t>
      </w:r>
      <w:r>
        <w:rPr>
          <w:rFonts w:ascii="宋体" w:hAnsi="宋体"/>
          <w:bCs/>
          <w:color w:val="auto"/>
          <w:highlight w:val="none"/>
          <w:u w:val="single"/>
        </w:rPr>
        <w:t>价款结算总额的</w:t>
      </w:r>
      <w:r>
        <w:rPr>
          <w:rFonts w:hint="eastAsia" w:ascii="宋体" w:hAnsi="宋体"/>
          <w:bCs/>
          <w:color w:val="auto"/>
          <w:highlight w:val="none"/>
          <w:u w:val="single"/>
        </w:rPr>
        <w:t xml:space="preserve"> 3</w:t>
      </w:r>
      <w:r>
        <w:rPr>
          <w:rFonts w:ascii="宋体" w:hAnsi="宋体"/>
          <w:bCs/>
          <w:color w:val="auto"/>
          <w:highlight w:val="none"/>
          <w:u w:val="single"/>
        </w:rPr>
        <w:t>%</w:t>
      </w:r>
      <w:r>
        <w:rPr>
          <w:rFonts w:ascii="宋体" w:hAnsi="宋体"/>
          <w:color w:val="auto"/>
          <w:kern w:val="0"/>
          <w:highlight w:val="none"/>
        </w:rPr>
        <w:t xml:space="preserve">； </w:t>
      </w:r>
    </w:p>
    <w:p w14:paraId="3D18CC5B">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（2）发包人按工程价款结算总额的</w:t>
      </w:r>
      <w:r>
        <w:rPr>
          <w:rFonts w:hint="eastAsia" w:ascii="宋体" w:hAnsi="宋体"/>
          <w:color w:val="auto"/>
          <w:kern w:val="0"/>
          <w:highlight w:val="none"/>
          <w:u w:val="single"/>
        </w:rPr>
        <w:t xml:space="preserve"> 3</w:t>
      </w:r>
      <w:r>
        <w:rPr>
          <w:rFonts w:ascii="宋体" w:hAnsi="宋体"/>
          <w:color w:val="auto"/>
          <w:kern w:val="0"/>
          <w:highlight w:val="none"/>
          <w:u w:val="single"/>
        </w:rPr>
        <w:t>%</w:t>
      </w:r>
      <w:r>
        <w:rPr>
          <w:rFonts w:ascii="宋体" w:hAnsi="宋体"/>
          <w:color w:val="auto"/>
          <w:kern w:val="0"/>
          <w:highlight w:val="none"/>
        </w:rPr>
        <w:t>预留工程质量</w:t>
      </w:r>
      <w:r>
        <w:rPr>
          <w:rFonts w:hint="eastAsia" w:ascii="宋体" w:hAnsi="宋体" w:eastAsia="Arial" w:cs="Arial"/>
          <w:snapToGrid w:val="0"/>
          <w:color w:val="auto"/>
          <w:kern w:val="0"/>
          <w:szCs w:val="21"/>
          <w:highlight w:val="none"/>
        </w:rPr>
        <w:t>保证金</w:t>
      </w:r>
      <w:r>
        <w:rPr>
          <w:rFonts w:ascii="宋体" w:hAnsi="宋体"/>
          <w:color w:val="auto"/>
          <w:kern w:val="0"/>
          <w:highlight w:val="none"/>
        </w:rPr>
        <w:t>，待</w:t>
      </w:r>
      <w:r>
        <w:rPr>
          <w:rFonts w:hint="eastAsia" w:ascii="宋体" w:hAnsi="宋体"/>
          <w:color w:val="auto"/>
          <w:kern w:val="0"/>
          <w:highlight w:val="none"/>
        </w:rPr>
        <w:t>缺陷责任期</w:t>
      </w:r>
      <w:r>
        <w:rPr>
          <w:rFonts w:ascii="宋体" w:hAnsi="宋体"/>
          <w:color w:val="auto"/>
          <w:kern w:val="0"/>
          <w:highlight w:val="none"/>
        </w:rPr>
        <w:t>满后返还；</w:t>
      </w:r>
    </w:p>
    <w:p w14:paraId="4A3E9688">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（3）其他方式:</w:t>
      </w:r>
      <w:r>
        <w:rPr>
          <w:rFonts w:hint="eastAsia" w:ascii="宋体" w:hAnsi="宋体"/>
          <w:color w:val="auto"/>
          <w:kern w:val="0"/>
          <w:highlight w:val="none"/>
          <w:u w:val="single"/>
        </w:rPr>
        <w:t xml:space="preserve">结算审核造价金额的3% </w:t>
      </w:r>
      <w:r>
        <w:rPr>
          <w:rFonts w:ascii="宋体" w:hAnsi="宋体"/>
          <w:color w:val="auto"/>
          <w:kern w:val="0"/>
          <w:highlight w:val="none"/>
        </w:rPr>
        <w:t>。</w:t>
      </w:r>
    </w:p>
    <w:p w14:paraId="5890AD0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 xml:space="preserve">15.3.2 质量保证金的扣留 </w:t>
      </w:r>
    </w:p>
    <w:p w14:paraId="7CEAEDD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质量保证金的扣留采取以下第</w:t>
      </w:r>
      <w:r>
        <w:rPr>
          <w:rFonts w:hint="eastAsia" w:ascii="宋体" w:hAnsi="宋体"/>
          <w:color w:val="auto"/>
          <w:highlight w:val="none"/>
          <w:u w:val="single"/>
        </w:rPr>
        <w:t>（2）</w:t>
      </w:r>
      <w:r>
        <w:rPr>
          <w:rFonts w:ascii="宋体" w:hAnsi="宋体"/>
          <w:color w:val="auto"/>
          <w:highlight w:val="none"/>
        </w:rPr>
        <w:t>种方式：</w:t>
      </w:r>
    </w:p>
    <w:p w14:paraId="05AE96EC">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（1）在支付工程进度款时逐次扣留，在此情形下，质量保证金的计算基数不包括预付款的支付、扣回以及价格调整的金额；</w:t>
      </w:r>
    </w:p>
    <w:p w14:paraId="5720C983">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（2）工程竣工结算时一次性扣留质量保证金；</w:t>
      </w:r>
    </w:p>
    <w:p w14:paraId="1703886F">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（3）其他</w:t>
      </w:r>
      <w:r>
        <w:rPr>
          <w:rFonts w:hint="eastAsia" w:ascii="宋体" w:hAnsi="宋体"/>
          <w:color w:val="auto"/>
          <w:kern w:val="0"/>
          <w:highlight w:val="none"/>
        </w:rPr>
        <w:t>扣留</w:t>
      </w:r>
      <w:r>
        <w:rPr>
          <w:rFonts w:ascii="宋体" w:hAnsi="宋体"/>
          <w:color w:val="auto"/>
          <w:kern w:val="0"/>
          <w:highlight w:val="none"/>
        </w:rPr>
        <w:t>方式:</w:t>
      </w:r>
      <w:r>
        <w:rPr>
          <w:rFonts w:hint="eastAsia" w:ascii="宋体" w:hAnsi="宋体"/>
          <w:color w:val="auto"/>
          <w:kern w:val="0"/>
          <w:highlight w:val="none"/>
          <w:u w:val="single"/>
        </w:rPr>
        <w:t xml:space="preserve">     无   </w:t>
      </w:r>
      <w:r>
        <w:rPr>
          <w:rFonts w:ascii="宋体" w:hAnsi="宋体"/>
          <w:color w:val="auto"/>
          <w:kern w:val="0"/>
          <w:highlight w:val="none"/>
        </w:rPr>
        <w:t>。</w:t>
      </w:r>
    </w:p>
    <w:p w14:paraId="4E0012AA">
      <w:pPr>
        <w:widowControl/>
        <w:spacing w:after="200" w:line="420" w:lineRule="exact"/>
        <w:ind w:firstLine="420" w:firstLineChars="200"/>
        <w:jc w:val="left"/>
        <w:rPr>
          <w:rFonts w:ascii="宋体" w:hAnsi="宋体"/>
          <w:color w:val="auto"/>
          <w:kern w:val="0"/>
          <w:highlight w:val="none"/>
          <w:u w:val="single"/>
        </w:rPr>
      </w:pPr>
      <w:r>
        <w:rPr>
          <w:rFonts w:ascii="宋体" w:hAnsi="宋体"/>
          <w:color w:val="auto"/>
          <w:highlight w:val="none"/>
        </w:rPr>
        <w:t>关于质量保证金的补充约定：</w:t>
      </w:r>
      <w:r>
        <w:rPr>
          <w:rFonts w:hint="eastAsia" w:ascii="宋体" w:hAnsi="宋体"/>
          <w:color w:val="auto"/>
          <w:kern w:val="0"/>
          <w:highlight w:val="none"/>
          <w:u w:val="single"/>
        </w:rPr>
        <w:t>关于质量保证金的补充约定：自工程竣工验收合格之日起满2年后返还工程质量保证金（无息）；质量保证金的返还，并不能免除承包人按照合同约定应承担的质量保修责任和应履行的质量保修义务。</w:t>
      </w:r>
    </w:p>
    <w:p w14:paraId="613BA519">
      <w:pPr>
        <w:keepNext/>
        <w:keepLines/>
        <w:widowControl/>
        <w:spacing w:before="480" w:line="420" w:lineRule="exact"/>
        <w:jc w:val="left"/>
        <w:outlineLvl w:val="0"/>
        <w:rPr>
          <w:rFonts w:hAnsi="宋体"/>
          <w:b/>
          <w:bCs/>
          <w:color w:val="auto"/>
          <w:kern w:val="44"/>
          <w:highlight w:val="none"/>
        </w:rPr>
      </w:pPr>
      <w:bookmarkStart w:id="722" w:name="_Toc480967598"/>
      <w:bookmarkStart w:id="723" w:name="_Toc27899"/>
      <w:r>
        <w:rPr>
          <w:rFonts w:hAnsi="宋体"/>
          <w:b/>
          <w:bCs/>
          <w:color w:val="auto"/>
          <w:kern w:val="44"/>
          <w:highlight w:val="none"/>
        </w:rPr>
        <w:t>15.4保修</w:t>
      </w:r>
      <w:bookmarkEnd w:id="722"/>
      <w:bookmarkEnd w:id="723"/>
    </w:p>
    <w:p w14:paraId="2155028A">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15.4.1 保修责任</w:t>
      </w:r>
    </w:p>
    <w:p w14:paraId="77DA41A8">
      <w:pPr>
        <w:widowControl/>
        <w:spacing w:after="200" w:line="420" w:lineRule="exact"/>
        <w:ind w:firstLine="420" w:firstLineChars="200"/>
        <w:jc w:val="left"/>
        <w:rPr>
          <w:rFonts w:ascii="宋体" w:hAnsi="宋体"/>
          <w:color w:val="auto"/>
          <w:kern w:val="0"/>
          <w:highlight w:val="none"/>
        </w:rPr>
      </w:pPr>
      <w:r>
        <w:rPr>
          <w:rFonts w:ascii="宋体" w:hAnsi="宋体"/>
          <w:color w:val="auto"/>
          <w:highlight w:val="none"/>
        </w:rPr>
        <w:t>工程保修期为：</w:t>
      </w:r>
      <w:r>
        <w:rPr>
          <w:rFonts w:hint="eastAsia" w:ascii="宋体" w:hAnsi="宋体"/>
          <w:color w:val="auto"/>
          <w:kern w:val="0"/>
          <w:highlight w:val="none"/>
          <w:u w:val="single"/>
        </w:rPr>
        <w:t>本工程保修期为2年（所涉及的费用包含在报价中，发包人不再另行支付）</w:t>
      </w:r>
      <w:r>
        <w:rPr>
          <w:rFonts w:ascii="宋体" w:hAnsi="宋体"/>
          <w:color w:val="auto"/>
          <w:kern w:val="0"/>
          <w:highlight w:val="none"/>
        </w:rPr>
        <w:t>。</w:t>
      </w:r>
    </w:p>
    <w:p w14:paraId="0ADF3685">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15.4.3 修复通知</w:t>
      </w:r>
    </w:p>
    <w:p w14:paraId="338C3924">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承包人收到保修通知并到达工程现场的合理时间：</w:t>
      </w:r>
      <w:r>
        <w:rPr>
          <w:rFonts w:hint="eastAsia" w:ascii="宋体" w:hAnsi="宋体"/>
          <w:color w:val="auto"/>
          <w:kern w:val="0"/>
          <w:highlight w:val="none"/>
          <w:u w:val="single"/>
        </w:rPr>
        <w:t xml:space="preserve">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r>
        <w:rPr>
          <w:rFonts w:ascii="宋体" w:hAnsi="宋体"/>
          <w:color w:val="auto"/>
          <w:kern w:val="0"/>
          <w:highlight w:val="none"/>
        </w:rPr>
        <w:t>。</w:t>
      </w:r>
    </w:p>
    <w:p w14:paraId="23FEBF01">
      <w:pPr>
        <w:keepNext/>
        <w:keepLines/>
        <w:widowControl/>
        <w:spacing w:before="480" w:line="420" w:lineRule="exact"/>
        <w:jc w:val="left"/>
        <w:outlineLvl w:val="0"/>
        <w:rPr>
          <w:rFonts w:hAnsi="宋体"/>
          <w:b/>
          <w:bCs/>
          <w:color w:val="auto"/>
          <w:kern w:val="44"/>
          <w:highlight w:val="none"/>
        </w:rPr>
      </w:pPr>
      <w:bookmarkStart w:id="724" w:name="_Toc14066"/>
      <w:bookmarkStart w:id="725" w:name="_Toc480967599"/>
      <w:r>
        <w:rPr>
          <w:rFonts w:hAnsi="宋体"/>
          <w:b/>
          <w:bCs/>
          <w:color w:val="auto"/>
          <w:kern w:val="44"/>
          <w:highlight w:val="none"/>
        </w:rPr>
        <w:t>16. 违约</w:t>
      </w:r>
      <w:bookmarkEnd w:id="724"/>
      <w:bookmarkEnd w:id="725"/>
    </w:p>
    <w:p w14:paraId="69B1464D">
      <w:pPr>
        <w:keepNext/>
        <w:keepLines/>
        <w:widowControl/>
        <w:spacing w:before="480" w:line="420" w:lineRule="exact"/>
        <w:jc w:val="left"/>
        <w:outlineLvl w:val="0"/>
        <w:rPr>
          <w:rFonts w:hAnsi="宋体"/>
          <w:b/>
          <w:bCs/>
          <w:color w:val="auto"/>
          <w:kern w:val="44"/>
          <w:highlight w:val="none"/>
        </w:rPr>
      </w:pPr>
      <w:bookmarkStart w:id="726" w:name="_Toc2092"/>
      <w:bookmarkStart w:id="727" w:name="_Toc480967600"/>
      <w:r>
        <w:rPr>
          <w:rFonts w:hAnsi="宋体"/>
          <w:b/>
          <w:bCs/>
          <w:color w:val="auto"/>
          <w:kern w:val="44"/>
          <w:highlight w:val="none"/>
        </w:rPr>
        <w:t>16.1 发包人违约</w:t>
      </w:r>
      <w:bookmarkEnd w:id="726"/>
      <w:bookmarkEnd w:id="727"/>
    </w:p>
    <w:p w14:paraId="463A084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16.1.1发包人违约的情形</w:t>
      </w:r>
    </w:p>
    <w:p w14:paraId="6324C192">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发包人违约的其他情形：</w:t>
      </w:r>
      <w:r>
        <w:rPr>
          <w:rFonts w:hint="eastAsia" w:ascii="宋体" w:hAnsi="宋体"/>
          <w:color w:val="auto"/>
          <w:kern w:val="0"/>
          <w:highlight w:val="none"/>
          <w:u w:val="single"/>
        </w:rPr>
        <w:t xml:space="preserve">  无  </w:t>
      </w:r>
      <w:r>
        <w:rPr>
          <w:rFonts w:ascii="宋体" w:hAnsi="宋体"/>
          <w:color w:val="auto"/>
          <w:kern w:val="0"/>
          <w:highlight w:val="none"/>
        </w:rPr>
        <w:t>。</w:t>
      </w:r>
    </w:p>
    <w:p w14:paraId="60BE2091">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16.1.</w:t>
      </w:r>
      <w:r>
        <w:rPr>
          <w:rFonts w:hint="eastAsia" w:ascii="宋体" w:hAnsi="宋体"/>
          <w:color w:val="auto"/>
          <w:highlight w:val="none"/>
        </w:rPr>
        <w:t>2</w:t>
      </w:r>
      <w:r>
        <w:rPr>
          <w:rFonts w:ascii="宋体" w:hAnsi="宋体"/>
          <w:color w:val="auto"/>
          <w:highlight w:val="none"/>
        </w:rPr>
        <w:t>发包人违约</w:t>
      </w:r>
      <w:r>
        <w:rPr>
          <w:rFonts w:hint="eastAsia" w:ascii="宋体" w:hAnsi="宋体"/>
          <w:color w:val="auto"/>
          <w:highlight w:val="none"/>
        </w:rPr>
        <w:t>的责任</w:t>
      </w:r>
    </w:p>
    <w:p w14:paraId="6C5E5F0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发包人违约</w:t>
      </w:r>
      <w:r>
        <w:rPr>
          <w:rFonts w:hint="eastAsia" w:ascii="宋体" w:hAnsi="宋体"/>
          <w:color w:val="auto"/>
          <w:highlight w:val="none"/>
        </w:rPr>
        <w:t>责任的承担方式和计算方法：</w:t>
      </w:r>
    </w:p>
    <w:p w14:paraId="6D1E5E7B">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因发包人原因未能在计划开工日期前7天内下达开工通知的违约责任：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7CC5E152">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因发包人原因未能按合同约定支付合同价款的违约责任：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64A71343">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发包人违反第10.1款〔变更的范围〕第（2）项约定，自行实施被取消的工作或转由他人实施的违约责任：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2F9A577C">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发包人提供的材料、工程设备的规格、数量或质量不符合合同约定，或因发包人原因导致交货日期延误或交货地点变更等情况的违约责任：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4E5F374E">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因发包人违反合同约定造成暂停施工的违约责任：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4852807F">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发包人无正当理由没有在约定期限内发出复工指示，导致承包人无法复工的违约责任：</w:t>
      </w:r>
      <w:r>
        <w:rPr>
          <w:rFonts w:hint="eastAsia" w:ascii="宋体" w:hAnsi="宋体"/>
          <w:color w:val="auto"/>
          <w:kern w:val="0"/>
          <w:highlight w:val="none"/>
          <w:u w:val="single"/>
        </w:rPr>
        <w:t xml:space="preserve">  无  </w:t>
      </w:r>
      <w:r>
        <w:rPr>
          <w:rFonts w:ascii="宋体" w:hAnsi="宋体"/>
          <w:color w:val="auto"/>
          <w:kern w:val="0"/>
          <w:highlight w:val="none"/>
        </w:rPr>
        <w:t>。</w:t>
      </w:r>
    </w:p>
    <w:p w14:paraId="24368C7B">
      <w:pPr>
        <w:widowControl/>
        <w:numPr>
          <w:ilvl w:val="0"/>
          <w:numId w:val="9"/>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其他：</w:t>
      </w:r>
      <w:r>
        <w:rPr>
          <w:rFonts w:hint="eastAsia" w:ascii="宋体" w:hAnsi="宋体"/>
          <w:color w:val="auto"/>
          <w:kern w:val="0"/>
          <w:highlight w:val="none"/>
          <w:u w:val="single"/>
        </w:rPr>
        <w:t xml:space="preserve">  无  </w:t>
      </w:r>
      <w:r>
        <w:rPr>
          <w:rFonts w:ascii="宋体" w:hAnsi="宋体"/>
          <w:color w:val="auto"/>
          <w:kern w:val="0"/>
          <w:highlight w:val="none"/>
        </w:rPr>
        <w:t>。</w:t>
      </w:r>
    </w:p>
    <w:p w14:paraId="21A2B89B">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16.1.</w:t>
      </w:r>
      <w:r>
        <w:rPr>
          <w:rFonts w:hint="eastAsia" w:ascii="宋体" w:hAnsi="宋体"/>
          <w:color w:val="auto"/>
          <w:highlight w:val="none"/>
        </w:rPr>
        <w:t>3因</w:t>
      </w:r>
      <w:r>
        <w:rPr>
          <w:rFonts w:ascii="宋体" w:hAnsi="宋体"/>
          <w:color w:val="auto"/>
          <w:highlight w:val="none"/>
        </w:rPr>
        <w:t>发包人违约</w:t>
      </w:r>
      <w:r>
        <w:rPr>
          <w:rFonts w:hint="eastAsia" w:ascii="宋体" w:hAnsi="宋体"/>
          <w:color w:val="auto"/>
          <w:highlight w:val="none"/>
        </w:rPr>
        <w:t>解除合同</w:t>
      </w:r>
    </w:p>
    <w:p w14:paraId="093BBDD9">
      <w:pPr>
        <w:widowControl/>
        <w:spacing w:after="200" w:line="420" w:lineRule="exact"/>
        <w:ind w:firstLine="420" w:firstLineChars="200"/>
        <w:jc w:val="left"/>
        <w:rPr>
          <w:rFonts w:ascii="宋体" w:hAnsi="宋体"/>
          <w:color w:val="auto"/>
          <w:highlight w:val="none"/>
        </w:rPr>
      </w:pPr>
      <w:r>
        <w:rPr>
          <w:rFonts w:hint="eastAsia" w:ascii="宋体" w:hAnsi="宋体"/>
          <w:color w:val="auto"/>
          <w:highlight w:val="none"/>
        </w:rPr>
        <w:t>承包人按16.1.1项〔发包人违约的情形〕约定暂停施工满</w:t>
      </w:r>
      <w:r>
        <w:rPr>
          <w:rFonts w:hint="eastAsia" w:ascii="宋体" w:hAnsi="宋体"/>
          <w:color w:val="auto"/>
          <w:highlight w:val="none"/>
          <w:u w:val="single"/>
        </w:rPr>
        <w:t xml:space="preserve">   /   </w:t>
      </w:r>
      <w:r>
        <w:rPr>
          <w:rFonts w:hint="eastAsia" w:ascii="宋体" w:hAnsi="宋体"/>
          <w:color w:val="auto"/>
          <w:highlight w:val="none"/>
        </w:rPr>
        <w:t>天后发包人仍不纠正其违约行为并致使合同目的不能实现的，承包人有权解除合同。</w:t>
      </w:r>
    </w:p>
    <w:p w14:paraId="511EE49F">
      <w:pPr>
        <w:keepNext/>
        <w:keepLines/>
        <w:widowControl/>
        <w:spacing w:before="480" w:line="420" w:lineRule="exact"/>
        <w:jc w:val="left"/>
        <w:outlineLvl w:val="0"/>
        <w:rPr>
          <w:rFonts w:hAnsi="宋体"/>
          <w:b/>
          <w:bCs/>
          <w:color w:val="auto"/>
          <w:kern w:val="44"/>
          <w:highlight w:val="none"/>
        </w:rPr>
      </w:pPr>
      <w:bookmarkStart w:id="728" w:name="_Toc21200"/>
      <w:bookmarkStart w:id="729" w:name="_Toc480967601"/>
      <w:r>
        <w:rPr>
          <w:rFonts w:hAnsi="宋体"/>
          <w:b/>
          <w:bCs/>
          <w:color w:val="auto"/>
          <w:kern w:val="44"/>
          <w:highlight w:val="none"/>
        </w:rPr>
        <w:t>16.2 承包人违约</w:t>
      </w:r>
      <w:bookmarkEnd w:id="728"/>
      <w:bookmarkEnd w:id="729"/>
    </w:p>
    <w:p w14:paraId="435CB3F2">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16.2.1 承包人违约的情形</w:t>
      </w:r>
    </w:p>
    <w:p w14:paraId="581746FF">
      <w:pPr>
        <w:widowControl/>
        <w:spacing w:after="200" w:line="300" w:lineRule="auto"/>
        <w:ind w:firstLine="630" w:firstLineChars="300"/>
        <w:jc w:val="left"/>
        <w:rPr>
          <w:rFonts w:ascii="宋体" w:hAnsi="宋体"/>
          <w:color w:val="auto"/>
          <w:kern w:val="0"/>
          <w:highlight w:val="none"/>
        </w:rPr>
      </w:pPr>
      <w:r>
        <w:rPr>
          <w:rFonts w:ascii="宋体" w:hAnsi="宋体"/>
          <w:color w:val="auto"/>
          <w:kern w:val="0"/>
          <w:highlight w:val="none"/>
        </w:rPr>
        <w:t>承包人违约的其他情形：</w:t>
      </w:r>
      <w:r>
        <w:rPr>
          <w:rFonts w:hint="eastAsia" w:ascii="宋体" w:hAnsi="宋体"/>
          <w:color w:val="auto"/>
          <w:highlight w:val="none"/>
          <w:u w:val="single"/>
        </w:rPr>
        <w:t xml:space="preserve">  工期   </w:t>
      </w:r>
      <w:r>
        <w:rPr>
          <w:rFonts w:hint="eastAsia" w:ascii="宋体" w:hAnsi="宋体"/>
          <w:color w:val="auto"/>
          <w:highlight w:val="none"/>
        </w:rPr>
        <w:t>。</w:t>
      </w:r>
    </w:p>
    <w:p w14:paraId="7970BC5B">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16.2.2承包人违约的责任</w:t>
      </w:r>
    </w:p>
    <w:p w14:paraId="7FE9469A">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承包人违约责任的承担方式和计算方法：</w:t>
      </w:r>
    </w:p>
    <w:p w14:paraId="0A9FA477">
      <w:pPr>
        <w:widowControl/>
        <w:spacing w:after="200" w:line="360" w:lineRule="auto"/>
        <w:ind w:firstLine="440" w:firstLineChars="200"/>
        <w:jc w:val="left"/>
        <w:rPr>
          <w:rFonts w:hAnsi="宋体"/>
          <w:color w:val="auto"/>
          <w:kern w:val="0"/>
          <w:sz w:val="22"/>
          <w:highlight w:val="none"/>
          <w:u w:val="single"/>
        </w:rPr>
      </w:pPr>
      <w:r>
        <w:rPr>
          <w:rFonts w:hAnsi="宋体"/>
          <w:color w:val="auto"/>
          <w:kern w:val="0"/>
          <w:sz w:val="22"/>
          <w:highlight w:val="none"/>
          <w:u w:val="single"/>
        </w:rPr>
        <w:t>（</w:t>
      </w:r>
      <w:r>
        <w:rPr>
          <w:color w:val="auto"/>
          <w:kern w:val="0"/>
          <w:sz w:val="22"/>
          <w:highlight w:val="none"/>
          <w:u w:val="single"/>
        </w:rPr>
        <w:t>1</w:t>
      </w:r>
      <w:r>
        <w:rPr>
          <w:rFonts w:hAnsi="宋体"/>
          <w:color w:val="auto"/>
          <w:kern w:val="0"/>
          <w:sz w:val="22"/>
          <w:highlight w:val="none"/>
          <w:u w:val="single"/>
        </w:rPr>
        <w:t>）承包人未按本合同通用条款第</w:t>
      </w:r>
      <w:r>
        <w:rPr>
          <w:color w:val="auto"/>
          <w:kern w:val="0"/>
          <w:sz w:val="22"/>
          <w:highlight w:val="none"/>
          <w:u w:val="single"/>
        </w:rPr>
        <w:t>16.2.1</w:t>
      </w:r>
      <w:r>
        <w:rPr>
          <w:rFonts w:hAnsi="宋体"/>
          <w:color w:val="auto"/>
          <w:kern w:val="0"/>
          <w:sz w:val="22"/>
          <w:highlight w:val="none"/>
          <w:u w:val="single"/>
        </w:rPr>
        <w:t>（</w:t>
      </w:r>
      <w:r>
        <w:rPr>
          <w:color w:val="auto"/>
          <w:kern w:val="0"/>
          <w:sz w:val="22"/>
          <w:highlight w:val="none"/>
          <w:u w:val="single"/>
        </w:rPr>
        <w:t>2</w:t>
      </w:r>
      <w:r>
        <w:rPr>
          <w:rFonts w:hAnsi="宋体"/>
          <w:color w:val="auto"/>
          <w:kern w:val="0"/>
          <w:sz w:val="22"/>
          <w:highlight w:val="none"/>
          <w:u w:val="single"/>
        </w:rPr>
        <w:t>）</w:t>
      </w:r>
      <w:r>
        <w:rPr>
          <w:rFonts w:hint="eastAsia" w:hAnsi="宋体"/>
          <w:color w:val="auto"/>
          <w:kern w:val="0"/>
          <w:sz w:val="22"/>
          <w:highlight w:val="none"/>
          <w:u w:val="single"/>
        </w:rPr>
        <w:t>、</w:t>
      </w:r>
      <w:r>
        <w:rPr>
          <w:rFonts w:hAnsi="宋体"/>
          <w:color w:val="auto"/>
          <w:kern w:val="0"/>
          <w:sz w:val="22"/>
          <w:highlight w:val="none"/>
          <w:u w:val="single"/>
        </w:rPr>
        <w:t>（</w:t>
      </w:r>
      <w:r>
        <w:rPr>
          <w:color w:val="auto"/>
          <w:kern w:val="0"/>
          <w:sz w:val="22"/>
          <w:highlight w:val="none"/>
          <w:u w:val="single"/>
        </w:rPr>
        <w:t>3</w:t>
      </w:r>
      <w:r>
        <w:rPr>
          <w:rFonts w:hAnsi="宋体"/>
          <w:color w:val="auto"/>
          <w:kern w:val="0"/>
          <w:sz w:val="22"/>
          <w:highlight w:val="none"/>
          <w:u w:val="single"/>
        </w:rPr>
        <w:t>）条内容完成的，承包人无条件返工处理</w:t>
      </w:r>
      <w:r>
        <w:rPr>
          <w:rFonts w:hint="eastAsia" w:hAnsi="宋体"/>
          <w:color w:val="auto"/>
          <w:kern w:val="0"/>
          <w:sz w:val="22"/>
          <w:highlight w:val="none"/>
          <w:u w:val="single"/>
        </w:rPr>
        <w:t>。</w:t>
      </w:r>
      <w:r>
        <w:rPr>
          <w:rFonts w:hAnsi="宋体"/>
          <w:color w:val="auto"/>
          <w:kern w:val="0"/>
          <w:sz w:val="22"/>
          <w:highlight w:val="none"/>
          <w:u w:val="single"/>
        </w:rPr>
        <w:t>修复至工程质量要求并承担相关费用，并在发包人规定的时间内完成返工</w:t>
      </w:r>
      <w:r>
        <w:rPr>
          <w:rFonts w:hint="eastAsia" w:hAnsi="宋体"/>
          <w:color w:val="auto"/>
          <w:kern w:val="0"/>
          <w:sz w:val="22"/>
          <w:highlight w:val="none"/>
          <w:u w:val="single"/>
        </w:rPr>
        <w:t>，否则发包人有权扣罚该分项工程10%的工程款作为处罚。</w:t>
      </w:r>
    </w:p>
    <w:p w14:paraId="702EF392">
      <w:pPr>
        <w:widowControl/>
        <w:spacing w:after="200" w:line="360" w:lineRule="auto"/>
        <w:ind w:firstLine="440" w:firstLineChars="200"/>
        <w:jc w:val="left"/>
        <w:rPr>
          <w:rFonts w:hAnsi="宋体"/>
          <w:color w:val="auto"/>
          <w:kern w:val="0"/>
          <w:sz w:val="22"/>
          <w:highlight w:val="none"/>
        </w:rPr>
      </w:pPr>
      <w:r>
        <w:rPr>
          <w:rFonts w:hAnsi="宋体"/>
          <w:color w:val="auto"/>
          <w:kern w:val="0"/>
          <w:sz w:val="22"/>
          <w:highlight w:val="none"/>
          <w:u w:val="single"/>
        </w:rPr>
        <w:t>（</w:t>
      </w:r>
      <w:r>
        <w:rPr>
          <w:color w:val="auto"/>
          <w:kern w:val="0"/>
          <w:sz w:val="22"/>
          <w:highlight w:val="none"/>
          <w:u w:val="single"/>
        </w:rPr>
        <w:t>2</w:t>
      </w:r>
      <w:r>
        <w:rPr>
          <w:rFonts w:hAnsi="宋体"/>
          <w:color w:val="auto"/>
          <w:kern w:val="0"/>
          <w:sz w:val="22"/>
          <w:highlight w:val="none"/>
          <w:u w:val="single"/>
        </w:rPr>
        <w:t>）承包人有本合同通用条款第</w:t>
      </w:r>
      <w:r>
        <w:rPr>
          <w:color w:val="auto"/>
          <w:kern w:val="0"/>
          <w:sz w:val="22"/>
          <w:highlight w:val="none"/>
          <w:u w:val="single"/>
        </w:rPr>
        <w:t>1</w:t>
      </w:r>
      <w:r>
        <w:rPr>
          <w:rFonts w:hint="eastAsia"/>
          <w:color w:val="auto"/>
          <w:kern w:val="0"/>
          <w:sz w:val="22"/>
          <w:highlight w:val="none"/>
          <w:u w:val="single"/>
        </w:rPr>
        <w:t>2</w:t>
      </w:r>
      <w:r>
        <w:rPr>
          <w:color w:val="auto"/>
          <w:kern w:val="0"/>
          <w:sz w:val="22"/>
          <w:highlight w:val="none"/>
          <w:u w:val="single"/>
        </w:rPr>
        <w:t>.2.1</w:t>
      </w:r>
      <w:r>
        <w:rPr>
          <w:rFonts w:hAnsi="宋体"/>
          <w:color w:val="auto"/>
          <w:kern w:val="0"/>
          <w:sz w:val="22"/>
          <w:highlight w:val="none"/>
          <w:u w:val="single"/>
        </w:rPr>
        <w:t>（</w:t>
      </w:r>
      <w:r>
        <w:rPr>
          <w:color w:val="auto"/>
          <w:kern w:val="0"/>
          <w:sz w:val="22"/>
          <w:highlight w:val="none"/>
          <w:u w:val="single"/>
        </w:rPr>
        <w:t>6</w:t>
      </w:r>
      <w:r>
        <w:rPr>
          <w:rFonts w:hAnsi="宋体"/>
          <w:color w:val="auto"/>
          <w:kern w:val="0"/>
          <w:sz w:val="22"/>
          <w:highlight w:val="none"/>
          <w:u w:val="single"/>
        </w:rPr>
        <w:t>）情形的，或经监理人检验认为修复质量不合格而承包人拒绝再进行修补的，发包人将扣除</w:t>
      </w:r>
      <w:r>
        <w:rPr>
          <w:rFonts w:hint="eastAsia" w:hAnsi="宋体"/>
          <w:color w:val="auto"/>
          <w:kern w:val="0"/>
          <w:sz w:val="22"/>
          <w:highlight w:val="none"/>
          <w:u w:val="single"/>
        </w:rPr>
        <w:t>承包人全部工程质量</w:t>
      </w:r>
      <w:r>
        <w:rPr>
          <w:rFonts w:hint="eastAsia" w:ascii="Arial" w:hAnsi="宋体" w:eastAsia="Arial" w:cs="Arial"/>
          <w:snapToGrid w:val="0"/>
          <w:color w:val="auto"/>
          <w:kern w:val="0"/>
          <w:sz w:val="22"/>
          <w:szCs w:val="21"/>
          <w:highlight w:val="none"/>
          <w:u w:val="single"/>
        </w:rPr>
        <w:t>保证金</w:t>
      </w:r>
      <w:r>
        <w:rPr>
          <w:rFonts w:hAnsi="宋体"/>
          <w:color w:val="auto"/>
          <w:kern w:val="0"/>
          <w:sz w:val="22"/>
          <w:highlight w:val="none"/>
          <w:u w:val="single"/>
        </w:rPr>
        <w:t>。</w:t>
      </w:r>
    </w:p>
    <w:p w14:paraId="6A666E3E">
      <w:pPr>
        <w:widowControl/>
        <w:spacing w:after="200" w:line="360" w:lineRule="auto"/>
        <w:ind w:firstLine="440" w:firstLineChars="200"/>
        <w:jc w:val="left"/>
        <w:rPr>
          <w:rFonts w:hAnsi="宋体"/>
          <w:color w:val="auto"/>
          <w:kern w:val="0"/>
          <w:sz w:val="22"/>
          <w:highlight w:val="none"/>
          <w:u w:val="single"/>
        </w:rPr>
      </w:pPr>
      <w:r>
        <w:rPr>
          <w:rFonts w:hAnsi="宋体"/>
          <w:color w:val="auto"/>
          <w:kern w:val="0"/>
          <w:sz w:val="22"/>
          <w:highlight w:val="none"/>
          <w:u w:val="single"/>
        </w:rPr>
        <w:t>（3）承包人有本合同</w:t>
      </w:r>
      <w:r>
        <w:rPr>
          <w:rFonts w:hint="eastAsia" w:hAnsi="宋体"/>
          <w:color w:val="auto"/>
          <w:kern w:val="0"/>
          <w:sz w:val="22"/>
          <w:highlight w:val="none"/>
          <w:u w:val="single"/>
        </w:rPr>
        <w:t>通</w:t>
      </w:r>
      <w:r>
        <w:rPr>
          <w:rFonts w:hAnsi="宋体"/>
          <w:color w:val="auto"/>
          <w:kern w:val="0"/>
          <w:sz w:val="22"/>
          <w:highlight w:val="none"/>
          <w:u w:val="single"/>
        </w:rPr>
        <w:t>用条款3.2、3.3条违约责任的，发包人有权扣除承包人的违约金。违约金金额均在承包人的</w:t>
      </w:r>
      <w:r>
        <w:rPr>
          <w:rFonts w:hint="eastAsia" w:hAnsi="宋体"/>
          <w:color w:val="auto"/>
          <w:kern w:val="0"/>
          <w:sz w:val="22"/>
          <w:highlight w:val="none"/>
          <w:u w:val="single"/>
        </w:rPr>
        <w:t>工程</w:t>
      </w:r>
      <w:r>
        <w:rPr>
          <w:rFonts w:hAnsi="宋体"/>
          <w:color w:val="auto"/>
          <w:kern w:val="0"/>
          <w:sz w:val="22"/>
          <w:highlight w:val="none"/>
          <w:u w:val="single"/>
        </w:rPr>
        <w:t>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0742AABE">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16.2.3 因承包人违约解除合同</w:t>
      </w:r>
    </w:p>
    <w:p w14:paraId="1DCCB222">
      <w:pPr>
        <w:widowControl/>
        <w:spacing w:after="200" w:line="420" w:lineRule="exact"/>
        <w:ind w:firstLine="420" w:firstLineChars="200"/>
        <w:jc w:val="left"/>
        <w:rPr>
          <w:rFonts w:ascii="宋体" w:hAnsi="宋体"/>
          <w:color w:val="auto"/>
          <w:kern w:val="0"/>
          <w:highlight w:val="none"/>
          <w:u w:val="single"/>
        </w:rPr>
      </w:pPr>
      <w:r>
        <w:rPr>
          <w:rFonts w:ascii="宋体" w:hAnsi="宋体"/>
          <w:color w:val="auto"/>
          <w:kern w:val="0"/>
          <w:highlight w:val="none"/>
        </w:rPr>
        <w:t>关于承包人违约解除合同的特别约定：</w:t>
      </w:r>
      <w:r>
        <w:rPr>
          <w:rFonts w:hint="eastAsia" w:ascii="宋体" w:hAnsi="宋体"/>
          <w:color w:val="auto"/>
          <w:kern w:val="0"/>
          <w:highlight w:val="none"/>
          <w:u w:val="single"/>
        </w:rPr>
        <w:t>承包人有违反以下情形之一的，发包人有权解除合同。</w:t>
      </w:r>
    </w:p>
    <w:p w14:paraId="2BD082A7">
      <w:pPr>
        <w:widowControl/>
        <w:numPr>
          <w:ilvl w:val="0"/>
          <w:numId w:val="10"/>
        </w:numPr>
        <w:spacing w:after="200" w:line="420" w:lineRule="exact"/>
        <w:ind w:firstLine="420" w:firstLineChars="200"/>
        <w:jc w:val="left"/>
        <w:rPr>
          <w:rFonts w:ascii="宋体" w:hAnsi="宋体"/>
          <w:color w:val="auto"/>
          <w:kern w:val="0"/>
          <w:highlight w:val="none"/>
        </w:rPr>
      </w:pPr>
      <w:bookmarkStart w:id="730" w:name="_Toc5340"/>
      <w:r>
        <w:rPr>
          <w:rFonts w:hint="eastAsia" w:ascii="宋体" w:hAnsi="宋体"/>
          <w:color w:val="auto"/>
          <w:kern w:val="0"/>
          <w:highlight w:val="none"/>
        </w:rPr>
        <w:t>承包人无正当理由不按开工通知的要求及时进场组织施工和不按签订协议书时商定的进度计划有效地开展施工准备，造成工期延误的。</w:t>
      </w:r>
    </w:p>
    <w:p w14:paraId="445AAAF6">
      <w:pPr>
        <w:widowControl/>
        <w:numPr>
          <w:ilvl w:val="0"/>
          <w:numId w:val="10"/>
        </w:numPr>
        <w:spacing w:after="200" w:line="420" w:lineRule="exact"/>
        <w:ind w:firstLine="420" w:firstLineChars="200"/>
        <w:jc w:val="left"/>
        <w:rPr>
          <w:rFonts w:ascii="宋体" w:hAnsi="宋体"/>
          <w:color w:val="auto"/>
          <w:kern w:val="0"/>
          <w:highlight w:val="none"/>
        </w:rPr>
      </w:pPr>
      <w:r>
        <w:rPr>
          <w:rFonts w:hint="eastAsia" w:ascii="宋体" w:hAnsi="宋体"/>
          <w:color w:val="auto"/>
          <w:kern w:val="0"/>
          <w:highlight w:val="none"/>
        </w:rPr>
        <w:t>承包人违反本合同通用条款第3.5条规定私自将合同或合同的任何部分或任何权利转让给其他人，或私自将工程或工程的一部分分包出去的。</w:t>
      </w:r>
    </w:p>
    <w:p w14:paraId="133E348C">
      <w:pPr>
        <w:widowControl/>
        <w:numPr>
          <w:ilvl w:val="0"/>
          <w:numId w:val="10"/>
        </w:numPr>
        <w:spacing w:after="200" w:line="420" w:lineRule="exact"/>
        <w:ind w:firstLine="420" w:firstLineChars="200"/>
        <w:jc w:val="left"/>
        <w:rPr>
          <w:rFonts w:ascii="宋体" w:hAnsi="宋体"/>
          <w:color w:val="auto"/>
          <w:kern w:val="0"/>
          <w:highlight w:val="none"/>
        </w:rPr>
      </w:pPr>
      <w:r>
        <w:rPr>
          <w:rFonts w:hint="eastAsia" w:ascii="宋体" w:hAnsi="宋体"/>
          <w:color w:val="auto"/>
          <w:kern w:val="0"/>
          <w:highlight w:val="none"/>
        </w:rPr>
        <w:t>未经监理人批准，承包人私自将已按</w:t>
      </w:r>
      <w:r>
        <w:rPr>
          <w:rFonts w:hint="eastAsia" w:ascii="宋体" w:hAnsi="宋体" w:eastAsia="Arial" w:cs="Arial"/>
          <w:snapToGrid w:val="0"/>
          <w:color w:val="auto"/>
          <w:kern w:val="0"/>
          <w:szCs w:val="21"/>
          <w:highlight w:val="none"/>
        </w:rPr>
        <w:t>响应</w:t>
      </w:r>
      <w:r>
        <w:rPr>
          <w:rFonts w:hint="eastAsia" w:ascii="宋体" w:hAnsi="宋体"/>
          <w:color w:val="auto"/>
          <w:kern w:val="0"/>
          <w:highlight w:val="none"/>
        </w:rPr>
        <w:t>文件承诺进入工地的工程设备、施工设备、临时工程或材料撤离工地的。</w:t>
      </w:r>
    </w:p>
    <w:p w14:paraId="3D992E88">
      <w:pPr>
        <w:widowControl/>
        <w:numPr>
          <w:ilvl w:val="0"/>
          <w:numId w:val="10"/>
        </w:numPr>
        <w:spacing w:after="200" w:line="420" w:lineRule="exact"/>
        <w:ind w:firstLine="420" w:firstLineChars="200"/>
        <w:jc w:val="left"/>
        <w:rPr>
          <w:rFonts w:ascii="宋体" w:hAnsi="宋体"/>
          <w:color w:val="auto"/>
          <w:kern w:val="0"/>
          <w:highlight w:val="none"/>
        </w:rPr>
      </w:pPr>
      <w:r>
        <w:rPr>
          <w:rFonts w:hint="eastAsia" w:ascii="宋体" w:hAnsi="宋体"/>
          <w:color w:val="auto"/>
          <w:kern w:val="0"/>
          <w:highlight w:val="none"/>
        </w:rPr>
        <w:t>由于承包人否认合同有效或拒绝履行合同规定的承包人义务，或由于法律、财务等原因导致承包人无法继续履行或实质上已停止履行合同义务的。</w:t>
      </w:r>
    </w:p>
    <w:p w14:paraId="1B6D253B">
      <w:pPr>
        <w:widowControl/>
        <w:numPr>
          <w:ilvl w:val="0"/>
          <w:numId w:val="10"/>
        </w:numPr>
        <w:spacing w:after="200" w:line="420" w:lineRule="exact"/>
        <w:ind w:firstLine="420" w:firstLineChars="200"/>
        <w:jc w:val="left"/>
        <w:rPr>
          <w:rFonts w:ascii="宋体" w:hAnsi="宋体"/>
          <w:color w:val="auto"/>
          <w:kern w:val="0"/>
          <w:highlight w:val="none"/>
        </w:rPr>
      </w:pPr>
      <w:r>
        <w:rPr>
          <w:rFonts w:hint="eastAsia" w:ascii="宋体" w:hAnsi="宋体"/>
          <w:color w:val="auto"/>
          <w:kern w:val="0"/>
          <w:highlight w:val="none"/>
        </w:rPr>
        <w:t>合同签订之日起15日内，承包人无法按合同规定及</w:t>
      </w:r>
      <w:r>
        <w:rPr>
          <w:rFonts w:hint="eastAsia" w:ascii="宋体" w:hAnsi="宋体" w:eastAsia="Arial" w:cs="Arial"/>
          <w:snapToGrid w:val="0"/>
          <w:color w:val="auto"/>
          <w:kern w:val="0"/>
          <w:szCs w:val="21"/>
          <w:highlight w:val="none"/>
        </w:rPr>
        <w:t>响应</w:t>
      </w:r>
      <w:r>
        <w:rPr>
          <w:rFonts w:hint="eastAsia" w:ascii="宋体" w:hAnsi="宋体"/>
          <w:color w:val="auto"/>
          <w:kern w:val="0"/>
          <w:highlight w:val="none"/>
        </w:rPr>
        <w:t>文件的承诺进场经监理工程师认可的全部人员和机械的。</w:t>
      </w:r>
    </w:p>
    <w:p w14:paraId="46DD3563">
      <w:pPr>
        <w:keepNext/>
        <w:keepLines/>
        <w:widowControl/>
        <w:spacing w:before="480" w:line="420" w:lineRule="exact"/>
        <w:jc w:val="left"/>
        <w:outlineLvl w:val="0"/>
        <w:rPr>
          <w:rFonts w:hAnsi="宋体"/>
          <w:b/>
          <w:bCs/>
          <w:color w:val="auto"/>
          <w:kern w:val="44"/>
          <w:highlight w:val="none"/>
        </w:rPr>
      </w:pPr>
      <w:bookmarkStart w:id="731" w:name="_Toc479253829"/>
      <w:bookmarkStart w:id="732" w:name="_Toc480967602"/>
      <w:r>
        <w:rPr>
          <w:rFonts w:hint="eastAsia" w:hAnsi="宋体"/>
          <w:color w:val="auto"/>
          <w:kern w:val="44"/>
          <w:highlight w:val="none"/>
        </w:rPr>
        <w:t xml:space="preserve">    </w:t>
      </w:r>
      <w:r>
        <w:rPr>
          <w:rFonts w:hAnsi="宋体"/>
          <w:color w:val="auto"/>
          <w:kern w:val="44"/>
          <w:highlight w:val="none"/>
        </w:rPr>
        <w:t>发包人继续使用承包人在施工现场的材料、设备、临时工程、承包人文件和由承包人或以其名义编制的其他文件的费用承担方式：</w:t>
      </w:r>
      <w:r>
        <w:rPr>
          <w:rFonts w:hint="eastAsia" w:hAnsi="宋体"/>
          <w:color w:val="auto"/>
          <w:kern w:val="44"/>
          <w:highlight w:val="none"/>
          <w:u w:val="single"/>
        </w:rPr>
        <w:t xml:space="preserve"> 承包人承担   </w:t>
      </w:r>
      <w:r>
        <w:rPr>
          <w:rFonts w:hAnsi="宋体"/>
          <w:color w:val="auto"/>
          <w:kern w:val="44"/>
          <w:highlight w:val="none"/>
        </w:rPr>
        <w:t>。</w:t>
      </w:r>
      <w:bookmarkEnd w:id="731"/>
      <w:bookmarkEnd w:id="732"/>
      <w:r>
        <w:rPr>
          <w:rFonts w:hint="eastAsia" w:hAnsi="宋体"/>
          <w:b/>
          <w:bCs/>
          <w:color w:val="auto"/>
          <w:kern w:val="44"/>
          <w:highlight w:val="none"/>
        </w:rPr>
        <w:t>　</w:t>
      </w:r>
    </w:p>
    <w:p w14:paraId="15E15D8A">
      <w:pPr>
        <w:keepNext/>
        <w:keepLines/>
        <w:widowControl/>
        <w:spacing w:before="480" w:line="420" w:lineRule="exact"/>
        <w:jc w:val="left"/>
        <w:outlineLvl w:val="0"/>
        <w:rPr>
          <w:rFonts w:hAnsi="宋体"/>
          <w:b/>
          <w:bCs/>
          <w:color w:val="auto"/>
          <w:kern w:val="44"/>
          <w:highlight w:val="none"/>
        </w:rPr>
      </w:pPr>
      <w:bookmarkStart w:id="733" w:name="_Toc480967603"/>
      <w:r>
        <w:rPr>
          <w:rFonts w:hAnsi="宋体"/>
          <w:b/>
          <w:bCs/>
          <w:color w:val="auto"/>
          <w:kern w:val="44"/>
          <w:highlight w:val="none"/>
        </w:rPr>
        <w:t>17. 不可抗力</w:t>
      </w:r>
      <w:bookmarkEnd w:id="730"/>
      <w:bookmarkEnd w:id="733"/>
      <w:r>
        <w:rPr>
          <w:rFonts w:hAnsi="宋体"/>
          <w:b/>
          <w:bCs/>
          <w:color w:val="auto"/>
          <w:kern w:val="44"/>
          <w:highlight w:val="none"/>
        </w:rPr>
        <w:t xml:space="preserve"> </w:t>
      </w:r>
    </w:p>
    <w:p w14:paraId="7D050987">
      <w:pPr>
        <w:keepNext/>
        <w:keepLines/>
        <w:widowControl/>
        <w:spacing w:before="480" w:line="420" w:lineRule="exact"/>
        <w:jc w:val="left"/>
        <w:outlineLvl w:val="0"/>
        <w:rPr>
          <w:rFonts w:hAnsi="宋体"/>
          <w:b/>
          <w:bCs/>
          <w:color w:val="auto"/>
          <w:kern w:val="44"/>
          <w:highlight w:val="none"/>
        </w:rPr>
      </w:pPr>
      <w:bookmarkStart w:id="734" w:name="_Toc4606"/>
      <w:bookmarkStart w:id="735" w:name="_Toc480967604"/>
      <w:r>
        <w:rPr>
          <w:rFonts w:hAnsi="宋体"/>
          <w:b/>
          <w:bCs/>
          <w:color w:val="auto"/>
          <w:kern w:val="44"/>
          <w:highlight w:val="none"/>
        </w:rPr>
        <w:t>17.1 不可抗力的确认</w:t>
      </w:r>
      <w:bookmarkEnd w:id="734"/>
      <w:bookmarkEnd w:id="735"/>
    </w:p>
    <w:p w14:paraId="123EBCB1">
      <w:pPr>
        <w:widowControl/>
        <w:autoSpaceDE w:val="0"/>
        <w:autoSpaceDN w:val="0"/>
        <w:adjustRightInd w:val="0"/>
        <w:snapToGrid w:val="0"/>
        <w:spacing w:after="200" w:line="300" w:lineRule="auto"/>
        <w:ind w:left="-525" w:leftChars="-250" w:right="-525" w:rightChars="-250" w:firstLine="770" w:firstLineChars="350"/>
        <w:jc w:val="left"/>
        <w:rPr>
          <w:color w:val="auto"/>
          <w:kern w:val="0"/>
          <w:sz w:val="22"/>
          <w:szCs w:val="22"/>
          <w:highlight w:val="none"/>
          <w:u w:val="single"/>
        </w:rPr>
      </w:pPr>
      <w:r>
        <w:rPr>
          <w:color w:val="auto"/>
          <w:kern w:val="0"/>
          <w:sz w:val="22"/>
          <w:szCs w:val="22"/>
          <w:highlight w:val="none"/>
        </w:rPr>
        <w:t>除通用合同条款约定的不可抗力事件之外，视为不可抗力的其他情形：</w:t>
      </w:r>
      <w:r>
        <w:rPr>
          <w:rFonts w:hint="eastAsia"/>
          <w:color w:val="auto"/>
          <w:kern w:val="0"/>
          <w:sz w:val="22"/>
          <w:szCs w:val="22"/>
          <w:highlight w:val="none"/>
          <w:u w:val="single"/>
        </w:rPr>
        <w:t xml:space="preserve">  无  </w:t>
      </w:r>
      <w:r>
        <w:rPr>
          <w:rFonts w:hint="eastAsia"/>
          <w:color w:val="auto"/>
          <w:kern w:val="0"/>
          <w:sz w:val="22"/>
          <w:szCs w:val="22"/>
          <w:highlight w:val="none"/>
        </w:rPr>
        <w:t>。</w:t>
      </w:r>
    </w:p>
    <w:p w14:paraId="4785FB57">
      <w:pPr>
        <w:keepNext/>
        <w:keepLines/>
        <w:widowControl/>
        <w:spacing w:before="480" w:line="420" w:lineRule="exact"/>
        <w:jc w:val="left"/>
        <w:outlineLvl w:val="0"/>
        <w:rPr>
          <w:rFonts w:hAnsi="宋体"/>
          <w:b/>
          <w:bCs/>
          <w:color w:val="auto"/>
          <w:kern w:val="44"/>
          <w:highlight w:val="none"/>
        </w:rPr>
      </w:pPr>
      <w:bookmarkStart w:id="736" w:name="_Toc5428"/>
      <w:bookmarkStart w:id="737" w:name="_Toc480967605"/>
      <w:r>
        <w:rPr>
          <w:rFonts w:hAnsi="宋体"/>
          <w:b/>
          <w:bCs/>
          <w:color w:val="auto"/>
          <w:kern w:val="44"/>
          <w:highlight w:val="none"/>
        </w:rPr>
        <w:t>17.4 因不可抗力解除合同</w:t>
      </w:r>
      <w:bookmarkEnd w:id="736"/>
      <w:bookmarkEnd w:id="737"/>
    </w:p>
    <w:p w14:paraId="3892BCB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合同解除后，发包人应在商定或确定发包人应支付款项后</w:t>
      </w:r>
      <w:r>
        <w:rPr>
          <w:rFonts w:ascii="宋体" w:hAnsi="宋体"/>
          <w:color w:val="auto"/>
          <w:highlight w:val="none"/>
          <w:u w:val="single"/>
        </w:rPr>
        <w:t xml:space="preserve"> </w:t>
      </w:r>
      <w:r>
        <w:rPr>
          <w:rFonts w:hint="eastAsia" w:ascii="宋体" w:hAnsi="宋体"/>
          <w:color w:val="auto"/>
          <w:highlight w:val="none"/>
          <w:u w:val="single"/>
        </w:rPr>
        <w:t>承包人提出书面申请14</w:t>
      </w:r>
      <w:r>
        <w:rPr>
          <w:rFonts w:ascii="宋体" w:hAnsi="宋体"/>
          <w:color w:val="auto"/>
          <w:highlight w:val="none"/>
        </w:rPr>
        <w:t>天内完成款项的支付。</w:t>
      </w:r>
    </w:p>
    <w:p w14:paraId="42E58E90">
      <w:pPr>
        <w:keepNext/>
        <w:keepLines/>
        <w:widowControl/>
        <w:spacing w:before="480" w:line="420" w:lineRule="exact"/>
        <w:jc w:val="left"/>
        <w:outlineLvl w:val="0"/>
        <w:rPr>
          <w:rFonts w:hAnsi="宋体"/>
          <w:b/>
          <w:bCs/>
          <w:color w:val="auto"/>
          <w:kern w:val="44"/>
          <w:highlight w:val="none"/>
        </w:rPr>
      </w:pPr>
      <w:bookmarkStart w:id="738" w:name="_Toc480967606"/>
      <w:bookmarkStart w:id="739" w:name="_Toc3691"/>
      <w:r>
        <w:rPr>
          <w:rFonts w:hAnsi="宋体"/>
          <w:b/>
          <w:bCs/>
          <w:color w:val="auto"/>
          <w:kern w:val="44"/>
          <w:highlight w:val="none"/>
        </w:rPr>
        <w:t>18. 保险</w:t>
      </w:r>
      <w:bookmarkEnd w:id="738"/>
      <w:bookmarkEnd w:id="739"/>
    </w:p>
    <w:p w14:paraId="40C75A84">
      <w:pPr>
        <w:keepNext/>
        <w:keepLines/>
        <w:widowControl/>
        <w:spacing w:before="480" w:line="420" w:lineRule="exact"/>
        <w:jc w:val="left"/>
        <w:outlineLvl w:val="0"/>
        <w:rPr>
          <w:rFonts w:hAnsi="宋体"/>
          <w:b/>
          <w:bCs/>
          <w:color w:val="auto"/>
          <w:kern w:val="44"/>
          <w:highlight w:val="none"/>
        </w:rPr>
      </w:pPr>
      <w:bookmarkStart w:id="740" w:name="_Toc480967607"/>
      <w:bookmarkStart w:id="741" w:name="_Toc555"/>
      <w:r>
        <w:rPr>
          <w:rFonts w:hAnsi="宋体"/>
          <w:b/>
          <w:bCs/>
          <w:color w:val="auto"/>
          <w:kern w:val="44"/>
          <w:highlight w:val="none"/>
        </w:rPr>
        <w:t>18.1 工程保险</w:t>
      </w:r>
      <w:bookmarkEnd w:id="740"/>
      <w:bookmarkEnd w:id="741"/>
    </w:p>
    <w:p w14:paraId="28BD900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关于工程保险的特别约定：</w:t>
      </w:r>
      <w:r>
        <w:rPr>
          <w:rFonts w:hint="eastAsia" w:ascii="宋体" w:hAnsi="宋体"/>
          <w:color w:val="auto"/>
          <w:kern w:val="0"/>
          <w:highlight w:val="none"/>
          <w:u w:val="single"/>
        </w:rPr>
        <w:t>承包人应投保建筑工程一切险并承担相关费用</w:t>
      </w:r>
      <w:r>
        <w:rPr>
          <w:rFonts w:ascii="宋体" w:hAnsi="宋体"/>
          <w:color w:val="auto"/>
          <w:kern w:val="0"/>
          <w:highlight w:val="none"/>
        </w:rPr>
        <w:t>。</w:t>
      </w:r>
    </w:p>
    <w:p w14:paraId="7654C570">
      <w:pPr>
        <w:keepNext/>
        <w:keepLines/>
        <w:widowControl/>
        <w:spacing w:before="480" w:line="420" w:lineRule="exact"/>
        <w:jc w:val="left"/>
        <w:outlineLvl w:val="0"/>
        <w:rPr>
          <w:rFonts w:hAnsi="宋体"/>
          <w:b/>
          <w:bCs/>
          <w:color w:val="auto"/>
          <w:kern w:val="44"/>
          <w:highlight w:val="none"/>
        </w:rPr>
      </w:pPr>
      <w:bookmarkStart w:id="742" w:name="_Toc4336"/>
      <w:bookmarkStart w:id="743" w:name="_Toc480967608"/>
      <w:r>
        <w:rPr>
          <w:rFonts w:hAnsi="宋体"/>
          <w:b/>
          <w:bCs/>
          <w:color w:val="auto"/>
          <w:kern w:val="44"/>
          <w:highlight w:val="none"/>
        </w:rPr>
        <w:t>18.3 其他保险</w:t>
      </w:r>
      <w:bookmarkEnd w:id="742"/>
      <w:bookmarkEnd w:id="743"/>
    </w:p>
    <w:p w14:paraId="62CEC856">
      <w:pPr>
        <w:widowControl/>
        <w:spacing w:after="200" w:line="420" w:lineRule="exact"/>
        <w:ind w:firstLine="420" w:firstLineChars="200"/>
        <w:jc w:val="left"/>
        <w:rPr>
          <w:rFonts w:ascii="宋体" w:hAnsi="宋体"/>
          <w:color w:val="auto"/>
          <w:kern w:val="0"/>
          <w:highlight w:val="none"/>
        </w:rPr>
      </w:pPr>
      <w:r>
        <w:rPr>
          <w:rFonts w:ascii="宋体" w:hAnsi="宋体"/>
          <w:color w:val="auto"/>
          <w:highlight w:val="none"/>
        </w:rPr>
        <w:t>关于其他保险的约定：</w:t>
      </w:r>
      <w:r>
        <w:rPr>
          <w:rFonts w:hint="eastAsia" w:ascii="宋体" w:hAnsi="宋体"/>
          <w:color w:val="auto"/>
          <w:kern w:val="0"/>
          <w:highlight w:val="none"/>
          <w:u w:val="single"/>
        </w:rPr>
        <w:t>承包人按市建协字【2009】3号文须缴纳建筑意外伤害保险费及根据桂建发〔2023〕6号交纳安全生产责任保险</w:t>
      </w:r>
      <w:r>
        <w:rPr>
          <w:rFonts w:ascii="宋体" w:hAnsi="宋体"/>
          <w:color w:val="auto"/>
          <w:kern w:val="0"/>
          <w:highlight w:val="none"/>
        </w:rPr>
        <w:t>。</w:t>
      </w:r>
    </w:p>
    <w:p w14:paraId="0599FB52">
      <w:pPr>
        <w:widowControl/>
        <w:spacing w:after="200" w:line="420" w:lineRule="exact"/>
        <w:ind w:firstLine="420" w:firstLineChars="200"/>
        <w:jc w:val="left"/>
        <w:rPr>
          <w:rFonts w:ascii="宋体" w:hAnsi="宋体"/>
          <w:color w:val="auto"/>
          <w:kern w:val="0"/>
          <w:highlight w:val="none"/>
        </w:rPr>
      </w:pPr>
      <w:r>
        <w:rPr>
          <w:rFonts w:ascii="宋体" w:hAnsi="宋体"/>
          <w:color w:val="auto"/>
          <w:highlight w:val="none"/>
        </w:rPr>
        <w:t>承包人是否应为其施工设备等办理财产保险：</w:t>
      </w:r>
      <w:r>
        <w:rPr>
          <w:rFonts w:hint="eastAsia" w:ascii="宋体" w:hAnsi="宋体"/>
          <w:color w:val="auto"/>
          <w:highlight w:val="none"/>
          <w:u w:val="single"/>
        </w:rPr>
        <w:t xml:space="preserve"> 执行，无特殊约定 </w:t>
      </w:r>
      <w:r>
        <w:rPr>
          <w:rFonts w:ascii="宋体" w:hAnsi="宋体"/>
          <w:color w:val="auto"/>
          <w:highlight w:val="none"/>
        </w:rPr>
        <w:t>。</w:t>
      </w:r>
    </w:p>
    <w:p w14:paraId="270C700F">
      <w:pPr>
        <w:keepNext/>
        <w:keepLines/>
        <w:widowControl/>
        <w:spacing w:before="480" w:line="420" w:lineRule="exact"/>
        <w:jc w:val="left"/>
        <w:outlineLvl w:val="0"/>
        <w:rPr>
          <w:rFonts w:hAnsi="宋体"/>
          <w:b/>
          <w:bCs/>
          <w:color w:val="auto"/>
          <w:kern w:val="44"/>
          <w:highlight w:val="none"/>
        </w:rPr>
      </w:pPr>
      <w:bookmarkStart w:id="744" w:name="_Toc480967609"/>
      <w:bookmarkStart w:id="745" w:name="_Toc19973"/>
      <w:r>
        <w:rPr>
          <w:rFonts w:hAnsi="宋体"/>
          <w:b/>
          <w:bCs/>
          <w:color w:val="auto"/>
          <w:kern w:val="44"/>
          <w:highlight w:val="none"/>
        </w:rPr>
        <w:t>18.7 通知义务</w:t>
      </w:r>
      <w:bookmarkEnd w:id="744"/>
      <w:bookmarkEnd w:id="745"/>
    </w:p>
    <w:p w14:paraId="352C473A">
      <w:pPr>
        <w:widowControl/>
        <w:spacing w:after="200" w:line="420" w:lineRule="exact"/>
        <w:ind w:firstLine="420" w:firstLineChars="200"/>
        <w:jc w:val="left"/>
        <w:rPr>
          <w:rFonts w:ascii="宋体" w:hAnsi="宋体"/>
          <w:color w:val="auto"/>
          <w:highlight w:val="none"/>
        </w:rPr>
      </w:pPr>
      <w:r>
        <w:rPr>
          <w:rFonts w:ascii="宋体" w:hAnsi="宋体"/>
          <w:color w:val="auto"/>
          <w:kern w:val="0"/>
          <w:highlight w:val="none"/>
        </w:rPr>
        <w:t>关于变更保险合同时的通知义务的约定：</w:t>
      </w:r>
      <w:r>
        <w:rPr>
          <w:rFonts w:ascii="宋体" w:hAnsi="宋体"/>
          <w:color w:val="auto"/>
          <w:highlight w:val="none"/>
          <w:u w:val="single"/>
        </w:rPr>
        <w:t xml:space="preserve"> </w:t>
      </w:r>
      <w:r>
        <w:rPr>
          <w:rFonts w:hint="eastAsia" w:ascii="宋体" w:hAnsi="宋体"/>
          <w:color w:val="auto"/>
          <w:highlight w:val="none"/>
          <w:u w:val="single"/>
        </w:rPr>
        <w:t xml:space="preserve">按通用条款  </w:t>
      </w:r>
      <w:r>
        <w:rPr>
          <w:rFonts w:ascii="宋体" w:hAnsi="宋体"/>
          <w:color w:val="auto"/>
          <w:highlight w:val="none"/>
        </w:rPr>
        <w:t>。</w:t>
      </w:r>
    </w:p>
    <w:p w14:paraId="3C0952AE">
      <w:pPr>
        <w:keepNext/>
        <w:keepLines/>
        <w:widowControl/>
        <w:spacing w:before="480" w:line="420" w:lineRule="exact"/>
        <w:jc w:val="left"/>
        <w:outlineLvl w:val="0"/>
        <w:rPr>
          <w:rFonts w:hAnsi="宋体"/>
          <w:b/>
          <w:bCs/>
          <w:color w:val="auto"/>
          <w:kern w:val="44"/>
          <w:highlight w:val="none"/>
        </w:rPr>
      </w:pPr>
      <w:bookmarkStart w:id="746" w:name="_Toc480967610"/>
      <w:bookmarkStart w:id="747" w:name="_Toc9283"/>
      <w:r>
        <w:rPr>
          <w:rFonts w:hAnsi="宋体"/>
          <w:b/>
          <w:bCs/>
          <w:color w:val="auto"/>
          <w:kern w:val="44"/>
          <w:highlight w:val="none"/>
        </w:rPr>
        <w:t>20. 争议解决</w:t>
      </w:r>
      <w:bookmarkEnd w:id="746"/>
      <w:bookmarkEnd w:id="747"/>
    </w:p>
    <w:p w14:paraId="2F133378">
      <w:pPr>
        <w:keepNext/>
        <w:keepLines/>
        <w:widowControl/>
        <w:spacing w:before="480" w:line="420" w:lineRule="exact"/>
        <w:jc w:val="left"/>
        <w:outlineLvl w:val="0"/>
        <w:rPr>
          <w:rFonts w:hAnsi="宋体"/>
          <w:b/>
          <w:bCs/>
          <w:color w:val="auto"/>
          <w:kern w:val="44"/>
          <w:highlight w:val="none"/>
        </w:rPr>
      </w:pPr>
      <w:bookmarkStart w:id="748" w:name="_Toc480967611"/>
      <w:bookmarkStart w:id="749" w:name="_Toc23558"/>
      <w:r>
        <w:rPr>
          <w:rFonts w:hAnsi="宋体"/>
          <w:b/>
          <w:bCs/>
          <w:color w:val="auto"/>
          <w:kern w:val="44"/>
          <w:highlight w:val="none"/>
        </w:rPr>
        <w:t>20.3 争议评审</w:t>
      </w:r>
      <w:bookmarkEnd w:id="748"/>
      <w:bookmarkEnd w:id="749"/>
    </w:p>
    <w:p w14:paraId="727BD269">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合同当事人是否同意将工程争议提交争议评审小组决定：</w:t>
      </w:r>
      <w:r>
        <w:rPr>
          <w:rFonts w:hint="eastAsia" w:ascii="宋体" w:hAnsi="宋体"/>
          <w:color w:val="auto"/>
          <w:highlight w:val="none"/>
          <w:u w:val="single"/>
        </w:rPr>
        <w:t>否</w:t>
      </w:r>
      <w:r>
        <w:rPr>
          <w:rFonts w:ascii="宋体" w:hAnsi="宋体"/>
          <w:color w:val="auto"/>
          <w:highlight w:val="none"/>
        </w:rPr>
        <w:t xml:space="preserve">。  </w:t>
      </w:r>
    </w:p>
    <w:p w14:paraId="102BFCC3">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20.3.1 争议评审小组的确定</w:t>
      </w:r>
    </w:p>
    <w:p w14:paraId="7C44AE27">
      <w:pPr>
        <w:widowControl/>
        <w:spacing w:after="200" w:line="420" w:lineRule="exact"/>
        <w:ind w:firstLine="420" w:firstLineChars="200"/>
        <w:jc w:val="left"/>
        <w:rPr>
          <w:rFonts w:ascii="宋体" w:hAnsi="宋体"/>
          <w:color w:val="auto"/>
          <w:highlight w:val="none"/>
          <w:u w:val="single"/>
        </w:rPr>
      </w:pPr>
      <w:r>
        <w:rPr>
          <w:rFonts w:ascii="宋体" w:hAnsi="宋体"/>
          <w:color w:val="auto"/>
          <w:highlight w:val="none"/>
        </w:rPr>
        <w:t>争议评审小组成员的确定：</w:t>
      </w:r>
      <w:r>
        <w:rPr>
          <w:rFonts w:hint="eastAsia" w:ascii="宋体" w:hAnsi="宋体"/>
          <w:color w:val="auto"/>
          <w:highlight w:val="none"/>
          <w:u w:val="single"/>
        </w:rPr>
        <w:t xml:space="preserve">            无                </w:t>
      </w:r>
      <w:r>
        <w:rPr>
          <w:rFonts w:ascii="宋体" w:hAnsi="宋体"/>
          <w:color w:val="auto"/>
          <w:highlight w:val="none"/>
        </w:rPr>
        <w:t>。</w:t>
      </w:r>
    </w:p>
    <w:p w14:paraId="04EEE006">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选定争议评审员的期限：</w:t>
      </w:r>
      <w:r>
        <w:rPr>
          <w:rFonts w:hint="eastAsia" w:ascii="宋体" w:hAnsi="宋体"/>
          <w:color w:val="auto"/>
          <w:highlight w:val="none"/>
          <w:u w:val="single"/>
        </w:rPr>
        <w:t xml:space="preserve">            无               </w:t>
      </w:r>
      <w:r>
        <w:rPr>
          <w:rFonts w:ascii="宋体" w:hAnsi="宋体"/>
          <w:color w:val="auto"/>
          <w:highlight w:val="none"/>
        </w:rPr>
        <w:t>。</w:t>
      </w:r>
    </w:p>
    <w:p w14:paraId="2A74DD37">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争议评审小组成员的报酬承担方式：</w:t>
      </w:r>
      <w:r>
        <w:rPr>
          <w:rFonts w:hint="eastAsia" w:ascii="宋体" w:hAnsi="宋体"/>
          <w:color w:val="auto"/>
          <w:highlight w:val="none"/>
          <w:u w:val="single"/>
        </w:rPr>
        <w:t xml:space="preserve">    无             </w:t>
      </w:r>
      <w:r>
        <w:rPr>
          <w:rFonts w:ascii="宋体" w:hAnsi="宋体"/>
          <w:color w:val="auto"/>
          <w:highlight w:val="none"/>
        </w:rPr>
        <w:t>。</w:t>
      </w:r>
    </w:p>
    <w:p w14:paraId="58D7282F">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其他事项的约定：</w:t>
      </w:r>
      <w:r>
        <w:rPr>
          <w:rFonts w:hint="eastAsia" w:ascii="宋体" w:hAnsi="宋体"/>
          <w:color w:val="auto"/>
          <w:highlight w:val="none"/>
          <w:u w:val="single"/>
        </w:rPr>
        <w:t xml:space="preserve">                    无               </w:t>
      </w:r>
      <w:r>
        <w:rPr>
          <w:rFonts w:ascii="宋体" w:hAnsi="宋体"/>
          <w:color w:val="auto"/>
          <w:highlight w:val="none"/>
        </w:rPr>
        <w:t>。</w:t>
      </w:r>
    </w:p>
    <w:p w14:paraId="31A9176F">
      <w:pPr>
        <w:widowControl/>
        <w:spacing w:after="200" w:line="420" w:lineRule="exact"/>
        <w:ind w:firstLine="420" w:firstLineChars="200"/>
        <w:jc w:val="left"/>
        <w:rPr>
          <w:rFonts w:ascii="宋体" w:hAnsi="宋体"/>
          <w:color w:val="auto"/>
          <w:kern w:val="0"/>
          <w:highlight w:val="none"/>
        </w:rPr>
      </w:pPr>
      <w:r>
        <w:rPr>
          <w:rFonts w:ascii="宋体" w:hAnsi="宋体"/>
          <w:color w:val="auto"/>
          <w:kern w:val="0"/>
          <w:highlight w:val="none"/>
        </w:rPr>
        <w:t>20.3.2 争议评审小组的决定</w:t>
      </w:r>
    </w:p>
    <w:p w14:paraId="43A5451D">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合同当事人关于本项的约定：</w:t>
      </w:r>
      <w:r>
        <w:rPr>
          <w:rFonts w:hint="eastAsia" w:ascii="宋体" w:hAnsi="宋体"/>
          <w:color w:val="auto"/>
          <w:highlight w:val="none"/>
          <w:u w:val="single"/>
        </w:rPr>
        <w:t xml:space="preserve">           无             </w:t>
      </w:r>
      <w:r>
        <w:rPr>
          <w:rFonts w:ascii="宋体" w:hAnsi="宋体"/>
          <w:color w:val="auto"/>
          <w:highlight w:val="none"/>
        </w:rPr>
        <w:t>。</w:t>
      </w:r>
    </w:p>
    <w:p w14:paraId="3E0EB9BF">
      <w:pPr>
        <w:keepNext/>
        <w:keepLines/>
        <w:widowControl/>
        <w:spacing w:before="480" w:line="420" w:lineRule="exact"/>
        <w:jc w:val="left"/>
        <w:outlineLvl w:val="0"/>
        <w:rPr>
          <w:rFonts w:hAnsi="宋体"/>
          <w:b/>
          <w:bCs/>
          <w:color w:val="auto"/>
          <w:kern w:val="44"/>
          <w:highlight w:val="none"/>
        </w:rPr>
      </w:pPr>
      <w:bookmarkStart w:id="750" w:name="_Toc7287"/>
      <w:bookmarkStart w:id="751" w:name="_Toc480967612"/>
      <w:r>
        <w:rPr>
          <w:rFonts w:hAnsi="宋体"/>
          <w:b/>
          <w:bCs/>
          <w:color w:val="auto"/>
          <w:kern w:val="44"/>
          <w:highlight w:val="none"/>
        </w:rPr>
        <w:t>20.4仲裁或诉讼</w:t>
      </w:r>
      <w:bookmarkEnd w:id="750"/>
      <w:bookmarkEnd w:id="751"/>
    </w:p>
    <w:p w14:paraId="7EB74C52">
      <w:pPr>
        <w:widowControl/>
        <w:spacing w:after="200" w:line="420" w:lineRule="exact"/>
        <w:ind w:firstLine="420" w:firstLineChars="200"/>
        <w:jc w:val="left"/>
        <w:rPr>
          <w:rFonts w:ascii="宋体" w:hAnsi="宋体"/>
          <w:color w:val="auto"/>
          <w:highlight w:val="none"/>
        </w:rPr>
      </w:pPr>
      <w:r>
        <w:rPr>
          <w:rFonts w:ascii="宋体" w:hAnsi="宋体"/>
          <w:color w:val="auto"/>
          <w:highlight w:val="none"/>
        </w:rPr>
        <w:t>因合同及合同有关事项发生的争议，按下列第</w:t>
      </w:r>
      <w:r>
        <w:rPr>
          <w:rFonts w:ascii="宋体" w:hAnsi="宋体"/>
          <w:color w:val="auto"/>
          <w:highlight w:val="none"/>
          <w:u w:val="single"/>
        </w:rPr>
        <w:t xml:space="preserve"> </w:t>
      </w:r>
      <w:r>
        <w:rPr>
          <w:rFonts w:hint="eastAsia" w:ascii="宋体" w:hAnsi="宋体"/>
          <w:color w:val="auto"/>
          <w:highlight w:val="none"/>
          <w:u w:val="single"/>
        </w:rPr>
        <w:t>2</w:t>
      </w:r>
      <w:r>
        <w:rPr>
          <w:rFonts w:ascii="宋体" w:hAnsi="宋体"/>
          <w:color w:val="auto"/>
          <w:highlight w:val="none"/>
          <w:u w:val="single"/>
        </w:rPr>
        <w:t xml:space="preserve"> </w:t>
      </w:r>
      <w:r>
        <w:rPr>
          <w:rFonts w:ascii="宋体" w:hAnsi="宋体"/>
          <w:color w:val="auto"/>
          <w:highlight w:val="none"/>
        </w:rPr>
        <w:t>种方式解决：</w:t>
      </w:r>
    </w:p>
    <w:p w14:paraId="2A3CC7D3">
      <w:pPr>
        <w:widowControl/>
        <w:numPr>
          <w:ilvl w:val="0"/>
          <w:numId w:val="11"/>
        </w:numPr>
        <w:spacing w:after="200" w:line="420" w:lineRule="exact"/>
        <w:ind w:firstLine="420" w:firstLineChars="200"/>
        <w:jc w:val="left"/>
        <w:rPr>
          <w:rFonts w:ascii="宋体" w:hAnsi="宋体"/>
          <w:color w:val="auto"/>
          <w:highlight w:val="none"/>
        </w:rPr>
      </w:pPr>
      <w:r>
        <w:rPr>
          <w:rFonts w:hint="eastAsia" w:ascii="宋体" w:hAnsi="宋体"/>
          <w:color w:val="auto"/>
          <w:highlight w:val="none"/>
        </w:rPr>
        <w:t>向</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仲裁委员会</w:t>
      </w:r>
      <w:r>
        <w:rPr>
          <w:rFonts w:hint="eastAsia" w:ascii="宋体" w:hAnsi="宋体"/>
          <w:color w:val="auto"/>
          <w:highlight w:val="none"/>
        </w:rPr>
        <w:t>申请</w:t>
      </w:r>
      <w:r>
        <w:rPr>
          <w:rFonts w:ascii="宋体" w:hAnsi="宋体"/>
          <w:color w:val="auto"/>
          <w:highlight w:val="none"/>
        </w:rPr>
        <w:t>仲裁</w:t>
      </w:r>
      <w:r>
        <w:rPr>
          <w:rFonts w:hint="eastAsia" w:ascii="宋体" w:hAnsi="宋体"/>
          <w:color w:val="auto"/>
          <w:highlight w:val="none"/>
        </w:rPr>
        <w:t>；</w:t>
      </w:r>
    </w:p>
    <w:p w14:paraId="4EE9DC29">
      <w:pPr>
        <w:widowControl/>
        <w:numPr>
          <w:ilvl w:val="0"/>
          <w:numId w:val="11"/>
        </w:numPr>
        <w:spacing w:after="200" w:line="420" w:lineRule="exact"/>
        <w:ind w:firstLine="420"/>
        <w:jc w:val="left"/>
        <w:rPr>
          <w:rFonts w:ascii="宋体" w:hAnsi="宋体"/>
          <w:color w:val="auto"/>
          <w:highlight w:val="none"/>
        </w:rPr>
      </w:pPr>
      <w:r>
        <w:rPr>
          <w:rFonts w:ascii="宋体" w:hAnsi="宋体"/>
          <w:color w:val="auto"/>
          <w:highlight w:val="none"/>
        </w:rPr>
        <w:t>向</w:t>
      </w:r>
      <w:r>
        <w:rPr>
          <w:rFonts w:hint="eastAsia" w:ascii="宋体" w:hAnsi="宋体"/>
          <w:color w:val="auto"/>
          <w:highlight w:val="none"/>
          <w:u w:val="single"/>
        </w:rPr>
        <w:t>本工程辖区内</w:t>
      </w:r>
      <w:r>
        <w:rPr>
          <w:rFonts w:ascii="宋体" w:hAnsi="宋体"/>
          <w:color w:val="auto"/>
          <w:highlight w:val="none"/>
        </w:rPr>
        <w:t>人民法院起诉。</w:t>
      </w:r>
      <w:bookmarkEnd w:id="557"/>
    </w:p>
    <w:bookmarkEnd w:id="114"/>
    <w:bookmarkEnd w:id="115"/>
    <w:bookmarkEnd w:id="116"/>
    <w:bookmarkEnd w:id="117"/>
    <w:bookmarkEnd w:id="118"/>
    <w:bookmarkEnd w:id="119"/>
    <w:bookmarkEnd w:id="120"/>
    <w:bookmarkEnd w:id="121"/>
    <w:bookmarkEnd w:id="122"/>
    <w:p w14:paraId="1B45850F">
      <w:pPr>
        <w:pStyle w:val="227"/>
        <w:rPr>
          <w:color w:val="auto"/>
          <w:highlight w:val="none"/>
        </w:rPr>
      </w:pPr>
      <w:r>
        <w:rPr>
          <w:rFonts w:hint="eastAsia"/>
          <w:color w:val="auto"/>
          <w:highlight w:val="none"/>
        </w:rPr>
        <w:t>附件：</w:t>
      </w:r>
    </w:p>
    <w:p w14:paraId="1FE1E203">
      <w:pPr>
        <w:pStyle w:val="227"/>
        <w:rPr>
          <w:color w:val="auto"/>
          <w:highlight w:val="none"/>
        </w:rPr>
      </w:pPr>
      <w:r>
        <w:rPr>
          <w:rFonts w:hint="eastAsia"/>
          <w:color w:val="auto"/>
          <w:highlight w:val="none"/>
        </w:rPr>
        <w:t>1.承包人承揽工程项目一览表</w:t>
      </w:r>
    </w:p>
    <w:p w14:paraId="173E0B30">
      <w:pPr>
        <w:pStyle w:val="227"/>
        <w:rPr>
          <w:color w:val="auto"/>
          <w:highlight w:val="none"/>
        </w:rPr>
      </w:pPr>
      <w:r>
        <w:rPr>
          <w:rFonts w:hint="eastAsia"/>
          <w:color w:val="auto"/>
          <w:highlight w:val="none"/>
        </w:rPr>
        <w:t>2.发包人供应材料设备一览表</w:t>
      </w:r>
    </w:p>
    <w:p w14:paraId="52A36126">
      <w:pPr>
        <w:pStyle w:val="227"/>
        <w:rPr>
          <w:color w:val="auto"/>
          <w:highlight w:val="none"/>
        </w:rPr>
      </w:pPr>
      <w:r>
        <w:rPr>
          <w:rFonts w:hint="eastAsia"/>
          <w:color w:val="auto"/>
          <w:highlight w:val="none"/>
        </w:rPr>
        <w:t>3.承包人主要施工管理人员表</w:t>
      </w:r>
    </w:p>
    <w:p w14:paraId="0A60F401">
      <w:pPr>
        <w:pStyle w:val="227"/>
        <w:rPr>
          <w:color w:val="auto"/>
          <w:highlight w:val="none"/>
        </w:rPr>
      </w:pPr>
      <w:r>
        <w:rPr>
          <w:rFonts w:hint="eastAsia"/>
          <w:color w:val="auto"/>
          <w:highlight w:val="none"/>
        </w:rPr>
        <w:t>4.工程质量保修书</w:t>
      </w:r>
    </w:p>
    <w:p w14:paraId="49383293">
      <w:pPr>
        <w:pStyle w:val="227"/>
        <w:rPr>
          <w:color w:val="auto"/>
          <w:highlight w:val="none"/>
        </w:rPr>
      </w:pPr>
      <w:r>
        <w:rPr>
          <w:rFonts w:hint="eastAsia"/>
          <w:color w:val="auto"/>
          <w:highlight w:val="none"/>
        </w:rPr>
        <w:t>5.主要建设工程文件目录</w:t>
      </w:r>
    </w:p>
    <w:p w14:paraId="06519575">
      <w:pPr>
        <w:pStyle w:val="227"/>
        <w:rPr>
          <w:color w:val="auto"/>
          <w:highlight w:val="none"/>
        </w:rPr>
      </w:pPr>
      <w:r>
        <w:rPr>
          <w:rFonts w:hint="eastAsia"/>
          <w:color w:val="auto"/>
          <w:highlight w:val="none"/>
        </w:rPr>
        <w:t>6.承包人用于本工程施工的机械设备表</w:t>
      </w:r>
    </w:p>
    <w:p w14:paraId="7E237587">
      <w:pPr>
        <w:pStyle w:val="227"/>
        <w:rPr>
          <w:color w:val="auto"/>
          <w:highlight w:val="none"/>
        </w:rPr>
      </w:pPr>
      <w:r>
        <w:rPr>
          <w:rFonts w:hint="eastAsia"/>
          <w:color w:val="auto"/>
          <w:highlight w:val="none"/>
        </w:rPr>
        <w:t>7.广西壮族自治区建设工程安全文明施工措施项目清单内容</w:t>
      </w:r>
    </w:p>
    <w:p w14:paraId="6465091E">
      <w:pPr>
        <w:pStyle w:val="227"/>
        <w:rPr>
          <w:color w:val="auto"/>
          <w:highlight w:val="none"/>
        </w:rPr>
      </w:pPr>
      <w:r>
        <w:rPr>
          <w:rFonts w:hint="eastAsia"/>
          <w:color w:val="auto"/>
          <w:highlight w:val="none"/>
        </w:rPr>
        <w:t>8.履约担保</w:t>
      </w:r>
    </w:p>
    <w:p w14:paraId="30D7007D">
      <w:pPr>
        <w:pStyle w:val="227"/>
        <w:rPr>
          <w:color w:val="auto"/>
          <w:highlight w:val="none"/>
        </w:rPr>
      </w:pPr>
      <w:r>
        <w:rPr>
          <w:rFonts w:hint="eastAsia"/>
          <w:color w:val="auto"/>
          <w:highlight w:val="none"/>
        </w:rPr>
        <w:t>9.履约保函</w:t>
      </w:r>
    </w:p>
    <w:p w14:paraId="00A624BB">
      <w:pPr>
        <w:pStyle w:val="227"/>
        <w:rPr>
          <w:color w:val="auto"/>
          <w:highlight w:val="none"/>
        </w:rPr>
      </w:pPr>
      <w:r>
        <w:rPr>
          <w:rFonts w:hint="eastAsia"/>
          <w:color w:val="auto"/>
          <w:highlight w:val="none"/>
        </w:rPr>
        <w:t>10.预付款担保及预付款保函</w:t>
      </w:r>
    </w:p>
    <w:p w14:paraId="2EF6258F">
      <w:pPr>
        <w:pStyle w:val="227"/>
        <w:rPr>
          <w:color w:val="auto"/>
          <w:highlight w:val="none"/>
        </w:rPr>
      </w:pPr>
      <w:r>
        <w:rPr>
          <w:rFonts w:hint="eastAsia"/>
          <w:color w:val="auto"/>
          <w:highlight w:val="none"/>
        </w:rPr>
        <w:t>11.暂估价一览表</w:t>
      </w:r>
    </w:p>
    <w:p w14:paraId="7A997594">
      <w:pPr>
        <w:pStyle w:val="227"/>
        <w:rPr>
          <w:color w:val="auto"/>
          <w:highlight w:val="none"/>
        </w:rPr>
      </w:pPr>
      <w:r>
        <w:rPr>
          <w:rFonts w:hint="eastAsia"/>
          <w:color w:val="auto"/>
          <w:highlight w:val="none"/>
        </w:rPr>
        <w:t>12.允许调整价格的主要材料和工程设备一览表</w:t>
      </w:r>
    </w:p>
    <w:bookmarkEnd w:id="113"/>
    <w:p w14:paraId="4AE741A6">
      <w:pPr>
        <w:pStyle w:val="227"/>
        <w:rPr>
          <w:color w:val="auto"/>
          <w:highlight w:val="none"/>
        </w:rPr>
        <w:sectPr>
          <w:footerReference r:id="rId11" w:type="first"/>
          <w:headerReference r:id="rId8" w:type="default"/>
          <w:footerReference r:id="rId9" w:type="default"/>
          <w:footerReference r:id="rId10" w:type="even"/>
          <w:pgSz w:w="11906" w:h="16838"/>
          <w:pgMar w:top="840" w:right="1006" w:bottom="1440" w:left="1020" w:header="851" w:footer="992" w:gutter="0"/>
          <w:cols w:space="720" w:num="1"/>
          <w:docGrid w:type="lines" w:linePitch="312" w:charSpace="0"/>
        </w:sectPr>
      </w:pPr>
    </w:p>
    <w:p w14:paraId="1D3798BC">
      <w:pPr>
        <w:pStyle w:val="227"/>
        <w:rPr>
          <w:color w:val="auto"/>
          <w:highlight w:val="none"/>
        </w:rPr>
      </w:pPr>
      <w:r>
        <w:rPr>
          <w:rFonts w:hint="eastAsia"/>
          <w:color w:val="auto"/>
          <w:highlight w:val="none"/>
        </w:rPr>
        <w:t>附件1：</w:t>
      </w:r>
    </w:p>
    <w:p w14:paraId="6959E88E">
      <w:pPr>
        <w:pStyle w:val="227"/>
        <w:ind w:firstLine="422"/>
        <w:jc w:val="center"/>
        <w:rPr>
          <w:color w:val="auto"/>
          <w:highlight w:val="none"/>
        </w:rPr>
      </w:pPr>
      <w:r>
        <w:rPr>
          <w:rFonts w:hint="eastAsia"/>
          <w:b/>
          <w:bCs/>
          <w:color w:val="auto"/>
          <w:highlight w:val="none"/>
        </w:rPr>
        <w:t>承包人承揽工程项目一览表</w:t>
      </w:r>
    </w:p>
    <w:tbl>
      <w:tblPr>
        <w:tblStyle w:val="45"/>
        <w:tblW w:w="10228" w:type="dxa"/>
        <w:jc w:val="center"/>
        <w:tblLayout w:type="fixed"/>
        <w:tblCellMar>
          <w:top w:w="0" w:type="dxa"/>
          <w:left w:w="0" w:type="dxa"/>
          <w:bottom w:w="0" w:type="dxa"/>
          <w:right w:w="0" w:type="dxa"/>
        </w:tblCellMar>
      </w:tblPr>
      <w:tblGrid>
        <w:gridCol w:w="1186"/>
        <w:gridCol w:w="640"/>
        <w:gridCol w:w="1225"/>
        <w:gridCol w:w="735"/>
        <w:gridCol w:w="700"/>
        <w:gridCol w:w="660"/>
        <w:gridCol w:w="720"/>
        <w:gridCol w:w="1527"/>
        <w:gridCol w:w="1276"/>
        <w:gridCol w:w="1559"/>
      </w:tblGrid>
      <w:tr w14:paraId="0C1C16F9">
        <w:tblPrEx>
          <w:tblCellMar>
            <w:top w:w="0" w:type="dxa"/>
            <w:left w:w="0" w:type="dxa"/>
            <w:bottom w:w="0" w:type="dxa"/>
            <w:right w:w="0" w:type="dxa"/>
          </w:tblCellMar>
        </w:tblPrEx>
        <w:trPr>
          <w:trHeight w:val="1115" w:hRule="atLeast"/>
          <w:jc w:val="center"/>
        </w:trPr>
        <w:tc>
          <w:tcPr>
            <w:tcW w:w="1186"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317850C9">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单位工程名称</w:t>
            </w:r>
          </w:p>
        </w:tc>
        <w:tc>
          <w:tcPr>
            <w:tcW w:w="6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BF76A95">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建设规模</w:t>
            </w:r>
          </w:p>
        </w:tc>
        <w:tc>
          <w:tcPr>
            <w:tcW w:w="122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1F801BE">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建筑面积</w:t>
            </w:r>
            <w:r>
              <w:rPr>
                <w:rFonts w:ascii="宋体" w:hAnsi="宋体" w:cs="宋体"/>
                <w:color w:val="auto"/>
                <w:kern w:val="0"/>
                <w:sz w:val="28"/>
                <w:szCs w:val="20"/>
                <w:highlight w:val="none"/>
              </w:rPr>
              <w:t>（</w:t>
            </w:r>
            <w:r>
              <w:rPr>
                <w:rFonts w:hint="eastAsia" w:ascii="宋体" w:hAnsi="宋体" w:cs="宋体"/>
                <w:color w:val="auto"/>
                <w:kern w:val="0"/>
                <w:sz w:val="28"/>
                <w:szCs w:val="20"/>
                <w:highlight w:val="none"/>
              </w:rPr>
              <w:t>平方米</w:t>
            </w:r>
            <w:r>
              <w:rPr>
                <w:rFonts w:ascii="宋体" w:hAnsi="宋体" w:cs="宋体"/>
                <w:color w:val="auto"/>
                <w:kern w:val="0"/>
                <w:sz w:val="28"/>
                <w:szCs w:val="20"/>
                <w:highlight w:val="none"/>
              </w:rPr>
              <w:t>）</w:t>
            </w:r>
          </w:p>
        </w:tc>
        <w:tc>
          <w:tcPr>
            <w:tcW w:w="73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626B62C5">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结构形式</w:t>
            </w:r>
          </w:p>
        </w:tc>
        <w:tc>
          <w:tcPr>
            <w:tcW w:w="70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7DF926E">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层数</w:t>
            </w:r>
          </w:p>
        </w:tc>
        <w:tc>
          <w:tcPr>
            <w:tcW w:w="66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4BB46068">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生产能力</w:t>
            </w:r>
          </w:p>
        </w:tc>
        <w:tc>
          <w:tcPr>
            <w:tcW w:w="72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428FDE05">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设备安装内容</w:t>
            </w:r>
          </w:p>
        </w:tc>
        <w:tc>
          <w:tcPr>
            <w:tcW w:w="1527"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18549CC">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合同价格（元）</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39D1C100">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开工日期</w:t>
            </w:r>
          </w:p>
        </w:tc>
        <w:tc>
          <w:tcPr>
            <w:tcW w:w="1559"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753A932A">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竣工日期</w:t>
            </w:r>
          </w:p>
        </w:tc>
      </w:tr>
      <w:tr w14:paraId="0A088830">
        <w:tblPrEx>
          <w:tblCellMar>
            <w:top w:w="0" w:type="dxa"/>
            <w:left w:w="0" w:type="dxa"/>
            <w:bottom w:w="0" w:type="dxa"/>
            <w:right w:w="0" w:type="dxa"/>
          </w:tblCellMar>
        </w:tblPrEx>
        <w:trPr>
          <w:trHeight w:val="602" w:hRule="atLeast"/>
          <w:jc w:val="center"/>
        </w:trPr>
        <w:tc>
          <w:tcPr>
            <w:tcW w:w="1186"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E83EB34">
            <w:pPr>
              <w:jc w:val="center"/>
              <w:rPr>
                <w:rFonts w:ascii="宋体" w:cs="宋体"/>
                <w:color w:val="auto"/>
                <w:kern w:val="0"/>
                <w:sz w:val="24"/>
                <w:highlight w:val="none"/>
              </w:rPr>
            </w:pPr>
            <w:r>
              <w:rPr>
                <w:rFonts w:ascii="宋体" w:hAnsi="宋体" w:cs="宋体"/>
                <w:color w:val="auto"/>
                <w:kern w:val="0"/>
                <w:highlight w:val="none"/>
              </w:rPr>
              <w:t xml:space="preserve">                          </w:t>
            </w:r>
          </w:p>
        </w:tc>
        <w:tc>
          <w:tcPr>
            <w:tcW w:w="6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5C0BC2">
            <w:pPr>
              <w:jc w:val="center"/>
              <w:rPr>
                <w:rFonts w:ascii="宋体" w:cs="宋体"/>
                <w:color w:val="auto"/>
                <w:kern w:val="0"/>
                <w:szCs w:val="20"/>
                <w:highlight w:val="none"/>
              </w:rPr>
            </w:pPr>
            <w:r>
              <w:rPr>
                <w:rFonts w:ascii="宋体" w:hAnsi="宋体" w:cs="宋体"/>
                <w:color w:val="auto"/>
                <w:kern w:val="0"/>
                <w:sz w:val="30"/>
                <w:szCs w:val="20"/>
                <w:highlight w:val="none"/>
              </w:rPr>
              <w:t>/</w:t>
            </w:r>
          </w:p>
        </w:tc>
        <w:tc>
          <w:tcPr>
            <w:tcW w:w="122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A120A9">
            <w:pPr>
              <w:jc w:val="center"/>
              <w:rPr>
                <w:rFonts w:ascii="宋体" w:cs="宋体"/>
                <w:color w:val="auto"/>
                <w:kern w:val="0"/>
                <w:sz w:val="24"/>
                <w:highlight w:val="none"/>
              </w:rPr>
            </w:pPr>
          </w:p>
        </w:tc>
        <w:tc>
          <w:tcPr>
            <w:tcW w:w="73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5F4356">
            <w:pPr>
              <w:jc w:val="center"/>
              <w:rPr>
                <w:rFonts w:ascii="宋体" w:cs="宋体"/>
                <w:color w:val="auto"/>
                <w:kern w:val="0"/>
                <w:sz w:val="24"/>
                <w:highlight w:val="none"/>
              </w:rPr>
            </w:pPr>
          </w:p>
        </w:tc>
        <w:tc>
          <w:tcPr>
            <w:tcW w:w="70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66DCD5C">
            <w:pPr>
              <w:jc w:val="center"/>
              <w:rPr>
                <w:rFonts w:ascii="宋体" w:cs="宋体"/>
                <w:color w:val="auto"/>
                <w:kern w:val="0"/>
                <w:szCs w:val="20"/>
                <w:highlight w:val="none"/>
              </w:rPr>
            </w:pPr>
          </w:p>
        </w:tc>
        <w:tc>
          <w:tcPr>
            <w:tcW w:w="66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A390F9">
            <w:pPr>
              <w:jc w:val="center"/>
              <w:rPr>
                <w:rFonts w:ascii="宋体" w:cs="宋体"/>
                <w:color w:val="auto"/>
                <w:kern w:val="0"/>
                <w:sz w:val="24"/>
                <w:highlight w:val="none"/>
              </w:rPr>
            </w:pPr>
          </w:p>
        </w:tc>
        <w:tc>
          <w:tcPr>
            <w:tcW w:w="72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FC4FBF5">
            <w:pPr>
              <w:jc w:val="center"/>
              <w:rPr>
                <w:rFonts w:ascii="宋体" w:cs="宋体"/>
                <w:color w:val="auto"/>
                <w:kern w:val="0"/>
                <w:szCs w:val="20"/>
                <w:highlight w:val="none"/>
              </w:rPr>
            </w:pPr>
            <w:r>
              <w:rPr>
                <w:rFonts w:ascii="宋体" w:hAnsi="宋体" w:cs="宋体"/>
                <w:color w:val="auto"/>
                <w:kern w:val="0"/>
                <w:sz w:val="30"/>
                <w:szCs w:val="20"/>
                <w:highlight w:val="none"/>
              </w:rPr>
              <w:t>/</w:t>
            </w:r>
          </w:p>
        </w:tc>
        <w:tc>
          <w:tcPr>
            <w:tcW w:w="1527"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E03E401">
            <w:pPr>
              <w:jc w:val="center"/>
              <w:rPr>
                <w:rFonts w:ascii="宋体" w:cs="宋体"/>
                <w:color w:val="auto"/>
                <w:kern w:val="0"/>
                <w:sz w:val="24"/>
                <w:highlight w:val="none"/>
              </w:rPr>
            </w:pPr>
            <w:r>
              <w:rPr>
                <w:rFonts w:ascii="宋体" w:hAnsi="宋体"/>
                <w:color w:val="auto"/>
                <w:spacing w:val="-91"/>
                <w:highlight w:val="none"/>
              </w:rPr>
              <w:t xml:space="preserve"> </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C42E2E8">
            <w:pPr>
              <w:jc w:val="center"/>
              <w:rPr>
                <w:rFonts w:ascii="宋体" w:cs="宋体"/>
                <w:color w:val="auto"/>
                <w:kern w:val="0"/>
                <w:sz w:val="24"/>
                <w:highlight w:val="none"/>
              </w:rPr>
            </w:pPr>
          </w:p>
        </w:tc>
        <w:tc>
          <w:tcPr>
            <w:tcW w:w="1559"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60D03AC">
            <w:pPr>
              <w:jc w:val="center"/>
              <w:rPr>
                <w:rFonts w:ascii="宋体" w:cs="宋体"/>
                <w:color w:val="auto"/>
                <w:kern w:val="0"/>
                <w:sz w:val="24"/>
                <w:highlight w:val="none"/>
              </w:rPr>
            </w:pPr>
          </w:p>
        </w:tc>
      </w:tr>
      <w:tr w14:paraId="3E3231E4">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3BB0C30B">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5F790D8F">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12E60E25">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3BB41CA6">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35489F3F">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0D490004">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362CE839">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323EDED9">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00D1B2A2">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2F2BB203">
            <w:pPr>
              <w:snapToGrid w:val="0"/>
              <w:spacing w:line="420" w:lineRule="exact"/>
              <w:rPr>
                <w:rFonts w:ascii="宋体" w:cs="宋体"/>
                <w:color w:val="auto"/>
                <w:kern w:val="0"/>
                <w:sz w:val="30"/>
                <w:szCs w:val="20"/>
                <w:highlight w:val="none"/>
              </w:rPr>
            </w:pPr>
          </w:p>
        </w:tc>
      </w:tr>
      <w:tr w14:paraId="2EBE5B5F">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023A3C15">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7F3975AA">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88B4A9E">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1D0AAB0E">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22F65AF3">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7F96BF7F">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6970BE3F">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6602CD16">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2F07B43C">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6D0BFED2">
            <w:pPr>
              <w:snapToGrid w:val="0"/>
              <w:spacing w:line="420" w:lineRule="exact"/>
              <w:rPr>
                <w:rFonts w:ascii="宋体" w:cs="宋体"/>
                <w:color w:val="auto"/>
                <w:kern w:val="0"/>
                <w:sz w:val="30"/>
                <w:szCs w:val="20"/>
                <w:highlight w:val="none"/>
              </w:rPr>
            </w:pPr>
          </w:p>
        </w:tc>
      </w:tr>
      <w:tr w14:paraId="46E760F3">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27EE998C">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14C8A988">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2A233855">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2AE6BCA5">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0B62BE84">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3434752D">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1DC92266">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7C320CA2">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44891344">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56B463A7">
            <w:pPr>
              <w:snapToGrid w:val="0"/>
              <w:spacing w:line="420" w:lineRule="exact"/>
              <w:rPr>
                <w:rFonts w:ascii="宋体" w:cs="宋体"/>
                <w:color w:val="auto"/>
                <w:kern w:val="0"/>
                <w:sz w:val="30"/>
                <w:szCs w:val="20"/>
                <w:highlight w:val="none"/>
              </w:rPr>
            </w:pPr>
          </w:p>
        </w:tc>
      </w:tr>
      <w:tr w14:paraId="77EFE0D1">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4ED6F2F6">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6F1F3F74">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A430D2B">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39174CAE">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3E3ABD44">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1C1A4921">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07075638">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7CF3AFD0">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6DAB94E9">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6C9D75DF">
            <w:pPr>
              <w:snapToGrid w:val="0"/>
              <w:spacing w:line="420" w:lineRule="exact"/>
              <w:rPr>
                <w:rFonts w:ascii="宋体" w:cs="宋体"/>
                <w:color w:val="auto"/>
                <w:kern w:val="0"/>
                <w:sz w:val="30"/>
                <w:szCs w:val="20"/>
                <w:highlight w:val="none"/>
              </w:rPr>
            </w:pPr>
          </w:p>
        </w:tc>
      </w:tr>
      <w:tr w14:paraId="5032AA26">
        <w:tblPrEx>
          <w:tblCellMar>
            <w:top w:w="0" w:type="dxa"/>
            <w:left w:w="0" w:type="dxa"/>
            <w:bottom w:w="0" w:type="dxa"/>
            <w:right w:w="0" w:type="dxa"/>
          </w:tblCellMar>
        </w:tblPrEx>
        <w:trPr>
          <w:trHeight w:val="602" w:hRule="atLeast"/>
          <w:jc w:val="center"/>
        </w:trPr>
        <w:tc>
          <w:tcPr>
            <w:tcW w:w="1186"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25098736">
            <w:pPr>
              <w:snapToGrid w:val="0"/>
              <w:spacing w:line="420" w:lineRule="exact"/>
              <w:rPr>
                <w:rFonts w:ascii="宋体" w:cs="宋体"/>
                <w:color w:val="auto"/>
                <w:kern w:val="0"/>
                <w:sz w:val="30"/>
                <w:szCs w:val="20"/>
                <w:highlight w:val="none"/>
              </w:rPr>
            </w:pPr>
          </w:p>
        </w:tc>
        <w:tc>
          <w:tcPr>
            <w:tcW w:w="6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63653E6">
            <w:pPr>
              <w:snapToGrid w:val="0"/>
              <w:spacing w:line="420" w:lineRule="exact"/>
              <w:rPr>
                <w:rFonts w:ascii="宋体" w:cs="宋体"/>
                <w:color w:val="auto"/>
                <w:kern w:val="0"/>
                <w:sz w:val="30"/>
                <w:szCs w:val="20"/>
                <w:highlight w:val="none"/>
              </w:rPr>
            </w:pPr>
          </w:p>
        </w:tc>
        <w:tc>
          <w:tcPr>
            <w:tcW w:w="122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A0F5152">
            <w:pPr>
              <w:snapToGrid w:val="0"/>
              <w:spacing w:line="420" w:lineRule="exact"/>
              <w:rPr>
                <w:rFonts w:ascii="宋体" w:cs="宋体"/>
                <w:color w:val="auto"/>
                <w:kern w:val="0"/>
                <w:sz w:val="30"/>
                <w:szCs w:val="20"/>
                <w:highlight w:val="none"/>
              </w:rPr>
            </w:pPr>
          </w:p>
        </w:tc>
        <w:tc>
          <w:tcPr>
            <w:tcW w:w="73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CE09A6D">
            <w:pPr>
              <w:snapToGrid w:val="0"/>
              <w:spacing w:line="420" w:lineRule="exact"/>
              <w:rPr>
                <w:rFonts w:ascii="宋体" w:cs="宋体"/>
                <w:color w:val="auto"/>
                <w:kern w:val="0"/>
                <w:sz w:val="30"/>
                <w:szCs w:val="20"/>
                <w:highlight w:val="none"/>
              </w:rPr>
            </w:pPr>
          </w:p>
        </w:tc>
        <w:tc>
          <w:tcPr>
            <w:tcW w:w="70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716752C">
            <w:pPr>
              <w:snapToGrid w:val="0"/>
              <w:spacing w:line="420" w:lineRule="exact"/>
              <w:rPr>
                <w:rFonts w:ascii="宋体" w:cs="宋体"/>
                <w:color w:val="auto"/>
                <w:kern w:val="0"/>
                <w:sz w:val="30"/>
                <w:szCs w:val="20"/>
                <w:highlight w:val="none"/>
              </w:rPr>
            </w:pPr>
          </w:p>
        </w:tc>
        <w:tc>
          <w:tcPr>
            <w:tcW w:w="66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203ABC10">
            <w:pPr>
              <w:snapToGrid w:val="0"/>
              <w:spacing w:line="420" w:lineRule="exact"/>
              <w:rPr>
                <w:rFonts w:ascii="宋体" w:cs="宋体"/>
                <w:color w:val="auto"/>
                <w:kern w:val="0"/>
                <w:sz w:val="30"/>
                <w:szCs w:val="20"/>
                <w:highlight w:val="none"/>
              </w:rPr>
            </w:pPr>
          </w:p>
        </w:tc>
        <w:tc>
          <w:tcPr>
            <w:tcW w:w="72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4875489">
            <w:pPr>
              <w:snapToGrid w:val="0"/>
              <w:spacing w:line="420" w:lineRule="exact"/>
              <w:rPr>
                <w:rFonts w:ascii="宋体" w:cs="宋体"/>
                <w:color w:val="auto"/>
                <w:kern w:val="0"/>
                <w:sz w:val="30"/>
                <w:szCs w:val="20"/>
                <w:highlight w:val="none"/>
              </w:rPr>
            </w:pPr>
          </w:p>
        </w:tc>
        <w:tc>
          <w:tcPr>
            <w:tcW w:w="1527"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3DE0F0A1">
            <w:pPr>
              <w:snapToGrid w:val="0"/>
              <w:spacing w:line="420" w:lineRule="exact"/>
              <w:rPr>
                <w:rFonts w:ascii="宋体" w:cs="宋体"/>
                <w:color w:val="auto"/>
                <w:kern w:val="0"/>
                <w:sz w:val="30"/>
                <w:szCs w:val="20"/>
                <w:highlight w:val="none"/>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94E4FCC">
            <w:pPr>
              <w:snapToGrid w:val="0"/>
              <w:spacing w:line="420" w:lineRule="exact"/>
              <w:rPr>
                <w:rFonts w:ascii="宋体" w:cs="宋体"/>
                <w:color w:val="auto"/>
                <w:kern w:val="0"/>
                <w:sz w:val="30"/>
                <w:szCs w:val="20"/>
                <w:highlight w:val="none"/>
              </w:rPr>
            </w:pPr>
          </w:p>
        </w:tc>
        <w:tc>
          <w:tcPr>
            <w:tcW w:w="1559"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6DF6D256">
            <w:pPr>
              <w:snapToGrid w:val="0"/>
              <w:spacing w:line="420" w:lineRule="exact"/>
              <w:rPr>
                <w:rFonts w:ascii="宋体" w:cs="宋体"/>
                <w:color w:val="auto"/>
                <w:kern w:val="0"/>
                <w:sz w:val="30"/>
                <w:szCs w:val="20"/>
                <w:highlight w:val="none"/>
              </w:rPr>
            </w:pPr>
          </w:p>
        </w:tc>
      </w:tr>
    </w:tbl>
    <w:p w14:paraId="64BAE0A1">
      <w:pPr>
        <w:pStyle w:val="227"/>
        <w:rPr>
          <w:color w:val="auto"/>
          <w:highlight w:val="none"/>
        </w:rPr>
      </w:pPr>
      <w:r>
        <w:rPr>
          <w:rFonts w:hint="eastAsia"/>
          <w:color w:val="auto"/>
          <w:highlight w:val="none"/>
        </w:rPr>
        <w:br w:type="page"/>
      </w:r>
      <w:r>
        <w:rPr>
          <w:rFonts w:hint="eastAsia"/>
          <w:color w:val="auto"/>
          <w:highlight w:val="none"/>
        </w:rPr>
        <w:t>附件2：</w:t>
      </w:r>
    </w:p>
    <w:p w14:paraId="3C3CF713">
      <w:pPr>
        <w:pStyle w:val="227"/>
        <w:ind w:firstLine="422"/>
        <w:jc w:val="center"/>
        <w:rPr>
          <w:b/>
          <w:bCs/>
          <w:color w:val="auto"/>
          <w:highlight w:val="none"/>
        </w:rPr>
      </w:pPr>
      <w:r>
        <w:rPr>
          <w:rFonts w:hint="eastAsia"/>
          <w:b/>
          <w:bCs/>
          <w:color w:val="auto"/>
          <w:highlight w:val="none"/>
        </w:rPr>
        <w:t>发包人供应材料设备一览表</w:t>
      </w:r>
    </w:p>
    <w:tbl>
      <w:tblPr>
        <w:tblStyle w:val="45"/>
        <w:tblW w:w="10227"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074"/>
        <w:gridCol w:w="930"/>
      </w:tblGrid>
      <w:tr w14:paraId="57BF932E">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39DAC704">
            <w:pPr>
              <w:pStyle w:val="227"/>
              <w:ind w:firstLine="0" w:firstLineChars="0"/>
              <w:jc w:val="center"/>
              <w:rPr>
                <w:color w:val="auto"/>
                <w:highlight w:val="none"/>
              </w:rPr>
            </w:pPr>
            <w:r>
              <w:rPr>
                <w:rFonts w:hint="eastAsia"/>
                <w:color w:val="auto"/>
                <w:highlight w:val="none"/>
              </w:rPr>
              <w:t>序号</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8556210">
            <w:pPr>
              <w:pStyle w:val="227"/>
              <w:ind w:firstLine="0" w:firstLineChars="0"/>
              <w:jc w:val="center"/>
              <w:rPr>
                <w:color w:val="auto"/>
                <w:highlight w:val="none"/>
              </w:rPr>
            </w:pPr>
            <w:r>
              <w:rPr>
                <w:rFonts w:hint="eastAsia"/>
                <w:color w:val="auto"/>
                <w:highlight w:val="none"/>
              </w:rPr>
              <w:t>材料、设备品种</w:t>
            </w:r>
          </w:p>
        </w:tc>
        <w:tc>
          <w:tcPr>
            <w:tcW w:w="1418"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6ADF074">
            <w:pPr>
              <w:pStyle w:val="227"/>
              <w:ind w:firstLine="0" w:firstLineChars="0"/>
              <w:jc w:val="center"/>
              <w:rPr>
                <w:color w:val="auto"/>
                <w:highlight w:val="none"/>
              </w:rPr>
            </w:pPr>
            <w:r>
              <w:rPr>
                <w:rFonts w:hint="eastAsia"/>
                <w:color w:val="auto"/>
                <w:highlight w:val="none"/>
              </w:rPr>
              <w:t>规格型号</w:t>
            </w:r>
          </w:p>
        </w:tc>
        <w:tc>
          <w:tcPr>
            <w:tcW w:w="9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3245F68">
            <w:pPr>
              <w:pStyle w:val="227"/>
              <w:ind w:firstLine="0" w:firstLineChars="0"/>
              <w:jc w:val="center"/>
              <w:rPr>
                <w:color w:val="auto"/>
                <w:highlight w:val="none"/>
              </w:rPr>
            </w:pPr>
            <w:r>
              <w:rPr>
                <w:rFonts w:hint="eastAsia"/>
                <w:color w:val="auto"/>
                <w:highlight w:val="none"/>
              </w:rPr>
              <w:t>单位</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CAFFE71">
            <w:pPr>
              <w:pStyle w:val="227"/>
              <w:ind w:firstLine="0" w:firstLineChars="0"/>
              <w:jc w:val="center"/>
              <w:rPr>
                <w:color w:val="auto"/>
                <w:highlight w:val="none"/>
              </w:rPr>
            </w:pPr>
            <w:r>
              <w:rPr>
                <w:rFonts w:hint="eastAsia"/>
                <w:color w:val="auto"/>
                <w:highlight w:val="none"/>
              </w:rPr>
              <w:t>数量</w:t>
            </w:r>
          </w:p>
        </w:tc>
        <w:tc>
          <w:tcPr>
            <w:tcW w:w="104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3E39BF4">
            <w:pPr>
              <w:pStyle w:val="227"/>
              <w:ind w:firstLine="0" w:firstLineChars="0"/>
              <w:jc w:val="center"/>
              <w:rPr>
                <w:color w:val="auto"/>
                <w:highlight w:val="none"/>
              </w:rPr>
            </w:pPr>
            <w:r>
              <w:rPr>
                <w:rFonts w:hint="eastAsia"/>
                <w:color w:val="auto"/>
                <w:highlight w:val="none"/>
              </w:rPr>
              <w:t>单价（元）</w:t>
            </w:r>
          </w:p>
        </w:tc>
        <w:tc>
          <w:tcPr>
            <w:tcW w:w="992"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429A2B6">
            <w:pPr>
              <w:pStyle w:val="227"/>
              <w:ind w:firstLine="0" w:firstLineChars="0"/>
              <w:jc w:val="center"/>
              <w:rPr>
                <w:color w:val="auto"/>
                <w:highlight w:val="none"/>
              </w:rPr>
            </w:pPr>
            <w:r>
              <w:rPr>
                <w:rFonts w:hint="eastAsia"/>
                <w:color w:val="auto"/>
                <w:highlight w:val="none"/>
              </w:rPr>
              <w:t>质量等级</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70ADB94">
            <w:pPr>
              <w:pStyle w:val="227"/>
              <w:ind w:firstLine="0" w:firstLineChars="0"/>
              <w:jc w:val="center"/>
              <w:rPr>
                <w:color w:val="auto"/>
                <w:highlight w:val="none"/>
              </w:rPr>
            </w:pPr>
            <w:r>
              <w:rPr>
                <w:rFonts w:hint="eastAsia"/>
                <w:color w:val="auto"/>
                <w:highlight w:val="none"/>
              </w:rPr>
              <w:t>供应时间</w:t>
            </w:r>
          </w:p>
        </w:tc>
        <w:tc>
          <w:tcPr>
            <w:tcW w:w="107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4C84081">
            <w:pPr>
              <w:pStyle w:val="227"/>
              <w:ind w:firstLine="0" w:firstLineChars="0"/>
              <w:jc w:val="center"/>
              <w:rPr>
                <w:color w:val="auto"/>
                <w:highlight w:val="none"/>
              </w:rPr>
            </w:pPr>
            <w:r>
              <w:rPr>
                <w:rFonts w:hint="eastAsia"/>
                <w:color w:val="auto"/>
                <w:highlight w:val="none"/>
              </w:rPr>
              <w:t>送达地点</w:t>
            </w:r>
          </w:p>
        </w:tc>
        <w:tc>
          <w:tcPr>
            <w:tcW w:w="930"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002C1C27">
            <w:pPr>
              <w:pStyle w:val="227"/>
              <w:ind w:firstLine="0" w:firstLineChars="0"/>
              <w:jc w:val="center"/>
              <w:rPr>
                <w:color w:val="auto"/>
                <w:highlight w:val="none"/>
              </w:rPr>
            </w:pPr>
            <w:r>
              <w:rPr>
                <w:rFonts w:hint="eastAsia"/>
                <w:color w:val="auto"/>
                <w:highlight w:val="none"/>
              </w:rPr>
              <w:t>备注</w:t>
            </w:r>
          </w:p>
        </w:tc>
      </w:tr>
      <w:tr w14:paraId="66C88830">
        <w:tblPrEx>
          <w:tblCellMar>
            <w:top w:w="0" w:type="dxa"/>
            <w:left w:w="0" w:type="dxa"/>
            <w:bottom w:w="0" w:type="dxa"/>
            <w:right w:w="0" w:type="dxa"/>
          </w:tblCellMar>
        </w:tblPrEx>
        <w:trPr>
          <w:trHeight w:val="567" w:hRule="atLeast"/>
          <w:jc w:val="center"/>
        </w:trPr>
        <w:tc>
          <w:tcPr>
            <w:tcW w:w="851"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C65136E">
            <w:pPr>
              <w:pStyle w:val="227"/>
              <w:ind w:firstLine="0" w:firstLineChars="0"/>
              <w:jc w:val="center"/>
              <w:rPr>
                <w:color w:val="auto"/>
                <w:highlight w:val="none"/>
              </w:rPr>
            </w:pPr>
            <w:r>
              <w:rPr>
                <w:rFonts w:hint="eastAsia"/>
                <w:color w:val="auto"/>
                <w:highlight w:val="none"/>
              </w:rPr>
              <w:t>无</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FEF8492">
            <w:pPr>
              <w:pStyle w:val="227"/>
              <w:ind w:firstLine="0" w:firstLineChars="0"/>
              <w:jc w:val="center"/>
              <w:rPr>
                <w:color w:val="auto"/>
                <w:highlight w:val="none"/>
              </w:rPr>
            </w:pPr>
            <w:r>
              <w:rPr>
                <w:rFonts w:hint="eastAsia"/>
                <w:color w:val="auto"/>
                <w:highlight w:val="none"/>
              </w:rPr>
              <w:t>无</w:t>
            </w:r>
          </w:p>
        </w:tc>
        <w:tc>
          <w:tcPr>
            <w:tcW w:w="1418"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7BE673">
            <w:pPr>
              <w:pStyle w:val="227"/>
              <w:ind w:firstLine="0" w:firstLineChars="0"/>
              <w:jc w:val="center"/>
              <w:rPr>
                <w:color w:val="auto"/>
                <w:highlight w:val="none"/>
              </w:rPr>
            </w:pPr>
            <w:r>
              <w:rPr>
                <w:rFonts w:hint="eastAsia"/>
                <w:color w:val="auto"/>
                <w:highlight w:val="none"/>
              </w:rPr>
              <w:t>无</w:t>
            </w:r>
          </w:p>
        </w:tc>
        <w:tc>
          <w:tcPr>
            <w:tcW w:w="9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A4B6B1">
            <w:pPr>
              <w:pStyle w:val="227"/>
              <w:ind w:firstLine="0" w:firstLineChars="0"/>
              <w:jc w:val="center"/>
              <w:rPr>
                <w:color w:val="auto"/>
                <w:highlight w:val="none"/>
              </w:rPr>
            </w:pPr>
            <w:r>
              <w:rPr>
                <w:rFonts w:hint="eastAsia"/>
                <w:color w:val="auto"/>
                <w:highlight w:val="none"/>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985C96">
            <w:pPr>
              <w:pStyle w:val="227"/>
              <w:ind w:firstLine="0" w:firstLineChars="0"/>
              <w:jc w:val="center"/>
              <w:rPr>
                <w:color w:val="auto"/>
                <w:highlight w:val="none"/>
              </w:rPr>
            </w:pPr>
            <w:r>
              <w:rPr>
                <w:rFonts w:hint="eastAsia"/>
                <w:color w:val="auto"/>
                <w:highlight w:val="none"/>
              </w:rPr>
              <w:t>无</w:t>
            </w:r>
          </w:p>
        </w:tc>
        <w:tc>
          <w:tcPr>
            <w:tcW w:w="104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542B0F3">
            <w:pPr>
              <w:pStyle w:val="227"/>
              <w:ind w:firstLine="0" w:firstLineChars="0"/>
              <w:jc w:val="center"/>
              <w:rPr>
                <w:color w:val="auto"/>
                <w:highlight w:val="none"/>
              </w:rPr>
            </w:pPr>
            <w:r>
              <w:rPr>
                <w:rFonts w:hint="eastAsia"/>
                <w:color w:val="auto"/>
                <w:highlight w:val="none"/>
              </w:rPr>
              <w:t>无</w:t>
            </w:r>
          </w:p>
        </w:tc>
        <w:tc>
          <w:tcPr>
            <w:tcW w:w="992"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090D2E">
            <w:pPr>
              <w:pStyle w:val="227"/>
              <w:ind w:firstLine="0" w:firstLineChars="0"/>
              <w:jc w:val="center"/>
              <w:rPr>
                <w:color w:val="auto"/>
                <w:highlight w:val="none"/>
              </w:rPr>
            </w:pPr>
            <w:r>
              <w:rPr>
                <w:rFonts w:hint="eastAsia"/>
                <w:color w:val="auto"/>
                <w:highlight w:val="none"/>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10F6DB">
            <w:pPr>
              <w:pStyle w:val="227"/>
              <w:ind w:firstLine="0" w:firstLineChars="0"/>
              <w:jc w:val="center"/>
              <w:rPr>
                <w:color w:val="auto"/>
                <w:highlight w:val="none"/>
              </w:rPr>
            </w:pPr>
            <w:r>
              <w:rPr>
                <w:rFonts w:hint="eastAsia"/>
                <w:color w:val="auto"/>
                <w:highlight w:val="none"/>
              </w:rPr>
              <w:t>无</w:t>
            </w:r>
          </w:p>
        </w:tc>
        <w:tc>
          <w:tcPr>
            <w:tcW w:w="107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484D60">
            <w:pPr>
              <w:pStyle w:val="227"/>
              <w:ind w:firstLine="0" w:firstLineChars="0"/>
              <w:jc w:val="center"/>
              <w:rPr>
                <w:color w:val="auto"/>
                <w:highlight w:val="none"/>
              </w:rPr>
            </w:pPr>
            <w:r>
              <w:rPr>
                <w:rFonts w:hint="eastAsia"/>
                <w:color w:val="auto"/>
                <w:highlight w:val="none"/>
              </w:rPr>
              <w:t>无</w:t>
            </w:r>
          </w:p>
        </w:tc>
        <w:tc>
          <w:tcPr>
            <w:tcW w:w="930"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4EA5E837">
            <w:pPr>
              <w:pStyle w:val="227"/>
              <w:ind w:firstLine="0" w:firstLineChars="0"/>
              <w:jc w:val="center"/>
              <w:rPr>
                <w:color w:val="auto"/>
                <w:highlight w:val="none"/>
              </w:rPr>
            </w:pPr>
            <w:r>
              <w:rPr>
                <w:rFonts w:hint="eastAsia"/>
                <w:color w:val="auto"/>
                <w:highlight w:val="none"/>
              </w:rPr>
              <w:t>无</w:t>
            </w:r>
          </w:p>
        </w:tc>
      </w:tr>
      <w:tr w14:paraId="719BE633">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2003FC46">
            <w:pPr>
              <w:pStyle w:val="227"/>
              <w:rPr>
                <w:color w:val="auto"/>
                <w:highlight w:val="none"/>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3775FC0">
            <w:pPr>
              <w:pStyle w:val="227"/>
              <w:rPr>
                <w:color w:val="auto"/>
                <w:highlight w:val="none"/>
              </w:rPr>
            </w:pPr>
          </w:p>
        </w:tc>
        <w:tc>
          <w:tcPr>
            <w:tcW w:w="1418"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4A2FB9EA">
            <w:pPr>
              <w:pStyle w:val="227"/>
              <w:rPr>
                <w:color w:val="auto"/>
                <w:highlight w:val="none"/>
              </w:rPr>
            </w:pPr>
          </w:p>
        </w:tc>
        <w:tc>
          <w:tcPr>
            <w:tcW w:w="9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D50E632">
            <w:pPr>
              <w:pStyle w:val="227"/>
              <w:rPr>
                <w:color w:val="auto"/>
                <w:highlight w:val="none"/>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4F8241BB">
            <w:pPr>
              <w:pStyle w:val="227"/>
              <w:rPr>
                <w:color w:val="auto"/>
                <w:highlight w:val="none"/>
              </w:rPr>
            </w:pPr>
          </w:p>
        </w:tc>
        <w:tc>
          <w:tcPr>
            <w:tcW w:w="104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3C9B8EB7">
            <w:pPr>
              <w:pStyle w:val="227"/>
              <w:rPr>
                <w:color w:val="auto"/>
                <w:highlight w:val="none"/>
              </w:rPr>
            </w:pPr>
          </w:p>
        </w:tc>
        <w:tc>
          <w:tcPr>
            <w:tcW w:w="992"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2100198">
            <w:pPr>
              <w:pStyle w:val="227"/>
              <w:rPr>
                <w:color w:val="auto"/>
                <w:highlight w:val="none"/>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DF8F037">
            <w:pPr>
              <w:pStyle w:val="227"/>
              <w:rPr>
                <w:color w:val="auto"/>
                <w:highlight w:val="none"/>
              </w:rPr>
            </w:pPr>
          </w:p>
        </w:tc>
        <w:tc>
          <w:tcPr>
            <w:tcW w:w="107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79EE699">
            <w:pPr>
              <w:pStyle w:val="227"/>
              <w:rPr>
                <w:color w:val="auto"/>
                <w:highlight w:val="none"/>
              </w:rPr>
            </w:pPr>
          </w:p>
        </w:tc>
        <w:tc>
          <w:tcPr>
            <w:tcW w:w="930"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1792B215">
            <w:pPr>
              <w:pStyle w:val="227"/>
              <w:rPr>
                <w:color w:val="auto"/>
                <w:highlight w:val="none"/>
              </w:rPr>
            </w:pPr>
          </w:p>
        </w:tc>
      </w:tr>
      <w:tr w14:paraId="5BC3D72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590E97B">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01B85B2">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D575C8">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4445661">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088292">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82B7980">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96AFF03">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896FEE">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FFBEFF9">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94C7BB3">
            <w:pPr>
              <w:pStyle w:val="227"/>
              <w:rPr>
                <w:color w:val="auto"/>
                <w:highlight w:val="none"/>
              </w:rPr>
            </w:pPr>
          </w:p>
        </w:tc>
      </w:tr>
      <w:tr w14:paraId="1F50B89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5D4051AB">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F1E66C">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63130E">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04EE46F">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8083C61">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67A197">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EE57D0">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CE7096C">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9F54D5B">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B2DEE18">
            <w:pPr>
              <w:pStyle w:val="227"/>
              <w:rPr>
                <w:color w:val="auto"/>
                <w:highlight w:val="none"/>
              </w:rPr>
            </w:pPr>
          </w:p>
        </w:tc>
      </w:tr>
      <w:tr w14:paraId="3B964EA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54E9143C">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A1F67C">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9C40189">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99099BD">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F9EB97">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E3C5702">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8D0087">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F2789D2">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BDACCC">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5D41BF9A">
            <w:pPr>
              <w:pStyle w:val="227"/>
              <w:rPr>
                <w:color w:val="auto"/>
                <w:highlight w:val="none"/>
              </w:rPr>
            </w:pPr>
          </w:p>
        </w:tc>
      </w:tr>
      <w:tr w14:paraId="73209CD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24826EAC">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9DF892">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1F44DA4">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CF88F0F">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A0F715A">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97CFD8">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4DEEFA">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772C45D">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F16E890">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E550D0D">
            <w:pPr>
              <w:pStyle w:val="227"/>
              <w:rPr>
                <w:color w:val="auto"/>
                <w:highlight w:val="none"/>
              </w:rPr>
            </w:pPr>
          </w:p>
        </w:tc>
      </w:tr>
      <w:tr w14:paraId="364D8F4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F6F4A0D">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994E18">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D7A03CA">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1F94756">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D166F62">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C048142">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55DBD5">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52580B">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11D8B4">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881B735">
            <w:pPr>
              <w:pStyle w:val="227"/>
              <w:rPr>
                <w:color w:val="auto"/>
                <w:highlight w:val="none"/>
              </w:rPr>
            </w:pPr>
          </w:p>
        </w:tc>
      </w:tr>
      <w:tr w14:paraId="5F49806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D7BA5AD">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C81FCC">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CBF51F">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9777CD">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D2D7B8">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AF8A8B">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9F0FC65">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35E8F23">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8F9C24F">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D45C9BC">
            <w:pPr>
              <w:pStyle w:val="227"/>
              <w:rPr>
                <w:color w:val="auto"/>
                <w:highlight w:val="none"/>
              </w:rPr>
            </w:pPr>
          </w:p>
        </w:tc>
      </w:tr>
      <w:tr w14:paraId="4336170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2455AC24">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31EB72">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E2836FB">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DD6BDBA">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ABCE477">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E865078">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4D98363">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5B6431">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F68C31F">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1651A22">
            <w:pPr>
              <w:pStyle w:val="227"/>
              <w:rPr>
                <w:color w:val="auto"/>
                <w:highlight w:val="none"/>
              </w:rPr>
            </w:pPr>
          </w:p>
        </w:tc>
      </w:tr>
      <w:tr w14:paraId="15E7EEC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3AD888C">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8A8FAF">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4B555A7">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AE5114F">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119328E">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263FF2">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D8CFCE5">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BC7F3D">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DD94C34">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1DF1249">
            <w:pPr>
              <w:pStyle w:val="227"/>
              <w:rPr>
                <w:color w:val="auto"/>
                <w:highlight w:val="none"/>
              </w:rPr>
            </w:pPr>
          </w:p>
        </w:tc>
      </w:tr>
      <w:tr w14:paraId="2D25B939">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113DA72">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3BAF71">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ED6E99">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688A553">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EE5B97">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4D03C4F">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3650D50">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F673A78">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A7B60AB">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E183AE2">
            <w:pPr>
              <w:pStyle w:val="227"/>
              <w:rPr>
                <w:color w:val="auto"/>
                <w:highlight w:val="none"/>
              </w:rPr>
            </w:pPr>
          </w:p>
        </w:tc>
      </w:tr>
      <w:tr w14:paraId="7A29D25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510EBE64">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72C8A2">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3480CF">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86D009">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51E97C">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C876BE7">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DDD02C">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25A202">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F9B0FC">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E5F97EC">
            <w:pPr>
              <w:pStyle w:val="227"/>
              <w:rPr>
                <w:color w:val="auto"/>
                <w:highlight w:val="none"/>
              </w:rPr>
            </w:pPr>
          </w:p>
        </w:tc>
      </w:tr>
      <w:tr w14:paraId="1DC6DCC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9FDAFAC">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219325">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FB8B35B">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9411C7">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E9A93A">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A128145">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6AB099">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9FFFBF">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DD08E46">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776364A8">
            <w:pPr>
              <w:pStyle w:val="227"/>
              <w:rPr>
                <w:color w:val="auto"/>
                <w:highlight w:val="none"/>
              </w:rPr>
            </w:pPr>
          </w:p>
        </w:tc>
      </w:tr>
      <w:tr w14:paraId="4D0D0F7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A4E47C3">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5DBDC5">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B70462">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AC57107">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D9959A">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FBF7771">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00099DC">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F5DE8A">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C16C4F">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51E99E9">
            <w:pPr>
              <w:pStyle w:val="227"/>
              <w:rPr>
                <w:color w:val="auto"/>
                <w:highlight w:val="none"/>
              </w:rPr>
            </w:pPr>
          </w:p>
        </w:tc>
      </w:tr>
      <w:tr w14:paraId="2F243D9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043E1149">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C41E254">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CD90AAF">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F42C97">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E226950">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A298CD">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EFD8933">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7051CE">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FFB63AB">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9DD388E">
            <w:pPr>
              <w:pStyle w:val="227"/>
              <w:rPr>
                <w:color w:val="auto"/>
                <w:highlight w:val="none"/>
              </w:rPr>
            </w:pPr>
          </w:p>
        </w:tc>
      </w:tr>
      <w:tr w14:paraId="73FD6B8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5F77BFC0">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DF4DF8">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FB0228">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59F03F">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E41C972">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06C2DBB">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3EB8EE">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691D81C">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A7671C2">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D9F7789">
            <w:pPr>
              <w:pStyle w:val="227"/>
              <w:rPr>
                <w:color w:val="auto"/>
                <w:highlight w:val="none"/>
              </w:rPr>
            </w:pPr>
          </w:p>
        </w:tc>
      </w:tr>
      <w:tr w14:paraId="4E968A8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2FAC55F">
            <w:pPr>
              <w:pStyle w:val="227"/>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4EB939D">
            <w:pPr>
              <w:pStyle w:val="227"/>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91361AB">
            <w:pPr>
              <w:pStyle w:val="227"/>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8DC69B">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09153A">
            <w:pPr>
              <w:pStyle w:val="227"/>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66B8985">
            <w:pPr>
              <w:pStyle w:val="227"/>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7322324">
            <w:pPr>
              <w:pStyle w:val="227"/>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67C9054">
            <w:pPr>
              <w:pStyle w:val="227"/>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710DDA5">
            <w:pPr>
              <w:pStyle w:val="227"/>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F503776">
            <w:pPr>
              <w:pStyle w:val="227"/>
              <w:rPr>
                <w:color w:val="auto"/>
                <w:highlight w:val="none"/>
              </w:rPr>
            </w:pPr>
          </w:p>
        </w:tc>
      </w:tr>
      <w:tr w14:paraId="05CB43D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12" w:space="0"/>
              <w:right w:val="single" w:color="000000" w:sz="6" w:space="0"/>
            </w:tcBorders>
            <w:tcMar>
              <w:top w:w="0" w:type="dxa"/>
              <w:left w:w="28" w:type="dxa"/>
              <w:bottom w:w="0" w:type="dxa"/>
              <w:right w:w="28" w:type="dxa"/>
            </w:tcMar>
            <w:vAlign w:val="center"/>
          </w:tcPr>
          <w:p w14:paraId="7566E284">
            <w:pPr>
              <w:pStyle w:val="227"/>
              <w:rPr>
                <w:color w:val="auto"/>
                <w:highlight w:val="none"/>
              </w:rPr>
            </w:pPr>
          </w:p>
        </w:tc>
        <w:tc>
          <w:tcPr>
            <w:tcW w:w="1276"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05F064C">
            <w:pPr>
              <w:pStyle w:val="227"/>
              <w:rPr>
                <w:color w:val="auto"/>
                <w:highlight w:val="none"/>
              </w:rPr>
            </w:pPr>
          </w:p>
        </w:tc>
        <w:tc>
          <w:tcPr>
            <w:tcW w:w="1418"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4C9FC27A">
            <w:pPr>
              <w:pStyle w:val="227"/>
              <w:rPr>
                <w:color w:val="auto"/>
                <w:highlight w:val="none"/>
              </w:rPr>
            </w:pPr>
          </w:p>
        </w:tc>
        <w:tc>
          <w:tcPr>
            <w:tcW w:w="940"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F3D6124">
            <w:pPr>
              <w:pStyle w:val="227"/>
              <w:rPr>
                <w:color w:val="auto"/>
                <w:highlight w:val="none"/>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6E546ECE">
            <w:pPr>
              <w:pStyle w:val="227"/>
              <w:rPr>
                <w:color w:val="auto"/>
                <w:highlight w:val="none"/>
              </w:rPr>
            </w:pPr>
          </w:p>
        </w:tc>
        <w:tc>
          <w:tcPr>
            <w:tcW w:w="104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6F60913D">
            <w:pPr>
              <w:pStyle w:val="227"/>
              <w:rPr>
                <w:color w:val="auto"/>
                <w:highlight w:val="none"/>
              </w:rPr>
            </w:pPr>
          </w:p>
        </w:tc>
        <w:tc>
          <w:tcPr>
            <w:tcW w:w="992"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7803F3B8">
            <w:pPr>
              <w:pStyle w:val="227"/>
              <w:rPr>
                <w:color w:val="auto"/>
                <w:highlight w:val="none"/>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32FCE28E">
            <w:pPr>
              <w:pStyle w:val="227"/>
              <w:rPr>
                <w:color w:val="auto"/>
                <w:highlight w:val="none"/>
              </w:rPr>
            </w:pPr>
          </w:p>
        </w:tc>
        <w:tc>
          <w:tcPr>
            <w:tcW w:w="107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645FA6CB">
            <w:pPr>
              <w:pStyle w:val="227"/>
              <w:rPr>
                <w:color w:val="auto"/>
                <w:highlight w:val="none"/>
              </w:rPr>
            </w:pPr>
          </w:p>
        </w:tc>
        <w:tc>
          <w:tcPr>
            <w:tcW w:w="930" w:type="dxa"/>
            <w:tcBorders>
              <w:top w:val="single" w:color="000000" w:sz="6" w:space="0"/>
              <w:left w:val="single" w:color="000000" w:sz="6" w:space="0"/>
              <w:bottom w:val="single" w:color="000000" w:sz="12" w:space="0"/>
              <w:right w:val="single" w:color="000000" w:sz="12" w:space="0"/>
            </w:tcBorders>
            <w:tcMar>
              <w:top w:w="0" w:type="dxa"/>
              <w:left w:w="28" w:type="dxa"/>
              <w:bottom w:w="0" w:type="dxa"/>
              <w:right w:w="28" w:type="dxa"/>
            </w:tcMar>
            <w:vAlign w:val="center"/>
          </w:tcPr>
          <w:p w14:paraId="0B346A1F">
            <w:pPr>
              <w:pStyle w:val="227"/>
              <w:rPr>
                <w:color w:val="auto"/>
                <w:highlight w:val="none"/>
              </w:rPr>
            </w:pPr>
          </w:p>
        </w:tc>
      </w:tr>
    </w:tbl>
    <w:p w14:paraId="79D27631">
      <w:pPr>
        <w:pStyle w:val="227"/>
        <w:rPr>
          <w:color w:val="auto"/>
          <w:highlight w:val="none"/>
        </w:rPr>
      </w:pPr>
    </w:p>
    <w:p w14:paraId="43FDE183">
      <w:pPr>
        <w:pStyle w:val="227"/>
        <w:rPr>
          <w:color w:val="auto"/>
          <w:highlight w:val="none"/>
        </w:rPr>
      </w:pPr>
    </w:p>
    <w:p w14:paraId="5FF9C6E7">
      <w:pPr>
        <w:pStyle w:val="227"/>
        <w:rPr>
          <w:color w:val="auto"/>
          <w:highlight w:val="none"/>
        </w:rPr>
      </w:pPr>
    </w:p>
    <w:p w14:paraId="063C1AAD">
      <w:pPr>
        <w:pStyle w:val="227"/>
        <w:rPr>
          <w:color w:val="auto"/>
          <w:highlight w:val="none"/>
        </w:rPr>
        <w:sectPr>
          <w:pgSz w:w="11906" w:h="16838"/>
          <w:pgMar w:top="840" w:right="1006" w:bottom="1440" w:left="1020" w:header="851" w:footer="992" w:gutter="0"/>
          <w:cols w:space="720" w:num="1"/>
          <w:titlePg/>
          <w:docGrid w:type="lines" w:linePitch="312" w:charSpace="0"/>
        </w:sectPr>
      </w:pPr>
    </w:p>
    <w:p w14:paraId="42D88CBD">
      <w:pPr>
        <w:pStyle w:val="227"/>
        <w:rPr>
          <w:color w:val="auto"/>
          <w:highlight w:val="none"/>
        </w:rPr>
      </w:pPr>
      <w:r>
        <w:rPr>
          <w:rFonts w:hint="eastAsia"/>
          <w:color w:val="auto"/>
          <w:highlight w:val="none"/>
        </w:rPr>
        <w:t xml:space="preserve">附件3：      </w:t>
      </w:r>
    </w:p>
    <w:p w14:paraId="3A4DC917">
      <w:pPr>
        <w:pStyle w:val="227"/>
        <w:ind w:firstLine="562"/>
        <w:jc w:val="center"/>
        <w:rPr>
          <w:b/>
          <w:bCs/>
          <w:color w:val="auto"/>
          <w:sz w:val="28"/>
          <w:szCs w:val="28"/>
          <w:highlight w:val="none"/>
        </w:rPr>
      </w:pPr>
      <w:r>
        <w:rPr>
          <w:rFonts w:hint="eastAsia"/>
          <w:b/>
          <w:bCs/>
          <w:color w:val="auto"/>
          <w:sz w:val="28"/>
          <w:szCs w:val="28"/>
          <w:highlight w:val="none"/>
        </w:rPr>
        <w:t>承包人主要施工管理人员表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5BA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143080">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vAlign w:val="center"/>
          </w:tcPr>
          <w:p w14:paraId="55F68DFE">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vAlign w:val="center"/>
          </w:tcPr>
          <w:p w14:paraId="27BE39DC">
            <w:pPr>
              <w:pStyle w:val="18"/>
              <w:keepNext/>
              <w:spacing w:after="0" w:line="440" w:lineRule="exact"/>
              <w:ind w:left="63" w:right="63"/>
              <w:jc w:val="center"/>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040250C3">
            <w:pPr>
              <w:pStyle w:val="18"/>
              <w:keepNext/>
              <w:spacing w:after="0" w:line="440" w:lineRule="exact"/>
              <w:ind w:left="63" w:right="63"/>
              <w:jc w:val="center"/>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69740FA6">
            <w:pPr>
              <w:pStyle w:val="18"/>
              <w:keepNext/>
              <w:spacing w:after="0" w:line="440" w:lineRule="exact"/>
              <w:ind w:right="63"/>
              <w:jc w:val="center"/>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1813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421E80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756F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60AFC6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vAlign w:val="center"/>
          </w:tcPr>
          <w:p w14:paraId="073D5421">
            <w:pPr>
              <w:pStyle w:val="18"/>
              <w:keepNext/>
              <w:spacing w:after="0" w:line="440" w:lineRule="exact"/>
              <w:ind w:left="63" w:right="63"/>
              <w:rPr>
                <w:rFonts w:eastAsia="仿宋_GB2312"/>
                <w:color w:val="auto"/>
                <w:sz w:val="28"/>
                <w:szCs w:val="28"/>
                <w:highlight w:val="none"/>
              </w:rPr>
            </w:pPr>
          </w:p>
        </w:tc>
        <w:tc>
          <w:tcPr>
            <w:tcW w:w="1134" w:type="dxa"/>
            <w:vAlign w:val="center"/>
          </w:tcPr>
          <w:p w14:paraId="2855F03B">
            <w:pPr>
              <w:pStyle w:val="18"/>
              <w:keepNext/>
              <w:spacing w:after="0" w:line="440" w:lineRule="exact"/>
              <w:ind w:left="63" w:right="63"/>
              <w:rPr>
                <w:rFonts w:eastAsia="仿宋_GB2312"/>
                <w:color w:val="auto"/>
                <w:sz w:val="30"/>
                <w:szCs w:val="30"/>
                <w:highlight w:val="none"/>
              </w:rPr>
            </w:pPr>
          </w:p>
        </w:tc>
        <w:tc>
          <w:tcPr>
            <w:tcW w:w="1134" w:type="dxa"/>
            <w:vAlign w:val="center"/>
          </w:tcPr>
          <w:p w14:paraId="5784C22A">
            <w:pPr>
              <w:pStyle w:val="18"/>
              <w:keepNext/>
              <w:spacing w:after="0" w:line="440" w:lineRule="exact"/>
              <w:ind w:left="63" w:right="63"/>
              <w:rPr>
                <w:rFonts w:eastAsia="仿宋_GB2312"/>
                <w:color w:val="auto"/>
                <w:sz w:val="30"/>
                <w:szCs w:val="30"/>
                <w:highlight w:val="none"/>
              </w:rPr>
            </w:pPr>
          </w:p>
        </w:tc>
        <w:tc>
          <w:tcPr>
            <w:tcW w:w="4252" w:type="dxa"/>
            <w:vAlign w:val="center"/>
          </w:tcPr>
          <w:p w14:paraId="3883546E">
            <w:pPr>
              <w:pStyle w:val="18"/>
              <w:keepNext/>
              <w:spacing w:after="0" w:line="440" w:lineRule="exact"/>
              <w:ind w:left="63" w:right="63"/>
              <w:rPr>
                <w:rFonts w:eastAsia="仿宋_GB2312"/>
                <w:color w:val="auto"/>
                <w:sz w:val="30"/>
                <w:szCs w:val="30"/>
                <w:highlight w:val="none"/>
              </w:rPr>
            </w:pPr>
          </w:p>
        </w:tc>
      </w:tr>
      <w:tr w14:paraId="743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BD56E1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vAlign w:val="center"/>
          </w:tcPr>
          <w:p w14:paraId="37EE858E">
            <w:pPr>
              <w:pStyle w:val="18"/>
              <w:keepNext/>
              <w:spacing w:after="0" w:line="440" w:lineRule="exact"/>
              <w:ind w:left="63" w:right="63"/>
              <w:rPr>
                <w:rFonts w:eastAsia="仿宋_GB2312"/>
                <w:color w:val="auto"/>
                <w:sz w:val="28"/>
                <w:szCs w:val="28"/>
                <w:highlight w:val="none"/>
              </w:rPr>
            </w:pPr>
          </w:p>
        </w:tc>
        <w:tc>
          <w:tcPr>
            <w:tcW w:w="1134" w:type="dxa"/>
            <w:vAlign w:val="center"/>
          </w:tcPr>
          <w:p w14:paraId="46C7DC5A">
            <w:pPr>
              <w:pStyle w:val="18"/>
              <w:keepNext/>
              <w:spacing w:after="0" w:line="440" w:lineRule="exact"/>
              <w:ind w:left="63" w:right="63"/>
              <w:rPr>
                <w:rFonts w:eastAsia="仿宋_GB2312"/>
                <w:color w:val="auto"/>
                <w:sz w:val="30"/>
                <w:szCs w:val="30"/>
                <w:highlight w:val="none"/>
              </w:rPr>
            </w:pPr>
          </w:p>
        </w:tc>
        <w:tc>
          <w:tcPr>
            <w:tcW w:w="1134" w:type="dxa"/>
            <w:vAlign w:val="center"/>
          </w:tcPr>
          <w:p w14:paraId="0E8AEE0D">
            <w:pPr>
              <w:pStyle w:val="18"/>
              <w:keepNext/>
              <w:spacing w:after="0" w:line="440" w:lineRule="exact"/>
              <w:ind w:left="63" w:right="63"/>
              <w:rPr>
                <w:rFonts w:eastAsia="仿宋_GB2312"/>
                <w:color w:val="auto"/>
                <w:sz w:val="30"/>
                <w:szCs w:val="30"/>
                <w:highlight w:val="none"/>
              </w:rPr>
            </w:pPr>
          </w:p>
        </w:tc>
        <w:tc>
          <w:tcPr>
            <w:tcW w:w="4252" w:type="dxa"/>
            <w:vAlign w:val="center"/>
          </w:tcPr>
          <w:p w14:paraId="4A355AE3">
            <w:pPr>
              <w:pStyle w:val="18"/>
              <w:keepNext/>
              <w:spacing w:after="0" w:line="440" w:lineRule="exact"/>
              <w:ind w:left="63" w:right="63"/>
              <w:rPr>
                <w:rFonts w:eastAsia="仿宋_GB2312"/>
                <w:color w:val="auto"/>
                <w:sz w:val="30"/>
                <w:szCs w:val="30"/>
                <w:highlight w:val="none"/>
              </w:rPr>
            </w:pPr>
          </w:p>
        </w:tc>
      </w:tr>
      <w:tr w14:paraId="284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4656D4">
            <w:pPr>
              <w:pStyle w:val="18"/>
              <w:keepNext/>
              <w:spacing w:after="0" w:line="440" w:lineRule="exact"/>
              <w:ind w:left="63" w:right="63"/>
              <w:rPr>
                <w:rFonts w:eastAsia="仿宋_GB2312"/>
                <w:color w:val="auto"/>
                <w:sz w:val="28"/>
                <w:szCs w:val="28"/>
                <w:highlight w:val="none"/>
              </w:rPr>
            </w:pPr>
          </w:p>
        </w:tc>
        <w:tc>
          <w:tcPr>
            <w:tcW w:w="1418" w:type="dxa"/>
            <w:vAlign w:val="center"/>
          </w:tcPr>
          <w:p w14:paraId="42E186C8">
            <w:pPr>
              <w:pStyle w:val="18"/>
              <w:keepNext/>
              <w:spacing w:after="0" w:line="440" w:lineRule="exact"/>
              <w:ind w:left="63" w:right="63"/>
              <w:rPr>
                <w:rFonts w:eastAsia="仿宋_GB2312"/>
                <w:color w:val="auto"/>
                <w:sz w:val="28"/>
                <w:szCs w:val="28"/>
                <w:highlight w:val="none"/>
              </w:rPr>
            </w:pPr>
          </w:p>
        </w:tc>
        <w:tc>
          <w:tcPr>
            <w:tcW w:w="1134" w:type="dxa"/>
            <w:vAlign w:val="center"/>
          </w:tcPr>
          <w:p w14:paraId="0D761C0F">
            <w:pPr>
              <w:pStyle w:val="18"/>
              <w:keepNext/>
              <w:spacing w:after="0" w:line="440" w:lineRule="exact"/>
              <w:ind w:left="63" w:right="63"/>
              <w:rPr>
                <w:rFonts w:eastAsia="仿宋_GB2312"/>
                <w:color w:val="auto"/>
                <w:sz w:val="30"/>
                <w:szCs w:val="30"/>
                <w:highlight w:val="none"/>
              </w:rPr>
            </w:pPr>
          </w:p>
        </w:tc>
        <w:tc>
          <w:tcPr>
            <w:tcW w:w="1134" w:type="dxa"/>
            <w:vAlign w:val="center"/>
          </w:tcPr>
          <w:p w14:paraId="599CAB6B">
            <w:pPr>
              <w:pStyle w:val="18"/>
              <w:keepNext/>
              <w:spacing w:after="0" w:line="440" w:lineRule="exact"/>
              <w:ind w:left="63" w:right="63"/>
              <w:rPr>
                <w:rFonts w:eastAsia="仿宋_GB2312"/>
                <w:color w:val="auto"/>
                <w:sz w:val="30"/>
                <w:szCs w:val="30"/>
                <w:highlight w:val="none"/>
              </w:rPr>
            </w:pPr>
          </w:p>
        </w:tc>
        <w:tc>
          <w:tcPr>
            <w:tcW w:w="4252" w:type="dxa"/>
            <w:vAlign w:val="center"/>
          </w:tcPr>
          <w:p w14:paraId="752FD651">
            <w:pPr>
              <w:pStyle w:val="18"/>
              <w:keepNext/>
              <w:spacing w:after="0" w:line="440" w:lineRule="exact"/>
              <w:ind w:left="63" w:right="63"/>
              <w:rPr>
                <w:rFonts w:eastAsia="仿宋_GB2312"/>
                <w:color w:val="auto"/>
                <w:sz w:val="30"/>
                <w:szCs w:val="30"/>
                <w:highlight w:val="none"/>
              </w:rPr>
            </w:pPr>
          </w:p>
        </w:tc>
      </w:tr>
      <w:tr w14:paraId="2718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E0F3E20">
            <w:pPr>
              <w:pStyle w:val="18"/>
              <w:keepNext/>
              <w:spacing w:after="0" w:line="440" w:lineRule="exact"/>
              <w:ind w:left="63" w:right="63"/>
              <w:rPr>
                <w:rFonts w:eastAsia="仿宋_GB2312"/>
                <w:color w:val="auto"/>
                <w:sz w:val="28"/>
                <w:szCs w:val="28"/>
                <w:highlight w:val="none"/>
              </w:rPr>
            </w:pPr>
          </w:p>
        </w:tc>
        <w:tc>
          <w:tcPr>
            <w:tcW w:w="1418" w:type="dxa"/>
            <w:vAlign w:val="center"/>
          </w:tcPr>
          <w:p w14:paraId="3FD7299E">
            <w:pPr>
              <w:pStyle w:val="18"/>
              <w:keepNext/>
              <w:spacing w:after="0" w:line="440" w:lineRule="exact"/>
              <w:ind w:left="63" w:right="63"/>
              <w:rPr>
                <w:rFonts w:eastAsia="仿宋_GB2312"/>
                <w:color w:val="auto"/>
                <w:sz w:val="28"/>
                <w:szCs w:val="28"/>
                <w:highlight w:val="none"/>
              </w:rPr>
            </w:pPr>
          </w:p>
        </w:tc>
        <w:tc>
          <w:tcPr>
            <w:tcW w:w="1134" w:type="dxa"/>
            <w:vAlign w:val="center"/>
          </w:tcPr>
          <w:p w14:paraId="7F712EF2">
            <w:pPr>
              <w:pStyle w:val="18"/>
              <w:keepNext/>
              <w:spacing w:after="0" w:line="440" w:lineRule="exact"/>
              <w:ind w:left="63" w:right="63"/>
              <w:rPr>
                <w:rFonts w:eastAsia="仿宋_GB2312"/>
                <w:color w:val="auto"/>
                <w:sz w:val="30"/>
                <w:szCs w:val="30"/>
                <w:highlight w:val="none"/>
              </w:rPr>
            </w:pPr>
          </w:p>
        </w:tc>
        <w:tc>
          <w:tcPr>
            <w:tcW w:w="1134" w:type="dxa"/>
            <w:vAlign w:val="center"/>
          </w:tcPr>
          <w:p w14:paraId="48E0C55A">
            <w:pPr>
              <w:pStyle w:val="18"/>
              <w:keepNext/>
              <w:spacing w:after="0" w:line="440" w:lineRule="exact"/>
              <w:ind w:left="63" w:right="63"/>
              <w:rPr>
                <w:rFonts w:eastAsia="仿宋_GB2312"/>
                <w:color w:val="auto"/>
                <w:sz w:val="30"/>
                <w:szCs w:val="30"/>
                <w:highlight w:val="none"/>
              </w:rPr>
            </w:pPr>
          </w:p>
        </w:tc>
        <w:tc>
          <w:tcPr>
            <w:tcW w:w="4252" w:type="dxa"/>
            <w:vAlign w:val="center"/>
          </w:tcPr>
          <w:p w14:paraId="4AC16A15">
            <w:pPr>
              <w:pStyle w:val="18"/>
              <w:keepNext/>
              <w:spacing w:after="0" w:line="440" w:lineRule="exact"/>
              <w:ind w:left="63" w:right="63"/>
              <w:rPr>
                <w:rFonts w:eastAsia="仿宋_GB2312"/>
                <w:color w:val="auto"/>
                <w:sz w:val="30"/>
                <w:szCs w:val="30"/>
                <w:highlight w:val="none"/>
              </w:rPr>
            </w:pPr>
          </w:p>
        </w:tc>
      </w:tr>
      <w:tr w14:paraId="0D9E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8F6F9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6C83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07F689B">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vAlign w:val="center"/>
          </w:tcPr>
          <w:p w14:paraId="0992F0C7">
            <w:pPr>
              <w:pStyle w:val="18"/>
              <w:keepNext/>
              <w:spacing w:after="0" w:line="440" w:lineRule="exact"/>
              <w:ind w:left="63" w:right="63"/>
              <w:rPr>
                <w:rFonts w:eastAsia="仿宋_GB2312"/>
                <w:color w:val="auto"/>
                <w:sz w:val="28"/>
                <w:szCs w:val="28"/>
                <w:highlight w:val="none"/>
              </w:rPr>
            </w:pPr>
          </w:p>
        </w:tc>
        <w:tc>
          <w:tcPr>
            <w:tcW w:w="1134" w:type="dxa"/>
            <w:vAlign w:val="center"/>
          </w:tcPr>
          <w:p w14:paraId="62F6C3E0">
            <w:pPr>
              <w:pStyle w:val="18"/>
              <w:keepNext/>
              <w:spacing w:after="0" w:line="440" w:lineRule="exact"/>
              <w:ind w:left="63" w:right="63"/>
              <w:rPr>
                <w:rFonts w:eastAsia="仿宋_GB2312"/>
                <w:color w:val="auto"/>
                <w:sz w:val="30"/>
                <w:szCs w:val="30"/>
                <w:highlight w:val="none"/>
              </w:rPr>
            </w:pPr>
          </w:p>
        </w:tc>
        <w:tc>
          <w:tcPr>
            <w:tcW w:w="1134" w:type="dxa"/>
            <w:vAlign w:val="center"/>
          </w:tcPr>
          <w:p w14:paraId="2B2A85FD">
            <w:pPr>
              <w:pStyle w:val="18"/>
              <w:keepNext/>
              <w:spacing w:after="0" w:line="440" w:lineRule="exact"/>
              <w:ind w:left="63" w:right="63"/>
              <w:rPr>
                <w:rFonts w:eastAsia="仿宋_GB2312"/>
                <w:color w:val="auto"/>
                <w:sz w:val="30"/>
                <w:szCs w:val="30"/>
                <w:highlight w:val="none"/>
              </w:rPr>
            </w:pPr>
          </w:p>
        </w:tc>
        <w:tc>
          <w:tcPr>
            <w:tcW w:w="4252" w:type="dxa"/>
            <w:vAlign w:val="center"/>
          </w:tcPr>
          <w:p w14:paraId="18603D58">
            <w:pPr>
              <w:pStyle w:val="18"/>
              <w:keepNext/>
              <w:spacing w:after="0" w:line="440" w:lineRule="exact"/>
              <w:ind w:left="63" w:right="63"/>
              <w:rPr>
                <w:rFonts w:eastAsia="仿宋_GB2312"/>
                <w:color w:val="auto"/>
                <w:sz w:val="30"/>
                <w:szCs w:val="30"/>
                <w:highlight w:val="none"/>
              </w:rPr>
            </w:pPr>
          </w:p>
        </w:tc>
      </w:tr>
      <w:tr w14:paraId="08C4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111AAEE">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vAlign w:val="center"/>
          </w:tcPr>
          <w:p w14:paraId="2B0F3FCE">
            <w:pPr>
              <w:pStyle w:val="18"/>
              <w:keepNext/>
              <w:spacing w:after="0" w:line="440" w:lineRule="exact"/>
              <w:ind w:left="63" w:right="63"/>
              <w:rPr>
                <w:rFonts w:eastAsia="仿宋_GB2312"/>
                <w:color w:val="auto"/>
                <w:sz w:val="28"/>
                <w:szCs w:val="28"/>
                <w:highlight w:val="none"/>
              </w:rPr>
            </w:pPr>
          </w:p>
        </w:tc>
        <w:tc>
          <w:tcPr>
            <w:tcW w:w="1134" w:type="dxa"/>
            <w:vAlign w:val="center"/>
          </w:tcPr>
          <w:p w14:paraId="28BCD6D2">
            <w:pPr>
              <w:pStyle w:val="18"/>
              <w:keepNext/>
              <w:spacing w:after="0" w:line="440" w:lineRule="exact"/>
              <w:ind w:left="63" w:right="63"/>
              <w:rPr>
                <w:rFonts w:eastAsia="仿宋_GB2312"/>
                <w:color w:val="auto"/>
                <w:sz w:val="30"/>
                <w:szCs w:val="30"/>
                <w:highlight w:val="none"/>
              </w:rPr>
            </w:pPr>
          </w:p>
        </w:tc>
        <w:tc>
          <w:tcPr>
            <w:tcW w:w="1134" w:type="dxa"/>
            <w:vAlign w:val="center"/>
          </w:tcPr>
          <w:p w14:paraId="23762E11">
            <w:pPr>
              <w:pStyle w:val="18"/>
              <w:keepNext/>
              <w:spacing w:after="0" w:line="440" w:lineRule="exact"/>
              <w:ind w:left="63" w:right="63"/>
              <w:rPr>
                <w:rFonts w:eastAsia="仿宋_GB2312"/>
                <w:color w:val="auto"/>
                <w:sz w:val="30"/>
                <w:szCs w:val="30"/>
                <w:highlight w:val="none"/>
              </w:rPr>
            </w:pPr>
          </w:p>
        </w:tc>
        <w:tc>
          <w:tcPr>
            <w:tcW w:w="4252" w:type="dxa"/>
            <w:vAlign w:val="center"/>
          </w:tcPr>
          <w:p w14:paraId="761D3494">
            <w:pPr>
              <w:pStyle w:val="18"/>
              <w:keepNext/>
              <w:spacing w:after="0" w:line="440" w:lineRule="exact"/>
              <w:ind w:left="63" w:right="63"/>
              <w:rPr>
                <w:rFonts w:eastAsia="仿宋_GB2312"/>
                <w:color w:val="auto"/>
                <w:sz w:val="30"/>
                <w:szCs w:val="30"/>
                <w:highlight w:val="none"/>
              </w:rPr>
            </w:pPr>
          </w:p>
        </w:tc>
      </w:tr>
      <w:tr w14:paraId="14EF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C128FEA">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vAlign w:val="center"/>
          </w:tcPr>
          <w:p w14:paraId="7917BE3C">
            <w:pPr>
              <w:pStyle w:val="18"/>
              <w:keepNext/>
              <w:spacing w:after="0" w:line="440" w:lineRule="exact"/>
              <w:ind w:left="63" w:right="63"/>
              <w:rPr>
                <w:rFonts w:eastAsia="仿宋_GB2312"/>
                <w:color w:val="auto"/>
                <w:sz w:val="28"/>
                <w:szCs w:val="28"/>
                <w:highlight w:val="none"/>
              </w:rPr>
            </w:pPr>
          </w:p>
        </w:tc>
        <w:tc>
          <w:tcPr>
            <w:tcW w:w="1134" w:type="dxa"/>
            <w:vAlign w:val="center"/>
          </w:tcPr>
          <w:p w14:paraId="49DAF20E">
            <w:pPr>
              <w:pStyle w:val="18"/>
              <w:keepNext/>
              <w:spacing w:after="0" w:line="440" w:lineRule="exact"/>
              <w:ind w:left="63" w:right="63"/>
              <w:rPr>
                <w:rFonts w:eastAsia="仿宋_GB2312"/>
                <w:color w:val="auto"/>
                <w:sz w:val="30"/>
                <w:szCs w:val="30"/>
                <w:highlight w:val="none"/>
              </w:rPr>
            </w:pPr>
          </w:p>
        </w:tc>
        <w:tc>
          <w:tcPr>
            <w:tcW w:w="1134" w:type="dxa"/>
            <w:vAlign w:val="center"/>
          </w:tcPr>
          <w:p w14:paraId="1C337DCF">
            <w:pPr>
              <w:pStyle w:val="18"/>
              <w:keepNext/>
              <w:spacing w:after="0" w:line="440" w:lineRule="exact"/>
              <w:ind w:left="63" w:right="63"/>
              <w:rPr>
                <w:rFonts w:eastAsia="仿宋_GB2312"/>
                <w:color w:val="auto"/>
                <w:sz w:val="30"/>
                <w:szCs w:val="30"/>
                <w:highlight w:val="none"/>
              </w:rPr>
            </w:pPr>
          </w:p>
        </w:tc>
        <w:tc>
          <w:tcPr>
            <w:tcW w:w="4252" w:type="dxa"/>
            <w:vAlign w:val="center"/>
          </w:tcPr>
          <w:p w14:paraId="08D11DBD">
            <w:pPr>
              <w:pStyle w:val="18"/>
              <w:keepNext/>
              <w:spacing w:after="0" w:line="440" w:lineRule="exact"/>
              <w:ind w:left="63" w:right="63"/>
              <w:rPr>
                <w:rFonts w:eastAsia="仿宋_GB2312"/>
                <w:color w:val="auto"/>
                <w:sz w:val="30"/>
                <w:szCs w:val="30"/>
                <w:highlight w:val="none"/>
              </w:rPr>
            </w:pPr>
          </w:p>
        </w:tc>
      </w:tr>
      <w:tr w14:paraId="7036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A627CF1">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vAlign w:val="center"/>
          </w:tcPr>
          <w:p w14:paraId="7D3830EB">
            <w:pPr>
              <w:pStyle w:val="18"/>
              <w:keepNext/>
              <w:spacing w:after="0" w:line="440" w:lineRule="exact"/>
              <w:ind w:left="63" w:right="63"/>
              <w:rPr>
                <w:rFonts w:eastAsia="仿宋_GB2312"/>
                <w:color w:val="auto"/>
                <w:sz w:val="28"/>
                <w:szCs w:val="28"/>
                <w:highlight w:val="none"/>
              </w:rPr>
            </w:pPr>
          </w:p>
        </w:tc>
        <w:tc>
          <w:tcPr>
            <w:tcW w:w="1134" w:type="dxa"/>
            <w:vAlign w:val="center"/>
          </w:tcPr>
          <w:p w14:paraId="73A70508">
            <w:pPr>
              <w:pStyle w:val="18"/>
              <w:keepNext/>
              <w:spacing w:after="0" w:line="440" w:lineRule="exact"/>
              <w:ind w:left="63" w:right="63"/>
              <w:rPr>
                <w:rFonts w:eastAsia="仿宋_GB2312"/>
                <w:color w:val="auto"/>
                <w:sz w:val="30"/>
                <w:szCs w:val="30"/>
                <w:highlight w:val="none"/>
              </w:rPr>
            </w:pPr>
          </w:p>
        </w:tc>
        <w:tc>
          <w:tcPr>
            <w:tcW w:w="1134" w:type="dxa"/>
            <w:vAlign w:val="center"/>
          </w:tcPr>
          <w:p w14:paraId="29A4FD9F">
            <w:pPr>
              <w:pStyle w:val="18"/>
              <w:keepNext/>
              <w:spacing w:after="0" w:line="440" w:lineRule="exact"/>
              <w:ind w:left="63" w:right="63"/>
              <w:rPr>
                <w:rFonts w:eastAsia="仿宋_GB2312"/>
                <w:color w:val="auto"/>
                <w:sz w:val="30"/>
                <w:szCs w:val="30"/>
                <w:highlight w:val="none"/>
              </w:rPr>
            </w:pPr>
          </w:p>
        </w:tc>
        <w:tc>
          <w:tcPr>
            <w:tcW w:w="4252" w:type="dxa"/>
            <w:vAlign w:val="center"/>
          </w:tcPr>
          <w:p w14:paraId="5BEB3670">
            <w:pPr>
              <w:pStyle w:val="18"/>
              <w:keepNext/>
              <w:spacing w:after="0" w:line="440" w:lineRule="exact"/>
              <w:ind w:left="63" w:right="63"/>
              <w:rPr>
                <w:rFonts w:eastAsia="仿宋_GB2312"/>
                <w:color w:val="auto"/>
                <w:sz w:val="30"/>
                <w:szCs w:val="30"/>
                <w:highlight w:val="none"/>
              </w:rPr>
            </w:pPr>
          </w:p>
        </w:tc>
      </w:tr>
      <w:tr w14:paraId="0E79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075A879">
            <w:pPr>
              <w:pStyle w:val="18"/>
              <w:keepNext/>
              <w:spacing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vAlign w:val="center"/>
          </w:tcPr>
          <w:p w14:paraId="6230D579">
            <w:pPr>
              <w:pStyle w:val="18"/>
              <w:keepNext/>
              <w:spacing w:after="0" w:line="440" w:lineRule="exact"/>
              <w:ind w:left="63" w:right="63"/>
              <w:rPr>
                <w:rFonts w:eastAsia="仿宋_GB2312"/>
                <w:color w:val="auto"/>
                <w:sz w:val="28"/>
                <w:szCs w:val="28"/>
                <w:highlight w:val="none"/>
              </w:rPr>
            </w:pPr>
          </w:p>
        </w:tc>
        <w:tc>
          <w:tcPr>
            <w:tcW w:w="1134" w:type="dxa"/>
            <w:vAlign w:val="center"/>
          </w:tcPr>
          <w:p w14:paraId="797486F3">
            <w:pPr>
              <w:pStyle w:val="18"/>
              <w:keepNext/>
              <w:spacing w:after="0" w:line="440" w:lineRule="exact"/>
              <w:ind w:left="63" w:right="63"/>
              <w:rPr>
                <w:rFonts w:eastAsia="仿宋_GB2312"/>
                <w:color w:val="auto"/>
                <w:sz w:val="30"/>
                <w:szCs w:val="30"/>
                <w:highlight w:val="none"/>
              </w:rPr>
            </w:pPr>
          </w:p>
        </w:tc>
        <w:tc>
          <w:tcPr>
            <w:tcW w:w="1134" w:type="dxa"/>
            <w:vAlign w:val="center"/>
          </w:tcPr>
          <w:p w14:paraId="5CB5E821">
            <w:pPr>
              <w:pStyle w:val="18"/>
              <w:keepNext/>
              <w:spacing w:after="0" w:line="440" w:lineRule="exact"/>
              <w:ind w:left="63" w:right="63"/>
              <w:rPr>
                <w:rFonts w:eastAsia="仿宋_GB2312"/>
                <w:color w:val="auto"/>
                <w:sz w:val="30"/>
                <w:szCs w:val="30"/>
                <w:highlight w:val="none"/>
              </w:rPr>
            </w:pPr>
          </w:p>
        </w:tc>
        <w:tc>
          <w:tcPr>
            <w:tcW w:w="4252" w:type="dxa"/>
            <w:vAlign w:val="center"/>
          </w:tcPr>
          <w:p w14:paraId="495AF68E">
            <w:pPr>
              <w:pStyle w:val="18"/>
              <w:keepNext/>
              <w:spacing w:after="0" w:line="440" w:lineRule="exact"/>
              <w:ind w:left="63" w:right="63"/>
              <w:rPr>
                <w:rFonts w:eastAsia="仿宋_GB2312"/>
                <w:color w:val="auto"/>
                <w:sz w:val="30"/>
                <w:szCs w:val="30"/>
                <w:highlight w:val="none"/>
              </w:rPr>
            </w:pPr>
          </w:p>
        </w:tc>
      </w:tr>
      <w:tr w14:paraId="3FFD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8AB673">
            <w:pPr>
              <w:pStyle w:val="18"/>
              <w:keepNext/>
              <w:spacing w:line="440" w:lineRule="exact"/>
              <w:ind w:left="63" w:right="63"/>
              <w:jc w:val="center"/>
              <w:rPr>
                <w:rFonts w:eastAsia="仿宋_GB2312"/>
                <w:color w:val="auto"/>
                <w:sz w:val="28"/>
                <w:szCs w:val="28"/>
                <w:highlight w:val="none"/>
              </w:rPr>
            </w:pPr>
          </w:p>
        </w:tc>
        <w:tc>
          <w:tcPr>
            <w:tcW w:w="1418" w:type="dxa"/>
            <w:vAlign w:val="center"/>
          </w:tcPr>
          <w:p w14:paraId="2C5126AC">
            <w:pPr>
              <w:pStyle w:val="18"/>
              <w:keepNext/>
              <w:spacing w:after="0" w:line="440" w:lineRule="exact"/>
              <w:ind w:left="63" w:right="63"/>
              <w:rPr>
                <w:rFonts w:eastAsia="仿宋_GB2312"/>
                <w:color w:val="auto"/>
                <w:sz w:val="28"/>
                <w:szCs w:val="28"/>
                <w:highlight w:val="none"/>
              </w:rPr>
            </w:pPr>
          </w:p>
        </w:tc>
        <w:tc>
          <w:tcPr>
            <w:tcW w:w="1134" w:type="dxa"/>
            <w:vAlign w:val="center"/>
          </w:tcPr>
          <w:p w14:paraId="6783A738">
            <w:pPr>
              <w:pStyle w:val="18"/>
              <w:keepNext/>
              <w:spacing w:after="0" w:line="440" w:lineRule="exact"/>
              <w:ind w:left="63" w:right="63"/>
              <w:rPr>
                <w:rFonts w:eastAsia="仿宋_GB2312"/>
                <w:color w:val="auto"/>
                <w:sz w:val="30"/>
                <w:szCs w:val="30"/>
                <w:highlight w:val="none"/>
              </w:rPr>
            </w:pPr>
          </w:p>
        </w:tc>
        <w:tc>
          <w:tcPr>
            <w:tcW w:w="1134" w:type="dxa"/>
            <w:vAlign w:val="center"/>
          </w:tcPr>
          <w:p w14:paraId="595641FF">
            <w:pPr>
              <w:pStyle w:val="18"/>
              <w:keepNext/>
              <w:spacing w:after="0" w:line="440" w:lineRule="exact"/>
              <w:ind w:left="63" w:right="63"/>
              <w:rPr>
                <w:rFonts w:eastAsia="仿宋_GB2312"/>
                <w:color w:val="auto"/>
                <w:sz w:val="30"/>
                <w:szCs w:val="30"/>
                <w:highlight w:val="none"/>
              </w:rPr>
            </w:pPr>
          </w:p>
        </w:tc>
        <w:tc>
          <w:tcPr>
            <w:tcW w:w="4252" w:type="dxa"/>
            <w:vAlign w:val="center"/>
          </w:tcPr>
          <w:p w14:paraId="20CBE42D">
            <w:pPr>
              <w:pStyle w:val="18"/>
              <w:keepNext/>
              <w:spacing w:after="0" w:line="440" w:lineRule="exact"/>
              <w:ind w:left="63" w:right="63"/>
              <w:rPr>
                <w:rFonts w:eastAsia="仿宋_GB2312"/>
                <w:color w:val="auto"/>
                <w:sz w:val="30"/>
                <w:szCs w:val="30"/>
                <w:highlight w:val="none"/>
              </w:rPr>
            </w:pPr>
          </w:p>
        </w:tc>
      </w:tr>
      <w:tr w14:paraId="5C33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CE4EB2B">
            <w:pPr>
              <w:pStyle w:val="18"/>
              <w:keepNext/>
              <w:spacing w:after="0" w:line="440" w:lineRule="exact"/>
              <w:ind w:left="63" w:right="63"/>
              <w:jc w:val="center"/>
              <w:rPr>
                <w:rFonts w:eastAsia="仿宋_GB2312"/>
                <w:color w:val="auto"/>
                <w:sz w:val="28"/>
                <w:szCs w:val="28"/>
                <w:highlight w:val="none"/>
              </w:rPr>
            </w:pPr>
          </w:p>
        </w:tc>
        <w:tc>
          <w:tcPr>
            <w:tcW w:w="1418" w:type="dxa"/>
            <w:vAlign w:val="center"/>
          </w:tcPr>
          <w:p w14:paraId="321D05F3">
            <w:pPr>
              <w:pStyle w:val="18"/>
              <w:keepNext/>
              <w:spacing w:after="0" w:line="440" w:lineRule="exact"/>
              <w:ind w:left="63" w:right="63"/>
              <w:rPr>
                <w:rFonts w:eastAsia="仿宋_GB2312"/>
                <w:color w:val="auto"/>
                <w:sz w:val="28"/>
                <w:szCs w:val="28"/>
                <w:highlight w:val="none"/>
              </w:rPr>
            </w:pPr>
          </w:p>
        </w:tc>
        <w:tc>
          <w:tcPr>
            <w:tcW w:w="1134" w:type="dxa"/>
            <w:vAlign w:val="center"/>
          </w:tcPr>
          <w:p w14:paraId="1397ABA4">
            <w:pPr>
              <w:pStyle w:val="18"/>
              <w:keepNext/>
              <w:spacing w:after="0" w:line="440" w:lineRule="exact"/>
              <w:ind w:left="63" w:right="63"/>
              <w:rPr>
                <w:rFonts w:eastAsia="仿宋_GB2312"/>
                <w:color w:val="auto"/>
                <w:sz w:val="30"/>
                <w:szCs w:val="30"/>
                <w:highlight w:val="none"/>
              </w:rPr>
            </w:pPr>
          </w:p>
        </w:tc>
        <w:tc>
          <w:tcPr>
            <w:tcW w:w="1134" w:type="dxa"/>
            <w:vAlign w:val="center"/>
          </w:tcPr>
          <w:p w14:paraId="75C6AF87">
            <w:pPr>
              <w:pStyle w:val="18"/>
              <w:keepNext/>
              <w:spacing w:after="0" w:line="440" w:lineRule="exact"/>
              <w:ind w:left="63" w:right="63"/>
              <w:rPr>
                <w:rFonts w:eastAsia="仿宋_GB2312"/>
                <w:color w:val="auto"/>
                <w:sz w:val="30"/>
                <w:szCs w:val="30"/>
                <w:highlight w:val="none"/>
              </w:rPr>
            </w:pPr>
          </w:p>
        </w:tc>
        <w:tc>
          <w:tcPr>
            <w:tcW w:w="4252" w:type="dxa"/>
            <w:vAlign w:val="center"/>
          </w:tcPr>
          <w:p w14:paraId="58CC735F">
            <w:pPr>
              <w:pStyle w:val="18"/>
              <w:keepNext/>
              <w:spacing w:after="0" w:line="440" w:lineRule="exact"/>
              <w:ind w:left="63" w:right="63"/>
              <w:rPr>
                <w:rFonts w:eastAsia="仿宋_GB2312"/>
                <w:color w:val="auto"/>
                <w:sz w:val="30"/>
                <w:szCs w:val="30"/>
                <w:highlight w:val="none"/>
              </w:rPr>
            </w:pPr>
          </w:p>
        </w:tc>
      </w:tr>
      <w:tr w14:paraId="7CE9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2612B1E">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vAlign w:val="center"/>
          </w:tcPr>
          <w:p w14:paraId="374B77D2">
            <w:pPr>
              <w:pStyle w:val="18"/>
              <w:keepNext/>
              <w:spacing w:after="0" w:line="440" w:lineRule="exact"/>
              <w:ind w:left="63" w:right="63"/>
              <w:rPr>
                <w:rFonts w:eastAsia="仿宋_GB2312"/>
                <w:color w:val="auto"/>
                <w:sz w:val="28"/>
                <w:szCs w:val="28"/>
                <w:highlight w:val="none"/>
              </w:rPr>
            </w:pPr>
          </w:p>
        </w:tc>
        <w:tc>
          <w:tcPr>
            <w:tcW w:w="1134" w:type="dxa"/>
            <w:vAlign w:val="center"/>
          </w:tcPr>
          <w:p w14:paraId="74213B83">
            <w:pPr>
              <w:pStyle w:val="18"/>
              <w:keepNext/>
              <w:spacing w:after="0" w:line="440" w:lineRule="exact"/>
              <w:ind w:left="63" w:right="63"/>
              <w:rPr>
                <w:rFonts w:eastAsia="仿宋_GB2312"/>
                <w:color w:val="auto"/>
                <w:sz w:val="30"/>
                <w:szCs w:val="30"/>
                <w:highlight w:val="none"/>
              </w:rPr>
            </w:pPr>
          </w:p>
        </w:tc>
        <w:tc>
          <w:tcPr>
            <w:tcW w:w="1134" w:type="dxa"/>
            <w:vAlign w:val="center"/>
          </w:tcPr>
          <w:p w14:paraId="41A15A29">
            <w:pPr>
              <w:pStyle w:val="18"/>
              <w:keepNext/>
              <w:spacing w:after="0" w:line="440" w:lineRule="exact"/>
              <w:ind w:left="63" w:right="63"/>
              <w:rPr>
                <w:rFonts w:eastAsia="仿宋_GB2312"/>
                <w:color w:val="auto"/>
                <w:sz w:val="30"/>
                <w:szCs w:val="30"/>
                <w:highlight w:val="none"/>
              </w:rPr>
            </w:pPr>
          </w:p>
        </w:tc>
        <w:tc>
          <w:tcPr>
            <w:tcW w:w="4252" w:type="dxa"/>
            <w:vAlign w:val="center"/>
          </w:tcPr>
          <w:p w14:paraId="78DDE454">
            <w:pPr>
              <w:pStyle w:val="18"/>
              <w:keepNext/>
              <w:spacing w:after="0" w:line="440" w:lineRule="exact"/>
              <w:ind w:left="63" w:right="63"/>
              <w:rPr>
                <w:rFonts w:eastAsia="仿宋_GB2312"/>
                <w:color w:val="auto"/>
                <w:sz w:val="30"/>
                <w:szCs w:val="30"/>
                <w:highlight w:val="none"/>
              </w:rPr>
            </w:pPr>
          </w:p>
        </w:tc>
      </w:tr>
      <w:tr w14:paraId="5C7A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FB08ECD">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vAlign w:val="center"/>
          </w:tcPr>
          <w:p w14:paraId="5355F37E">
            <w:pPr>
              <w:pStyle w:val="18"/>
              <w:keepNext/>
              <w:spacing w:after="0" w:line="440" w:lineRule="exact"/>
              <w:ind w:left="63" w:right="63"/>
              <w:rPr>
                <w:rFonts w:eastAsia="仿宋_GB2312"/>
                <w:color w:val="auto"/>
                <w:sz w:val="28"/>
                <w:szCs w:val="28"/>
                <w:highlight w:val="none"/>
              </w:rPr>
            </w:pPr>
          </w:p>
        </w:tc>
        <w:tc>
          <w:tcPr>
            <w:tcW w:w="1134" w:type="dxa"/>
            <w:vAlign w:val="center"/>
          </w:tcPr>
          <w:p w14:paraId="64451F9F">
            <w:pPr>
              <w:pStyle w:val="18"/>
              <w:keepNext/>
              <w:spacing w:after="0" w:line="440" w:lineRule="exact"/>
              <w:ind w:left="63" w:right="63"/>
              <w:rPr>
                <w:rFonts w:eastAsia="仿宋_GB2312"/>
                <w:color w:val="auto"/>
                <w:sz w:val="30"/>
                <w:szCs w:val="30"/>
                <w:highlight w:val="none"/>
              </w:rPr>
            </w:pPr>
          </w:p>
        </w:tc>
        <w:tc>
          <w:tcPr>
            <w:tcW w:w="1134" w:type="dxa"/>
            <w:vAlign w:val="center"/>
          </w:tcPr>
          <w:p w14:paraId="44D826AE">
            <w:pPr>
              <w:pStyle w:val="18"/>
              <w:keepNext/>
              <w:spacing w:after="0" w:line="440" w:lineRule="exact"/>
              <w:ind w:left="63" w:right="63"/>
              <w:rPr>
                <w:rFonts w:eastAsia="仿宋_GB2312"/>
                <w:color w:val="auto"/>
                <w:sz w:val="30"/>
                <w:szCs w:val="30"/>
                <w:highlight w:val="none"/>
              </w:rPr>
            </w:pPr>
          </w:p>
        </w:tc>
        <w:tc>
          <w:tcPr>
            <w:tcW w:w="4252" w:type="dxa"/>
            <w:vAlign w:val="center"/>
          </w:tcPr>
          <w:p w14:paraId="69E3B63F">
            <w:pPr>
              <w:pStyle w:val="18"/>
              <w:keepNext/>
              <w:spacing w:after="0" w:line="440" w:lineRule="exact"/>
              <w:ind w:left="63" w:right="63"/>
              <w:rPr>
                <w:rFonts w:eastAsia="仿宋_GB2312"/>
                <w:color w:val="auto"/>
                <w:sz w:val="30"/>
                <w:szCs w:val="30"/>
                <w:highlight w:val="none"/>
              </w:rPr>
            </w:pPr>
          </w:p>
        </w:tc>
      </w:tr>
      <w:tr w14:paraId="700C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B803BA8">
            <w:pPr>
              <w:pStyle w:val="18"/>
              <w:keepNext/>
              <w:spacing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vAlign w:val="center"/>
          </w:tcPr>
          <w:p w14:paraId="5CA47CE9">
            <w:pPr>
              <w:pStyle w:val="18"/>
              <w:keepNext/>
              <w:spacing w:after="0" w:line="440" w:lineRule="exact"/>
              <w:ind w:left="63" w:right="63"/>
              <w:rPr>
                <w:rFonts w:eastAsia="仿宋_GB2312"/>
                <w:color w:val="auto"/>
                <w:sz w:val="28"/>
                <w:szCs w:val="28"/>
                <w:highlight w:val="none"/>
              </w:rPr>
            </w:pPr>
          </w:p>
        </w:tc>
        <w:tc>
          <w:tcPr>
            <w:tcW w:w="1134" w:type="dxa"/>
            <w:vAlign w:val="center"/>
          </w:tcPr>
          <w:p w14:paraId="5F1BDC6B">
            <w:pPr>
              <w:pStyle w:val="18"/>
              <w:keepNext/>
              <w:spacing w:after="0" w:line="440" w:lineRule="exact"/>
              <w:ind w:left="63" w:right="63"/>
              <w:rPr>
                <w:rFonts w:eastAsia="仿宋_GB2312"/>
                <w:color w:val="auto"/>
                <w:sz w:val="30"/>
                <w:szCs w:val="30"/>
                <w:highlight w:val="none"/>
              </w:rPr>
            </w:pPr>
          </w:p>
        </w:tc>
        <w:tc>
          <w:tcPr>
            <w:tcW w:w="1134" w:type="dxa"/>
            <w:vAlign w:val="center"/>
          </w:tcPr>
          <w:p w14:paraId="76D0F97A">
            <w:pPr>
              <w:pStyle w:val="18"/>
              <w:keepNext/>
              <w:spacing w:after="0" w:line="440" w:lineRule="exact"/>
              <w:ind w:left="63" w:right="63"/>
              <w:rPr>
                <w:rFonts w:eastAsia="仿宋_GB2312"/>
                <w:color w:val="auto"/>
                <w:sz w:val="30"/>
                <w:szCs w:val="30"/>
                <w:highlight w:val="none"/>
              </w:rPr>
            </w:pPr>
          </w:p>
        </w:tc>
        <w:tc>
          <w:tcPr>
            <w:tcW w:w="4252" w:type="dxa"/>
            <w:vAlign w:val="center"/>
          </w:tcPr>
          <w:p w14:paraId="5D9B3DF2">
            <w:pPr>
              <w:pStyle w:val="18"/>
              <w:keepNext/>
              <w:spacing w:after="0" w:line="440" w:lineRule="exact"/>
              <w:ind w:left="63" w:right="63"/>
              <w:rPr>
                <w:rFonts w:eastAsia="仿宋_GB2312"/>
                <w:color w:val="auto"/>
                <w:sz w:val="30"/>
                <w:szCs w:val="30"/>
                <w:highlight w:val="none"/>
              </w:rPr>
            </w:pPr>
          </w:p>
        </w:tc>
      </w:tr>
      <w:tr w14:paraId="4F1A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9CE4C75">
            <w:pPr>
              <w:pStyle w:val="18"/>
              <w:keepNext/>
              <w:spacing w:line="440" w:lineRule="exact"/>
              <w:ind w:left="63" w:right="63"/>
              <w:jc w:val="center"/>
              <w:rPr>
                <w:rFonts w:eastAsia="仿宋_GB2312"/>
                <w:color w:val="auto"/>
                <w:sz w:val="28"/>
                <w:szCs w:val="28"/>
                <w:highlight w:val="none"/>
              </w:rPr>
            </w:pPr>
          </w:p>
        </w:tc>
        <w:tc>
          <w:tcPr>
            <w:tcW w:w="1418" w:type="dxa"/>
            <w:vAlign w:val="center"/>
          </w:tcPr>
          <w:p w14:paraId="2642BEFD">
            <w:pPr>
              <w:pStyle w:val="18"/>
              <w:keepNext/>
              <w:spacing w:after="0" w:line="440" w:lineRule="exact"/>
              <w:ind w:left="63" w:right="63"/>
              <w:rPr>
                <w:rFonts w:eastAsia="仿宋_GB2312"/>
                <w:color w:val="auto"/>
                <w:sz w:val="28"/>
                <w:szCs w:val="28"/>
                <w:highlight w:val="none"/>
              </w:rPr>
            </w:pPr>
          </w:p>
        </w:tc>
        <w:tc>
          <w:tcPr>
            <w:tcW w:w="1134" w:type="dxa"/>
            <w:vAlign w:val="center"/>
          </w:tcPr>
          <w:p w14:paraId="2C420F04">
            <w:pPr>
              <w:pStyle w:val="18"/>
              <w:keepNext/>
              <w:spacing w:after="0" w:line="440" w:lineRule="exact"/>
              <w:ind w:left="63" w:right="63"/>
              <w:rPr>
                <w:rFonts w:eastAsia="仿宋_GB2312"/>
                <w:color w:val="auto"/>
                <w:sz w:val="30"/>
                <w:szCs w:val="30"/>
                <w:highlight w:val="none"/>
              </w:rPr>
            </w:pPr>
          </w:p>
        </w:tc>
        <w:tc>
          <w:tcPr>
            <w:tcW w:w="1134" w:type="dxa"/>
            <w:vAlign w:val="center"/>
          </w:tcPr>
          <w:p w14:paraId="757EBA00">
            <w:pPr>
              <w:pStyle w:val="18"/>
              <w:keepNext/>
              <w:spacing w:after="0" w:line="440" w:lineRule="exact"/>
              <w:ind w:left="63" w:right="63"/>
              <w:rPr>
                <w:rFonts w:eastAsia="仿宋_GB2312"/>
                <w:color w:val="auto"/>
                <w:sz w:val="30"/>
                <w:szCs w:val="30"/>
                <w:highlight w:val="none"/>
              </w:rPr>
            </w:pPr>
          </w:p>
        </w:tc>
        <w:tc>
          <w:tcPr>
            <w:tcW w:w="4252" w:type="dxa"/>
            <w:vAlign w:val="center"/>
          </w:tcPr>
          <w:p w14:paraId="208132D1">
            <w:pPr>
              <w:pStyle w:val="18"/>
              <w:keepNext/>
              <w:spacing w:after="0" w:line="440" w:lineRule="exact"/>
              <w:ind w:left="63" w:right="63"/>
              <w:rPr>
                <w:rFonts w:eastAsia="仿宋_GB2312"/>
                <w:color w:val="auto"/>
                <w:sz w:val="30"/>
                <w:szCs w:val="30"/>
                <w:highlight w:val="none"/>
              </w:rPr>
            </w:pPr>
          </w:p>
        </w:tc>
      </w:tr>
      <w:tr w14:paraId="129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38EF146">
            <w:pPr>
              <w:pStyle w:val="18"/>
              <w:keepNext/>
              <w:spacing w:after="0" w:line="440" w:lineRule="exact"/>
              <w:ind w:left="63" w:right="63"/>
              <w:jc w:val="center"/>
              <w:rPr>
                <w:rFonts w:eastAsia="仿宋_GB2312"/>
                <w:color w:val="auto"/>
                <w:sz w:val="28"/>
                <w:szCs w:val="28"/>
                <w:highlight w:val="none"/>
              </w:rPr>
            </w:pPr>
          </w:p>
        </w:tc>
        <w:tc>
          <w:tcPr>
            <w:tcW w:w="1418" w:type="dxa"/>
            <w:vAlign w:val="center"/>
          </w:tcPr>
          <w:p w14:paraId="65924F72">
            <w:pPr>
              <w:pStyle w:val="18"/>
              <w:keepNext/>
              <w:spacing w:after="0" w:line="440" w:lineRule="exact"/>
              <w:ind w:left="63" w:right="63"/>
              <w:rPr>
                <w:rFonts w:eastAsia="仿宋_GB2312"/>
                <w:color w:val="auto"/>
                <w:sz w:val="28"/>
                <w:szCs w:val="28"/>
                <w:highlight w:val="none"/>
              </w:rPr>
            </w:pPr>
          </w:p>
        </w:tc>
        <w:tc>
          <w:tcPr>
            <w:tcW w:w="1134" w:type="dxa"/>
            <w:vAlign w:val="center"/>
          </w:tcPr>
          <w:p w14:paraId="12A66F42">
            <w:pPr>
              <w:pStyle w:val="18"/>
              <w:keepNext/>
              <w:spacing w:after="0" w:line="440" w:lineRule="exact"/>
              <w:ind w:left="63" w:right="63"/>
              <w:rPr>
                <w:rFonts w:eastAsia="仿宋_GB2312"/>
                <w:color w:val="auto"/>
                <w:sz w:val="30"/>
                <w:szCs w:val="30"/>
                <w:highlight w:val="none"/>
              </w:rPr>
            </w:pPr>
          </w:p>
        </w:tc>
        <w:tc>
          <w:tcPr>
            <w:tcW w:w="1134" w:type="dxa"/>
            <w:vAlign w:val="center"/>
          </w:tcPr>
          <w:p w14:paraId="588E1E15">
            <w:pPr>
              <w:pStyle w:val="18"/>
              <w:keepNext/>
              <w:spacing w:after="0" w:line="440" w:lineRule="exact"/>
              <w:ind w:left="63" w:right="63"/>
              <w:rPr>
                <w:rFonts w:eastAsia="仿宋_GB2312"/>
                <w:color w:val="auto"/>
                <w:sz w:val="30"/>
                <w:szCs w:val="30"/>
                <w:highlight w:val="none"/>
              </w:rPr>
            </w:pPr>
          </w:p>
        </w:tc>
        <w:tc>
          <w:tcPr>
            <w:tcW w:w="4252" w:type="dxa"/>
            <w:vAlign w:val="center"/>
          </w:tcPr>
          <w:p w14:paraId="3C4F9A42">
            <w:pPr>
              <w:pStyle w:val="18"/>
              <w:keepNext/>
              <w:spacing w:after="0" w:line="440" w:lineRule="exact"/>
              <w:ind w:left="63" w:right="63"/>
              <w:rPr>
                <w:rFonts w:eastAsia="仿宋_GB2312"/>
                <w:color w:val="auto"/>
                <w:sz w:val="30"/>
                <w:szCs w:val="30"/>
                <w:highlight w:val="none"/>
              </w:rPr>
            </w:pPr>
          </w:p>
        </w:tc>
      </w:tr>
      <w:tr w14:paraId="57D8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B6E9230">
            <w:pPr>
              <w:pStyle w:val="18"/>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vAlign w:val="center"/>
          </w:tcPr>
          <w:p w14:paraId="1948782C">
            <w:pPr>
              <w:pStyle w:val="18"/>
              <w:keepNext/>
              <w:spacing w:after="0" w:line="440" w:lineRule="exact"/>
              <w:ind w:left="63" w:right="63"/>
              <w:rPr>
                <w:rFonts w:eastAsia="仿宋_GB2312"/>
                <w:color w:val="auto"/>
                <w:sz w:val="28"/>
                <w:szCs w:val="28"/>
                <w:highlight w:val="none"/>
              </w:rPr>
            </w:pPr>
          </w:p>
        </w:tc>
        <w:tc>
          <w:tcPr>
            <w:tcW w:w="1134" w:type="dxa"/>
            <w:vAlign w:val="center"/>
          </w:tcPr>
          <w:p w14:paraId="387B283B">
            <w:pPr>
              <w:pStyle w:val="18"/>
              <w:keepNext/>
              <w:spacing w:after="0" w:line="440" w:lineRule="exact"/>
              <w:ind w:left="63" w:right="63"/>
              <w:rPr>
                <w:rFonts w:eastAsia="仿宋_GB2312"/>
                <w:color w:val="auto"/>
                <w:sz w:val="30"/>
                <w:szCs w:val="30"/>
                <w:highlight w:val="none"/>
              </w:rPr>
            </w:pPr>
          </w:p>
        </w:tc>
        <w:tc>
          <w:tcPr>
            <w:tcW w:w="1134" w:type="dxa"/>
            <w:vAlign w:val="center"/>
          </w:tcPr>
          <w:p w14:paraId="075CDA64">
            <w:pPr>
              <w:pStyle w:val="18"/>
              <w:keepNext/>
              <w:spacing w:after="0" w:line="440" w:lineRule="exact"/>
              <w:ind w:left="63" w:right="63"/>
              <w:rPr>
                <w:rFonts w:eastAsia="仿宋_GB2312"/>
                <w:color w:val="auto"/>
                <w:sz w:val="30"/>
                <w:szCs w:val="30"/>
                <w:highlight w:val="none"/>
              </w:rPr>
            </w:pPr>
          </w:p>
        </w:tc>
        <w:tc>
          <w:tcPr>
            <w:tcW w:w="4252" w:type="dxa"/>
            <w:vAlign w:val="center"/>
          </w:tcPr>
          <w:p w14:paraId="4C25EC61">
            <w:pPr>
              <w:pStyle w:val="18"/>
              <w:keepNext/>
              <w:spacing w:after="0" w:line="440" w:lineRule="exact"/>
              <w:ind w:left="63" w:right="63"/>
              <w:rPr>
                <w:rFonts w:eastAsia="仿宋_GB2312"/>
                <w:color w:val="auto"/>
                <w:sz w:val="30"/>
                <w:szCs w:val="30"/>
                <w:highlight w:val="none"/>
              </w:rPr>
            </w:pPr>
          </w:p>
        </w:tc>
      </w:tr>
      <w:tr w14:paraId="57CC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A5A826">
            <w:pPr>
              <w:pStyle w:val="18"/>
              <w:keepNext/>
              <w:spacing w:after="0" w:line="440" w:lineRule="exact"/>
              <w:ind w:left="63" w:right="63"/>
              <w:rPr>
                <w:rFonts w:eastAsia="仿宋_GB2312"/>
                <w:color w:val="auto"/>
                <w:sz w:val="28"/>
                <w:szCs w:val="28"/>
                <w:highlight w:val="none"/>
              </w:rPr>
            </w:pPr>
          </w:p>
        </w:tc>
        <w:tc>
          <w:tcPr>
            <w:tcW w:w="1418" w:type="dxa"/>
            <w:vAlign w:val="center"/>
          </w:tcPr>
          <w:p w14:paraId="00376CA4">
            <w:pPr>
              <w:pStyle w:val="18"/>
              <w:keepNext/>
              <w:spacing w:after="0" w:line="440" w:lineRule="exact"/>
              <w:ind w:left="63" w:right="63"/>
              <w:rPr>
                <w:rFonts w:eastAsia="仿宋_GB2312"/>
                <w:color w:val="auto"/>
                <w:sz w:val="28"/>
                <w:szCs w:val="28"/>
                <w:highlight w:val="none"/>
              </w:rPr>
            </w:pPr>
          </w:p>
        </w:tc>
        <w:tc>
          <w:tcPr>
            <w:tcW w:w="1134" w:type="dxa"/>
            <w:vAlign w:val="center"/>
          </w:tcPr>
          <w:p w14:paraId="7D30AFFB">
            <w:pPr>
              <w:pStyle w:val="18"/>
              <w:keepNext/>
              <w:spacing w:after="0" w:line="440" w:lineRule="exact"/>
              <w:ind w:left="63" w:right="63"/>
              <w:rPr>
                <w:rFonts w:eastAsia="仿宋_GB2312"/>
                <w:color w:val="auto"/>
                <w:sz w:val="30"/>
                <w:szCs w:val="30"/>
                <w:highlight w:val="none"/>
              </w:rPr>
            </w:pPr>
          </w:p>
        </w:tc>
        <w:tc>
          <w:tcPr>
            <w:tcW w:w="1134" w:type="dxa"/>
            <w:vAlign w:val="center"/>
          </w:tcPr>
          <w:p w14:paraId="304A418A">
            <w:pPr>
              <w:pStyle w:val="18"/>
              <w:keepNext/>
              <w:spacing w:after="0" w:line="440" w:lineRule="exact"/>
              <w:ind w:left="63" w:right="63"/>
              <w:rPr>
                <w:rFonts w:eastAsia="仿宋_GB2312"/>
                <w:color w:val="auto"/>
                <w:sz w:val="30"/>
                <w:szCs w:val="30"/>
                <w:highlight w:val="none"/>
              </w:rPr>
            </w:pPr>
          </w:p>
        </w:tc>
        <w:tc>
          <w:tcPr>
            <w:tcW w:w="4252" w:type="dxa"/>
            <w:vAlign w:val="center"/>
          </w:tcPr>
          <w:p w14:paraId="429580A9">
            <w:pPr>
              <w:pStyle w:val="18"/>
              <w:keepNext/>
              <w:spacing w:after="0" w:line="440" w:lineRule="exact"/>
              <w:ind w:left="63" w:right="63"/>
              <w:rPr>
                <w:rFonts w:eastAsia="仿宋_GB2312"/>
                <w:color w:val="auto"/>
                <w:sz w:val="30"/>
                <w:szCs w:val="30"/>
                <w:highlight w:val="none"/>
              </w:rPr>
            </w:pPr>
          </w:p>
        </w:tc>
      </w:tr>
      <w:tr w14:paraId="340B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E289661">
            <w:pPr>
              <w:pStyle w:val="18"/>
              <w:keepNext/>
              <w:spacing w:after="0" w:line="440" w:lineRule="exact"/>
              <w:ind w:left="63" w:right="63"/>
              <w:rPr>
                <w:rFonts w:eastAsia="仿宋_GB2312"/>
                <w:color w:val="auto"/>
                <w:sz w:val="28"/>
                <w:szCs w:val="28"/>
                <w:highlight w:val="none"/>
              </w:rPr>
            </w:pPr>
          </w:p>
        </w:tc>
        <w:tc>
          <w:tcPr>
            <w:tcW w:w="1418" w:type="dxa"/>
            <w:vAlign w:val="center"/>
          </w:tcPr>
          <w:p w14:paraId="56707F43">
            <w:pPr>
              <w:pStyle w:val="18"/>
              <w:keepNext/>
              <w:spacing w:after="0" w:line="440" w:lineRule="exact"/>
              <w:ind w:left="63" w:right="63"/>
              <w:rPr>
                <w:rFonts w:eastAsia="仿宋_GB2312"/>
                <w:color w:val="auto"/>
                <w:sz w:val="28"/>
                <w:szCs w:val="28"/>
                <w:highlight w:val="none"/>
              </w:rPr>
            </w:pPr>
          </w:p>
        </w:tc>
        <w:tc>
          <w:tcPr>
            <w:tcW w:w="1134" w:type="dxa"/>
            <w:vAlign w:val="center"/>
          </w:tcPr>
          <w:p w14:paraId="37DB3925">
            <w:pPr>
              <w:pStyle w:val="18"/>
              <w:keepNext/>
              <w:spacing w:after="0" w:line="440" w:lineRule="exact"/>
              <w:ind w:left="63" w:right="63"/>
              <w:rPr>
                <w:rFonts w:eastAsia="仿宋_GB2312"/>
                <w:color w:val="auto"/>
                <w:sz w:val="30"/>
                <w:szCs w:val="30"/>
                <w:highlight w:val="none"/>
              </w:rPr>
            </w:pPr>
          </w:p>
        </w:tc>
        <w:tc>
          <w:tcPr>
            <w:tcW w:w="1134" w:type="dxa"/>
            <w:vAlign w:val="center"/>
          </w:tcPr>
          <w:p w14:paraId="0FE6A796">
            <w:pPr>
              <w:pStyle w:val="18"/>
              <w:keepNext/>
              <w:spacing w:after="0" w:line="440" w:lineRule="exact"/>
              <w:ind w:left="63" w:right="63"/>
              <w:rPr>
                <w:rFonts w:eastAsia="仿宋_GB2312"/>
                <w:color w:val="auto"/>
                <w:sz w:val="30"/>
                <w:szCs w:val="30"/>
                <w:highlight w:val="none"/>
              </w:rPr>
            </w:pPr>
          </w:p>
        </w:tc>
        <w:tc>
          <w:tcPr>
            <w:tcW w:w="4252" w:type="dxa"/>
            <w:vAlign w:val="center"/>
          </w:tcPr>
          <w:p w14:paraId="063767BB">
            <w:pPr>
              <w:pStyle w:val="18"/>
              <w:keepNext/>
              <w:spacing w:after="0" w:line="440" w:lineRule="exact"/>
              <w:ind w:left="63" w:right="63"/>
              <w:rPr>
                <w:rFonts w:eastAsia="仿宋_GB2312"/>
                <w:color w:val="auto"/>
                <w:sz w:val="30"/>
                <w:szCs w:val="30"/>
                <w:highlight w:val="none"/>
              </w:rPr>
            </w:pPr>
          </w:p>
        </w:tc>
      </w:tr>
      <w:tr w14:paraId="710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7DA0157">
            <w:pPr>
              <w:pStyle w:val="18"/>
              <w:keepNext/>
              <w:spacing w:after="0" w:line="440" w:lineRule="exact"/>
              <w:ind w:left="63" w:right="63"/>
              <w:rPr>
                <w:rFonts w:eastAsia="仿宋_GB2312"/>
                <w:color w:val="auto"/>
                <w:sz w:val="28"/>
                <w:szCs w:val="28"/>
                <w:highlight w:val="none"/>
              </w:rPr>
            </w:pPr>
          </w:p>
        </w:tc>
        <w:tc>
          <w:tcPr>
            <w:tcW w:w="1418" w:type="dxa"/>
            <w:vAlign w:val="center"/>
          </w:tcPr>
          <w:p w14:paraId="7C70E29B">
            <w:pPr>
              <w:pStyle w:val="18"/>
              <w:keepNext/>
              <w:spacing w:after="0" w:line="440" w:lineRule="exact"/>
              <w:ind w:left="63" w:right="63"/>
              <w:rPr>
                <w:rFonts w:eastAsia="仿宋_GB2312"/>
                <w:color w:val="auto"/>
                <w:sz w:val="28"/>
                <w:szCs w:val="28"/>
                <w:highlight w:val="none"/>
              </w:rPr>
            </w:pPr>
          </w:p>
        </w:tc>
        <w:tc>
          <w:tcPr>
            <w:tcW w:w="1134" w:type="dxa"/>
            <w:vAlign w:val="center"/>
          </w:tcPr>
          <w:p w14:paraId="31181609">
            <w:pPr>
              <w:pStyle w:val="18"/>
              <w:keepNext/>
              <w:spacing w:after="0" w:line="440" w:lineRule="exact"/>
              <w:ind w:left="63" w:right="63"/>
              <w:rPr>
                <w:rFonts w:eastAsia="仿宋_GB2312"/>
                <w:color w:val="auto"/>
                <w:sz w:val="30"/>
                <w:szCs w:val="30"/>
                <w:highlight w:val="none"/>
              </w:rPr>
            </w:pPr>
          </w:p>
        </w:tc>
        <w:tc>
          <w:tcPr>
            <w:tcW w:w="1134" w:type="dxa"/>
            <w:vAlign w:val="center"/>
          </w:tcPr>
          <w:p w14:paraId="5768424A">
            <w:pPr>
              <w:pStyle w:val="18"/>
              <w:keepNext/>
              <w:spacing w:after="0" w:line="440" w:lineRule="exact"/>
              <w:ind w:left="63" w:right="63"/>
              <w:rPr>
                <w:rFonts w:eastAsia="仿宋_GB2312"/>
                <w:color w:val="auto"/>
                <w:sz w:val="30"/>
                <w:szCs w:val="30"/>
                <w:highlight w:val="none"/>
              </w:rPr>
            </w:pPr>
          </w:p>
        </w:tc>
        <w:tc>
          <w:tcPr>
            <w:tcW w:w="4252" w:type="dxa"/>
            <w:vAlign w:val="center"/>
          </w:tcPr>
          <w:p w14:paraId="136D7387">
            <w:pPr>
              <w:pStyle w:val="18"/>
              <w:keepNext/>
              <w:spacing w:after="0" w:line="440" w:lineRule="exact"/>
              <w:ind w:left="63" w:right="63"/>
              <w:rPr>
                <w:rFonts w:eastAsia="仿宋_GB2312"/>
                <w:color w:val="auto"/>
                <w:sz w:val="30"/>
                <w:szCs w:val="30"/>
                <w:highlight w:val="none"/>
              </w:rPr>
            </w:pPr>
          </w:p>
        </w:tc>
      </w:tr>
      <w:tr w14:paraId="26BD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872188C">
            <w:pPr>
              <w:pStyle w:val="18"/>
              <w:keepNext/>
              <w:spacing w:after="0" w:line="440" w:lineRule="exact"/>
              <w:ind w:left="63" w:right="63"/>
              <w:rPr>
                <w:rFonts w:eastAsia="仿宋_GB2312"/>
                <w:color w:val="auto"/>
                <w:sz w:val="28"/>
                <w:szCs w:val="28"/>
                <w:highlight w:val="none"/>
              </w:rPr>
            </w:pPr>
          </w:p>
        </w:tc>
        <w:tc>
          <w:tcPr>
            <w:tcW w:w="1418" w:type="dxa"/>
            <w:vAlign w:val="center"/>
          </w:tcPr>
          <w:p w14:paraId="5D5C2F11">
            <w:pPr>
              <w:pStyle w:val="18"/>
              <w:keepNext/>
              <w:spacing w:after="0" w:line="440" w:lineRule="exact"/>
              <w:ind w:left="63" w:right="63"/>
              <w:rPr>
                <w:rFonts w:eastAsia="仿宋_GB2312"/>
                <w:color w:val="auto"/>
                <w:sz w:val="28"/>
                <w:szCs w:val="28"/>
                <w:highlight w:val="none"/>
              </w:rPr>
            </w:pPr>
          </w:p>
        </w:tc>
        <w:tc>
          <w:tcPr>
            <w:tcW w:w="1134" w:type="dxa"/>
            <w:vAlign w:val="center"/>
          </w:tcPr>
          <w:p w14:paraId="5AEADDA4">
            <w:pPr>
              <w:pStyle w:val="18"/>
              <w:keepNext/>
              <w:spacing w:after="0" w:line="440" w:lineRule="exact"/>
              <w:ind w:left="63" w:right="63"/>
              <w:rPr>
                <w:rFonts w:eastAsia="仿宋_GB2312"/>
                <w:color w:val="auto"/>
                <w:sz w:val="30"/>
                <w:szCs w:val="30"/>
                <w:highlight w:val="none"/>
              </w:rPr>
            </w:pPr>
          </w:p>
        </w:tc>
        <w:tc>
          <w:tcPr>
            <w:tcW w:w="1134" w:type="dxa"/>
            <w:vAlign w:val="center"/>
          </w:tcPr>
          <w:p w14:paraId="479394EB">
            <w:pPr>
              <w:pStyle w:val="18"/>
              <w:keepNext/>
              <w:spacing w:after="0" w:line="440" w:lineRule="exact"/>
              <w:ind w:left="63" w:right="63"/>
              <w:rPr>
                <w:rFonts w:eastAsia="仿宋_GB2312"/>
                <w:color w:val="auto"/>
                <w:sz w:val="30"/>
                <w:szCs w:val="30"/>
                <w:highlight w:val="none"/>
              </w:rPr>
            </w:pPr>
          </w:p>
        </w:tc>
        <w:tc>
          <w:tcPr>
            <w:tcW w:w="4252" w:type="dxa"/>
            <w:vAlign w:val="center"/>
          </w:tcPr>
          <w:p w14:paraId="2BAEF87C">
            <w:pPr>
              <w:pStyle w:val="18"/>
              <w:keepNext/>
              <w:spacing w:after="0" w:line="440" w:lineRule="exact"/>
              <w:ind w:left="63" w:right="63"/>
              <w:rPr>
                <w:rFonts w:eastAsia="仿宋_GB2312"/>
                <w:color w:val="auto"/>
                <w:sz w:val="30"/>
                <w:szCs w:val="30"/>
                <w:highlight w:val="none"/>
              </w:rPr>
            </w:pPr>
          </w:p>
        </w:tc>
      </w:tr>
      <w:tr w14:paraId="0BEE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8F002E3">
            <w:pPr>
              <w:pStyle w:val="18"/>
              <w:keepNext/>
              <w:spacing w:after="0" w:line="440" w:lineRule="exact"/>
              <w:ind w:left="63" w:right="63"/>
              <w:rPr>
                <w:rFonts w:eastAsia="仿宋_GB2312"/>
                <w:color w:val="auto"/>
                <w:sz w:val="28"/>
                <w:szCs w:val="28"/>
                <w:highlight w:val="none"/>
              </w:rPr>
            </w:pPr>
          </w:p>
        </w:tc>
        <w:tc>
          <w:tcPr>
            <w:tcW w:w="1418" w:type="dxa"/>
            <w:vAlign w:val="center"/>
          </w:tcPr>
          <w:p w14:paraId="4F6EBA58">
            <w:pPr>
              <w:pStyle w:val="18"/>
              <w:keepNext/>
              <w:spacing w:after="0" w:line="440" w:lineRule="exact"/>
              <w:ind w:left="63" w:right="63"/>
              <w:rPr>
                <w:rFonts w:eastAsia="仿宋_GB2312"/>
                <w:color w:val="auto"/>
                <w:sz w:val="28"/>
                <w:szCs w:val="28"/>
                <w:highlight w:val="none"/>
              </w:rPr>
            </w:pPr>
          </w:p>
        </w:tc>
        <w:tc>
          <w:tcPr>
            <w:tcW w:w="1134" w:type="dxa"/>
            <w:vAlign w:val="center"/>
          </w:tcPr>
          <w:p w14:paraId="5C3BC47E">
            <w:pPr>
              <w:pStyle w:val="18"/>
              <w:keepNext/>
              <w:spacing w:after="0" w:line="440" w:lineRule="exact"/>
              <w:ind w:left="63" w:right="63"/>
              <w:rPr>
                <w:rFonts w:eastAsia="仿宋_GB2312"/>
                <w:color w:val="auto"/>
                <w:sz w:val="30"/>
                <w:szCs w:val="30"/>
                <w:highlight w:val="none"/>
              </w:rPr>
            </w:pPr>
          </w:p>
        </w:tc>
        <w:tc>
          <w:tcPr>
            <w:tcW w:w="1134" w:type="dxa"/>
            <w:vAlign w:val="center"/>
          </w:tcPr>
          <w:p w14:paraId="3F9BE3D2">
            <w:pPr>
              <w:pStyle w:val="18"/>
              <w:keepNext/>
              <w:spacing w:after="0" w:line="440" w:lineRule="exact"/>
              <w:ind w:left="63" w:right="63"/>
              <w:rPr>
                <w:rFonts w:eastAsia="仿宋_GB2312"/>
                <w:color w:val="auto"/>
                <w:sz w:val="30"/>
                <w:szCs w:val="30"/>
                <w:highlight w:val="none"/>
              </w:rPr>
            </w:pPr>
          </w:p>
        </w:tc>
        <w:tc>
          <w:tcPr>
            <w:tcW w:w="4252" w:type="dxa"/>
            <w:vAlign w:val="center"/>
          </w:tcPr>
          <w:p w14:paraId="548F78B7">
            <w:pPr>
              <w:pStyle w:val="18"/>
              <w:keepNext/>
              <w:spacing w:after="0" w:line="440" w:lineRule="exact"/>
              <w:ind w:left="63" w:right="63"/>
              <w:rPr>
                <w:rFonts w:eastAsia="仿宋_GB2312"/>
                <w:color w:val="auto"/>
                <w:sz w:val="30"/>
                <w:szCs w:val="30"/>
                <w:highlight w:val="none"/>
              </w:rPr>
            </w:pPr>
          </w:p>
        </w:tc>
      </w:tr>
    </w:tbl>
    <w:p w14:paraId="55376867">
      <w:pPr>
        <w:pStyle w:val="227"/>
        <w:rPr>
          <w:color w:val="auto"/>
          <w:highlight w:val="none"/>
        </w:rPr>
      </w:pPr>
    </w:p>
    <w:p w14:paraId="74987445">
      <w:pPr>
        <w:pStyle w:val="227"/>
        <w:rPr>
          <w:color w:val="auto"/>
          <w:highlight w:val="none"/>
        </w:rPr>
      </w:pPr>
    </w:p>
    <w:p w14:paraId="4DF40FD3">
      <w:pPr>
        <w:pStyle w:val="227"/>
        <w:rPr>
          <w:color w:val="auto"/>
          <w:highlight w:val="none"/>
        </w:rPr>
      </w:pPr>
    </w:p>
    <w:p w14:paraId="2C71EDAE">
      <w:pPr>
        <w:pStyle w:val="227"/>
        <w:rPr>
          <w:color w:val="auto"/>
          <w:highlight w:val="none"/>
        </w:rPr>
      </w:pPr>
    </w:p>
    <w:p w14:paraId="5B46AC85">
      <w:pPr>
        <w:pStyle w:val="227"/>
        <w:rPr>
          <w:color w:val="auto"/>
          <w:highlight w:val="none"/>
        </w:rPr>
      </w:pPr>
    </w:p>
    <w:p w14:paraId="6B5ED3EA">
      <w:pPr>
        <w:pStyle w:val="227"/>
        <w:rPr>
          <w:color w:val="auto"/>
          <w:highlight w:val="none"/>
        </w:rPr>
      </w:pPr>
      <w:r>
        <w:rPr>
          <w:rFonts w:hint="eastAsia"/>
          <w:color w:val="auto"/>
          <w:highlight w:val="none"/>
        </w:rPr>
        <w:t xml:space="preserve">附件4：    </w:t>
      </w:r>
    </w:p>
    <w:p w14:paraId="5192B9A1">
      <w:pPr>
        <w:pStyle w:val="227"/>
        <w:ind w:firstLine="422"/>
        <w:jc w:val="center"/>
        <w:rPr>
          <w:b/>
          <w:bCs/>
          <w:color w:val="auto"/>
          <w:highlight w:val="none"/>
        </w:rPr>
      </w:pPr>
      <w:r>
        <w:rPr>
          <w:rFonts w:hint="eastAsia"/>
          <w:b/>
          <w:bCs/>
          <w:color w:val="auto"/>
          <w:highlight w:val="none"/>
        </w:rPr>
        <w:t>工程质量保修书（房屋建筑工程）</w:t>
      </w:r>
    </w:p>
    <w:p w14:paraId="1BFE1EB9">
      <w:pPr>
        <w:pStyle w:val="227"/>
        <w:rPr>
          <w:color w:val="auto"/>
          <w:highlight w:val="none"/>
        </w:rPr>
      </w:pPr>
      <w:r>
        <w:rPr>
          <w:rFonts w:hint="eastAsia"/>
          <w:color w:val="auto"/>
          <w:highlight w:val="none"/>
        </w:rPr>
        <w:t>发包人（全称）：</w:t>
      </w:r>
      <w:r>
        <w:rPr>
          <w:rFonts w:hint="eastAsia"/>
          <w:color w:val="auto"/>
          <w:highlight w:val="none"/>
          <w:u w:val="single"/>
          <w:lang w:val="en-US" w:eastAsia="zh-CN"/>
        </w:rPr>
        <w:t xml:space="preserve">                           </w:t>
      </w:r>
      <w:r>
        <w:rPr>
          <w:rFonts w:hint="eastAsia"/>
          <w:color w:val="auto"/>
          <w:highlight w:val="none"/>
        </w:rPr>
        <w:t xml:space="preserve">          </w:t>
      </w:r>
    </w:p>
    <w:p w14:paraId="16B6D8D6">
      <w:pPr>
        <w:pStyle w:val="227"/>
        <w:rPr>
          <w:color w:val="auto"/>
          <w:highlight w:val="none"/>
          <w:u w:val="single"/>
        </w:rPr>
      </w:pPr>
      <w:r>
        <w:rPr>
          <w:rFonts w:hint="eastAsia"/>
          <w:color w:val="auto"/>
          <w:highlight w:val="none"/>
        </w:rPr>
        <w:t>承包人（全称）：</w:t>
      </w:r>
      <w:r>
        <w:rPr>
          <w:rFonts w:hint="eastAsia"/>
          <w:color w:val="auto"/>
          <w:highlight w:val="none"/>
          <w:u w:val="single"/>
        </w:rPr>
        <w:t xml:space="preserve">                       </w:t>
      </w:r>
    </w:p>
    <w:p w14:paraId="76FDABB5">
      <w:pPr>
        <w:pStyle w:val="227"/>
        <w:rPr>
          <w:color w:val="auto"/>
          <w:highlight w:val="none"/>
        </w:rPr>
      </w:pPr>
      <w:r>
        <w:rPr>
          <w:rFonts w:hint="eastAsia"/>
          <w:color w:val="auto"/>
          <w:highlight w:val="none"/>
        </w:rPr>
        <w:t>发包人和承包人根据《中华人民共和国建筑法》和《建设工程质量管理条例》，经协商一致就</w:t>
      </w:r>
      <w:r>
        <w:rPr>
          <w:rFonts w:hint="eastAsia"/>
          <w:color w:val="auto"/>
          <w:spacing w:val="-5"/>
          <w:highlight w:val="none"/>
          <w:u w:val="single"/>
        </w:rPr>
        <w:t xml:space="preserve">     </w:t>
      </w:r>
      <w:r>
        <w:rPr>
          <w:rFonts w:hint="eastAsia"/>
          <w:b/>
          <w:bCs/>
          <w:color w:val="auto"/>
          <w:highlight w:val="none"/>
          <w:u w:val="single"/>
        </w:rPr>
        <w:t xml:space="preserve">   </w:t>
      </w:r>
      <w:r>
        <w:rPr>
          <w:rFonts w:hint="eastAsia"/>
          <w:color w:val="auto"/>
          <w:highlight w:val="none"/>
        </w:rPr>
        <w:t>（工程全称）签订工程质量保修书。</w:t>
      </w:r>
    </w:p>
    <w:p w14:paraId="25796B2E">
      <w:pPr>
        <w:pStyle w:val="227"/>
        <w:rPr>
          <w:color w:val="auto"/>
          <w:highlight w:val="none"/>
        </w:rPr>
      </w:pPr>
      <w:r>
        <w:rPr>
          <w:rFonts w:hint="eastAsia"/>
          <w:color w:val="auto"/>
          <w:highlight w:val="none"/>
        </w:rPr>
        <w:t>一、工程质量保修范围和内容</w:t>
      </w:r>
    </w:p>
    <w:p w14:paraId="09A87E77">
      <w:pPr>
        <w:pStyle w:val="227"/>
        <w:rPr>
          <w:color w:val="auto"/>
          <w:highlight w:val="none"/>
        </w:rPr>
      </w:pPr>
      <w:r>
        <w:rPr>
          <w:rFonts w:hint="eastAsia"/>
          <w:color w:val="auto"/>
          <w:highlight w:val="none"/>
        </w:rPr>
        <w:t>承包人在质量保修期内，按照有关法律规定和合同约定，承担工程质量保修责任。</w:t>
      </w:r>
    </w:p>
    <w:p w14:paraId="6D08A0D7">
      <w:pPr>
        <w:pStyle w:val="227"/>
        <w:rPr>
          <w:color w:val="auto"/>
          <w:highlight w:val="none"/>
        </w:rPr>
      </w:pPr>
      <w:r>
        <w:rPr>
          <w:rFonts w:hint="eastAsia"/>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14:paraId="4BEF658F">
      <w:pPr>
        <w:pStyle w:val="227"/>
        <w:rPr>
          <w:color w:val="auto"/>
          <w:highlight w:val="none"/>
        </w:rPr>
      </w:pPr>
      <w:r>
        <w:rPr>
          <w:rFonts w:hint="eastAsia"/>
          <w:color w:val="auto"/>
          <w:highlight w:val="none"/>
        </w:rPr>
        <w:t>具体保修的内容，双方约定如下： 在承包人承包范围内，属承包人责任造成的工程质量问题，由承包人承担质量保修责任。</w:t>
      </w:r>
    </w:p>
    <w:p w14:paraId="19F08442">
      <w:pPr>
        <w:pStyle w:val="227"/>
        <w:rPr>
          <w:color w:val="auto"/>
          <w:highlight w:val="none"/>
        </w:rPr>
      </w:pPr>
      <w:r>
        <w:rPr>
          <w:rFonts w:hint="eastAsia"/>
          <w:color w:val="auto"/>
          <w:highlight w:val="none"/>
        </w:rPr>
        <w:t>二、质量保修期</w:t>
      </w:r>
    </w:p>
    <w:p w14:paraId="2A89B93D">
      <w:pPr>
        <w:pStyle w:val="227"/>
        <w:rPr>
          <w:color w:val="auto"/>
          <w:highlight w:val="none"/>
        </w:rPr>
      </w:pPr>
      <w:r>
        <w:rPr>
          <w:rFonts w:hint="eastAsia"/>
          <w:color w:val="auto"/>
          <w:highlight w:val="none"/>
        </w:rPr>
        <w:t>根据《建设工程质量管理条例》及有关规定，工程的质量保修期如下：</w:t>
      </w:r>
    </w:p>
    <w:p w14:paraId="28E925BF">
      <w:pPr>
        <w:pStyle w:val="227"/>
        <w:rPr>
          <w:color w:val="auto"/>
          <w:highlight w:val="none"/>
        </w:rPr>
      </w:pPr>
      <w:r>
        <w:rPr>
          <w:rFonts w:hint="eastAsia"/>
          <w:color w:val="auto"/>
          <w:highlight w:val="none"/>
        </w:rPr>
        <w:t>1．地基基础工程和主体结构工程为设计文件规定的工程合理使用年限；</w:t>
      </w:r>
    </w:p>
    <w:p w14:paraId="370285B9">
      <w:pPr>
        <w:pStyle w:val="227"/>
        <w:rPr>
          <w:color w:val="auto"/>
          <w:highlight w:val="none"/>
        </w:rPr>
      </w:pPr>
      <w:r>
        <w:rPr>
          <w:rFonts w:hint="eastAsia"/>
          <w:color w:val="auto"/>
          <w:highlight w:val="none"/>
        </w:rPr>
        <w:t>2．屋面防水工程、有防水要求的卫生间、房间和外墙面的防渗为</w:t>
      </w:r>
      <w:r>
        <w:rPr>
          <w:rFonts w:hint="eastAsia"/>
          <w:color w:val="auto"/>
          <w:highlight w:val="none"/>
          <w:u w:val="single"/>
        </w:rPr>
        <w:t xml:space="preserve">   5  </w:t>
      </w:r>
      <w:r>
        <w:rPr>
          <w:rFonts w:hint="eastAsia"/>
          <w:color w:val="auto"/>
          <w:highlight w:val="none"/>
        </w:rPr>
        <w:t>年；</w:t>
      </w:r>
    </w:p>
    <w:p w14:paraId="4096A597">
      <w:pPr>
        <w:pStyle w:val="227"/>
        <w:rPr>
          <w:color w:val="auto"/>
          <w:highlight w:val="none"/>
        </w:rPr>
      </w:pPr>
      <w:r>
        <w:rPr>
          <w:rFonts w:hint="eastAsia"/>
          <w:color w:val="auto"/>
          <w:highlight w:val="none"/>
        </w:rPr>
        <w:t>3．装修工程为</w:t>
      </w:r>
      <w:r>
        <w:rPr>
          <w:rFonts w:hint="eastAsia"/>
          <w:color w:val="auto"/>
          <w:highlight w:val="none"/>
          <w:u w:val="single"/>
        </w:rPr>
        <w:t xml:space="preserve">   2    </w:t>
      </w:r>
      <w:r>
        <w:rPr>
          <w:rFonts w:hint="eastAsia"/>
          <w:color w:val="auto"/>
          <w:highlight w:val="none"/>
        </w:rPr>
        <w:t>年；</w:t>
      </w:r>
    </w:p>
    <w:p w14:paraId="750E8C1C">
      <w:pPr>
        <w:pStyle w:val="227"/>
        <w:rPr>
          <w:color w:val="auto"/>
          <w:highlight w:val="none"/>
        </w:rPr>
      </w:pPr>
      <w:r>
        <w:rPr>
          <w:rFonts w:hint="eastAsia"/>
          <w:color w:val="auto"/>
          <w:highlight w:val="none"/>
        </w:rPr>
        <w:t>4．电气管线、给排水管道、设备安装工程为</w:t>
      </w:r>
      <w:r>
        <w:rPr>
          <w:rFonts w:hint="eastAsia"/>
          <w:color w:val="auto"/>
          <w:highlight w:val="none"/>
          <w:u w:val="single"/>
        </w:rPr>
        <w:t xml:space="preserve">   2   </w:t>
      </w:r>
      <w:r>
        <w:rPr>
          <w:rFonts w:hint="eastAsia"/>
          <w:color w:val="auto"/>
          <w:highlight w:val="none"/>
        </w:rPr>
        <w:t>年；</w:t>
      </w:r>
    </w:p>
    <w:p w14:paraId="0AEE5B44">
      <w:pPr>
        <w:pStyle w:val="227"/>
        <w:rPr>
          <w:color w:val="auto"/>
          <w:highlight w:val="none"/>
        </w:rPr>
      </w:pPr>
      <w:r>
        <w:rPr>
          <w:rFonts w:hint="eastAsia"/>
          <w:color w:val="auto"/>
          <w:highlight w:val="none"/>
        </w:rPr>
        <w:t>5．供热与供冷系统为</w:t>
      </w:r>
      <w:r>
        <w:rPr>
          <w:rFonts w:hint="eastAsia"/>
          <w:color w:val="auto"/>
          <w:highlight w:val="none"/>
          <w:u w:val="single"/>
        </w:rPr>
        <w:t xml:space="preserve">   2    </w:t>
      </w:r>
      <w:r>
        <w:rPr>
          <w:rFonts w:hint="eastAsia"/>
          <w:color w:val="auto"/>
          <w:highlight w:val="none"/>
        </w:rPr>
        <w:t>个采暖期、供冷期；</w:t>
      </w:r>
    </w:p>
    <w:p w14:paraId="2E5C8477">
      <w:pPr>
        <w:pStyle w:val="227"/>
        <w:rPr>
          <w:color w:val="auto"/>
          <w:highlight w:val="none"/>
        </w:rPr>
      </w:pPr>
      <w:r>
        <w:rPr>
          <w:rFonts w:hint="eastAsia"/>
          <w:color w:val="auto"/>
          <w:highlight w:val="none"/>
        </w:rPr>
        <w:t>6．住宅小区内的给排水设施、道路等配套工程为</w:t>
      </w:r>
      <w:r>
        <w:rPr>
          <w:rFonts w:hint="eastAsia"/>
          <w:color w:val="auto"/>
          <w:highlight w:val="none"/>
          <w:u w:val="single"/>
        </w:rPr>
        <w:t xml:space="preserve">   2  </w:t>
      </w:r>
      <w:r>
        <w:rPr>
          <w:rFonts w:hint="eastAsia"/>
          <w:color w:val="auto"/>
          <w:highlight w:val="none"/>
        </w:rPr>
        <w:t>年；</w:t>
      </w:r>
    </w:p>
    <w:p w14:paraId="6BE27204">
      <w:pPr>
        <w:pStyle w:val="227"/>
        <w:rPr>
          <w:color w:val="auto"/>
          <w:highlight w:val="none"/>
        </w:rPr>
      </w:pPr>
      <w:r>
        <w:rPr>
          <w:rFonts w:hint="eastAsia"/>
          <w:color w:val="auto"/>
          <w:highlight w:val="none"/>
        </w:rPr>
        <w:t>7．其他项目保修期限约定如下：</w:t>
      </w:r>
      <w:r>
        <w:rPr>
          <w:rFonts w:hint="eastAsia"/>
          <w:color w:val="auto"/>
          <w:highlight w:val="none"/>
          <w:u w:val="single"/>
        </w:rPr>
        <w:t xml:space="preserve"> 执行国家相关规定    。</w:t>
      </w:r>
    </w:p>
    <w:p w14:paraId="027DABD5">
      <w:pPr>
        <w:pStyle w:val="227"/>
        <w:rPr>
          <w:color w:val="auto"/>
          <w:highlight w:val="none"/>
        </w:rPr>
      </w:pPr>
      <w:r>
        <w:rPr>
          <w:rFonts w:hint="eastAsia"/>
          <w:color w:val="auto"/>
          <w:highlight w:val="none"/>
        </w:rPr>
        <w:t>质量保修期自工程竣工验收合格之日起计算。</w:t>
      </w:r>
    </w:p>
    <w:p w14:paraId="0991A84C">
      <w:pPr>
        <w:pStyle w:val="227"/>
        <w:rPr>
          <w:color w:val="auto"/>
          <w:highlight w:val="none"/>
        </w:rPr>
      </w:pPr>
      <w:r>
        <w:rPr>
          <w:rFonts w:hint="eastAsia"/>
          <w:color w:val="auto"/>
          <w:highlight w:val="none"/>
        </w:rPr>
        <w:t>三、缺陷责任期</w:t>
      </w:r>
    </w:p>
    <w:p w14:paraId="7FD84166">
      <w:pPr>
        <w:pStyle w:val="227"/>
        <w:rPr>
          <w:color w:val="auto"/>
          <w:highlight w:val="none"/>
        </w:rPr>
      </w:pPr>
      <w:r>
        <w:rPr>
          <w:rFonts w:hint="eastAsia"/>
          <w:color w:val="auto"/>
          <w:highlight w:val="none"/>
        </w:rPr>
        <w:t>工程缺陷责任期为</w:t>
      </w:r>
      <w:r>
        <w:rPr>
          <w:rFonts w:hint="eastAsia"/>
          <w:color w:val="auto"/>
          <w:highlight w:val="none"/>
          <w:u w:val="single"/>
        </w:rPr>
        <w:t xml:space="preserve">  24  </w:t>
      </w:r>
      <w:r>
        <w:rPr>
          <w:rFonts w:hint="eastAsia"/>
          <w:color w:val="auto"/>
          <w:highlight w:val="none"/>
        </w:rPr>
        <w:t>个月（最长不超过24个月），缺陷责任期自工程竣工验收合格之日起计算。单位工程先于全部工程进行验收，单位工程缺陷责任期自单位工程验收合格之日起算。</w:t>
      </w:r>
    </w:p>
    <w:p w14:paraId="210DB2C3">
      <w:pPr>
        <w:pStyle w:val="227"/>
        <w:rPr>
          <w:color w:val="auto"/>
          <w:highlight w:val="none"/>
        </w:rPr>
      </w:pPr>
      <w:r>
        <w:rPr>
          <w:rFonts w:hint="eastAsia"/>
          <w:color w:val="auto"/>
          <w:highlight w:val="none"/>
        </w:rPr>
        <w:t>缺陷责任期终止后，发包人应退还剩余的质量保证金。</w:t>
      </w:r>
    </w:p>
    <w:p w14:paraId="6099C534">
      <w:pPr>
        <w:pStyle w:val="227"/>
        <w:rPr>
          <w:color w:val="auto"/>
          <w:highlight w:val="none"/>
        </w:rPr>
      </w:pPr>
      <w:r>
        <w:rPr>
          <w:rFonts w:hint="eastAsia"/>
          <w:color w:val="auto"/>
          <w:highlight w:val="none"/>
        </w:rPr>
        <w:t>四、质量保修责任</w:t>
      </w:r>
    </w:p>
    <w:p w14:paraId="0BEB9BBB">
      <w:pPr>
        <w:pStyle w:val="227"/>
        <w:rPr>
          <w:color w:val="auto"/>
          <w:highlight w:val="none"/>
        </w:rPr>
      </w:pPr>
      <w:r>
        <w:rPr>
          <w:rFonts w:hint="eastAsia"/>
          <w:color w:val="auto"/>
          <w:highlight w:val="none"/>
        </w:rPr>
        <w:t>1．属于保修范围、内容的项目，承包人应当在接到保修通知之日起 7 天内派人保修。承包人不在约定期限内派人保修的，发包人可以委托他人修理。</w:t>
      </w:r>
    </w:p>
    <w:p w14:paraId="6CB204D6">
      <w:pPr>
        <w:pStyle w:val="227"/>
        <w:rPr>
          <w:color w:val="auto"/>
          <w:highlight w:val="none"/>
        </w:rPr>
      </w:pPr>
      <w:r>
        <w:rPr>
          <w:rFonts w:hint="eastAsia"/>
          <w:color w:val="auto"/>
          <w:highlight w:val="none"/>
        </w:rPr>
        <w:t xml:space="preserve">2．发生紧急事故需抢修的，承包人在接到事故通知后，应当立即到达事故现场抢修。 </w:t>
      </w:r>
    </w:p>
    <w:p w14:paraId="528CA659">
      <w:pPr>
        <w:pStyle w:val="227"/>
        <w:rPr>
          <w:color w:val="auto"/>
          <w:highlight w:val="none"/>
        </w:rPr>
      </w:pPr>
      <w:r>
        <w:rPr>
          <w:rFonts w:hint="eastAsia"/>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承包人实施保修。</w:t>
      </w:r>
    </w:p>
    <w:p w14:paraId="10D79C5D">
      <w:pPr>
        <w:pStyle w:val="227"/>
        <w:rPr>
          <w:color w:val="auto"/>
          <w:highlight w:val="none"/>
        </w:rPr>
      </w:pPr>
      <w:r>
        <w:rPr>
          <w:rFonts w:hint="eastAsia"/>
          <w:color w:val="auto"/>
          <w:highlight w:val="none"/>
        </w:rPr>
        <w:t xml:space="preserve">4．质量保修完成后，由发包人组织验收。 </w:t>
      </w:r>
    </w:p>
    <w:p w14:paraId="7AE27211">
      <w:pPr>
        <w:pStyle w:val="227"/>
        <w:rPr>
          <w:color w:val="auto"/>
          <w:highlight w:val="none"/>
        </w:rPr>
      </w:pPr>
      <w:r>
        <w:rPr>
          <w:rFonts w:hint="eastAsia"/>
          <w:color w:val="auto"/>
          <w:highlight w:val="none"/>
        </w:rPr>
        <w:t xml:space="preserve">五、保修费用 </w:t>
      </w:r>
    </w:p>
    <w:p w14:paraId="0AD6E12C">
      <w:pPr>
        <w:pStyle w:val="227"/>
        <w:rPr>
          <w:color w:val="auto"/>
          <w:highlight w:val="none"/>
        </w:rPr>
      </w:pPr>
      <w:r>
        <w:rPr>
          <w:rFonts w:hint="eastAsia"/>
          <w:color w:val="auto"/>
          <w:highlight w:val="none"/>
        </w:rPr>
        <w:t xml:space="preserve">保修费用由造成质量缺陷的责任方承担。 </w:t>
      </w:r>
    </w:p>
    <w:p w14:paraId="4D780430">
      <w:pPr>
        <w:pStyle w:val="227"/>
        <w:rPr>
          <w:color w:val="auto"/>
          <w:highlight w:val="none"/>
        </w:rPr>
      </w:pPr>
      <w:r>
        <w:rPr>
          <w:rFonts w:hint="eastAsia"/>
          <w:color w:val="auto"/>
          <w:highlight w:val="none"/>
        </w:rPr>
        <w:t xml:space="preserve">六、双方约定的其他工程质量保修事项： </w:t>
      </w:r>
    </w:p>
    <w:p w14:paraId="0932CB96">
      <w:pPr>
        <w:pStyle w:val="227"/>
        <w:rPr>
          <w:color w:val="auto"/>
          <w:highlight w:val="none"/>
        </w:rPr>
      </w:pPr>
      <w:r>
        <w:rPr>
          <w:rFonts w:hint="eastAsia"/>
          <w:color w:val="auto"/>
          <w:highlight w:val="none"/>
        </w:rPr>
        <w:t xml:space="preserve">双方约定的其他工程质量保修事项：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金额的部分，承包人应当在接到缴款通知书之日起 7 日内付清，否则按应缴款额的 2‰/日向发包人支付违约金。在扣除承包人应支付的违约金和维修费用后，发包人在缺陷责任期满2年后 14 个工作日内无息退还质量保证金。每次退还质量保证金前，承包人须向发包人书面申请退还质量保证金验收，按相关规定验收合格后方可拨付。 </w:t>
      </w:r>
    </w:p>
    <w:p w14:paraId="3398571D">
      <w:pPr>
        <w:pStyle w:val="227"/>
        <w:rPr>
          <w:color w:val="auto"/>
          <w:highlight w:val="none"/>
        </w:rPr>
      </w:pPr>
      <w:r>
        <w:rPr>
          <w:rFonts w:hint="eastAsia"/>
          <w:color w:val="auto"/>
          <w:highlight w:val="none"/>
        </w:rPr>
        <w:t>承包人未按照法律法规有关规定和合同约定履行质量保修义务的，发包人有权从质量保证金中扣留用于质量保修的各项支出。质量保证金的退还并不代表免除承包人的相关责任。</w:t>
      </w:r>
    </w:p>
    <w:p w14:paraId="3A0D8183">
      <w:pPr>
        <w:pStyle w:val="227"/>
        <w:rPr>
          <w:color w:val="auto"/>
          <w:highlight w:val="none"/>
        </w:rPr>
      </w:pPr>
      <w:r>
        <w:rPr>
          <w:rFonts w:hint="eastAsia"/>
          <w:color w:val="auto"/>
          <w:highlight w:val="none"/>
        </w:rPr>
        <w:t>工程质量保修书由发包人、承包人在工程竣工验收前共同签署，作为施工合同附件，其有效期限至保修期满。</w:t>
      </w:r>
    </w:p>
    <w:p w14:paraId="520EBA3C">
      <w:pPr>
        <w:pStyle w:val="227"/>
        <w:rPr>
          <w:color w:val="auto"/>
          <w:highlight w:val="none"/>
        </w:rPr>
      </w:pPr>
      <w:r>
        <w:rPr>
          <w:rFonts w:hint="eastAsia"/>
          <w:color w:val="auto"/>
          <w:highlight w:val="none"/>
        </w:rPr>
        <w:t>消防工程缺陷责任期从行政主管部门审批同意消防验收通过之日起算。承包人应在工程缺陷责任期到期前三个月，向发包人提出退费申请，经发包人确认后，待工程缺陷责任期期满后方可退还质保金。承包人未按规定时间提出验收申请的，责任自负。</w:t>
      </w:r>
    </w:p>
    <w:p w14:paraId="63AFC03D">
      <w:pPr>
        <w:pStyle w:val="227"/>
        <w:rPr>
          <w:color w:val="auto"/>
          <w:highlight w:val="none"/>
        </w:rPr>
      </w:pPr>
    </w:p>
    <w:p w14:paraId="03068EDA">
      <w:pPr>
        <w:pStyle w:val="227"/>
        <w:rPr>
          <w:color w:val="auto"/>
          <w:highlight w:val="none"/>
        </w:rPr>
      </w:pPr>
    </w:p>
    <w:p w14:paraId="3F199C64">
      <w:pPr>
        <w:spacing w:line="400" w:lineRule="exact"/>
        <w:rPr>
          <w:rFonts w:ascii="宋体" w:cs="宋体"/>
          <w:color w:val="auto"/>
          <w:highlight w:val="none"/>
        </w:rPr>
      </w:pPr>
      <w:r>
        <w:rPr>
          <w:rFonts w:hint="eastAsia" w:ascii="宋体" w:hAnsi="宋体" w:cs="宋体"/>
          <w:color w:val="auto"/>
          <w:highlight w:val="none"/>
        </w:rPr>
        <w:t>发包人（公章）：</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承包人（公章）：</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p>
    <w:p w14:paraId="0AA1DBBA">
      <w:pPr>
        <w:spacing w:line="400" w:lineRule="exact"/>
        <w:rPr>
          <w:rFonts w:ascii="宋体" w:cs="宋体"/>
          <w:color w:val="auto"/>
          <w:sz w:val="28"/>
          <w:szCs w:val="28"/>
          <w:highlight w:val="none"/>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p>
    <w:p w14:paraId="62991635">
      <w:pPr>
        <w:spacing w:line="400" w:lineRule="exact"/>
        <w:rPr>
          <w:rFonts w:asci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法定代表人（签字或盖章）：</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6E7DA9E0">
      <w:pPr>
        <w:spacing w:line="400" w:lineRule="exact"/>
        <w:rPr>
          <w:rFonts w:asci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r>
        <w:rPr>
          <w:rFonts w:ascii="宋体" w:hAnsi="宋体" w:cs="宋体"/>
          <w:color w:val="auto"/>
          <w:highlight w:val="none"/>
        </w:rPr>
        <w:t xml:space="preserve">            </w:t>
      </w: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7D7D822C">
      <w:pPr>
        <w:spacing w:line="400" w:lineRule="exact"/>
        <w:rPr>
          <w:rFonts w:ascii="宋体" w:cs="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w:t>
      </w:r>
      <w:r>
        <w:rPr>
          <w:rFonts w:ascii="宋体" w:hAnsi="宋体" w:cs="宋体"/>
          <w:color w:val="auto"/>
          <w:sz w:val="24"/>
          <w:highlight w:val="none"/>
          <w:u w:val="single"/>
        </w:rPr>
        <w:t>/</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34E237AF">
      <w:pPr>
        <w:snapToGrid w:val="0"/>
        <w:spacing w:line="440" w:lineRule="exact"/>
        <w:rPr>
          <w:rFonts w:ascii="宋体" w:cs="宋体"/>
          <w:bCs/>
          <w:color w:val="auto"/>
          <w:sz w:val="24"/>
          <w:highlight w:val="none"/>
          <w:u w:val="single"/>
        </w:rPr>
      </w:pPr>
      <w:r>
        <w:rPr>
          <w:rFonts w:hint="eastAsia" w:ascii="宋体" w:hAnsi="宋体" w:cs="宋体"/>
          <w:color w:val="auto"/>
          <w:highlight w:val="none"/>
        </w:rPr>
        <w:t>开户银行：</w:t>
      </w:r>
      <w:r>
        <w:rPr>
          <w:rFonts w:ascii="宋体" w:hAnsi="宋体" w:cs="宋体"/>
          <w:color w:val="auto"/>
          <w:highlight w:val="none"/>
          <w:u w:val="single"/>
        </w:rPr>
        <w:t xml:space="preserve"> </w:t>
      </w:r>
      <w:r>
        <w:rPr>
          <w:rFonts w:hint="eastAsia" w:ascii="宋体" w:hAnsi="宋体" w:cs="宋体"/>
          <w:color w:val="auto"/>
          <w:kern w:val="0"/>
          <w:szCs w:val="20"/>
          <w:highlight w:val="none"/>
          <w:u w:val="single"/>
          <w:lang w:val="en-US" w:eastAsia="zh-CN"/>
        </w:rPr>
        <w:t xml:space="preserve">                       </w:t>
      </w:r>
      <w:r>
        <w:rPr>
          <w:rFonts w:ascii="宋体" w:hAnsi="宋体" w:cs="宋体"/>
          <w:color w:val="auto"/>
          <w:kern w:val="0"/>
          <w:szCs w:val="20"/>
          <w:highlight w:val="none"/>
          <w:u w:val="single"/>
        </w:rPr>
        <w:t xml:space="preserve"> </w:t>
      </w:r>
      <w:r>
        <w:rPr>
          <w:rFonts w:ascii="宋体" w:hAnsi="宋体" w:cs="宋体"/>
          <w:color w:val="auto"/>
          <w:highlight w:val="none"/>
        </w:rPr>
        <w:t xml:space="preserve">        </w:t>
      </w:r>
      <w:r>
        <w:rPr>
          <w:rFonts w:hint="eastAsia" w:ascii="宋体" w:hAnsi="宋体" w:cs="宋体"/>
          <w:color w:val="auto"/>
          <w:sz w:val="24"/>
          <w:highlight w:val="none"/>
        </w:rPr>
        <w:t>开户银行：</w:t>
      </w:r>
      <w:r>
        <w:rPr>
          <w:rFonts w:hint="eastAsia"/>
          <w:color w:val="auto"/>
          <w:highlight w:val="none"/>
          <w:u w:val="single"/>
        </w:rPr>
        <w:t xml:space="preserve">                             </w:t>
      </w:r>
    </w:p>
    <w:p w14:paraId="46A358D3">
      <w:pPr>
        <w:spacing w:line="440" w:lineRule="exact"/>
        <w:rPr>
          <w:rFonts w:ascii="宋体" w:cs="宋体"/>
          <w:color w:val="auto"/>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hint="eastAsia"/>
          <w:color w:val="auto"/>
          <w:highlight w:val="none"/>
          <w:u w:val="single"/>
        </w:rPr>
        <w:t xml:space="preserve">                               </w:t>
      </w:r>
      <w:r>
        <w:rPr>
          <w:color w:val="auto"/>
          <w:highlight w:val="none"/>
          <w:u w:val="single"/>
        </w:rPr>
        <w:t xml:space="preserve"> </w:t>
      </w:r>
    </w:p>
    <w:p w14:paraId="03284A33">
      <w:pPr>
        <w:spacing w:line="440" w:lineRule="exact"/>
        <w:rPr>
          <w:rFonts w:ascii="宋体" w:cs="宋体"/>
          <w:color w:val="auto"/>
          <w:sz w:val="30"/>
          <w:szCs w:val="30"/>
          <w:highlight w:val="none"/>
        </w:rPr>
        <w:sectPr>
          <w:pgSz w:w="11906" w:h="16838"/>
          <w:pgMar w:top="840" w:right="1006" w:bottom="1440" w:left="1020" w:header="851" w:footer="992" w:gutter="0"/>
          <w:cols w:space="720" w:num="1"/>
          <w:titlePg/>
          <w:docGrid w:type="lines" w:linePitch="312" w:charSpace="0"/>
        </w:sectPr>
      </w:pPr>
      <w:r>
        <w:rPr>
          <w:rFonts w:hint="eastAsia" w:ascii="宋体" w:hAnsi="宋体" w:cs="宋体"/>
          <w:color w:val="auto"/>
          <w:highlight w:val="none"/>
        </w:rPr>
        <w:t>邮政编码：</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sz w:val="28"/>
          <w:szCs w:val="28"/>
          <w:highlight w:val="none"/>
          <w:u w:val="single"/>
        </w:rPr>
        <w:t></w:t>
      </w:r>
    </w:p>
    <w:p w14:paraId="2FD65080">
      <w:pPr>
        <w:pStyle w:val="227"/>
        <w:rPr>
          <w:color w:val="auto"/>
          <w:highlight w:val="none"/>
        </w:rPr>
      </w:pPr>
      <w:r>
        <w:rPr>
          <w:rFonts w:hint="eastAsia"/>
          <w:color w:val="auto"/>
          <w:highlight w:val="none"/>
        </w:rPr>
        <w:t>附件5：</w:t>
      </w:r>
    </w:p>
    <w:p w14:paraId="61B8390B">
      <w:pPr>
        <w:pStyle w:val="227"/>
        <w:ind w:firstLine="562"/>
        <w:jc w:val="center"/>
        <w:rPr>
          <w:b/>
          <w:bCs/>
          <w:color w:val="auto"/>
          <w:sz w:val="28"/>
          <w:szCs w:val="28"/>
          <w:highlight w:val="none"/>
        </w:rPr>
      </w:pPr>
      <w:r>
        <w:rPr>
          <w:rFonts w:hint="eastAsia"/>
          <w:b/>
          <w:bCs/>
          <w:color w:val="auto"/>
          <w:sz w:val="28"/>
          <w:szCs w:val="28"/>
          <w:highlight w:val="none"/>
        </w:rPr>
        <w:t>主要建设工程文件目录</w:t>
      </w:r>
    </w:p>
    <w:tbl>
      <w:tblPr>
        <w:tblStyle w:val="45"/>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60"/>
        <w:gridCol w:w="1070"/>
        <w:gridCol w:w="1454"/>
        <w:gridCol w:w="1247"/>
        <w:gridCol w:w="1454"/>
        <w:gridCol w:w="1569"/>
      </w:tblGrid>
      <w:tr w14:paraId="40FC5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5276D50">
            <w:pPr>
              <w:pStyle w:val="227"/>
              <w:ind w:firstLine="0" w:firstLineChars="0"/>
              <w:jc w:val="center"/>
              <w:rPr>
                <w:color w:val="auto"/>
                <w:highlight w:val="none"/>
              </w:rPr>
            </w:pPr>
            <w:r>
              <w:rPr>
                <w:rFonts w:hint="eastAsia"/>
                <w:color w:val="auto"/>
                <w:highlight w:val="none"/>
              </w:rPr>
              <w:t>文件名称</w:t>
            </w:r>
          </w:p>
        </w:tc>
        <w:tc>
          <w:tcPr>
            <w:tcW w:w="1067" w:type="dxa"/>
            <w:tcBorders>
              <w:top w:val="single" w:color="auto" w:sz="12" w:space="0"/>
              <w:bottom w:val="double" w:color="auto" w:sz="6" w:space="0"/>
            </w:tcBorders>
            <w:vAlign w:val="center"/>
          </w:tcPr>
          <w:p w14:paraId="159F3A74">
            <w:pPr>
              <w:pStyle w:val="227"/>
              <w:ind w:firstLine="0" w:firstLineChars="0"/>
              <w:jc w:val="center"/>
              <w:rPr>
                <w:color w:val="auto"/>
                <w:highlight w:val="none"/>
              </w:rPr>
            </w:pPr>
            <w:r>
              <w:rPr>
                <w:rFonts w:hint="eastAsia"/>
                <w:color w:val="auto"/>
                <w:highlight w:val="none"/>
              </w:rPr>
              <w:t>套数</w:t>
            </w:r>
          </w:p>
        </w:tc>
        <w:tc>
          <w:tcPr>
            <w:tcW w:w="1450" w:type="dxa"/>
            <w:tcBorders>
              <w:top w:val="single" w:color="auto" w:sz="12" w:space="0"/>
              <w:bottom w:val="double" w:color="auto" w:sz="6" w:space="0"/>
            </w:tcBorders>
            <w:vAlign w:val="center"/>
          </w:tcPr>
          <w:p w14:paraId="7A52495A">
            <w:pPr>
              <w:pStyle w:val="227"/>
              <w:ind w:firstLine="0" w:firstLineChars="0"/>
              <w:jc w:val="center"/>
              <w:rPr>
                <w:color w:val="auto"/>
                <w:highlight w:val="none"/>
              </w:rPr>
            </w:pPr>
            <w:r>
              <w:rPr>
                <w:rFonts w:hint="eastAsia"/>
                <w:color w:val="auto"/>
                <w:highlight w:val="none"/>
              </w:rPr>
              <w:t>费用（元）</w:t>
            </w:r>
          </w:p>
        </w:tc>
        <w:tc>
          <w:tcPr>
            <w:tcW w:w="1243" w:type="dxa"/>
            <w:tcBorders>
              <w:top w:val="single" w:color="auto" w:sz="12" w:space="0"/>
              <w:bottom w:val="double" w:color="auto" w:sz="6" w:space="0"/>
            </w:tcBorders>
            <w:vAlign w:val="center"/>
          </w:tcPr>
          <w:p w14:paraId="76961FEA">
            <w:pPr>
              <w:pStyle w:val="227"/>
              <w:ind w:firstLine="0" w:firstLineChars="0"/>
              <w:jc w:val="center"/>
              <w:rPr>
                <w:color w:val="auto"/>
                <w:highlight w:val="none"/>
              </w:rPr>
            </w:pPr>
            <w:r>
              <w:rPr>
                <w:rFonts w:hint="eastAsia"/>
                <w:color w:val="auto"/>
                <w:highlight w:val="none"/>
              </w:rPr>
              <w:t>质量</w:t>
            </w:r>
          </w:p>
        </w:tc>
        <w:tc>
          <w:tcPr>
            <w:tcW w:w="1450" w:type="dxa"/>
            <w:tcBorders>
              <w:top w:val="single" w:color="auto" w:sz="12" w:space="0"/>
              <w:bottom w:val="double" w:color="auto" w:sz="6" w:space="0"/>
            </w:tcBorders>
          </w:tcPr>
          <w:p w14:paraId="79693E1F">
            <w:pPr>
              <w:pStyle w:val="227"/>
              <w:ind w:firstLine="0" w:firstLineChars="0"/>
              <w:jc w:val="center"/>
              <w:rPr>
                <w:color w:val="auto"/>
                <w:highlight w:val="none"/>
              </w:rPr>
            </w:pPr>
            <w:r>
              <w:rPr>
                <w:rFonts w:hint="eastAsia"/>
                <w:color w:val="auto"/>
                <w:highlight w:val="none"/>
              </w:rPr>
              <w:t>移交时间</w:t>
            </w:r>
          </w:p>
        </w:tc>
        <w:tc>
          <w:tcPr>
            <w:tcW w:w="1564" w:type="dxa"/>
            <w:tcBorders>
              <w:top w:val="single" w:color="auto" w:sz="12" w:space="0"/>
              <w:bottom w:val="double" w:color="auto" w:sz="6" w:space="0"/>
            </w:tcBorders>
          </w:tcPr>
          <w:p w14:paraId="2E8ECAD3">
            <w:pPr>
              <w:pStyle w:val="227"/>
              <w:ind w:firstLine="0" w:firstLineChars="0"/>
              <w:jc w:val="center"/>
              <w:rPr>
                <w:color w:val="auto"/>
                <w:highlight w:val="none"/>
              </w:rPr>
            </w:pPr>
            <w:r>
              <w:rPr>
                <w:rFonts w:hint="eastAsia"/>
                <w:color w:val="auto"/>
                <w:highlight w:val="none"/>
              </w:rPr>
              <w:t>责任人</w:t>
            </w:r>
          </w:p>
        </w:tc>
      </w:tr>
      <w:tr w14:paraId="04E79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DE30DC2">
            <w:pPr>
              <w:pStyle w:val="227"/>
              <w:rPr>
                <w:color w:val="auto"/>
                <w:highlight w:val="none"/>
              </w:rPr>
            </w:pPr>
          </w:p>
        </w:tc>
        <w:tc>
          <w:tcPr>
            <w:tcW w:w="1067" w:type="dxa"/>
            <w:tcBorders>
              <w:top w:val="double" w:color="auto" w:sz="6" w:space="0"/>
            </w:tcBorders>
            <w:vAlign w:val="center"/>
          </w:tcPr>
          <w:p w14:paraId="50A0C176">
            <w:pPr>
              <w:pStyle w:val="227"/>
              <w:rPr>
                <w:color w:val="auto"/>
                <w:highlight w:val="none"/>
              </w:rPr>
            </w:pPr>
          </w:p>
        </w:tc>
        <w:tc>
          <w:tcPr>
            <w:tcW w:w="1450" w:type="dxa"/>
            <w:tcBorders>
              <w:top w:val="double" w:color="auto" w:sz="6" w:space="0"/>
            </w:tcBorders>
            <w:vAlign w:val="center"/>
          </w:tcPr>
          <w:p w14:paraId="6FF61B7D">
            <w:pPr>
              <w:pStyle w:val="227"/>
              <w:rPr>
                <w:color w:val="auto"/>
                <w:highlight w:val="none"/>
              </w:rPr>
            </w:pPr>
            <w:r>
              <w:rPr>
                <w:rFonts w:hint="eastAsia"/>
                <w:color w:val="auto"/>
                <w:highlight w:val="none"/>
              </w:rPr>
              <w:t>无</w:t>
            </w:r>
          </w:p>
        </w:tc>
        <w:tc>
          <w:tcPr>
            <w:tcW w:w="1243" w:type="dxa"/>
            <w:tcBorders>
              <w:top w:val="double" w:color="auto" w:sz="6" w:space="0"/>
            </w:tcBorders>
            <w:vAlign w:val="center"/>
          </w:tcPr>
          <w:p w14:paraId="4E0A35B1">
            <w:pPr>
              <w:pStyle w:val="227"/>
              <w:rPr>
                <w:color w:val="auto"/>
                <w:highlight w:val="none"/>
              </w:rPr>
            </w:pPr>
          </w:p>
        </w:tc>
        <w:tc>
          <w:tcPr>
            <w:tcW w:w="1450" w:type="dxa"/>
            <w:tcBorders>
              <w:top w:val="double" w:color="auto" w:sz="6" w:space="0"/>
            </w:tcBorders>
            <w:vAlign w:val="center"/>
          </w:tcPr>
          <w:p w14:paraId="7FA613D9">
            <w:pPr>
              <w:pStyle w:val="227"/>
              <w:rPr>
                <w:color w:val="auto"/>
                <w:highlight w:val="none"/>
              </w:rPr>
            </w:pPr>
          </w:p>
        </w:tc>
        <w:tc>
          <w:tcPr>
            <w:tcW w:w="1564" w:type="dxa"/>
            <w:tcBorders>
              <w:top w:val="double" w:color="auto" w:sz="6" w:space="0"/>
            </w:tcBorders>
            <w:vAlign w:val="center"/>
          </w:tcPr>
          <w:p w14:paraId="2C18FFFF">
            <w:pPr>
              <w:pStyle w:val="227"/>
              <w:rPr>
                <w:color w:val="auto"/>
                <w:highlight w:val="none"/>
              </w:rPr>
            </w:pPr>
          </w:p>
        </w:tc>
      </w:tr>
      <w:tr w14:paraId="1952A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FD82184">
            <w:pPr>
              <w:pStyle w:val="227"/>
              <w:rPr>
                <w:color w:val="auto"/>
                <w:highlight w:val="none"/>
              </w:rPr>
            </w:pPr>
          </w:p>
        </w:tc>
        <w:tc>
          <w:tcPr>
            <w:tcW w:w="1067" w:type="dxa"/>
            <w:tcBorders>
              <w:top w:val="nil"/>
            </w:tcBorders>
            <w:vAlign w:val="center"/>
          </w:tcPr>
          <w:p w14:paraId="2EBB37D2">
            <w:pPr>
              <w:pStyle w:val="227"/>
              <w:rPr>
                <w:color w:val="auto"/>
                <w:highlight w:val="none"/>
              </w:rPr>
            </w:pPr>
          </w:p>
        </w:tc>
        <w:tc>
          <w:tcPr>
            <w:tcW w:w="1450" w:type="dxa"/>
            <w:tcBorders>
              <w:top w:val="nil"/>
            </w:tcBorders>
            <w:vAlign w:val="center"/>
          </w:tcPr>
          <w:p w14:paraId="0AF70FBF">
            <w:pPr>
              <w:pStyle w:val="227"/>
              <w:rPr>
                <w:color w:val="auto"/>
                <w:highlight w:val="none"/>
              </w:rPr>
            </w:pPr>
          </w:p>
        </w:tc>
        <w:tc>
          <w:tcPr>
            <w:tcW w:w="1243" w:type="dxa"/>
            <w:tcBorders>
              <w:top w:val="nil"/>
            </w:tcBorders>
            <w:vAlign w:val="center"/>
          </w:tcPr>
          <w:p w14:paraId="4F4EF747">
            <w:pPr>
              <w:pStyle w:val="227"/>
              <w:rPr>
                <w:color w:val="auto"/>
                <w:highlight w:val="none"/>
              </w:rPr>
            </w:pPr>
          </w:p>
        </w:tc>
        <w:tc>
          <w:tcPr>
            <w:tcW w:w="1450" w:type="dxa"/>
            <w:tcBorders>
              <w:top w:val="nil"/>
            </w:tcBorders>
            <w:vAlign w:val="center"/>
          </w:tcPr>
          <w:p w14:paraId="0B83455C">
            <w:pPr>
              <w:pStyle w:val="227"/>
              <w:rPr>
                <w:color w:val="auto"/>
                <w:highlight w:val="none"/>
              </w:rPr>
            </w:pPr>
          </w:p>
        </w:tc>
        <w:tc>
          <w:tcPr>
            <w:tcW w:w="1564" w:type="dxa"/>
            <w:tcBorders>
              <w:top w:val="nil"/>
            </w:tcBorders>
            <w:vAlign w:val="center"/>
          </w:tcPr>
          <w:p w14:paraId="685E9D43">
            <w:pPr>
              <w:pStyle w:val="227"/>
              <w:rPr>
                <w:color w:val="auto"/>
                <w:highlight w:val="none"/>
              </w:rPr>
            </w:pPr>
          </w:p>
        </w:tc>
      </w:tr>
      <w:tr w14:paraId="1B6A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FFFD134">
            <w:pPr>
              <w:pStyle w:val="227"/>
              <w:rPr>
                <w:color w:val="auto"/>
                <w:highlight w:val="none"/>
              </w:rPr>
            </w:pPr>
          </w:p>
        </w:tc>
        <w:tc>
          <w:tcPr>
            <w:tcW w:w="1067" w:type="dxa"/>
            <w:vAlign w:val="center"/>
          </w:tcPr>
          <w:p w14:paraId="5430E739">
            <w:pPr>
              <w:pStyle w:val="227"/>
              <w:rPr>
                <w:color w:val="auto"/>
                <w:highlight w:val="none"/>
              </w:rPr>
            </w:pPr>
          </w:p>
        </w:tc>
        <w:tc>
          <w:tcPr>
            <w:tcW w:w="1450" w:type="dxa"/>
            <w:vAlign w:val="center"/>
          </w:tcPr>
          <w:p w14:paraId="5DA512BE">
            <w:pPr>
              <w:pStyle w:val="227"/>
              <w:rPr>
                <w:color w:val="auto"/>
                <w:highlight w:val="none"/>
              </w:rPr>
            </w:pPr>
          </w:p>
        </w:tc>
        <w:tc>
          <w:tcPr>
            <w:tcW w:w="1243" w:type="dxa"/>
            <w:vAlign w:val="center"/>
          </w:tcPr>
          <w:p w14:paraId="69AE377E">
            <w:pPr>
              <w:pStyle w:val="227"/>
              <w:rPr>
                <w:color w:val="auto"/>
                <w:highlight w:val="none"/>
              </w:rPr>
            </w:pPr>
          </w:p>
        </w:tc>
        <w:tc>
          <w:tcPr>
            <w:tcW w:w="1450" w:type="dxa"/>
            <w:vAlign w:val="center"/>
          </w:tcPr>
          <w:p w14:paraId="3BCC40C3">
            <w:pPr>
              <w:pStyle w:val="227"/>
              <w:rPr>
                <w:color w:val="auto"/>
                <w:highlight w:val="none"/>
              </w:rPr>
            </w:pPr>
          </w:p>
        </w:tc>
        <w:tc>
          <w:tcPr>
            <w:tcW w:w="1564" w:type="dxa"/>
            <w:vAlign w:val="center"/>
          </w:tcPr>
          <w:p w14:paraId="26B78D08">
            <w:pPr>
              <w:pStyle w:val="227"/>
              <w:rPr>
                <w:color w:val="auto"/>
                <w:highlight w:val="none"/>
              </w:rPr>
            </w:pPr>
          </w:p>
        </w:tc>
      </w:tr>
      <w:tr w14:paraId="23F70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9CF2950">
            <w:pPr>
              <w:pStyle w:val="227"/>
              <w:rPr>
                <w:color w:val="auto"/>
                <w:highlight w:val="none"/>
              </w:rPr>
            </w:pPr>
          </w:p>
        </w:tc>
        <w:tc>
          <w:tcPr>
            <w:tcW w:w="1067" w:type="dxa"/>
            <w:vAlign w:val="center"/>
          </w:tcPr>
          <w:p w14:paraId="28F876E5">
            <w:pPr>
              <w:pStyle w:val="227"/>
              <w:rPr>
                <w:color w:val="auto"/>
                <w:highlight w:val="none"/>
              </w:rPr>
            </w:pPr>
          </w:p>
        </w:tc>
        <w:tc>
          <w:tcPr>
            <w:tcW w:w="1450" w:type="dxa"/>
            <w:vAlign w:val="center"/>
          </w:tcPr>
          <w:p w14:paraId="72C99474">
            <w:pPr>
              <w:pStyle w:val="227"/>
              <w:rPr>
                <w:color w:val="auto"/>
                <w:highlight w:val="none"/>
              </w:rPr>
            </w:pPr>
          </w:p>
        </w:tc>
        <w:tc>
          <w:tcPr>
            <w:tcW w:w="1243" w:type="dxa"/>
            <w:vAlign w:val="center"/>
          </w:tcPr>
          <w:p w14:paraId="53A55ED7">
            <w:pPr>
              <w:pStyle w:val="227"/>
              <w:rPr>
                <w:color w:val="auto"/>
                <w:highlight w:val="none"/>
              </w:rPr>
            </w:pPr>
          </w:p>
        </w:tc>
        <w:tc>
          <w:tcPr>
            <w:tcW w:w="1450" w:type="dxa"/>
            <w:vAlign w:val="center"/>
          </w:tcPr>
          <w:p w14:paraId="6FDF391B">
            <w:pPr>
              <w:pStyle w:val="227"/>
              <w:rPr>
                <w:color w:val="auto"/>
                <w:highlight w:val="none"/>
              </w:rPr>
            </w:pPr>
          </w:p>
        </w:tc>
        <w:tc>
          <w:tcPr>
            <w:tcW w:w="1564" w:type="dxa"/>
            <w:vAlign w:val="center"/>
          </w:tcPr>
          <w:p w14:paraId="64DC1951">
            <w:pPr>
              <w:pStyle w:val="227"/>
              <w:rPr>
                <w:color w:val="auto"/>
                <w:highlight w:val="none"/>
              </w:rPr>
            </w:pPr>
          </w:p>
        </w:tc>
      </w:tr>
      <w:tr w14:paraId="7AFF3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102E28A">
            <w:pPr>
              <w:pStyle w:val="227"/>
              <w:rPr>
                <w:color w:val="auto"/>
                <w:highlight w:val="none"/>
              </w:rPr>
            </w:pPr>
          </w:p>
        </w:tc>
        <w:tc>
          <w:tcPr>
            <w:tcW w:w="1067" w:type="dxa"/>
            <w:vAlign w:val="center"/>
          </w:tcPr>
          <w:p w14:paraId="3E193CE4">
            <w:pPr>
              <w:pStyle w:val="227"/>
              <w:rPr>
                <w:color w:val="auto"/>
                <w:highlight w:val="none"/>
              </w:rPr>
            </w:pPr>
          </w:p>
        </w:tc>
        <w:tc>
          <w:tcPr>
            <w:tcW w:w="1450" w:type="dxa"/>
            <w:vAlign w:val="center"/>
          </w:tcPr>
          <w:p w14:paraId="2CE90C22">
            <w:pPr>
              <w:pStyle w:val="227"/>
              <w:rPr>
                <w:color w:val="auto"/>
                <w:highlight w:val="none"/>
              </w:rPr>
            </w:pPr>
          </w:p>
        </w:tc>
        <w:tc>
          <w:tcPr>
            <w:tcW w:w="1243" w:type="dxa"/>
            <w:vAlign w:val="center"/>
          </w:tcPr>
          <w:p w14:paraId="745DB2EE">
            <w:pPr>
              <w:pStyle w:val="227"/>
              <w:rPr>
                <w:color w:val="auto"/>
                <w:highlight w:val="none"/>
              </w:rPr>
            </w:pPr>
          </w:p>
        </w:tc>
        <w:tc>
          <w:tcPr>
            <w:tcW w:w="1450" w:type="dxa"/>
            <w:vAlign w:val="center"/>
          </w:tcPr>
          <w:p w14:paraId="2E5E0FF1">
            <w:pPr>
              <w:pStyle w:val="227"/>
              <w:rPr>
                <w:color w:val="auto"/>
                <w:highlight w:val="none"/>
              </w:rPr>
            </w:pPr>
          </w:p>
        </w:tc>
        <w:tc>
          <w:tcPr>
            <w:tcW w:w="1564" w:type="dxa"/>
            <w:vAlign w:val="center"/>
          </w:tcPr>
          <w:p w14:paraId="39E65679">
            <w:pPr>
              <w:pStyle w:val="227"/>
              <w:rPr>
                <w:color w:val="auto"/>
                <w:highlight w:val="none"/>
              </w:rPr>
            </w:pPr>
          </w:p>
        </w:tc>
      </w:tr>
      <w:tr w14:paraId="09530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DA8ECDF">
            <w:pPr>
              <w:pStyle w:val="227"/>
              <w:rPr>
                <w:color w:val="auto"/>
                <w:highlight w:val="none"/>
              </w:rPr>
            </w:pPr>
          </w:p>
        </w:tc>
        <w:tc>
          <w:tcPr>
            <w:tcW w:w="1067" w:type="dxa"/>
            <w:vAlign w:val="center"/>
          </w:tcPr>
          <w:p w14:paraId="4EBE6A84">
            <w:pPr>
              <w:pStyle w:val="227"/>
              <w:rPr>
                <w:color w:val="auto"/>
                <w:highlight w:val="none"/>
              </w:rPr>
            </w:pPr>
          </w:p>
        </w:tc>
        <w:tc>
          <w:tcPr>
            <w:tcW w:w="1450" w:type="dxa"/>
            <w:vAlign w:val="center"/>
          </w:tcPr>
          <w:p w14:paraId="783107B3">
            <w:pPr>
              <w:pStyle w:val="227"/>
              <w:rPr>
                <w:color w:val="auto"/>
                <w:highlight w:val="none"/>
              </w:rPr>
            </w:pPr>
          </w:p>
        </w:tc>
        <w:tc>
          <w:tcPr>
            <w:tcW w:w="1243" w:type="dxa"/>
            <w:vAlign w:val="center"/>
          </w:tcPr>
          <w:p w14:paraId="5ACFB1E6">
            <w:pPr>
              <w:pStyle w:val="227"/>
              <w:rPr>
                <w:color w:val="auto"/>
                <w:highlight w:val="none"/>
              </w:rPr>
            </w:pPr>
          </w:p>
        </w:tc>
        <w:tc>
          <w:tcPr>
            <w:tcW w:w="1450" w:type="dxa"/>
            <w:vAlign w:val="center"/>
          </w:tcPr>
          <w:p w14:paraId="6B63B176">
            <w:pPr>
              <w:pStyle w:val="227"/>
              <w:rPr>
                <w:color w:val="auto"/>
                <w:highlight w:val="none"/>
              </w:rPr>
            </w:pPr>
          </w:p>
        </w:tc>
        <w:tc>
          <w:tcPr>
            <w:tcW w:w="1564" w:type="dxa"/>
            <w:vAlign w:val="center"/>
          </w:tcPr>
          <w:p w14:paraId="79624686">
            <w:pPr>
              <w:pStyle w:val="227"/>
              <w:rPr>
                <w:color w:val="auto"/>
                <w:highlight w:val="none"/>
              </w:rPr>
            </w:pPr>
          </w:p>
        </w:tc>
      </w:tr>
      <w:tr w14:paraId="7F8BD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3BAA2F8">
            <w:pPr>
              <w:pStyle w:val="227"/>
              <w:rPr>
                <w:color w:val="auto"/>
                <w:highlight w:val="none"/>
              </w:rPr>
            </w:pPr>
          </w:p>
        </w:tc>
        <w:tc>
          <w:tcPr>
            <w:tcW w:w="1067" w:type="dxa"/>
            <w:vAlign w:val="center"/>
          </w:tcPr>
          <w:p w14:paraId="2BB17CE8">
            <w:pPr>
              <w:pStyle w:val="227"/>
              <w:rPr>
                <w:color w:val="auto"/>
                <w:highlight w:val="none"/>
              </w:rPr>
            </w:pPr>
          </w:p>
        </w:tc>
        <w:tc>
          <w:tcPr>
            <w:tcW w:w="1450" w:type="dxa"/>
            <w:vAlign w:val="center"/>
          </w:tcPr>
          <w:p w14:paraId="20042F39">
            <w:pPr>
              <w:pStyle w:val="227"/>
              <w:rPr>
                <w:color w:val="auto"/>
                <w:highlight w:val="none"/>
              </w:rPr>
            </w:pPr>
          </w:p>
        </w:tc>
        <w:tc>
          <w:tcPr>
            <w:tcW w:w="1243" w:type="dxa"/>
            <w:vAlign w:val="center"/>
          </w:tcPr>
          <w:p w14:paraId="6E5C743D">
            <w:pPr>
              <w:pStyle w:val="227"/>
              <w:rPr>
                <w:color w:val="auto"/>
                <w:highlight w:val="none"/>
              </w:rPr>
            </w:pPr>
          </w:p>
        </w:tc>
        <w:tc>
          <w:tcPr>
            <w:tcW w:w="1450" w:type="dxa"/>
            <w:vAlign w:val="center"/>
          </w:tcPr>
          <w:p w14:paraId="47FC345F">
            <w:pPr>
              <w:pStyle w:val="227"/>
              <w:rPr>
                <w:color w:val="auto"/>
                <w:highlight w:val="none"/>
              </w:rPr>
            </w:pPr>
          </w:p>
        </w:tc>
        <w:tc>
          <w:tcPr>
            <w:tcW w:w="1564" w:type="dxa"/>
            <w:vAlign w:val="center"/>
          </w:tcPr>
          <w:p w14:paraId="6AD38BC0">
            <w:pPr>
              <w:pStyle w:val="227"/>
              <w:rPr>
                <w:color w:val="auto"/>
                <w:highlight w:val="none"/>
              </w:rPr>
            </w:pPr>
          </w:p>
        </w:tc>
      </w:tr>
      <w:tr w14:paraId="23CB5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E01D25E">
            <w:pPr>
              <w:pStyle w:val="227"/>
              <w:rPr>
                <w:color w:val="auto"/>
                <w:highlight w:val="none"/>
              </w:rPr>
            </w:pPr>
          </w:p>
        </w:tc>
        <w:tc>
          <w:tcPr>
            <w:tcW w:w="1067" w:type="dxa"/>
            <w:vAlign w:val="center"/>
          </w:tcPr>
          <w:p w14:paraId="79467E28">
            <w:pPr>
              <w:pStyle w:val="227"/>
              <w:rPr>
                <w:color w:val="auto"/>
                <w:highlight w:val="none"/>
              </w:rPr>
            </w:pPr>
          </w:p>
        </w:tc>
        <w:tc>
          <w:tcPr>
            <w:tcW w:w="1450" w:type="dxa"/>
            <w:vAlign w:val="center"/>
          </w:tcPr>
          <w:p w14:paraId="04A5A1F2">
            <w:pPr>
              <w:pStyle w:val="227"/>
              <w:rPr>
                <w:color w:val="auto"/>
                <w:highlight w:val="none"/>
              </w:rPr>
            </w:pPr>
          </w:p>
        </w:tc>
        <w:tc>
          <w:tcPr>
            <w:tcW w:w="1243" w:type="dxa"/>
            <w:vAlign w:val="center"/>
          </w:tcPr>
          <w:p w14:paraId="1CBC3F57">
            <w:pPr>
              <w:pStyle w:val="227"/>
              <w:rPr>
                <w:color w:val="auto"/>
                <w:highlight w:val="none"/>
              </w:rPr>
            </w:pPr>
          </w:p>
        </w:tc>
        <w:tc>
          <w:tcPr>
            <w:tcW w:w="1450" w:type="dxa"/>
            <w:vAlign w:val="center"/>
          </w:tcPr>
          <w:p w14:paraId="2C1C2F3A">
            <w:pPr>
              <w:pStyle w:val="227"/>
              <w:rPr>
                <w:color w:val="auto"/>
                <w:highlight w:val="none"/>
              </w:rPr>
            </w:pPr>
          </w:p>
        </w:tc>
        <w:tc>
          <w:tcPr>
            <w:tcW w:w="1564" w:type="dxa"/>
            <w:vAlign w:val="center"/>
          </w:tcPr>
          <w:p w14:paraId="3D47CA6B">
            <w:pPr>
              <w:pStyle w:val="227"/>
              <w:rPr>
                <w:color w:val="auto"/>
                <w:highlight w:val="none"/>
              </w:rPr>
            </w:pPr>
          </w:p>
        </w:tc>
      </w:tr>
      <w:tr w14:paraId="30636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03DB1DE">
            <w:pPr>
              <w:pStyle w:val="227"/>
              <w:rPr>
                <w:color w:val="auto"/>
                <w:highlight w:val="none"/>
              </w:rPr>
            </w:pPr>
          </w:p>
        </w:tc>
        <w:tc>
          <w:tcPr>
            <w:tcW w:w="1067" w:type="dxa"/>
          </w:tcPr>
          <w:p w14:paraId="01CD8B08">
            <w:pPr>
              <w:pStyle w:val="227"/>
              <w:rPr>
                <w:color w:val="auto"/>
                <w:highlight w:val="none"/>
              </w:rPr>
            </w:pPr>
          </w:p>
        </w:tc>
        <w:tc>
          <w:tcPr>
            <w:tcW w:w="1450" w:type="dxa"/>
          </w:tcPr>
          <w:p w14:paraId="510C97B7">
            <w:pPr>
              <w:pStyle w:val="227"/>
              <w:rPr>
                <w:color w:val="auto"/>
                <w:highlight w:val="none"/>
              </w:rPr>
            </w:pPr>
          </w:p>
        </w:tc>
        <w:tc>
          <w:tcPr>
            <w:tcW w:w="1243" w:type="dxa"/>
          </w:tcPr>
          <w:p w14:paraId="33F80579">
            <w:pPr>
              <w:pStyle w:val="227"/>
              <w:rPr>
                <w:color w:val="auto"/>
                <w:highlight w:val="none"/>
              </w:rPr>
            </w:pPr>
          </w:p>
        </w:tc>
        <w:tc>
          <w:tcPr>
            <w:tcW w:w="1450" w:type="dxa"/>
          </w:tcPr>
          <w:p w14:paraId="194BF90D">
            <w:pPr>
              <w:pStyle w:val="227"/>
              <w:rPr>
                <w:color w:val="auto"/>
                <w:highlight w:val="none"/>
              </w:rPr>
            </w:pPr>
          </w:p>
        </w:tc>
        <w:tc>
          <w:tcPr>
            <w:tcW w:w="1564" w:type="dxa"/>
          </w:tcPr>
          <w:p w14:paraId="11F3F051">
            <w:pPr>
              <w:pStyle w:val="227"/>
              <w:rPr>
                <w:color w:val="auto"/>
                <w:highlight w:val="none"/>
              </w:rPr>
            </w:pPr>
          </w:p>
        </w:tc>
      </w:tr>
      <w:tr w14:paraId="4C90F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A3B5D9E">
            <w:pPr>
              <w:pStyle w:val="227"/>
              <w:rPr>
                <w:color w:val="auto"/>
                <w:highlight w:val="none"/>
              </w:rPr>
            </w:pPr>
          </w:p>
        </w:tc>
        <w:tc>
          <w:tcPr>
            <w:tcW w:w="1067" w:type="dxa"/>
            <w:vAlign w:val="center"/>
          </w:tcPr>
          <w:p w14:paraId="559DDF47">
            <w:pPr>
              <w:pStyle w:val="227"/>
              <w:rPr>
                <w:color w:val="auto"/>
                <w:highlight w:val="none"/>
              </w:rPr>
            </w:pPr>
          </w:p>
        </w:tc>
        <w:tc>
          <w:tcPr>
            <w:tcW w:w="1450" w:type="dxa"/>
            <w:vAlign w:val="center"/>
          </w:tcPr>
          <w:p w14:paraId="69C13B43">
            <w:pPr>
              <w:pStyle w:val="227"/>
              <w:rPr>
                <w:color w:val="auto"/>
                <w:highlight w:val="none"/>
              </w:rPr>
            </w:pPr>
          </w:p>
        </w:tc>
        <w:tc>
          <w:tcPr>
            <w:tcW w:w="1243" w:type="dxa"/>
            <w:vAlign w:val="center"/>
          </w:tcPr>
          <w:p w14:paraId="47511FD7">
            <w:pPr>
              <w:pStyle w:val="227"/>
              <w:rPr>
                <w:color w:val="auto"/>
                <w:highlight w:val="none"/>
              </w:rPr>
            </w:pPr>
          </w:p>
        </w:tc>
        <w:tc>
          <w:tcPr>
            <w:tcW w:w="1450" w:type="dxa"/>
            <w:vAlign w:val="center"/>
          </w:tcPr>
          <w:p w14:paraId="271CC168">
            <w:pPr>
              <w:pStyle w:val="227"/>
              <w:rPr>
                <w:color w:val="auto"/>
                <w:highlight w:val="none"/>
              </w:rPr>
            </w:pPr>
          </w:p>
        </w:tc>
        <w:tc>
          <w:tcPr>
            <w:tcW w:w="1564" w:type="dxa"/>
            <w:vAlign w:val="center"/>
          </w:tcPr>
          <w:p w14:paraId="15150AC9">
            <w:pPr>
              <w:pStyle w:val="227"/>
              <w:rPr>
                <w:color w:val="auto"/>
                <w:highlight w:val="none"/>
              </w:rPr>
            </w:pPr>
          </w:p>
        </w:tc>
      </w:tr>
      <w:tr w14:paraId="2E125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1174A15">
            <w:pPr>
              <w:pStyle w:val="227"/>
              <w:rPr>
                <w:color w:val="auto"/>
                <w:highlight w:val="none"/>
              </w:rPr>
            </w:pPr>
          </w:p>
        </w:tc>
        <w:tc>
          <w:tcPr>
            <w:tcW w:w="1067" w:type="dxa"/>
          </w:tcPr>
          <w:p w14:paraId="171F32EC">
            <w:pPr>
              <w:pStyle w:val="227"/>
              <w:rPr>
                <w:color w:val="auto"/>
                <w:highlight w:val="none"/>
              </w:rPr>
            </w:pPr>
          </w:p>
        </w:tc>
        <w:tc>
          <w:tcPr>
            <w:tcW w:w="1450" w:type="dxa"/>
          </w:tcPr>
          <w:p w14:paraId="2803E7C0">
            <w:pPr>
              <w:pStyle w:val="227"/>
              <w:rPr>
                <w:color w:val="auto"/>
                <w:highlight w:val="none"/>
              </w:rPr>
            </w:pPr>
          </w:p>
        </w:tc>
        <w:tc>
          <w:tcPr>
            <w:tcW w:w="1243" w:type="dxa"/>
          </w:tcPr>
          <w:p w14:paraId="2DC4D851">
            <w:pPr>
              <w:pStyle w:val="227"/>
              <w:rPr>
                <w:color w:val="auto"/>
                <w:highlight w:val="none"/>
              </w:rPr>
            </w:pPr>
          </w:p>
        </w:tc>
        <w:tc>
          <w:tcPr>
            <w:tcW w:w="1450" w:type="dxa"/>
          </w:tcPr>
          <w:p w14:paraId="612475A3">
            <w:pPr>
              <w:pStyle w:val="227"/>
              <w:rPr>
                <w:color w:val="auto"/>
                <w:highlight w:val="none"/>
              </w:rPr>
            </w:pPr>
          </w:p>
        </w:tc>
        <w:tc>
          <w:tcPr>
            <w:tcW w:w="1564" w:type="dxa"/>
          </w:tcPr>
          <w:p w14:paraId="7C77DFFA">
            <w:pPr>
              <w:pStyle w:val="227"/>
              <w:rPr>
                <w:color w:val="auto"/>
                <w:highlight w:val="none"/>
              </w:rPr>
            </w:pPr>
          </w:p>
        </w:tc>
      </w:tr>
      <w:tr w14:paraId="75E02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A59F08">
            <w:pPr>
              <w:pStyle w:val="227"/>
              <w:rPr>
                <w:color w:val="auto"/>
                <w:highlight w:val="none"/>
              </w:rPr>
            </w:pPr>
          </w:p>
        </w:tc>
        <w:tc>
          <w:tcPr>
            <w:tcW w:w="1067" w:type="dxa"/>
          </w:tcPr>
          <w:p w14:paraId="149E9AF4">
            <w:pPr>
              <w:pStyle w:val="227"/>
              <w:rPr>
                <w:color w:val="auto"/>
                <w:highlight w:val="none"/>
              </w:rPr>
            </w:pPr>
          </w:p>
        </w:tc>
        <w:tc>
          <w:tcPr>
            <w:tcW w:w="1450" w:type="dxa"/>
          </w:tcPr>
          <w:p w14:paraId="4A82E486">
            <w:pPr>
              <w:pStyle w:val="227"/>
              <w:rPr>
                <w:color w:val="auto"/>
                <w:highlight w:val="none"/>
              </w:rPr>
            </w:pPr>
          </w:p>
        </w:tc>
        <w:tc>
          <w:tcPr>
            <w:tcW w:w="1243" w:type="dxa"/>
          </w:tcPr>
          <w:p w14:paraId="196EAEB8">
            <w:pPr>
              <w:pStyle w:val="227"/>
              <w:rPr>
                <w:color w:val="auto"/>
                <w:highlight w:val="none"/>
              </w:rPr>
            </w:pPr>
          </w:p>
        </w:tc>
        <w:tc>
          <w:tcPr>
            <w:tcW w:w="1450" w:type="dxa"/>
          </w:tcPr>
          <w:p w14:paraId="55FEA03B">
            <w:pPr>
              <w:pStyle w:val="227"/>
              <w:rPr>
                <w:color w:val="auto"/>
                <w:highlight w:val="none"/>
              </w:rPr>
            </w:pPr>
          </w:p>
        </w:tc>
        <w:tc>
          <w:tcPr>
            <w:tcW w:w="1564" w:type="dxa"/>
          </w:tcPr>
          <w:p w14:paraId="30527939">
            <w:pPr>
              <w:pStyle w:val="227"/>
              <w:rPr>
                <w:color w:val="auto"/>
                <w:highlight w:val="none"/>
              </w:rPr>
            </w:pPr>
          </w:p>
        </w:tc>
      </w:tr>
      <w:tr w14:paraId="0D024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7367B4">
            <w:pPr>
              <w:pStyle w:val="227"/>
              <w:rPr>
                <w:color w:val="auto"/>
                <w:highlight w:val="none"/>
              </w:rPr>
            </w:pPr>
          </w:p>
        </w:tc>
        <w:tc>
          <w:tcPr>
            <w:tcW w:w="1067" w:type="dxa"/>
          </w:tcPr>
          <w:p w14:paraId="6DC9DFA4">
            <w:pPr>
              <w:pStyle w:val="227"/>
              <w:rPr>
                <w:color w:val="auto"/>
                <w:highlight w:val="none"/>
              </w:rPr>
            </w:pPr>
          </w:p>
        </w:tc>
        <w:tc>
          <w:tcPr>
            <w:tcW w:w="1450" w:type="dxa"/>
          </w:tcPr>
          <w:p w14:paraId="55194534">
            <w:pPr>
              <w:pStyle w:val="227"/>
              <w:rPr>
                <w:color w:val="auto"/>
                <w:highlight w:val="none"/>
              </w:rPr>
            </w:pPr>
          </w:p>
        </w:tc>
        <w:tc>
          <w:tcPr>
            <w:tcW w:w="1243" w:type="dxa"/>
          </w:tcPr>
          <w:p w14:paraId="54AA78EF">
            <w:pPr>
              <w:pStyle w:val="227"/>
              <w:rPr>
                <w:color w:val="auto"/>
                <w:highlight w:val="none"/>
              </w:rPr>
            </w:pPr>
          </w:p>
        </w:tc>
        <w:tc>
          <w:tcPr>
            <w:tcW w:w="1450" w:type="dxa"/>
          </w:tcPr>
          <w:p w14:paraId="33AD65B0">
            <w:pPr>
              <w:pStyle w:val="227"/>
              <w:rPr>
                <w:color w:val="auto"/>
                <w:highlight w:val="none"/>
              </w:rPr>
            </w:pPr>
          </w:p>
        </w:tc>
        <w:tc>
          <w:tcPr>
            <w:tcW w:w="1564" w:type="dxa"/>
          </w:tcPr>
          <w:p w14:paraId="133BDE8A">
            <w:pPr>
              <w:pStyle w:val="227"/>
              <w:rPr>
                <w:color w:val="auto"/>
                <w:highlight w:val="none"/>
              </w:rPr>
            </w:pPr>
          </w:p>
        </w:tc>
      </w:tr>
      <w:tr w14:paraId="42BDE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F60D53F">
            <w:pPr>
              <w:pStyle w:val="227"/>
              <w:rPr>
                <w:color w:val="auto"/>
                <w:highlight w:val="none"/>
              </w:rPr>
            </w:pPr>
          </w:p>
        </w:tc>
        <w:tc>
          <w:tcPr>
            <w:tcW w:w="1067" w:type="dxa"/>
          </w:tcPr>
          <w:p w14:paraId="6A656D84">
            <w:pPr>
              <w:pStyle w:val="227"/>
              <w:rPr>
                <w:color w:val="auto"/>
                <w:highlight w:val="none"/>
              </w:rPr>
            </w:pPr>
          </w:p>
        </w:tc>
        <w:tc>
          <w:tcPr>
            <w:tcW w:w="1450" w:type="dxa"/>
          </w:tcPr>
          <w:p w14:paraId="0E3C1532">
            <w:pPr>
              <w:pStyle w:val="227"/>
              <w:rPr>
                <w:color w:val="auto"/>
                <w:highlight w:val="none"/>
              </w:rPr>
            </w:pPr>
          </w:p>
        </w:tc>
        <w:tc>
          <w:tcPr>
            <w:tcW w:w="1243" w:type="dxa"/>
          </w:tcPr>
          <w:p w14:paraId="2499B39D">
            <w:pPr>
              <w:pStyle w:val="227"/>
              <w:rPr>
                <w:color w:val="auto"/>
                <w:highlight w:val="none"/>
              </w:rPr>
            </w:pPr>
          </w:p>
        </w:tc>
        <w:tc>
          <w:tcPr>
            <w:tcW w:w="1450" w:type="dxa"/>
          </w:tcPr>
          <w:p w14:paraId="4EEE72DD">
            <w:pPr>
              <w:pStyle w:val="227"/>
              <w:rPr>
                <w:color w:val="auto"/>
                <w:highlight w:val="none"/>
              </w:rPr>
            </w:pPr>
          </w:p>
        </w:tc>
        <w:tc>
          <w:tcPr>
            <w:tcW w:w="1564" w:type="dxa"/>
          </w:tcPr>
          <w:p w14:paraId="4EFF371F">
            <w:pPr>
              <w:pStyle w:val="227"/>
              <w:rPr>
                <w:color w:val="auto"/>
                <w:highlight w:val="none"/>
              </w:rPr>
            </w:pPr>
          </w:p>
        </w:tc>
      </w:tr>
      <w:tr w14:paraId="7B8B7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3C67E9F">
            <w:pPr>
              <w:pStyle w:val="227"/>
              <w:rPr>
                <w:color w:val="auto"/>
                <w:highlight w:val="none"/>
              </w:rPr>
            </w:pPr>
          </w:p>
        </w:tc>
        <w:tc>
          <w:tcPr>
            <w:tcW w:w="1067" w:type="dxa"/>
          </w:tcPr>
          <w:p w14:paraId="0EE29A87">
            <w:pPr>
              <w:pStyle w:val="227"/>
              <w:rPr>
                <w:color w:val="auto"/>
                <w:highlight w:val="none"/>
              </w:rPr>
            </w:pPr>
          </w:p>
        </w:tc>
        <w:tc>
          <w:tcPr>
            <w:tcW w:w="1450" w:type="dxa"/>
          </w:tcPr>
          <w:p w14:paraId="0DDFEA0E">
            <w:pPr>
              <w:pStyle w:val="227"/>
              <w:rPr>
                <w:color w:val="auto"/>
                <w:highlight w:val="none"/>
              </w:rPr>
            </w:pPr>
          </w:p>
        </w:tc>
        <w:tc>
          <w:tcPr>
            <w:tcW w:w="1243" w:type="dxa"/>
          </w:tcPr>
          <w:p w14:paraId="64073F96">
            <w:pPr>
              <w:pStyle w:val="227"/>
              <w:rPr>
                <w:color w:val="auto"/>
                <w:highlight w:val="none"/>
              </w:rPr>
            </w:pPr>
          </w:p>
        </w:tc>
        <w:tc>
          <w:tcPr>
            <w:tcW w:w="1450" w:type="dxa"/>
          </w:tcPr>
          <w:p w14:paraId="48AEA94A">
            <w:pPr>
              <w:pStyle w:val="227"/>
              <w:rPr>
                <w:color w:val="auto"/>
                <w:highlight w:val="none"/>
              </w:rPr>
            </w:pPr>
          </w:p>
        </w:tc>
        <w:tc>
          <w:tcPr>
            <w:tcW w:w="1564" w:type="dxa"/>
          </w:tcPr>
          <w:p w14:paraId="5713748E">
            <w:pPr>
              <w:pStyle w:val="227"/>
              <w:rPr>
                <w:color w:val="auto"/>
                <w:highlight w:val="none"/>
              </w:rPr>
            </w:pPr>
          </w:p>
        </w:tc>
      </w:tr>
      <w:tr w14:paraId="4E7D9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3EBE3A4">
            <w:pPr>
              <w:pStyle w:val="227"/>
              <w:rPr>
                <w:color w:val="auto"/>
                <w:highlight w:val="none"/>
              </w:rPr>
            </w:pPr>
          </w:p>
        </w:tc>
        <w:tc>
          <w:tcPr>
            <w:tcW w:w="1067" w:type="dxa"/>
          </w:tcPr>
          <w:p w14:paraId="788FD0C1">
            <w:pPr>
              <w:pStyle w:val="227"/>
              <w:rPr>
                <w:color w:val="auto"/>
                <w:highlight w:val="none"/>
              </w:rPr>
            </w:pPr>
          </w:p>
        </w:tc>
        <w:tc>
          <w:tcPr>
            <w:tcW w:w="1450" w:type="dxa"/>
          </w:tcPr>
          <w:p w14:paraId="37BFC032">
            <w:pPr>
              <w:pStyle w:val="227"/>
              <w:rPr>
                <w:color w:val="auto"/>
                <w:highlight w:val="none"/>
              </w:rPr>
            </w:pPr>
          </w:p>
        </w:tc>
        <w:tc>
          <w:tcPr>
            <w:tcW w:w="1243" w:type="dxa"/>
          </w:tcPr>
          <w:p w14:paraId="4E1051B9">
            <w:pPr>
              <w:pStyle w:val="227"/>
              <w:rPr>
                <w:color w:val="auto"/>
                <w:highlight w:val="none"/>
              </w:rPr>
            </w:pPr>
          </w:p>
        </w:tc>
        <w:tc>
          <w:tcPr>
            <w:tcW w:w="1450" w:type="dxa"/>
          </w:tcPr>
          <w:p w14:paraId="7FF79F06">
            <w:pPr>
              <w:pStyle w:val="227"/>
              <w:rPr>
                <w:color w:val="auto"/>
                <w:highlight w:val="none"/>
              </w:rPr>
            </w:pPr>
          </w:p>
        </w:tc>
        <w:tc>
          <w:tcPr>
            <w:tcW w:w="1564" w:type="dxa"/>
          </w:tcPr>
          <w:p w14:paraId="29559B32">
            <w:pPr>
              <w:pStyle w:val="227"/>
              <w:rPr>
                <w:color w:val="auto"/>
                <w:highlight w:val="none"/>
              </w:rPr>
            </w:pPr>
          </w:p>
        </w:tc>
      </w:tr>
      <w:tr w14:paraId="09C12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D1F7557">
            <w:pPr>
              <w:pStyle w:val="227"/>
              <w:rPr>
                <w:color w:val="auto"/>
                <w:highlight w:val="none"/>
              </w:rPr>
            </w:pPr>
          </w:p>
        </w:tc>
        <w:tc>
          <w:tcPr>
            <w:tcW w:w="1067" w:type="dxa"/>
          </w:tcPr>
          <w:p w14:paraId="7BD78765">
            <w:pPr>
              <w:pStyle w:val="227"/>
              <w:rPr>
                <w:color w:val="auto"/>
                <w:highlight w:val="none"/>
              </w:rPr>
            </w:pPr>
          </w:p>
        </w:tc>
        <w:tc>
          <w:tcPr>
            <w:tcW w:w="1450" w:type="dxa"/>
          </w:tcPr>
          <w:p w14:paraId="436FF53A">
            <w:pPr>
              <w:pStyle w:val="227"/>
              <w:rPr>
                <w:color w:val="auto"/>
                <w:highlight w:val="none"/>
              </w:rPr>
            </w:pPr>
          </w:p>
        </w:tc>
        <w:tc>
          <w:tcPr>
            <w:tcW w:w="1243" w:type="dxa"/>
          </w:tcPr>
          <w:p w14:paraId="0F77293E">
            <w:pPr>
              <w:pStyle w:val="227"/>
              <w:rPr>
                <w:color w:val="auto"/>
                <w:highlight w:val="none"/>
              </w:rPr>
            </w:pPr>
          </w:p>
        </w:tc>
        <w:tc>
          <w:tcPr>
            <w:tcW w:w="1450" w:type="dxa"/>
          </w:tcPr>
          <w:p w14:paraId="2F633D98">
            <w:pPr>
              <w:pStyle w:val="227"/>
              <w:rPr>
                <w:color w:val="auto"/>
                <w:highlight w:val="none"/>
              </w:rPr>
            </w:pPr>
          </w:p>
        </w:tc>
        <w:tc>
          <w:tcPr>
            <w:tcW w:w="1564" w:type="dxa"/>
          </w:tcPr>
          <w:p w14:paraId="6A262FE1">
            <w:pPr>
              <w:pStyle w:val="227"/>
              <w:rPr>
                <w:color w:val="auto"/>
                <w:highlight w:val="none"/>
              </w:rPr>
            </w:pPr>
          </w:p>
        </w:tc>
      </w:tr>
      <w:tr w14:paraId="5A70B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30CC3A0">
            <w:pPr>
              <w:pStyle w:val="227"/>
              <w:rPr>
                <w:color w:val="auto"/>
                <w:highlight w:val="none"/>
              </w:rPr>
            </w:pPr>
          </w:p>
        </w:tc>
        <w:tc>
          <w:tcPr>
            <w:tcW w:w="1067" w:type="dxa"/>
          </w:tcPr>
          <w:p w14:paraId="41D58C95">
            <w:pPr>
              <w:pStyle w:val="227"/>
              <w:rPr>
                <w:color w:val="auto"/>
                <w:highlight w:val="none"/>
              </w:rPr>
            </w:pPr>
          </w:p>
        </w:tc>
        <w:tc>
          <w:tcPr>
            <w:tcW w:w="1450" w:type="dxa"/>
          </w:tcPr>
          <w:p w14:paraId="3E8A8D85">
            <w:pPr>
              <w:pStyle w:val="227"/>
              <w:rPr>
                <w:color w:val="auto"/>
                <w:highlight w:val="none"/>
              </w:rPr>
            </w:pPr>
          </w:p>
        </w:tc>
        <w:tc>
          <w:tcPr>
            <w:tcW w:w="1243" w:type="dxa"/>
          </w:tcPr>
          <w:p w14:paraId="75707547">
            <w:pPr>
              <w:pStyle w:val="227"/>
              <w:rPr>
                <w:color w:val="auto"/>
                <w:highlight w:val="none"/>
              </w:rPr>
            </w:pPr>
          </w:p>
        </w:tc>
        <w:tc>
          <w:tcPr>
            <w:tcW w:w="1450" w:type="dxa"/>
          </w:tcPr>
          <w:p w14:paraId="3756D993">
            <w:pPr>
              <w:pStyle w:val="227"/>
              <w:rPr>
                <w:color w:val="auto"/>
                <w:highlight w:val="none"/>
              </w:rPr>
            </w:pPr>
          </w:p>
        </w:tc>
        <w:tc>
          <w:tcPr>
            <w:tcW w:w="1564" w:type="dxa"/>
          </w:tcPr>
          <w:p w14:paraId="36B32487">
            <w:pPr>
              <w:pStyle w:val="227"/>
              <w:rPr>
                <w:color w:val="auto"/>
                <w:highlight w:val="none"/>
              </w:rPr>
            </w:pPr>
          </w:p>
        </w:tc>
      </w:tr>
      <w:tr w14:paraId="62912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0EF2C99A">
            <w:pPr>
              <w:pStyle w:val="227"/>
              <w:rPr>
                <w:color w:val="auto"/>
                <w:highlight w:val="none"/>
              </w:rPr>
            </w:pPr>
          </w:p>
        </w:tc>
        <w:tc>
          <w:tcPr>
            <w:tcW w:w="1067" w:type="dxa"/>
            <w:tcBorders>
              <w:bottom w:val="single" w:color="auto" w:sz="12" w:space="0"/>
            </w:tcBorders>
          </w:tcPr>
          <w:p w14:paraId="09C261B6">
            <w:pPr>
              <w:pStyle w:val="227"/>
              <w:rPr>
                <w:color w:val="auto"/>
                <w:highlight w:val="none"/>
              </w:rPr>
            </w:pPr>
          </w:p>
        </w:tc>
        <w:tc>
          <w:tcPr>
            <w:tcW w:w="1450" w:type="dxa"/>
            <w:tcBorders>
              <w:bottom w:val="single" w:color="auto" w:sz="12" w:space="0"/>
            </w:tcBorders>
          </w:tcPr>
          <w:p w14:paraId="1AF70772">
            <w:pPr>
              <w:pStyle w:val="227"/>
              <w:rPr>
                <w:color w:val="auto"/>
                <w:highlight w:val="none"/>
              </w:rPr>
            </w:pPr>
          </w:p>
        </w:tc>
        <w:tc>
          <w:tcPr>
            <w:tcW w:w="1243" w:type="dxa"/>
            <w:tcBorders>
              <w:bottom w:val="single" w:color="auto" w:sz="12" w:space="0"/>
            </w:tcBorders>
          </w:tcPr>
          <w:p w14:paraId="1A6B23C0">
            <w:pPr>
              <w:pStyle w:val="227"/>
              <w:rPr>
                <w:color w:val="auto"/>
                <w:highlight w:val="none"/>
              </w:rPr>
            </w:pPr>
          </w:p>
        </w:tc>
        <w:tc>
          <w:tcPr>
            <w:tcW w:w="1450" w:type="dxa"/>
            <w:tcBorders>
              <w:bottom w:val="single" w:color="auto" w:sz="12" w:space="0"/>
            </w:tcBorders>
          </w:tcPr>
          <w:p w14:paraId="53444304">
            <w:pPr>
              <w:pStyle w:val="227"/>
              <w:rPr>
                <w:color w:val="auto"/>
                <w:highlight w:val="none"/>
              </w:rPr>
            </w:pPr>
          </w:p>
        </w:tc>
        <w:tc>
          <w:tcPr>
            <w:tcW w:w="1564" w:type="dxa"/>
            <w:tcBorders>
              <w:bottom w:val="single" w:color="auto" w:sz="12" w:space="0"/>
            </w:tcBorders>
          </w:tcPr>
          <w:p w14:paraId="7F70AF30">
            <w:pPr>
              <w:pStyle w:val="227"/>
              <w:rPr>
                <w:color w:val="auto"/>
                <w:highlight w:val="none"/>
              </w:rPr>
            </w:pPr>
          </w:p>
        </w:tc>
      </w:tr>
    </w:tbl>
    <w:p w14:paraId="0969EABF">
      <w:pPr>
        <w:pStyle w:val="227"/>
        <w:rPr>
          <w:color w:val="auto"/>
          <w:highlight w:val="none"/>
        </w:rPr>
      </w:pPr>
    </w:p>
    <w:p w14:paraId="68373A15">
      <w:pPr>
        <w:pStyle w:val="227"/>
        <w:rPr>
          <w:color w:val="auto"/>
          <w:highlight w:val="none"/>
        </w:rPr>
      </w:pPr>
    </w:p>
    <w:p w14:paraId="7DCAAC13">
      <w:pPr>
        <w:pStyle w:val="227"/>
        <w:rPr>
          <w:color w:val="auto"/>
          <w:highlight w:val="none"/>
        </w:rPr>
      </w:pPr>
    </w:p>
    <w:p w14:paraId="34ED9CA2">
      <w:pPr>
        <w:pStyle w:val="227"/>
        <w:rPr>
          <w:color w:val="auto"/>
          <w:highlight w:val="none"/>
        </w:rPr>
      </w:pPr>
    </w:p>
    <w:p w14:paraId="4A8AC52F">
      <w:pPr>
        <w:pStyle w:val="227"/>
        <w:rPr>
          <w:color w:val="auto"/>
          <w:highlight w:val="none"/>
        </w:rPr>
      </w:pPr>
      <w:r>
        <w:rPr>
          <w:rFonts w:hint="eastAsia"/>
          <w:color w:val="auto"/>
          <w:highlight w:val="none"/>
        </w:rPr>
        <w:t>附件6：</w:t>
      </w:r>
    </w:p>
    <w:p w14:paraId="58A59CB9">
      <w:pPr>
        <w:pStyle w:val="227"/>
        <w:ind w:firstLine="562"/>
        <w:jc w:val="center"/>
        <w:rPr>
          <w:b/>
          <w:bCs/>
          <w:color w:val="auto"/>
          <w:sz w:val="28"/>
          <w:szCs w:val="28"/>
          <w:highlight w:val="none"/>
        </w:rPr>
      </w:pPr>
      <w:r>
        <w:rPr>
          <w:rFonts w:hint="eastAsia"/>
          <w:b/>
          <w:bCs/>
          <w:color w:val="auto"/>
          <w:sz w:val="28"/>
          <w:szCs w:val="28"/>
          <w:highlight w:val="none"/>
        </w:rPr>
        <w:t>承包人用于本工程施工的机械设备表</w:t>
      </w:r>
    </w:p>
    <w:tbl>
      <w:tblPr>
        <w:tblStyle w:val="45"/>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85" w:type="dxa"/>
          <w:bottom w:w="0" w:type="dxa"/>
          <w:right w:w="85" w:type="dxa"/>
        </w:tblCellMar>
      </w:tblPr>
      <w:tblGrid>
        <w:gridCol w:w="615"/>
        <w:gridCol w:w="2031"/>
        <w:gridCol w:w="1280"/>
        <w:gridCol w:w="654"/>
        <w:gridCol w:w="735"/>
        <w:gridCol w:w="813"/>
        <w:gridCol w:w="1042"/>
        <w:gridCol w:w="743"/>
        <w:gridCol w:w="1073"/>
        <w:gridCol w:w="712"/>
      </w:tblGrid>
      <w:tr w14:paraId="4276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90"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9F7F629">
            <w:pPr>
              <w:jc w:val="center"/>
              <w:rPr>
                <w:color w:val="auto"/>
                <w:highlight w:val="none"/>
              </w:rPr>
            </w:pPr>
            <w:r>
              <w:rPr>
                <w:rFonts w:hint="eastAsia"/>
                <w:color w:val="auto"/>
                <w:highlight w:val="none"/>
              </w:rPr>
              <w:t>序号</w:t>
            </w:r>
          </w:p>
        </w:tc>
        <w:tc>
          <w:tcPr>
            <w:tcW w:w="1046" w:type="pct"/>
            <w:tcBorders>
              <w:top w:val="single" w:color="000000" w:sz="6" w:space="0"/>
              <w:left w:val="nil"/>
              <w:bottom w:val="single" w:color="000000" w:sz="6" w:space="0"/>
              <w:right w:val="single" w:color="000000" w:sz="6" w:space="0"/>
            </w:tcBorders>
            <w:vAlign w:val="center"/>
          </w:tcPr>
          <w:p w14:paraId="3E65B0E2">
            <w:pPr>
              <w:jc w:val="center"/>
              <w:rPr>
                <w:color w:val="auto"/>
                <w:highlight w:val="none"/>
              </w:rPr>
            </w:pPr>
            <w:r>
              <w:rPr>
                <w:rFonts w:hint="eastAsia"/>
                <w:color w:val="auto"/>
                <w:highlight w:val="none"/>
              </w:rPr>
              <w:t>机械或设备名称</w:t>
            </w:r>
          </w:p>
        </w:tc>
        <w:tc>
          <w:tcPr>
            <w:tcW w:w="659" w:type="pct"/>
            <w:tcBorders>
              <w:top w:val="single" w:color="000000" w:sz="6" w:space="0"/>
              <w:left w:val="nil"/>
              <w:bottom w:val="single" w:color="000000" w:sz="6" w:space="0"/>
              <w:right w:val="single" w:color="000000" w:sz="6" w:space="0"/>
            </w:tcBorders>
            <w:vAlign w:val="center"/>
          </w:tcPr>
          <w:p w14:paraId="1C81330A">
            <w:pPr>
              <w:jc w:val="center"/>
              <w:rPr>
                <w:color w:val="auto"/>
                <w:highlight w:val="none"/>
              </w:rPr>
            </w:pPr>
            <w:r>
              <w:rPr>
                <w:rFonts w:hint="eastAsia"/>
                <w:color w:val="auto"/>
                <w:highlight w:val="none"/>
              </w:rPr>
              <w:t>型号规格</w:t>
            </w:r>
          </w:p>
        </w:tc>
        <w:tc>
          <w:tcPr>
            <w:tcW w:w="337" w:type="pct"/>
            <w:tcBorders>
              <w:top w:val="single" w:color="000000" w:sz="6" w:space="0"/>
              <w:left w:val="nil"/>
              <w:bottom w:val="single" w:color="000000" w:sz="6" w:space="0"/>
              <w:right w:val="single" w:color="000000" w:sz="6" w:space="0"/>
            </w:tcBorders>
            <w:vAlign w:val="center"/>
          </w:tcPr>
          <w:p w14:paraId="6DB721E6">
            <w:pPr>
              <w:jc w:val="center"/>
              <w:rPr>
                <w:color w:val="auto"/>
                <w:highlight w:val="none"/>
              </w:rPr>
            </w:pPr>
            <w:r>
              <w:rPr>
                <w:rFonts w:hint="eastAsia"/>
                <w:color w:val="auto"/>
                <w:highlight w:val="none"/>
              </w:rPr>
              <w:t>数量</w:t>
            </w:r>
          </w:p>
        </w:tc>
        <w:tc>
          <w:tcPr>
            <w:tcW w:w="379" w:type="pct"/>
            <w:tcBorders>
              <w:top w:val="single" w:color="000000" w:sz="6" w:space="0"/>
              <w:left w:val="nil"/>
              <w:bottom w:val="single" w:color="000000" w:sz="6" w:space="0"/>
              <w:right w:val="single" w:color="000000" w:sz="6" w:space="0"/>
            </w:tcBorders>
            <w:vAlign w:val="center"/>
          </w:tcPr>
          <w:p w14:paraId="55A7F863">
            <w:pPr>
              <w:jc w:val="center"/>
              <w:rPr>
                <w:color w:val="auto"/>
                <w:highlight w:val="none"/>
              </w:rPr>
            </w:pPr>
            <w:r>
              <w:rPr>
                <w:rFonts w:hint="eastAsia"/>
                <w:color w:val="auto"/>
                <w:highlight w:val="none"/>
              </w:rPr>
              <w:t>国别</w:t>
            </w:r>
          </w:p>
          <w:p w14:paraId="5F98AA7E">
            <w:pPr>
              <w:jc w:val="center"/>
              <w:rPr>
                <w:color w:val="auto"/>
                <w:highlight w:val="none"/>
              </w:rPr>
            </w:pPr>
            <w:r>
              <w:rPr>
                <w:rFonts w:hint="eastAsia"/>
                <w:color w:val="auto"/>
                <w:highlight w:val="none"/>
              </w:rPr>
              <w:t>产地</w:t>
            </w:r>
          </w:p>
        </w:tc>
        <w:tc>
          <w:tcPr>
            <w:tcW w:w="419" w:type="pct"/>
            <w:tcBorders>
              <w:top w:val="single" w:color="000000" w:sz="6" w:space="0"/>
              <w:left w:val="nil"/>
              <w:bottom w:val="single" w:color="000000" w:sz="6" w:space="0"/>
              <w:right w:val="single" w:color="000000" w:sz="6" w:space="0"/>
            </w:tcBorders>
            <w:vAlign w:val="center"/>
          </w:tcPr>
          <w:p w14:paraId="5228D0D3">
            <w:pPr>
              <w:jc w:val="center"/>
              <w:rPr>
                <w:color w:val="auto"/>
                <w:highlight w:val="none"/>
              </w:rPr>
            </w:pPr>
            <w:r>
              <w:rPr>
                <w:rFonts w:hint="eastAsia"/>
                <w:color w:val="auto"/>
                <w:highlight w:val="none"/>
              </w:rPr>
              <w:t>制造</w:t>
            </w:r>
          </w:p>
          <w:p w14:paraId="16464E5D">
            <w:pPr>
              <w:jc w:val="center"/>
              <w:rPr>
                <w:color w:val="auto"/>
                <w:highlight w:val="none"/>
              </w:rPr>
            </w:pPr>
            <w:r>
              <w:rPr>
                <w:rFonts w:hint="eastAsia"/>
                <w:color w:val="auto"/>
                <w:highlight w:val="none"/>
              </w:rPr>
              <w:t>年份</w:t>
            </w:r>
          </w:p>
        </w:tc>
        <w:tc>
          <w:tcPr>
            <w:tcW w:w="536" w:type="pct"/>
            <w:tcBorders>
              <w:top w:val="single" w:color="000000" w:sz="6" w:space="0"/>
              <w:left w:val="nil"/>
              <w:bottom w:val="single" w:color="000000" w:sz="6" w:space="0"/>
              <w:right w:val="single" w:color="000000" w:sz="6" w:space="0"/>
            </w:tcBorders>
            <w:vAlign w:val="center"/>
          </w:tcPr>
          <w:p w14:paraId="41BB24BB">
            <w:pPr>
              <w:jc w:val="center"/>
              <w:rPr>
                <w:color w:val="auto"/>
                <w:highlight w:val="none"/>
              </w:rPr>
            </w:pPr>
            <w:r>
              <w:rPr>
                <w:rFonts w:hint="eastAsia"/>
                <w:color w:val="auto"/>
                <w:highlight w:val="none"/>
              </w:rPr>
              <w:t>额定功率（KW）</w:t>
            </w:r>
          </w:p>
        </w:tc>
        <w:tc>
          <w:tcPr>
            <w:tcW w:w="383" w:type="pct"/>
            <w:tcBorders>
              <w:top w:val="single" w:color="000000" w:sz="6" w:space="0"/>
              <w:left w:val="nil"/>
              <w:bottom w:val="single" w:color="000000" w:sz="6" w:space="0"/>
              <w:right w:val="single" w:color="000000" w:sz="6" w:space="0"/>
            </w:tcBorders>
            <w:vAlign w:val="center"/>
          </w:tcPr>
          <w:p w14:paraId="0B93B7D8">
            <w:pPr>
              <w:jc w:val="center"/>
              <w:rPr>
                <w:color w:val="auto"/>
                <w:highlight w:val="none"/>
              </w:rPr>
            </w:pPr>
            <w:r>
              <w:rPr>
                <w:rFonts w:hint="eastAsia"/>
                <w:color w:val="auto"/>
                <w:highlight w:val="none"/>
              </w:rPr>
              <w:t>生产</w:t>
            </w:r>
          </w:p>
          <w:p w14:paraId="199E6946">
            <w:pPr>
              <w:jc w:val="center"/>
              <w:rPr>
                <w:color w:val="auto"/>
                <w:highlight w:val="none"/>
              </w:rPr>
            </w:pPr>
            <w:r>
              <w:rPr>
                <w:rFonts w:hint="eastAsia"/>
                <w:color w:val="auto"/>
                <w:highlight w:val="none"/>
              </w:rPr>
              <w:t>能力</w:t>
            </w:r>
          </w:p>
        </w:tc>
        <w:tc>
          <w:tcPr>
            <w:tcW w:w="552" w:type="pct"/>
            <w:tcBorders>
              <w:top w:val="single" w:color="000000" w:sz="6" w:space="0"/>
              <w:left w:val="nil"/>
              <w:bottom w:val="single" w:color="000000" w:sz="6" w:space="0"/>
              <w:right w:val="single" w:color="000000" w:sz="6" w:space="0"/>
            </w:tcBorders>
            <w:vAlign w:val="center"/>
          </w:tcPr>
          <w:p w14:paraId="5B1FC95C">
            <w:pPr>
              <w:jc w:val="center"/>
              <w:rPr>
                <w:color w:val="auto"/>
                <w:highlight w:val="none"/>
              </w:rPr>
            </w:pPr>
            <w:r>
              <w:rPr>
                <w:rFonts w:hint="eastAsia"/>
                <w:color w:val="auto"/>
                <w:highlight w:val="none"/>
              </w:rPr>
              <w:t>用于施工部位</w:t>
            </w:r>
          </w:p>
        </w:tc>
        <w:tc>
          <w:tcPr>
            <w:tcW w:w="367" w:type="pct"/>
            <w:tcBorders>
              <w:top w:val="single" w:color="000000" w:sz="6" w:space="0"/>
              <w:left w:val="nil"/>
              <w:bottom w:val="single" w:color="000000" w:sz="6" w:space="0"/>
              <w:right w:val="single" w:color="000000" w:sz="6" w:space="0"/>
            </w:tcBorders>
            <w:vAlign w:val="center"/>
          </w:tcPr>
          <w:p w14:paraId="656B6FF5">
            <w:pPr>
              <w:jc w:val="center"/>
              <w:rPr>
                <w:color w:val="auto"/>
                <w:highlight w:val="none"/>
              </w:rPr>
            </w:pPr>
            <w:r>
              <w:rPr>
                <w:rFonts w:hint="eastAsia"/>
                <w:color w:val="auto"/>
                <w:highlight w:val="none"/>
              </w:rPr>
              <w:t>备注</w:t>
            </w:r>
          </w:p>
        </w:tc>
      </w:tr>
      <w:tr w14:paraId="38FE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6033FCC">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536CC338">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C8694A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7E1EA08">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32216124">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4926017">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2BF2B9D">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A097893">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04654A13">
            <w:pPr>
              <w:rPr>
                <w:color w:val="auto"/>
                <w:highlight w:val="none"/>
              </w:rPr>
            </w:pPr>
          </w:p>
          <w:p w14:paraId="10ACA74E">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7BB0862">
            <w:pPr>
              <w:rPr>
                <w:color w:val="auto"/>
                <w:highlight w:val="none"/>
              </w:rPr>
            </w:pPr>
          </w:p>
        </w:tc>
      </w:tr>
      <w:tr w14:paraId="0D31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F655935">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3B52ABA3">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561507B">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442E7EB">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778A797">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6A0D0C9F">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055F8778">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460213E">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C0DEAEC">
            <w:pPr>
              <w:rPr>
                <w:color w:val="auto"/>
                <w:highlight w:val="none"/>
              </w:rPr>
            </w:pPr>
          </w:p>
          <w:p w14:paraId="20C9605D">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3991B85F">
            <w:pPr>
              <w:rPr>
                <w:color w:val="auto"/>
                <w:highlight w:val="none"/>
              </w:rPr>
            </w:pPr>
          </w:p>
        </w:tc>
      </w:tr>
      <w:tr w14:paraId="1168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1A7BF94">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18455DA">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148FF76">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01D8EF9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0ADC39EA">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0F535C8A">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07E006F5">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483E253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4EA6948B">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AD46BD7">
            <w:pPr>
              <w:rPr>
                <w:color w:val="auto"/>
                <w:highlight w:val="none"/>
              </w:rPr>
            </w:pPr>
          </w:p>
        </w:tc>
      </w:tr>
      <w:tr w14:paraId="2BBA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6986A72">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3E91612D">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09EB379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1448BD8">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61268835">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43BD015">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CCED8C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6CF0BB2">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7EC9F37F">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AB499D6">
            <w:pPr>
              <w:rPr>
                <w:color w:val="auto"/>
                <w:highlight w:val="none"/>
              </w:rPr>
            </w:pPr>
          </w:p>
        </w:tc>
      </w:tr>
      <w:tr w14:paraId="7337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758BBE2">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34ACFAB9">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78972BE9">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6DAB9C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59752CF">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08BEB12B">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A83C6A9">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7FD5C070">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EFF234F">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21DEDBC">
            <w:pPr>
              <w:rPr>
                <w:color w:val="auto"/>
                <w:highlight w:val="none"/>
              </w:rPr>
            </w:pPr>
          </w:p>
        </w:tc>
      </w:tr>
      <w:tr w14:paraId="412F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4F489486">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944AC12">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3BA0EFCE">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693DE4A5">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4306DE5">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27AF8A3">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7BA8302">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1546759">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237BC6A">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54F855F">
            <w:pPr>
              <w:rPr>
                <w:color w:val="auto"/>
                <w:highlight w:val="none"/>
              </w:rPr>
            </w:pPr>
          </w:p>
        </w:tc>
      </w:tr>
      <w:tr w14:paraId="2091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34408CF6">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7A0EF334">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76D9FBB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0FE3BC7B">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E5C1B74">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77ED8A2">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2786811">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6B34E9C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5254C1E">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6820C50">
            <w:pPr>
              <w:rPr>
                <w:color w:val="auto"/>
                <w:highlight w:val="none"/>
              </w:rPr>
            </w:pPr>
          </w:p>
        </w:tc>
      </w:tr>
      <w:tr w14:paraId="68A7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CE4CAF8">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2BD31807">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30F2358F">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76FFBCD">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4F817234">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73052270">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29FA9563">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9D6E79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2B25854C">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187771AD">
            <w:pPr>
              <w:rPr>
                <w:color w:val="auto"/>
                <w:highlight w:val="none"/>
              </w:rPr>
            </w:pPr>
          </w:p>
        </w:tc>
      </w:tr>
      <w:tr w14:paraId="503B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CAC360A">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50F9B20C">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3BCC01BC">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07C93AEF">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6718EAE">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2D0097D">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A1220CA">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01F3602A">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414900F">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6B4E03B8">
            <w:pPr>
              <w:rPr>
                <w:color w:val="auto"/>
                <w:highlight w:val="none"/>
              </w:rPr>
            </w:pPr>
          </w:p>
        </w:tc>
      </w:tr>
      <w:tr w14:paraId="313C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0017B3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467B30A">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38DD92BA">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9A7B181">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68A0E0A">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724ABD43">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2E7F9F9">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40CFC07C">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6C8745E">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39DE07BE">
            <w:pPr>
              <w:rPr>
                <w:color w:val="auto"/>
                <w:highlight w:val="none"/>
              </w:rPr>
            </w:pPr>
          </w:p>
        </w:tc>
      </w:tr>
      <w:tr w14:paraId="4B68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D96B091">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ED4DE9E">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D5AB489">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0E734D10">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E9F54B2">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06C312E">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0D071430">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1B0D2CB">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702A362E">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DBEA557">
            <w:pPr>
              <w:rPr>
                <w:color w:val="auto"/>
                <w:highlight w:val="none"/>
              </w:rPr>
            </w:pPr>
          </w:p>
        </w:tc>
      </w:tr>
      <w:tr w14:paraId="1458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4F4A129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64C7C6FC">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D94693A">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3E4508D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4DC9F7B">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724D453B">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9AA86FC">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08D4CEAD">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40DB855E">
            <w:pPr>
              <w:rPr>
                <w:color w:val="auto"/>
                <w:highlight w:val="none"/>
              </w:rPr>
            </w:pPr>
          </w:p>
          <w:p w14:paraId="71417D3D">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05A3F55">
            <w:pPr>
              <w:rPr>
                <w:color w:val="auto"/>
                <w:highlight w:val="none"/>
              </w:rPr>
            </w:pPr>
          </w:p>
        </w:tc>
      </w:tr>
      <w:tr w14:paraId="0504D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18013C7">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5014DDF">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5E57B45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4B2D44A7">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7ECE1F1">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1A14DA1">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4400788">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A0B29C3">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BAC96F8">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149690D3">
            <w:pPr>
              <w:rPr>
                <w:color w:val="auto"/>
                <w:highlight w:val="none"/>
              </w:rPr>
            </w:pPr>
          </w:p>
        </w:tc>
      </w:tr>
      <w:tr w14:paraId="650B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E69F658">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85F1FA2">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667F49E">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7030D251">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7695DA32">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39737142">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CCC43E2">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9DFB2C1">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A575EB1">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BE36A74">
            <w:pPr>
              <w:rPr>
                <w:color w:val="auto"/>
                <w:highlight w:val="none"/>
              </w:rPr>
            </w:pPr>
          </w:p>
        </w:tc>
      </w:tr>
      <w:tr w14:paraId="28F9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625D310">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7B248038">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04271F5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313CE53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DDA1034">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0D5C4265">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1EA1BDC8">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05A6AAED">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D055104">
            <w:pPr>
              <w:rPr>
                <w:color w:val="auto"/>
                <w:highlight w:val="none"/>
              </w:rPr>
            </w:pPr>
          </w:p>
          <w:p w14:paraId="7E397DAB">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50F009E">
            <w:pPr>
              <w:rPr>
                <w:color w:val="auto"/>
                <w:highlight w:val="none"/>
              </w:rPr>
            </w:pPr>
          </w:p>
        </w:tc>
      </w:tr>
      <w:tr w14:paraId="16891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70ED2E0">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3D9E598">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57EB22ED">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EB02E59">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8FB6608">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68764E2">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37C38C5">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65DEB5E4">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14B79F67">
            <w:pPr>
              <w:rPr>
                <w:color w:val="auto"/>
                <w:highlight w:val="none"/>
              </w:rPr>
            </w:pPr>
          </w:p>
          <w:p w14:paraId="5BD0C80F">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39733A82">
            <w:pPr>
              <w:rPr>
                <w:color w:val="auto"/>
                <w:highlight w:val="none"/>
              </w:rPr>
            </w:pPr>
          </w:p>
        </w:tc>
      </w:tr>
      <w:tr w14:paraId="35A9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8319060">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74A1E5E8">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769C5257">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322154FD">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D64820B">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6479518">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0BD0375">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516F9A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75F3EB58">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B598628">
            <w:pPr>
              <w:rPr>
                <w:color w:val="auto"/>
                <w:highlight w:val="none"/>
              </w:rPr>
            </w:pPr>
          </w:p>
        </w:tc>
      </w:tr>
      <w:tr w14:paraId="5154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803D63F">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7598AF1B">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E67041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79E10DFC">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12E8A3E">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EA8C190">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F0F1C67">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14E4DD4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C1D529D">
            <w:pPr>
              <w:rPr>
                <w:color w:val="auto"/>
                <w:highlight w:val="none"/>
              </w:rPr>
            </w:pPr>
          </w:p>
          <w:p w14:paraId="135E139E">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16A4B22">
            <w:pPr>
              <w:rPr>
                <w:color w:val="auto"/>
                <w:highlight w:val="none"/>
              </w:rPr>
            </w:pPr>
          </w:p>
        </w:tc>
      </w:tr>
      <w:tr w14:paraId="4B6C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639F1CD5">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6ECB9AC0">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744AD812">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1C2B44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40BD6A67">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EDCF166">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7B0FE031">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091491E">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1250EA58">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FBE8D7A">
            <w:pPr>
              <w:rPr>
                <w:color w:val="auto"/>
                <w:highlight w:val="none"/>
              </w:rPr>
            </w:pPr>
          </w:p>
        </w:tc>
      </w:tr>
      <w:tr w14:paraId="6EFC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14D68502">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2B1C98A5">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0B883FB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8CA37A3">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498EE306">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FF66EBE">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76E29E17">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14945938">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3ECE1B5">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38A5C0F0">
            <w:pPr>
              <w:rPr>
                <w:color w:val="auto"/>
                <w:highlight w:val="none"/>
              </w:rPr>
            </w:pPr>
          </w:p>
        </w:tc>
      </w:tr>
    </w:tbl>
    <w:p w14:paraId="0FE60109">
      <w:pPr>
        <w:pStyle w:val="227"/>
        <w:rPr>
          <w:color w:val="auto"/>
          <w:highlight w:val="none"/>
        </w:rPr>
      </w:pPr>
    </w:p>
    <w:p w14:paraId="6EDD56BA">
      <w:pPr>
        <w:pStyle w:val="227"/>
        <w:rPr>
          <w:color w:val="auto"/>
          <w:highlight w:val="none"/>
        </w:rPr>
        <w:sectPr>
          <w:pgSz w:w="11906" w:h="16838"/>
          <w:pgMar w:top="935" w:right="1106" w:bottom="1440" w:left="1260" w:header="851" w:footer="992" w:gutter="0"/>
          <w:cols w:space="720" w:num="1"/>
          <w:docGrid w:type="lines" w:linePitch="312" w:charSpace="0"/>
        </w:sectPr>
      </w:pPr>
    </w:p>
    <w:p w14:paraId="3D31EBBF">
      <w:pPr>
        <w:pStyle w:val="227"/>
        <w:rPr>
          <w:color w:val="auto"/>
          <w:highlight w:val="none"/>
        </w:rPr>
      </w:pPr>
      <w:r>
        <w:rPr>
          <w:rFonts w:hint="eastAsia"/>
          <w:color w:val="auto"/>
          <w:highlight w:val="none"/>
        </w:rPr>
        <w:t>附件7：</w:t>
      </w:r>
    </w:p>
    <w:p w14:paraId="7596400B">
      <w:pPr>
        <w:pStyle w:val="227"/>
        <w:ind w:firstLine="562"/>
        <w:jc w:val="center"/>
        <w:rPr>
          <w:b/>
          <w:bCs/>
          <w:color w:val="auto"/>
          <w:sz w:val="28"/>
          <w:szCs w:val="28"/>
          <w:highlight w:val="none"/>
        </w:rPr>
      </w:pPr>
      <w:r>
        <w:rPr>
          <w:rFonts w:hint="eastAsia"/>
          <w:b/>
          <w:bCs/>
          <w:color w:val="auto"/>
          <w:sz w:val="28"/>
          <w:szCs w:val="28"/>
          <w:highlight w:val="none"/>
        </w:rPr>
        <w:t>广西壮族自治区建设工程安全文明施工措施项目清单内容</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145B5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left w:val="single" w:color="auto" w:sz="12" w:space="0"/>
              <w:bottom w:val="single" w:color="auto" w:sz="4" w:space="0"/>
              <w:right w:val="single" w:color="auto" w:sz="4" w:space="0"/>
            </w:tcBorders>
            <w:vAlign w:val="center"/>
          </w:tcPr>
          <w:p w14:paraId="4A4D2D82">
            <w:pPr>
              <w:pStyle w:val="227"/>
              <w:ind w:firstLine="0" w:firstLineChars="0"/>
              <w:jc w:val="center"/>
              <w:rPr>
                <w:color w:val="auto"/>
                <w:szCs w:val="24"/>
                <w:highlight w:val="none"/>
              </w:rPr>
            </w:pPr>
            <w:r>
              <w:rPr>
                <w:rFonts w:hint="eastAsia"/>
                <w:color w:val="auto"/>
                <w:highlight w:val="none"/>
              </w:rPr>
              <w:t>类别</w:t>
            </w:r>
          </w:p>
        </w:tc>
        <w:tc>
          <w:tcPr>
            <w:tcW w:w="2070" w:type="dxa"/>
            <w:gridSpan w:val="2"/>
            <w:tcBorders>
              <w:top w:val="single" w:color="auto" w:sz="12" w:space="0"/>
              <w:left w:val="single" w:color="auto" w:sz="4" w:space="0"/>
              <w:bottom w:val="single" w:color="auto" w:sz="4" w:space="0"/>
              <w:right w:val="single" w:color="auto" w:sz="4" w:space="0"/>
            </w:tcBorders>
            <w:vAlign w:val="center"/>
          </w:tcPr>
          <w:p w14:paraId="701A7A47">
            <w:pPr>
              <w:pStyle w:val="227"/>
              <w:ind w:firstLine="0" w:firstLineChars="0"/>
              <w:jc w:val="center"/>
              <w:rPr>
                <w:color w:val="auto"/>
                <w:szCs w:val="24"/>
                <w:highlight w:val="none"/>
              </w:rPr>
            </w:pPr>
            <w:r>
              <w:rPr>
                <w:rFonts w:hint="eastAsia"/>
                <w:color w:val="auto"/>
                <w:highlight w:val="none"/>
              </w:rPr>
              <w:t>项目名称</w:t>
            </w:r>
          </w:p>
        </w:tc>
        <w:tc>
          <w:tcPr>
            <w:tcW w:w="6645" w:type="dxa"/>
            <w:tcBorders>
              <w:top w:val="single" w:color="auto" w:sz="12" w:space="0"/>
              <w:left w:val="single" w:color="auto" w:sz="4" w:space="0"/>
              <w:bottom w:val="single" w:color="auto" w:sz="4" w:space="0"/>
              <w:right w:val="single" w:color="auto" w:sz="12" w:space="0"/>
            </w:tcBorders>
            <w:vAlign w:val="center"/>
          </w:tcPr>
          <w:p w14:paraId="19D356A1">
            <w:pPr>
              <w:pStyle w:val="227"/>
              <w:ind w:firstLine="0" w:firstLineChars="0"/>
              <w:rPr>
                <w:color w:val="auto"/>
                <w:szCs w:val="24"/>
                <w:highlight w:val="none"/>
              </w:rPr>
            </w:pPr>
            <w:r>
              <w:rPr>
                <w:rFonts w:hint="eastAsia"/>
                <w:color w:val="auto"/>
                <w:highlight w:val="none"/>
              </w:rPr>
              <w:t>主要内容和要求</w:t>
            </w:r>
          </w:p>
        </w:tc>
      </w:tr>
      <w:tr w14:paraId="31B55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154ED8CE">
            <w:pPr>
              <w:pStyle w:val="227"/>
              <w:ind w:firstLine="0" w:firstLineChars="0"/>
              <w:jc w:val="center"/>
              <w:rPr>
                <w:color w:val="auto"/>
                <w:highlight w:val="none"/>
              </w:rPr>
            </w:pPr>
            <w:r>
              <w:rPr>
                <w:rFonts w:hint="eastAsia"/>
                <w:color w:val="auto"/>
                <w:highlight w:val="none"/>
              </w:rPr>
              <w:t>文明施工与环境保护</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4549952">
            <w:pPr>
              <w:pStyle w:val="227"/>
              <w:ind w:firstLine="0" w:firstLineChars="0"/>
              <w:jc w:val="center"/>
              <w:rPr>
                <w:color w:val="auto"/>
                <w:highlight w:val="none"/>
              </w:rPr>
            </w:pPr>
            <w:r>
              <w:rPr>
                <w:rFonts w:hint="eastAsia"/>
                <w:color w:val="auto"/>
                <w:highlight w:val="none"/>
              </w:rPr>
              <w:t>安全警示标志牌</w:t>
            </w:r>
          </w:p>
        </w:tc>
        <w:tc>
          <w:tcPr>
            <w:tcW w:w="6645" w:type="dxa"/>
            <w:tcBorders>
              <w:top w:val="single" w:color="auto" w:sz="4" w:space="0"/>
              <w:left w:val="single" w:color="auto" w:sz="4" w:space="0"/>
              <w:bottom w:val="single" w:color="auto" w:sz="4" w:space="0"/>
              <w:right w:val="single" w:color="auto" w:sz="12" w:space="0"/>
            </w:tcBorders>
            <w:vAlign w:val="center"/>
          </w:tcPr>
          <w:p w14:paraId="1D8AA414">
            <w:pPr>
              <w:pStyle w:val="227"/>
              <w:ind w:firstLine="0" w:firstLineChars="0"/>
              <w:rPr>
                <w:color w:val="auto"/>
                <w:highlight w:val="none"/>
              </w:rPr>
            </w:pPr>
            <w:r>
              <w:rPr>
                <w:rFonts w:hint="eastAsia"/>
                <w:color w:val="auto"/>
                <w:highlight w:val="none"/>
              </w:rPr>
              <w:t>在易发伤亡事故（或危险）处设置明显的、符合国家标准要求的安全警示标志牌。</w:t>
            </w:r>
          </w:p>
        </w:tc>
      </w:tr>
      <w:tr w14:paraId="148E2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4B734C6">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E1BC67C">
            <w:pPr>
              <w:pStyle w:val="227"/>
              <w:ind w:firstLine="0" w:firstLineChars="0"/>
              <w:jc w:val="center"/>
              <w:rPr>
                <w:color w:val="auto"/>
                <w:highlight w:val="none"/>
              </w:rPr>
            </w:pPr>
            <w:r>
              <w:rPr>
                <w:rFonts w:hint="eastAsia"/>
                <w:color w:val="auto"/>
                <w:highlight w:val="none"/>
              </w:rPr>
              <w:t>现场围挡</w:t>
            </w:r>
          </w:p>
        </w:tc>
        <w:tc>
          <w:tcPr>
            <w:tcW w:w="6645" w:type="dxa"/>
            <w:tcBorders>
              <w:top w:val="single" w:color="auto" w:sz="4" w:space="0"/>
              <w:left w:val="single" w:color="auto" w:sz="4" w:space="0"/>
              <w:bottom w:val="single" w:color="auto" w:sz="4" w:space="0"/>
              <w:right w:val="single" w:color="auto" w:sz="12" w:space="0"/>
            </w:tcBorders>
            <w:vAlign w:val="center"/>
          </w:tcPr>
          <w:p w14:paraId="0A15C56F">
            <w:pPr>
              <w:pStyle w:val="227"/>
              <w:ind w:firstLine="0" w:firstLineChars="0"/>
              <w:rPr>
                <w:color w:val="auto"/>
                <w:highlight w:val="none"/>
              </w:rPr>
            </w:pPr>
            <w:r>
              <w:rPr>
                <w:rFonts w:hint="eastAsia"/>
                <w:color w:val="auto"/>
                <w:highlight w:val="none"/>
              </w:rPr>
              <w:t>1. 现场采用封闭围挡，高度不小于1.8m。</w:t>
            </w:r>
          </w:p>
          <w:p w14:paraId="14EA76D6">
            <w:pPr>
              <w:pStyle w:val="227"/>
              <w:ind w:firstLine="0" w:firstLineChars="0"/>
              <w:rPr>
                <w:color w:val="auto"/>
                <w:highlight w:val="none"/>
              </w:rPr>
            </w:pPr>
            <w:r>
              <w:rPr>
                <w:rFonts w:hint="eastAsia"/>
                <w:color w:val="auto"/>
                <w:highlight w:val="none"/>
              </w:rPr>
              <w:t>2. 围挡材料可用彩色、定型钢板，砌块等墙体。</w:t>
            </w:r>
          </w:p>
        </w:tc>
      </w:tr>
      <w:tr w14:paraId="50FD7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3CDF578">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3AFDCFA">
            <w:pPr>
              <w:pStyle w:val="227"/>
              <w:ind w:firstLine="0" w:firstLineChars="0"/>
              <w:jc w:val="center"/>
              <w:rPr>
                <w:color w:val="auto"/>
                <w:highlight w:val="none"/>
              </w:rPr>
            </w:pPr>
            <w:r>
              <w:rPr>
                <w:rFonts w:hint="eastAsia"/>
                <w:color w:val="auto"/>
                <w:highlight w:val="none"/>
              </w:rPr>
              <w:t>七牌二图</w:t>
            </w:r>
          </w:p>
        </w:tc>
        <w:tc>
          <w:tcPr>
            <w:tcW w:w="6645" w:type="dxa"/>
            <w:tcBorders>
              <w:top w:val="single" w:color="auto" w:sz="4" w:space="0"/>
              <w:left w:val="single" w:color="auto" w:sz="4" w:space="0"/>
              <w:bottom w:val="single" w:color="auto" w:sz="4" w:space="0"/>
              <w:right w:val="single" w:color="auto" w:sz="12" w:space="0"/>
            </w:tcBorders>
            <w:vAlign w:val="center"/>
          </w:tcPr>
          <w:p w14:paraId="5E76E9DF">
            <w:pPr>
              <w:pStyle w:val="227"/>
              <w:ind w:firstLine="0" w:firstLineChars="0"/>
              <w:rPr>
                <w:color w:val="auto"/>
                <w:highlight w:val="none"/>
              </w:rPr>
            </w:pPr>
            <w:r>
              <w:rPr>
                <w:rFonts w:hint="eastAsia"/>
                <w:color w:val="auto"/>
                <w:highlight w:val="none"/>
              </w:rPr>
              <w:t>在进门处悬挂工程概况、现场出入制度、管理人员名单及监督电话、安全生产规定、文明施工、消防保卫、节能公示等七牌以及施工现场总平面图、工程效果图。</w:t>
            </w:r>
          </w:p>
        </w:tc>
      </w:tr>
      <w:tr w14:paraId="7FCD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1E33ABE4">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5445A29">
            <w:pPr>
              <w:pStyle w:val="227"/>
              <w:ind w:firstLine="0" w:firstLineChars="0"/>
              <w:jc w:val="center"/>
              <w:rPr>
                <w:color w:val="auto"/>
                <w:highlight w:val="none"/>
              </w:rPr>
            </w:pPr>
            <w:r>
              <w:rPr>
                <w:rFonts w:hint="eastAsia"/>
                <w:color w:val="auto"/>
                <w:highlight w:val="none"/>
              </w:rPr>
              <w:t>企业标志</w:t>
            </w:r>
          </w:p>
        </w:tc>
        <w:tc>
          <w:tcPr>
            <w:tcW w:w="6645" w:type="dxa"/>
            <w:tcBorders>
              <w:top w:val="single" w:color="auto" w:sz="4" w:space="0"/>
              <w:left w:val="single" w:color="auto" w:sz="4" w:space="0"/>
              <w:bottom w:val="single" w:color="auto" w:sz="4" w:space="0"/>
              <w:right w:val="single" w:color="auto" w:sz="12" w:space="0"/>
            </w:tcBorders>
            <w:vAlign w:val="center"/>
          </w:tcPr>
          <w:p w14:paraId="2ADCEC74">
            <w:pPr>
              <w:pStyle w:val="227"/>
              <w:ind w:firstLine="0" w:firstLineChars="0"/>
              <w:rPr>
                <w:color w:val="auto"/>
                <w:highlight w:val="none"/>
              </w:rPr>
            </w:pPr>
            <w:r>
              <w:rPr>
                <w:rFonts w:hint="eastAsia"/>
                <w:color w:val="auto"/>
                <w:highlight w:val="none"/>
              </w:rPr>
              <w:t>现场出入的大门应设有本企业标志或企业标识。</w:t>
            </w:r>
          </w:p>
        </w:tc>
      </w:tr>
      <w:tr w14:paraId="760FA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3B04630A">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D93218C">
            <w:pPr>
              <w:pStyle w:val="227"/>
              <w:ind w:firstLine="0" w:firstLineChars="0"/>
              <w:jc w:val="center"/>
              <w:rPr>
                <w:color w:val="auto"/>
                <w:highlight w:val="none"/>
              </w:rPr>
            </w:pPr>
            <w:r>
              <w:rPr>
                <w:rFonts w:hint="eastAsia"/>
                <w:color w:val="auto"/>
                <w:highlight w:val="none"/>
              </w:rPr>
              <w:t>场容场貌</w:t>
            </w:r>
          </w:p>
        </w:tc>
        <w:tc>
          <w:tcPr>
            <w:tcW w:w="6645" w:type="dxa"/>
            <w:tcBorders>
              <w:top w:val="single" w:color="auto" w:sz="4" w:space="0"/>
              <w:left w:val="single" w:color="auto" w:sz="4" w:space="0"/>
              <w:bottom w:val="single" w:color="auto" w:sz="4" w:space="0"/>
              <w:right w:val="single" w:color="auto" w:sz="12" w:space="0"/>
            </w:tcBorders>
            <w:vAlign w:val="center"/>
          </w:tcPr>
          <w:p w14:paraId="69F5D512">
            <w:pPr>
              <w:pStyle w:val="227"/>
              <w:ind w:firstLine="0" w:firstLineChars="0"/>
              <w:rPr>
                <w:color w:val="auto"/>
                <w:highlight w:val="none"/>
              </w:rPr>
            </w:pPr>
            <w:r>
              <w:rPr>
                <w:rFonts w:hint="eastAsia"/>
                <w:color w:val="auto"/>
                <w:highlight w:val="none"/>
              </w:rPr>
              <w:t>1. 道路畅通。</w:t>
            </w:r>
          </w:p>
          <w:p w14:paraId="4BBC8D11">
            <w:pPr>
              <w:pStyle w:val="227"/>
              <w:ind w:firstLine="0" w:firstLineChars="0"/>
              <w:rPr>
                <w:color w:val="auto"/>
                <w:highlight w:val="none"/>
              </w:rPr>
            </w:pPr>
            <w:r>
              <w:rPr>
                <w:rFonts w:hint="eastAsia"/>
                <w:color w:val="auto"/>
                <w:highlight w:val="none"/>
              </w:rPr>
              <w:t>2. 排水设施齐全畅通。</w:t>
            </w:r>
          </w:p>
          <w:p w14:paraId="5BBA8AB8">
            <w:pPr>
              <w:pStyle w:val="227"/>
              <w:ind w:firstLine="0" w:firstLineChars="0"/>
              <w:rPr>
                <w:color w:val="auto"/>
                <w:highlight w:val="none"/>
              </w:rPr>
            </w:pPr>
            <w:r>
              <w:rPr>
                <w:rFonts w:hint="eastAsia"/>
                <w:color w:val="auto"/>
                <w:highlight w:val="none"/>
              </w:rPr>
              <w:t>3. 工地地面硬化处理（办公区、生活区、现场道路、材料堆放、混凝土搅拌、砂浆搅拌、钢筋加工等场地和外脚手架基础等）。</w:t>
            </w:r>
          </w:p>
        </w:tc>
      </w:tr>
      <w:tr w14:paraId="7BA42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B2EDFF8">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BF3D4ED">
            <w:pPr>
              <w:pStyle w:val="227"/>
              <w:ind w:firstLine="0" w:firstLineChars="0"/>
              <w:jc w:val="center"/>
              <w:rPr>
                <w:color w:val="auto"/>
                <w:highlight w:val="none"/>
              </w:rPr>
            </w:pPr>
            <w:r>
              <w:rPr>
                <w:rFonts w:hint="eastAsia"/>
                <w:color w:val="auto"/>
                <w:highlight w:val="none"/>
              </w:rPr>
              <w:t>材料堆放</w:t>
            </w:r>
          </w:p>
        </w:tc>
        <w:tc>
          <w:tcPr>
            <w:tcW w:w="6645" w:type="dxa"/>
            <w:tcBorders>
              <w:top w:val="single" w:color="auto" w:sz="4" w:space="0"/>
              <w:left w:val="single" w:color="auto" w:sz="4" w:space="0"/>
              <w:bottom w:val="single" w:color="auto" w:sz="4" w:space="0"/>
              <w:right w:val="single" w:color="auto" w:sz="12" w:space="0"/>
            </w:tcBorders>
            <w:vAlign w:val="center"/>
          </w:tcPr>
          <w:p w14:paraId="2594737A">
            <w:pPr>
              <w:pStyle w:val="227"/>
              <w:numPr>
                <w:ilvl w:val="0"/>
                <w:numId w:val="12"/>
              </w:numPr>
              <w:ind w:firstLineChars="0"/>
              <w:rPr>
                <w:color w:val="auto"/>
                <w:highlight w:val="none"/>
              </w:rPr>
            </w:pPr>
            <w:r>
              <w:rPr>
                <w:rFonts w:hint="eastAsia"/>
                <w:color w:val="auto"/>
                <w:highlight w:val="none"/>
              </w:rPr>
              <w:t>材料、构件、料具等堆放时，应有名称、品种、规格等标牌。</w:t>
            </w:r>
          </w:p>
          <w:p w14:paraId="22BB9A3F">
            <w:pPr>
              <w:pStyle w:val="227"/>
              <w:ind w:firstLine="0" w:firstLineChars="0"/>
              <w:rPr>
                <w:color w:val="auto"/>
                <w:highlight w:val="none"/>
              </w:rPr>
            </w:pPr>
            <w:r>
              <w:rPr>
                <w:rFonts w:hint="eastAsia"/>
                <w:color w:val="auto"/>
                <w:highlight w:val="none"/>
              </w:rPr>
              <w:t>2. 水泥和其它易飞扬细颗粒建筑材料应封闭存放或采取覆盖等措施。</w:t>
            </w:r>
          </w:p>
          <w:p w14:paraId="17FBCF77">
            <w:pPr>
              <w:pStyle w:val="227"/>
              <w:ind w:firstLine="0" w:firstLineChars="0"/>
              <w:rPr>
                <w:color w:val="auto"/>
                <w:highlight w:val="none"/>
              </w:rPr>
            </w:pPr>
            <w:r>
              <w:rPr>
                <w:rFonts w:hint="eastAsia"/>
                <w:color w:val="auto"/>
                <w:highlight w:val="none"/>
              </w:rPr>
              <w:t>3. 易燃、易爆和有毒有害物品分类存放。</w:t>
            </w:r>
          </w:p>
        </w:tc>
      </w:tr>
      <w:tr w14:paraId="45EA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93FDA72">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5C7AD4E">
            <w:pPr>
              <w:pStyle w:val="227"/>
              <w:ind w:firstLine="0" w:firstLineChars="0"/>
              <w:jc w:val="center"/>
              <w:rPr>
                <w:color w:val="auto"/>
                <w:highlight w:val="none"/>
              </w:rPr>
            </w:pPr>
            <w:r>
              <w:rPr>
                <w:rFonts w:hint="eastAsia"/>
                <w:color w:val="auto"/>
                <w:highlight w:val="none"/>
              </w:rPr>
              <w:t>现场防火</w:t>
            </w:r>
          </w:p>
        </w:tc>
        <w:tc>
          <w:tcPr>
            <w:tcW w:w="6645" w:type="dxa"/>
            <w:tcBorders>
              <w:top w:val="single" w:color="auto" w:sz="4" w:space="0"/>
              <w:left w:val="single" w:color="auto" w:sz="4" w:space="0"/>
              <w:bottom w:val="single" w:color="auto" w:sz="4" w:space="0"/>
              <w:right w:val="single" w:color="auto" w:sz="12" w:space="0"/>
            </w:tcBorders>
            <w:vAlign w:val="center"/>
          </w:tcPr>
          <w:p w14:paraId="292BCCAF">
            <w:pPr>
              <w:pStyle w:val="227"/>
              <w:ind w:firstLine="0" w:firstLineChars="0"/>
              <w:rPr>
                <w:color w:val="auto"/>
                <w:highlight w:val="none"/>
              </w:rPr>
            </w:pPr>
            <w:r>
              <w:rPr>
                <w:rFonts w:hint="eastAsia"/>
                <w:color w:val="auto"/>
                <w:highlight w:val="none"/>
              </w:rPr>
              <w:t>消防器材配置合理，符合消防要求。</w:t>
            </w:r>
          </w:p>
        </w:tc>
      </w:tr>
      <w:tr w14:paraId="7F51F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82BCE78">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41F943BA">
            <w:pPr>
              <w:pStyle w:val="227"/>
              <w:ind w:firstLine="0" w:firstLineChars="0"/>
              <w:jc w:val="center"/>
              <w:rPr>
                <w:color w:val="auto"/>
                <w:highlight w:val="none"/>
              </w:rPr>
            </w:pPr>
            <w:r>
              <w:rPr>
                <w:rFonts w:hint="eastAsia"/>
                <w:color w:val="auto"/>
                <w:highlight w:val="none"/>
              </w:rPr>
              <w:t>垃圾清运</w:t>
            </w:r>
          </w:p>
        </w:tc>
        <w:tc>
          <w:tcPr>
            <w:tcW w:w="6645" w:type="dxa"/>
            <w:tcBorders>
              <w:top w:val="single" w:color="auto" w:sz="4" w:space="0"/>
              <w:left w:val="single" w:color="auto" w:sz="4" w:space="0"/>
              <w:bottom w:val="single" w:color="auto" w:sz="4" w:space="0"/>
              <w:right w:val="single" w:color="auto" w:sz="12" w:space="0"/>
            </w:tcBorders>
            <w:vAlign w:val="center"/>
          </w:tcPr>
          <w:p w14:paraId="5C310A7D">
            <w:pPr>
              <w:pStyle w:val="227"/>
              <w:ind w:firstLine="0" w:firstLineChars="0"/>
              <w:rPr>
                <w:color w:val="auto"/>
                <w:highlight w:val="none"/>
              </w:rPr>
            </w:pPr>
            <w:r>
              <w:rPr>
                <w:rFonts w:hint="eastAsia"/>
                <w:color w:val="auto"/>
                <w:highlight w:val="none"/>
              </w:rPr>
              <w:t>1. 施工现场应设置密闭式垃圾站，施工垃圾、生活垃圾应分类存放。</w:t>
            </w:r>
          </w:p>
          <w:p w14:paraId="6CFF0340">
            <w:pPr>
              <w:pStyle w:val="227"/>
              <w:ind w:firstLine="0" w:firstLineChars="0"/>
              <w:rPr>
                <w:color w:val="auto"/>
                <w:highlight w:val="none"/>
              </w:rPr>
            </w:pPr>
            <w:r>
              <w:rPr>
                <w:rFonts w:hint="eastAsia"/>
                <w:color w:val="auto"/>
                <w:highlight w:val="none"/>
              </w:rPr>
              <w:t>2. 施工垃圾必须采用相应容器或管道运输。</w:t>
            </w:r>
          </w:p>
        </w:tc>
      </w:tr>
      <w:tr w14:paraId="7EABB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2E8E519">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0147017">
            <w:pPr>
              <w:pStyle w:val="227"/>
              <w:ind w:firstLine="0" w:firstLineChars="0"/>
              <w:jc w:val="center"/>
              <w:rPr>
                <w:color w:val="auto"/>
                <w:highlight w:val="none"/>
              </w:rPr>
            </w:pPr>
            <w:r>
              <w:rPr>
                <w:rFonts w:hint="eastAsia"/>
                <w:color w:val="auto"/>
                <w:highlight w:val="none"/>
              </w:rPr>
              <w:t>宣传栏、环保及不扰民措施</w:t>
            </w:r>
          </w:p>
        </w:tc>
        <w:tc>
          <w:tcPr>
            <w:tcW w:w="6645" w:type="dxa"/>
            <w:tcBorders>
              <w:top w:val="single" w:color="auto" w:sz="4" w:space="0"/>
              <w:left w:val="single" w:color="auto" w:sz="4" w:space="0"/>
              <w:bottom w:val="single" w:color="auto" w:sz="4" w:space="0"/>
              <w:right w:val="single" w:color="auto" w:sz="12" w:space="0"/>
            </w:tcBorders>
            <w:vAlign w:val="center"/>
          </w:tcPr>
          <w:p w14:paraId="4CBE69FD">
            <w:pPr>
              <w:pStyle w:val="227"/>
              <w:ind w:firstLine="0" w:firstLineChars="0"/>
              <w:rPr>
                <w:color w:val="auto"/>
                <w:highlight w:val="none"/>
              </w:rPr>
            </w:pPr>
            <w:r>
              <w:rPr>
                <w:rFonts w:hint="eastAsia"/>
                <w:color w:val="auto"/>
                <w:highlight w:val="none"/>
              </w:rPr>
              <w:t>宣传栏、安全宣传标语等，洗车（防止污染市区道路）、粉尘、噪声控制和排污（污水、废气）措施等。</w:t>
            </w:r>
          </w:p>
        </w:tc>
      </w:tr>
      <w:tr w14:paraId="66CFF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4C2AE561">
            <w:pPr>
              <w:pStyle w:val="227"/>
              <w:ind w:firstLine="0" w:firstLineChars="0"/>
              <w:jc w:val="center"/>
              <w:rPr>
                <w:color w:val="auto"/>
                <w:highlight w:val="none"/>
              </w:rPr>
            </w:pPr>
            <w:r>
              <w:rPr>
                <w:rFonts w:hint="eastAsia"/>
                <w:color w:val="auto"/>
                <w:highlight w:val="none"/>
              </w:rPr>
              <w:t>临时设施</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5334D8B">
            <w:pPr>
              <w:pStyle w:val="227"/>
              <w:ind w:firstLine="0" w:firstLineChars="0"/>
              <w:jc w:val="center"/>
              <w:rPr>
                <w:color w:val="auto"/>
                <w:highlight w:val="none"/>
              </w:rPr>
            </w:pPr>
            <w:r>
              <w:rPr>
                <w:rFonts w:hint="eastAsia"/>
                <w:color w:val="auto"/>
                <w:highlight w:val="none"/>
              </w:rPr>
              <w:t>现场办公生活设施</w:t>
            </w:r>
          </w:p>
        </w:tc>
        <w:tc>
          <w:tcPr>
            <w:tcW w:w="6645" w:type="dxa"/>
            <w:tcBorders>
              <w:top w:val="single" w:color="auto" w:sz="4" w:space="0"/>
              <w:left w:val="single" w:color="auto" w:sz="4" w:space="0"/>
              <w:bottom w:val="single" w:color="auto" w:sz="4" w:space="0"/>
              <w:right w:val="single" w:color="auto" w:sz="12" w:space="0"/>
            </w:tcBorders>
            <w:vAlign w:val="center"/>
          </w:tcPr>
          <w:p w14:paraId="5F9DEDC2">
            <w:pPr>
              <w:pStyle w:val="227"/>
              <w:ind w:firstLine="0" w:firstLineChars="0"/>
              <w:rPr>
                <w:color w:val="auto"/>
                <w:highlight w:val="none"/>
              </w:rPr>
            </w:pPr>
            <w:r>
              <w:rPr>
                <w:rFonts w:hint="eastAsia"/>
                <w:color w:val="auto"/>
                <w:highlight w:val="none"/>
              </w:rPr>
              <w:t>1. 施工现场办公、生活区与作业区分开设置，保持安全距离。</w:t>
            </w:r>
          </w:p>
          <w:p w14:paraId="2368A189">
            <w:pPr>
              <w:pStyle w:val="227"/>
              <w:ind w:firstLine="0" w:firstLineChars="0"/>
              <w:rPr>
                <w:color w:val="auto"/>
                <w:highlight w:val="none"/>
              </w:rPr>
            </w:pPr>
            <w:r>
              <w:rPr>
                <w:rFonts w:hint="eastAsia"/>
                <w:color w:val="auto"/>
                <w:highlight w:val="none"/>
              </w:rPr>
              <w:t>2. 工地办公室、现场宿舍、食堂、厕所、饮水、沐浴、休息场所等符合卫生、消防安全要求。</w:t>
            </w:r>
          </w:p>
        </w:tc>
      </w:tr>
      <w:tr w14:paraId="24CE9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3FC1908">
            <w:pPr>
              <w:pStyle w:val="227"/>
              <w:jc w:val="center"/>
              <w:rPr>
                <w:color w:val="auto"/>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EEA3042">
            <w:pPr>
              <w:pStyle w:val="227"/>
              <w:jc w:val="center"/>
              <w:rPr>
                <w:color w:val="auto"/>
                <w:highlight w:val="none"/>
              </w:rPr>
            </w:pPr>
            <w:r>
              <w:rPr>
                <w:rFonts w:hint="eastAsia"/>
                <w:color w:val="auto"/>
                <w:highlight w:val="none"/>
              </w:rPr>
              <w:t>施工现场</w:t>
            </w:r>
          </w:p>
          <w:p w14:paraId="6E5BC7C4">
            <w:pPr>
              <w:pStyle w:val="227"/>
              <w:jc w:val="center"/>
              <w:rPr>
                <w:color w:val="auto"/>
                <w:highlight w:val="none"/>
              </w:rPr>
            </w:pPr>
            <w:r>
              <w:rPr>
                <w:rFonts w:hint="eastAsia"/>
                <w:color w:val="auto"/>
                <w:highlight w:val="none"/>
              </w:rPr>
              <w:t>临时用电</w:t>
            </w:r>
          </w:p>
        </w:tc>
        <w:tc>
          <w:tcPr>
            <w:tcW w:w="1545" w:type="dxa"/>
            <w:tcBorders>
              <w:top w:val="single" w:color="auto" w:sz="4" w:space="0"/>
              <w:left w:val="single" w:color="auto" w:sz="4" w:space="0"/>
              <w:bottom w:val="single" w:color="auto" w:sz="4" w:space="0"/>
              <w:right w:val="single" w:color="auto" w:sz="4" w:space="0"/>
            </w:tcBorders>
            <w:vAlign w:val="center"/>
          </w:tcPr>
          <w:p w14:paraId="1327AD08">
            <w:pPr>
              <w:pStyle w:val="227"/>
              <w:ind w:firstLine="0" w:firstLineChars="0"/>
              <w:jc w:val="center"/>
              <w:rPr>
                <w:color w:val="auto"/>
                <w:highlight w:val="none"/>
              </w:rPr>
            </w:pPr>
            <w:r>
              <w:rPr>
                <w:rFonts w:hint="eastAsia"/>
                <w:color w:val="auto"/>
                <w:highlight w:val="none"/>
              </w:rPr>
              <w:t>配电线路</w:t>
            </w:r>
          </w:p>
        </w:tc>
        <w:tc>
          <w:tcPr>
            <w:tcW w:w="6645" w:type="dxa"/>
            <w:tcBorders>
              <w:top w:val="single" w:color="auto" w:sz="4" w:space="0"/>
              <w:left w:val="single" w:color="auto" w:sz="4" w:space="0"/>
              <w:bottom w:val="single" w:color="auto" w:sz="4" w:space="0"/>
              <w:right w:val="single" w:color="auto" w:sz="12" w:space="0"/>
            </w:tcBorders>
            <w:vAlign w:val="center"/>
          </w:tcPr>
          <w:p w14:paraId="24386BB2">
            <w:pPr>
              <w:pStyle w:val="227"/>
              <w:ind w:firstLine="0" w:firstLineChars="0"/>
              <w:rPr>
                <w:color w:val="auto"/>
                <w:highlight w:val="none"/>
              </w:rPr>
            </w:pPr>
            <w:r>
              <w:rPr>
                <w:rFonts w:hint="eastAsia"/>
                <w:color w:val="auto"/>
                <w:highlight w:val="none"/>
              </w:rPr>
              <w:t>1. 按照TN-S系统要求配备五芯电缆、四芯电缆和三芯电缆。</w:t>
            </w:r>
          </w:p>
          <w:p w14:paraId="753DDFD3">
            <w:pPr>
              <w:pStyle w:val="227"/>
              <w:ind w:firstLine="0" w:firstLineChars="0"/>
              <w:rPr>
                <w:color w:val="auto"/>
                <w:highlight w:val="none"/>
              </w:rPr>
            </w:pPr>
            <w:r>
              <w:rPr>
                <w:rFonts w:hint="eastAsia"/>
                <w:color w:val="auto"/>
                <w:highlight w:val="none"/>
              </w:rPr>
              <w:t>2. 按要求架设临时用电线路的电杆、横担、瓷夹、瓷瓶等，或电缆埋地的地沟。</w:t>
            </w:r>
          </w:p>
          <w:p w14:paraId="527C2E0A">
            <w:pPr>
              <w:pStyle w:val="227"/>
              <w:ind w:firstLine="0" w:firstLineChars="0"/>
              <w:rPr>
                <w:color w:val="auto"/>
                <w:highlight w:val="none"/>
              </w:rPr>
            </w:pPr>
            <w:r>
              <w:rPr>
                <w:rFonts w:hint="eastAsia"/>
                <w:color w:val="auto"/>
                <w:highlight w:val="none"/>
              </w:rPr>
              <w:t>3. 对靠近施工现场的外电线路，设置木质、塑料等绝缘体的防护设施。</w:t>
            </w:r>
          </w:p>
        </w:tc>
      </w:tr>
      <w:tr w14:paraId="499FE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D707736">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76031497">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B32CD88">
            <w:pPr>
              <w:pStyle w:val="227"/>
              <w:ind w:firstLine="0" w:firstLineChars="0"/>
              <w:jc w:val="center"/>
              <w:rPr>
                <w:color w:val="auto"/>
                <w:highlight w:val="none"/>
              </w:rPr>
            </w:pPr>
            <w:r>
              <w:rPr>
                <w:rFonts w:hint="eastAsia"/>
                <w:color w:val="auto"/>
                <w:highlight w:val="none"/>
              </w:rPr>
              <w:t>配电箱开关箱</w:t>
            </w:r>
          </w:p>
        </w:tc>
        <w:tc>
          <w:tcPr>
            <w:tcW w:w="6645" w:type="dxa"/>
            <w:tcBorders>
              <w:top w:val="single" w:color="auto" w:sz="4" w:space="0"/>
              <w:left w:val="single" w:color="auto" w:sz="4" w:space="0"/>
              <w:bottom w:val="single" w:color="auto" w:sz="4" w:space="0"/>
              <w:right w:val="single" w:color="auto" w:sz="12" w:space="0"/>
            </w:tcBorders>
            <w:vAlign w:val="center"/>
          </w:tcPr>
          <w:p w14:paraId="071C33D9">
            <w:pPr>
              <w:pStyle w:val="227"/>
              <w:ind w:firstLine="0" w:firstLineChars="0"/>
              <w:rPr>
                <w:color w:val="auto"/>
                <w:highlight w:val="none"/>
              </w:rPr>
            </w:pPr>
            <w:r>
              <w:rPr>
                <w:rFonts w:hint="eastAsia"/>
                <w:color w:val="auto"/>
                <w:highlight w:val="none"/>
              </w:rPr>
              <w:t>1. 按三级配电要求，配备总配电箱、分配电箱、开关箱三类（铁质）标准电箱，开关箱应符合“一机、一箱、一闸、一漏”，三类电箱中的各类电器应是合格品。</w:t>
            </w:r>
          </w:p>
          <w:p w14:paraId="48A3E3B7">
            <w:pPr>
              <w:pStyle w:val="227"/>
              <w:ind w:firstLine="0" w:firstLineChars="0"/>
              <w:rPr>
                <w:color w:val="auto"/>
                <w:highlight w:val="none"/>
              </w:rPr>
            </w:pPr>
            <w:r>
              <w:rPr>
                <w:rFonts w:hint="eastAsia"/>
                <w:color w:val="auto"/>
                <w:highlight w:val="none"/>
              </w:rPr>
              <w:t>2. 按两级保护的要求，选取符合容量要求和质量合格的总配电箱和开关箱中的漏电保护器。</w:t>
            </w:r>
          </w:p>
          <w:p w14:paraId="130CB12A">
            <w:pPr>
              <w:pStyle w:val="227"/>
              <w:ind w:firstLine="0" w:firstLineChars="0"/>
              <w:rPr>
                <w:color w:val="auto"/>
                <w:highlight w:val="none"/>
              </w:rPr>
            </w:pPr>
            <w:r>
              <w:rPr>
                <w:rFonts w:hint="eastAsia"/>
                <w:color w:val="auto"/>
                <w:highlight w:val="none"/>
              </w:rPr>
              <w:t>3. 对大型、落地式分配电箱、开关箱设置防护棚和通透式围挡。</w:t>
            </w:r>
          </w:p>
        </w:tc>
      </w:tr>
      <w:tr w14:paraId="366BB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B3AA347">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58A762A7">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4AFBC2D4">
            <w:pPr>
              <w:pStyle w:val="227"/>
              <w:ind w:firstLine="0" w:firstLineChars="0"/>
              <w:jc w:val="center"/>
              <w:rPr>
                <w:color w:val="auto"/>
                <w:highlight w:val="none"/>
              </w:rPr>
            </w:pPr>
            <w:r>
              <w:rPr>
                <w:rFonts w:hint="eastAsia"/>
                <w:color w:val="auto"/>
                <w:highlight w:val="none"/>
              </w:rPr>
              <w:t>接地装置</w:t>
            </w:r>
          </w:p>
        </w:tc>
        <w:tc>
          <w:tcPr>
            <w:tcW w:w="6645" w:type="dxa"/>
            <w:tcBorders>
              <w:top w:val="single" w:color="auto" w:sz="4" w:space="0"/>
              <w:left w:val="single" w:color="auto" w:sz="4" w:space="0"/>
              <w:bottom w:val="single" w:color="auto" w:sz="4" w:space="0"/>
              <w:right w:val="single" w:color="auto" w:sz="12" w:space="0"/>
            </w:tcBorders>
            <w:vAlign w:val="center"/>
          </w:tcPr>
          <w:p w14:paraId="12BBEFEF">
            <w:pPr>
              <w:pStyle w:val="227"/>
              <w:ind w:firstLine="0" w:firstLineChars="0"/>
              <w:rPr>
                <w:color w:val="auto"/>
                <w:highlight w:val="none"/>
              </w:rPr>
            </w:pPr>
            <w:r>
              <w:rPr>
                <w:rFonts w:hint="eastAsia"/>
                <w:color w:val="auto"/>
                <w:highlight w:val="none"/>
              </w:rPr>
              <w:t>施工现场应设置不少于三处的重复接地装置。</w:t>
            </w:r>
          </w:p>
        </w:tc>
      </w:tr>
      <w:tr w14:paraId="01DC9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3831AEF">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5C578B43">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DD09BC6">
            <w:pPr>
              <w:pStyle w:val="227"/>
              <w:ind w:firstLine="0" w:firstLineChars="0"/>
              <w:jc w:val="center"/>
              <w:rPr>
                <w:color w:val="auto"/>
                <w:highlight w:val="none"/>
              </w:rPr>
            </w:pPr>
            <w:r>
              <w:rPr>
                <w:rFonts w:hint="eastAsia"/>
                <w:color w:val="auto"/>
                <w:highlight w:val="none"/>
              </w:rPr>
              <w:t>现场变配电装置</w:t>
            </w:r>
          </w:p>
        </w:tc>
        <w:tc>
          <w:tcPr>
            <w:tcW w:w="6645" w:type="dxa"/>
            <w:tcBorders>
              <w:top w:val="single" w:color="auto" w:sz="4" w:space="0"/>
              <w:left w:val="single" w:color="auto" w:sz="4" w:space="0"/>
              <w:bottom w:val="single" w:color="auto" w:sz="4" w:space="0"/>
              <w:right w:val="single" w:color="auto" w:sz="12" w:space="0"/>
            </w:tcBorders>
            <w:vAlign w:val="center"/>
          </w:tcPr>
          <w:p w14:paraId="0C031BED">
            <w:pPr>
              <w:pStyle w:val="227"/>
              <w:ind w:firstLine="0" w:firstLineChars="0"/>
              <w:rPr>
                <w:color w:val="auto"/>
                <w:highlight w:val="none"/>
              </w:rPr>
            </w:pPr>
            <w:r>
              <w:rPr>
                <w:rFonts w:hint="eastAsia"/>
                <w:color w:val="auto"/>
                <w:highlight w:val="none"/>
              </w:rPr>
              <w:t>总配电房建筑材料必须达到消防防火要求，室内做硬地坪、电缆沟。</w:t>
            </w:r>
          </w:p>
        </w:tc>
      </w:tr>
      <w:tr w14:paraId="7C7D4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tcBorders>
              <w:top w:val="single" w:color="auto" w:sz="4" w:space="0"/>
              <w:left w:val="single" w:color="auto" w:sz="12" w:space="0"/>
              <w:bottom w:val="single" w:color="auto" w:sz="4" w:space="0"/>
              <w:right w:val="single" w:color="auto" w:sz="4" w:space="0"/>
            </w:tcBorders>
            <w:vAlign w:val="center"/>
          </w:tcPr>
          <w:p w14:paraId="2DC75375">
            <w:pPr>
              <w:pStyle w:val="227"/>
              <w:ind w:firstLine="0" w:firstLineChars="0"/>
              <w:jc w:val="center"/>
              <w:rPr>
                <w:color w:val="auto"/>
                <w:szCs w:val="24"/>
                <w:highlight w:val="none"/>
              </w:rPr>
            </w:pPr>
            <w:r>
              <w:rPr>
                <w:rFonts w:hint="eastAsia"/>
                <w:color w:val="auto"/>
                <w:highlight w:val="none"/>
              </w:rPr>
              <w:t>类别</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E4DA749">
            <w:pPr>
              <w:pStyle w:val="227"/>
              <w:ind w:firstLine="0" w:firstLineChars="0"/>
              <w:jc w:val="center"/>
              <w:rPr>
                <w:color w:val="auto"/>
                <w:szCs w:val="24"/>
                <w:highlight w:val="none"/>
              </w:rPr>
            </w:pPr>
            <w:r>
              <w:rPr>
                <w:rFonts w:hint="eastAsia"/>
                <w:color w:val="auto"/>
                <w:highlight w:val="none"/>
              </w:rPr>
              <w:t>项目名称</w:t>
            </w:r>
          </w:p>
        </w:tc>
        <w:tc>
          <w:tcPr>
            <w:tcW w:w="6645" w:type="dxa"/>
            <w:tcBorders>
              <w:top w:val="single" w:color="auto" w:sz="4" w:space="0"/>
              <w:left w:val="single" w:color="auto" w:sz="4" w:space="0"/>
              <w:bottom w:val="single" w:color="auto" w:sz="4" w:space="0"/>
              <w:right w:val="single" w:color="auto" w:sz="12" w:space="0"/>
            </w:tcBorders>
            <w:vAlign w:val="center"/>
          </w:tcPr>
          <w:p w14:paraId="134F237D">
            <w:pPr>
              <w:pStyle w:val="227"/>
              <w:ind w:firstLine="0" w:firstLineChars="0"/>
              <w:jc w:val="center"/>
              <w:rPr>
                <w:color w:val="auto"/>
                <w:szCs w:val="24"/>
                <w:highlight w:val="none"/>
              </w:rPr>
            </w:pPr>
            <w:r>
              <w:rPr>
                <w:rFonts w:hint="eastAsia"/>
                <w:color w:val="auto"/>
                <w:highlight w:val="none"/>
              </w:rPr>
              <w:t>主要内容和要求</w:t>
            </w:r>
          </w:p>
        </w:tc>
      </w:tr>
      <w:tr w14:paraId="58B0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6B5564A2">
            <w:pPr>
              <w:pStyle w:val="227"/>
              <w:ind w:firstLine="0" w:firstLineChars="0"/>
              <w:jc w:val="center"/>
              <w:rPr>
                <w:color w:val="auto"/>
                <w:highlight w:val="none"/>
              </w:rPr>
            </w:pPr>
            <w:r>
              <w:rPr>
                <w:rFonts w:hint="eastAsia"/>
                <w:color w:val="auto"/>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4AA94C">
            <w:pPr>
              <w:pStyle w:val="227"/>
              <w:jc w:val="center"/>
              <w:rPr>
                <w:color w:val="auto"/>
                <w:highlight w:val="none"/>
              </w:rPr>
            </w:pPr>
            <w:r>
              <w:rPr>
                <w:rFonts w:hint="eastAsia"/>
                <w:color w:val="auto"/>
                <w:highlight w:val="none"/>
              </w:rPr>
              <w:t>高处作业防护</w:t>
            </w:r>
          </w:p>
        </w:tc>
        <w:tc>
          <w:tcPr>
            <w:tcW w:w="1545" w:type="dxa"/>
            <w:tcBorders>
              <w:top w:val="single" w:color="auto" w:sz="4" w:space="0"/>
              <w:left w:val="single" w:color="auto" w:sz="4" w:space="0"/>
              <w:bottom w:val="single" w:color="auto" w:sz="4" w:space="0"/>
              <w:right w:val="single" w:color="auto" w:sz="4" w:space="0"/>
            </w:tcBorders>
            <w:vAlign w:val="center"/>
          </w:tcPr>
          <w:p w14:paraId="2AA82923">
            <w:pPr>
              <w:pStyle w:val="227"/>
              <w:ind w:firstLine="0" w:firstLineChars="0"/>
              <w:jc w:val="center"/>
              <w:rPr>
                <w:color w:val="auto"/>
                <w:highlight w:val="none"/>
              </w:rPr>
            </w:pPr>
            <w:r>
              <w:rPr>
                <w:rFonts w:hint="eastAsia"/>
                <w:color w:val="auto"/>
                <w:highlight w:val="none"/>
              </w:rPr>
              <w:t>楼层、屋面、阳台等临边</w:t>
            </w:r>
          </w:p>
        </w:tc>
        <w:tc>
          <w:tcPr>
            <w:tcW w:w="6645" w:type="dxa"/>
            <w:tcBorders>
              <w:top w:val="single" w:color="auto" w:sz="4" w:space="0"/>
              <w:left w:val="single" w:color="auto" w:sz="4" w:space="0"/>
              <w:bottom w:val="single" w:color="auto" w:sz="4" w:space="0"/>
              <w:right w:val="single" w:color="auto" w:sz="12" w:space="0"/>
            </w:tcBorders>
            <w:vAlign w:val="center"/>
          </w:tcPr>
          <w:p w14:paraId="60718F1F">
            <w:pPr>
              <w:pStyle w:val="227"/>
              <w:ind w:firstLine="0" w:firstLineChars="0"/>
              <w:rPr>
                <w:color w:val="auto"/>
                <w:highlight w:val="none"/>
              </w:rPr>
            </w:pPr>
            <w:r>
              <w:rPr>
                <w:rFonts w:hint="eastAsia"/>
                <w:color w:val="auto"/>
                <w:highlight w:val="none"/>
              </w:rPr>
              <w:t>设两道防护栏杆和18cm高的踢脚板，用密目式安全立网全封闭。</w:t>
            </w:r>
          </w:p>
        </w:tc>
      </w:tr>
      <w:tr w14:paraId="6DDB2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87732A9">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2030D372">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B32F036">
            <w:pPr>
              <w:pStyle w:val="227"/>
              <w:ind w:firstLine="0" w:firstLineChars="0"/>
              <w:jc w:val="center"/>
              <w:rPr>
                <w:color w:val="auto"/>
                <w:highlight w:val="none"/>
              </w:rPr>
            </w:pPr>
            <w:r>
              <w:rPr>
                <w:rFonts w:hint="eastAsia"/>
                <w:color w:val="auto"/>
                <w:highlight w:val="none"/>
              </w:rPr>
              <w:t>通道口</w:t>
            </w:r>
          </w:p>
        </w:tc>
        <w:tc>
          <w:tcPr>
            <w:tcW w:w="6645" w:type="dxa"/>
            <w:tcBorders>
              <w:top w:val="single" w:color="auto" w:sz="4" w:space="0"/>
              <w:left w:val="single" w:color="auto" w:sz="4" w:space="0"/>
              <w:bottom w:val="single" w:color="auto" w:sz="4" w:space="0"/>
              <w:right w:val="single" w:color="auto" w:sz="12" w:space="0"/>
            </w:tcBorders>
            <w:vAlign w:val="center"/>
          </w:tcPr>
          <w:p w14:paraId="3AEA9894">
            <w:pPr>
              <w:pStyle w:val="227"/>
              <w:ind w:firstLine="0" w:firstLineChars="0"/>
              <w:rPr>
                <w:color w:val="auto"/>
                <w:highlight w:val="none"/>
              </w:rPr>
            </w:pPr>
            <w:r>
              <w:rPr>
                <w:rFonts w:hint="eastAsia"/>
                <w:color w:val="auto"/>
                <w:highlight w:val="none"/>
              </w:rPr>
              <w:t>设防护棚，防护棚应为不小于5cm厚的木板或两道相距50cm的竹笆。两侧应沿栏杆架用密目式安全网封闭。</w:t>
            </w:r>
          </w:p>
        </w:tc>
      </w:tr>
      <w:tr w14:paraId="3C21F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E6DA773">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266EDED2">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ACDDDA5">
            <w:pPr>
              <w:pStyle w:val="227"/>
              <w:ind w:firstLine="0" w:firstLineChars="0"/>
              <w:jc w:val="center"/>
              <w:rPr>
                <w:color w:val="auto"/>
                <w:highlight w:val="none"/>
              </w:rPr>
            </w:pPr>
            <w:r>
              <w:rPr>
                <w:rFonts w:hint="eastAsia"/>
                <w:color w:val="auto"/>
                <w:highlight w:val="none"/>
              </w:rPr>
              <w:t>预留洞口</w:t>
            </w:r>
          </w:p>
        </w:tc>
        <w:tc>
          <w:tcPr>
            <w:tcW w:w="6645" w:type="dxa"/>
            <w:tcBorders>
              <w:top w:val="single" w:color="auto" w:sz="4" w:space="0"/>
              <w:left w:val="single" w:color="auto" w:sz="4" w:space="0"/>
              <w:bottom w:val="single" w:color="auto" w:sz="4" w:space="0"/>
              <w:right w:val="single" w:color="auto" w:sz="12" w:space="0"/>
            </w:tcBorders>
            <w:vAlign w:val="center"/>
          </w:tcPr>
          <w:p w14:paraId="3CB4A0E0">
            <w:pPr>
              <w:pStyle w:val="227"/>
              <w:ind w:firstLine="0" w:firstLineChars="0"/>
              <w:rPr>
                <w:color w:val="auto"/>
                <w:highlight w:val="none"/>
              </w:rPr>
            </w:pPr>
            <w:r>
              <w:rPr>
                <w:rFonts w:hint="eastAsia"/>
                <w:color w:val="auto"/>
                <w:highlight w:val="none"/>
              </w:rPr>
              <w:t>用硬质材料全封闭，短边超过1.5m长的洞口，除封闭外四周还应设有防护栏杆。</w:t>
            </w:r>
          </w:p>
        </w:tc>
      </w:tr>
      <w:tr w14:paraId="5E936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B292C15">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129804F6">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A7CE099">
            <w:pPr>
              <w:pStyle w:val="227"/>
              <w:ind w:firstLine="0" w:firstLineChars="0"/>
              <w:jc w:val="center"/>
              <w:rPr>
                <w:color w:val="auto"/>
                <w:highlight w:val="none"/>
              </w:rPr>
            </w:pPr>
            <w:r>
              <w:rPr>
                <w:rFonts w:hint="eastAsia"/>
                <w:color w:val="auto"/>
                <w:highlight w:val="none"/>
              </w:rPr>
              <w:t>电梯井口</w:t>
            </w:r>
          </w:p>
        </w:tc>
        <w:tc>
          <w:tcPr>
            <w:tcW w:w="6645" w:type="dxa"/>
            <w:tcBorders>
              <w:top w:val="single" w:color="auto" w:sz="4" w:space="0"/>
              <w:left w:val="single" w:color="auto" w:sz="4" w:space="0"/>
              <w:bottom w:val="single" w:color="auto" w:sz="4" w:space="0"/>
              <w:right w:val="single" w:color="auto" w:sz="12" w:space="0"/>
            </w:tcBorders>
            <w:vAlign w:val="center"/>
          </w:tcPr>
          <w:p w14:paraId="2D638396">
            <w:pPr>
              <w:pStyle w:val="227"/>
              <w:ind w:firstLine="0" w:firstLineChars="0"/>
              <w:rPr>
                <w:color w:val="auto"/>
                <w:highlight w:val="none"/>
              </w:rPr>
            </w:pPr>
            <w:r>
              <w:rPr>
                <w:rFonts w:hint="eastAsia"/>
                <w:color w:val="auto"/>
                <w:highlight w:val="none"/>
              </w:rPr>
              <w:t>设置定型化、工具化的防护门，在电梯井内每隔2层（不大于10m）设置一道水平防护。</w:t>
            </w:r>
          </w:p>
        </w:tc>
      </w:tr>
      <w:tr w14:paraId="2A652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1E372AC0">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01791F52">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7E8B774">
            <w:pPr>
              <w:pStyle w:val="227"/>
              <w:ind w:firstLine="0" w:firstLineChars="0"/>
              <w:jc w:val="center"/>
              <w:rPr>
                <w:color w:val="auto"/>
                <w:highlight w:val="none"/>
              </w:rPr>
            </w:pPr>
            <w:r>
              <w:rPr>
                <w:rFonts w:hint="eastAsia"/>
                <w:color w:val="auto"/>
                <w:highlight w:val="none"/>
              </w:rPr>
              <w:t>楼梯边</w:t>
            </w:r>
          </w:p>
        </w:tc>
        <w:tc>
          <w:tcPr>
            <w:tcW w:w="6645" w:type="dxa"/>
            <w:tcBorders>
              <w:top w:val="single" w:color="auto" w:sz="4" w:space="0"/>
              <w:left w:val="single" w:color="auto" w:sz="4" w:space="0"/>
              <w:bottom w:val="single" w:color="auto" w:sz="4" w:space="0"/>
              <w:right w:val="single" w:color="auto" w:sz="12" w:space="0"/>
            </w:tcBorders>
            <w:vAlign w:val="center"/>
          </w:tcPr>
          <w:p w14:paraId="6EAAAFB3">
            <w:pPr>
              <w:pStyle w:val="227"/>
              <w:ind w:firstLine="0" w:firstLineChars="0"/>
              <w:rPr>
                <w:color w:val="auto"/>
                <w:highlight w:val="none"/>
              </w:rPr>
            </w:pPr>
            <w:r>
              <w:rPr>
                <w:rFonts w:hint="eastAsia"/>
                <w:color w:val="auto"/>
                <w:highlight w:val="none"/>
              </w:rPr>
              <w:t>设1.2m高的定型化、工具化的防护栏，18cm高的踢脚板。</w:t>
            </w:r>
          </w:p>
        </w:tc>
      </w:tr>
      <w:tr w14:paraId="063FB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F361054">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694D91B7">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A0C95B0">
            <w:pPr>
              <w:pStyle w:val="227"/>
              <w:ind w:firstLine="0" w:firstLineChars="0"/>
              <w:jc w:val="center"/>
              <w:rPr>
                <w:color w:val="auto"/>
                <w:highlight w:val="none"/>
              </w:rPr>
            </w:pPr>
            <w:r>
              <w:rPr>
                <w:rFonts w:hint="eastAsia"/>
                <w:color w:val="auto"/>
                <w:highlight w:val="none"/>
              </w:rPr>
              <w:t>垂直方向交叉作业</w:t>
            </w:r>
          </w:p>
        </w:tc>
        <w:tc>
          <w:tcPr>
            <w:tcW w:w="6645" w:type="dxa"/>
            <w:tcBorders>
              <w:top w:val="single" w:color="auto" w:sz="4" w:space="0"/>
              <w:left w:val="single" w:color="auto" w:sz="4" w:space="0"/>
              <w:bottom w:val="single" w:color="auto" w:sz="4" w:space="0"/>
              <w:right w:val="single" w:color="auto" w:sz="12" w:space="0"/>
            </w:tcBorders>
            <w:vAlign w:val="center"/>
          </w:tcPr>
          <w:p w14:paraId="057BCDF2">
            <w:pPr>
              <w:pStyle w:val="227"/>
              <w:ind w:firstLine="0" w:firstLineChars="0"/>
              <w:rPr>
                <w:color w:val="auto"/>
                <w:highlight w:val="none"/>
              </w:rPr>
            </w:pPr>
            <w:r>
              <w:rPr>
                <w:rFonts w:hint="eastAsia"/>
                <w:color w:val="auto"/>
                <w:highlight w:val="none"/>
              </w:rPr>
              <w:t>设置防护隔离棚或其它设施。</w:t>
            </w:r>
          </w:p>
        </w:tc>
      </w:tr>
      <w:tr w14:paraId="4E29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89DAFCE">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23E614B2">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60384BD3">
            <w:pPr>
              <w:pStyle w:val="227"/>
              <w:ind w:firstLine="0" w:firstLineChars="0"/>
              <w:jc w:val="center"/>
              <w:rPr>
                <w:color w:val="auto"/>
                <w:highlight w:val="none"/>
              </w:rPr>
            </w:pPr>
            <w:r>
              <w:rPr>
                <w:rFonts w:hint="eastAsia"/>
                <w:color w:val="auto"/>
                <w:highlight w:val="none"/>
              </w:rPr>
              <w:t>高处作业</w:t>
            </w:r>
          </w:p>
        </w:tc>
        <w:tc>
          <w:tcPr>
            <w:tcW w:w="6645" w:type="dxa"/>
            <w:tcBorders>
              <w:top w:val="single" w:color="auto" w:sz="4" w:space="0"/>
              <w:left w:val="single" w:color="auto" w:sz="4" w:space="0"/>
              <w:bottom w:val="single" w:color="auto" w:sz="4" w:space="0"/>
              <w:right w:val="single" w:color="auto" w:sz="12" w:space="0"/>
            </w:tcBorders>
            <w:vAlign w:val="center"/>
          </w:tcPr>
          <w:p w14:paraId="2E7E0EE8">
            <w:pPr>
              <w:pStyle w:val="227"/>
              <w:ind w:firstLine="0" w:firstLineChars="0"/>
              <w:rPr>
                <w:color w:val="auto"/>
                <w:highlight w:val="none"/>
              </w:rPr>
            </w:pPr>
            <w:r>
              <w:rPr>
                <w:rFonts w:hint="eastAsia"/>
                <w:color w:val="auto"/>
                <w:highlight w:val="none"/>
              </w:rPr>
              <w:t>有悬挂安全带的悬索或其它设施，有操作平台，有上下的梯子或其它形式的通道。</w:t>
            </w:r>
          </w:p>
        </w:tc>
      </w:tr>
      <w:tr w14:paraId="16EAE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5EE2733">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75E84CD4">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054D1857">
            <w:pPr>
              <w:pStyle w:val="227"/>
              <w:ind w:firstLine="0" w:firstLineChars="0"/>
              <w:jc w:val="center"/>
              <w:rPr>
                <w:color w:val="auto"/>
                <w:highlight w:val="none"/>
              </w:rPr>
            </w:pPr>
            <w:r>
              <w:rPr>
                <w:rFonts w:hint="eastAsia"/>
                <w:color w:val="auto"/>
                <w:highlight w:val="none"/>
              </w:rPr>
              <w:t>基坑、物料平台</w:t>
            </w:r>
          </w:p>
        </w:tc>
        <w:tc>
          <w:tcPr>
            <w:tcW w:w="6645" w:type="dxa"/>
            <w:tcBorders>
              <w:top w:val="single" w:color="auto" w:sz="4" w:space="0"/>
              <w:left w:val="single" w:color="auto" w:sz="4" w:space="0"/>
              <w:bottom w:val="single" w:color="auto" w:sz="4" w:space="0"/>
              <w:right w:val="single" w:color="auto" w:sz="12" w:space="0"/>
            </w:tcBorders>
            <w:vAlign w:val="center"/>
          </w:tcPr>
          <w:p w14:paraId="11B5B309">
            <w:pPr>
              <w:pStyle w:val="227"/>
              <w:ind w:firstLine="0" w:firstLineChars="0"/>
              <w:rPr>
                <w:color w:val="auto"/>
                <w:highlight w:val="none"/>
              </w:rPr>
            </w:pPr>
            <w:r>
              <w:rPr>
                <w:rFonts w:hint="eastAsia"/>
                <w:color w:val="auto"/>
                <w:highlight w:val="none"/>
              </w:rPr>
              <w:t>设1.2m高标准化的防护栏，用密目式安全立网封闭，悬挂标识。</w:t>
            </w:r>
          </w:p>
        </w:tc>
      </w:tr>
      <w:tr w14:paraId="1FFAA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3533888">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AC52252">
            <w:pPr>
              <w:pStyle w:val="227"/>
              <w:ind w:firstLine="0" w:firstLineChars="0"/>
              <w:jc w:val="center"/>
              <w:rPr>
                <w:color w:val="auto"/>
                <w:highlight w:val="none"/>
              </w:rPr>
            </w:pPr>
            <w:r>
              <w:rPr>
                <w:rFonts w:hint="eastAsia"/>
                <w:color w:val="auto"/>
                <w:highlight w:val="none"/>
              </w:rPr>
              <w:t>安全防护用品</w:t>
            </w:r>
          </w:p>
        </w:tc>
        <w:tc>
          <w:tcPr>
            <w:tcW w:w="6645" w:type="dxa"/>
            <w:tcBorders>
              <w:top w:val="single" w:color="auto" w:sz="4" w:space="0"/>
              <w:left w:val="single" w:color="auto" w:sz="4" w:space="0"/>
              <w:bottom w:val="single" w:color="auto" w:sz="4" w:space="0"/>
              <w:right w:val="single" w:color="auto" w:sz="12" w:space="0"/>
            </w:tcBorders>
            <w:vAlign w:val="center"/>
          </w:tcPr>
          <w:p w14:paraId="2287514E">
            <w:pPr>
              <w:pStyle w:val="227"/>
              <w:ind w:firstLine="0" w:firstLineChars="0"/>
              <w:rPr>
                <w:color w:val="auto"/>
                <w:highlight w:val="none"/>
              </w:rPr>
            </w:pPr>
            <w:r>
              <w:rPr>
                <w:rFonts w:hint="eastAsia"/>
                <w:color w:val="auto"/>
                <w:highlight w:val="none"/>
              </w:rPr>
              <w:t>安全帽、安全带、特种作业人员（电工、焊工、架子工等）防护服装、用品等。</w:t>
            </w:r>
          </w:p>
        </w:tc>
      </w:tr>
      <w:tr w14:paraId="1BDCB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12" w:space="0"/>
              <w:right w:val="single" w:color="auto" w:sz="4" w:space="0"/>
            </w:tcBorders>
            <w:vAlign w:val="center"/>
          </w:tcPr>
          <w:p w14:paraId="0CEAE9F0">
            <w:pPr>
              <w:pStyle w:val="227"/>
              <w:ind w:firstLine="0" w:firstLineChars="0"/>
              <w:jc w:val="center"/>
              <w:rPr>
                <w:color w:val="auto"/>
                <w:highlight w:val="none"/>
              </w:rPr>
            </w:pPr>
            <w:r>
              <w:rPr>
                <w:rFonts w:hint="eastAsia"/>
                <w:color w:val="auto"/>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261E9206">
            <w:pPr>
              <w:pStyle w:val="227"/>
              <w:jc w:val="center"/>
              <w:rPr>
                <w:color w:val="auto"/>
                <w:highlight w:val="none"/>
              </w:rPr>
            </w:pPr>
            <w:r>
              <w:rPr>
                <w:rFonts w:hint="eastAsia"/>
                <w:color w:val="auto"/>
                <w:highlight w:val="none"/>
              </w:rPr>
              <w:t>机械设备防护</w:t>
            </w:r>
          </w:p>
        </w:tc>
        <w:tc>
          <w:tcPr>
            <w:tcW w:w="1545" w:type="dxa"/>
            <w:tcBorders>
              <w:top w:val="single" w:color="auto" w:sz="4" w:space="0"/>
              <w:left w:val="single" w:color="auto" w:sz="4" w:space="0"/>
              <w:bottom w:val="single" w:color="auto" w:sz="4" w:space="0"/>
              <w:right w:val="single" w:color="auto" w:sz="4" w:space="0"/>
            </w:tcBorders>
            <w:vAlign w:val="center"/>
          </w:tcPr>
          <w:p w14:paraId="668124CD">
            <w:pPr>
              <w:pStyle w:val="227"/>
              <w:ind w:firstLine="0" w:firstLineChars="0"/>
              <w:jc w:val="center"/>
              <w:rPr>
                <w:color w:val="auto"/>
                <w:highlight w:val="none"/>
              </w:rPr>
            </w:pPr>
            <w:r>
              <w:rPr>
                <w:rFonts w:hint="eastAsia"/>
                <w:color w:val="auto"/>
                <w:highlight w:val="none"/>
              </w:rPr>
              <w:t>中小型机械</w:t>
            </w:r>
          </w:p>
        </w:tc>
        <w:tc>
          <w:tcPr>
            <w:tcW w:w="6645" w:type="dxa"/>
            <w:tcBorders>
              <w:top w:val="single" w:color="auto" w:sz="4" w:space="0"/>
              <w:left w:val="single" w:color="auto" w:sz="4" w:space="0"/>
              <w:bottom w:val="single" w:color="auto" w:sz="4" w:space="0"/>
              <w:right w:val="single" w:color="auto" w:sz="12" w:space="0"/>
            </w:tcBorders>
            <w:vAlign w:val="center"/>
          </w:tcPr>
          <w:p w14:paraId="00C444C1">
            <w:pPr>
              <w:pStyle w:val="227"/>
              <w:ind w:firstLine="0" w:firstLineChars="0"/>
              <w:rPr>
                <w:color w:val="auto"/>
                <w:highlight w:val="none"/>
              </w:rPr>
            </w:pPr>
            <w:r>
              <w:rPr>
                <w:rFonts w:hint="eastAsia"/>
                <w:color w:val="auto"/>
                <w:highlight w:val="none"/>
              </w:rPr>
              <w:t>设防护棚（同通道口防护并有防雨措施）。</w:t>
            </w:r>
          </w:p>
        </w:tc>
      </w:tr>
      <w:tr w14:paraId="30709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6F54523A">
            <w:pPr>
              <w:pStyle w:val="227"/>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1DE56B91">
            <w:pPr>
              <w:pStyle w:val="227"/>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281E7913">
            <w:pPr>
              <w:pStyle w:val="227"/>
              <w:ind w:firstLine="0" w:firstLineChars="0"/>
              <w:jc w:val="center"/>
              <w:rPr>
                <w:color w:val="auto"/>
                <w:highlight w:val="none"/>
              </w:rPr>
            </w:pPr>
            <w:r>
              <w:rPr>
                <w:rFonts w:hint="eastAsia"/>
                <w:color w:val="auto"/>
                <w:highlight w:val="none"/>
              </w:rPr>
              <w:t>垂直运输设备</w:t>
            </w:r>
          </w:p>
        </w:tc>
        <w:tc>
          <w:tcPr>
            <w:tcW w:w="6645" w:type="dxa"/>
            <w:tcBorders>
              <w:top w:val="single" w:color="auto" w:sz="4" w:space="0"/>
              <w:left w:val="single" w:color="auto" w:sz="4" w:space="0"/>
              <w:bottom w:val="single" w:color="auto" w:sz="4" w:space="0"/>
              <w:right w:val="single" w:color="auto" w:sz="12" w:space="0"/>
            </w:tcBorders>
            <w:vAlign w:val="center"/>
          </w:tcPr>
          <w:p w14:paraId="1A7710BB">
            <w:pPr>
              <w:pStyle w:val="227"/>
              <w:ind w:firstLine="0" w:firstLineChars="0"/>
              <w:rPr>
                <w:color w:val="auto"/>
                <w:highlight w:val="none"/>
              </w:rPr>
            </w:pPr>
            <w:r>
              <w:rPr>
                <w:rFonts w:hint="eastAsia"/>
                <w:color w:val="auto"/>
                <w:highlight w:val="none"/>
              </w:rPr>
              <w:t>1. 垂直运输设备检测、检验、日常维护、保养等。</w:t>
            </w:r>
          </w:p>
          <w:p w14:paraId="304AE5A9">
            <w:pPr>
              <w:pStyle w:val="227"/>
              <w:ind w:firstLine="0" w:firstLineChars="0"/>
              <w:rPr>
                <w:color w:val="auto"/>
                <w:highlight w:val="none"/>
              </w:rPr>
            </w:pPr>
            <w:r>
              <w:rPr>
                <w:rFonts w:hint="eastAsia"/>
                <w:color w:val="auto"/>
                <w:highlight w:val="none"/>
              </w:rPr>
              <w:t>2. 物料提升机、施工电梯等物料平台搭设、外侧用密目式安全立网全封闭，有安全通道、安全防护门、防护棚等。</w:t>
            </w:r>
          </w:p>
        </w:tc>
      </w:tr>
      <w:tr w14:paraId="71AFC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42B04CEA">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89CCEA3">
            <w:pPr>
              <w:pStyle w:val="227"/>
              <w:ind w:firstLine="0" w:firstLineChars="0"/>
              <w:jc w:val="center"/>
              <w:rPr>
                <w:color w:val="auto"/>
                <w:highlight w:val="none"/>
              </w:rPr>
            </w:pPr>
            <w:r>
              <w:rPr>
                <w:rFonts w:hint="eastAsia"/>
                <w:color w:val="auto"/>
                <w:highlight w:val="none"/>
              </w:rPr>
              <w:t>专家论证审查</w:t>
            </w:r>
          </w:p>
        </w:tc>
        <w:tc>
          <w:tcPr>
            <w:tcW w:w="6645" w:type="dxa"/>
            <w:tcBorders>
              <w:top w:val="single" w:color="auto" w:sz="4" w:space="0"/>
              <w:left w:val="single" w:color="auto" w:sz="4" w:space="0"/>
              <w:bottom w:val="single" w:color="auto" w:sz="4" w:space="0"/>
              <w:right w:val="single" w:color="auto" w:sz="12" w:space="0"/>
            </w:tcBorders>
            <w:vAlign w:val="center"/>
          </w:tcPr>
          <w:p w14:paraId="7E77334B">
            <w:pPr>
              <w:pStyle w:val="227"/>
              <w:ind w:firstLine="0" w:firstLineChars="0"/>
              <w:rPr>
                <w:color w:val="auto"/>
                <w:highlight w:val="none"/>
              </w:rPr>
            </w:pPr>
            <w:r>
              <w:rPr>
                <w:rFonts w:hint="eastAsia"/>
                <w:color w:val="auto"/>
                <w:highlight w:val="none"/>
              </w:rPr>
              <w:t>超过一定规模的危险性较大分部分项工程专家论证审查。</w:t>
            </w:r>
          </w:p>
        </w:tc>
      </w:tr>
      <w:tr w14:paraId="6CAAF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4930922C">
            <w:pPr>
              <w:pStyle w:val="227"/>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3D7E648">
            <w:pPr>
              <w:pStyle w:val="227"/>
              <w:ind w:firstLine="0" w:firstLineChars="0"/>
              <w:jc w:val="center"/>
              <w:rPr>
                <w:color w:val="auto"/>
                <w:highlight w:val="none"/>
              </w:rPr>
            </w:pPr>
            <w:r>
              <w:rPr>
                <w:rFonts w:hint="eastAsia"/>
                <w:color w:val="auto"/>
                <w:highlight w:val="none"/>
              </w:rPr>
              <w:t>应急救援预案</w:t>
            </w:r>
          </w:p>
        </w:tc>
        <w:tc>
          <w:tcPr>
            <w:tcW w:w="6645" w:type="dxa"/>
            <w:tcBorders>
              <w:top w:val="single" w:color="auto" w:sz="4" w:space="0"/>
              <w:left w:val="single" w:color="auto" w:sz="4" w:space="0"/>
              <w:bottom w:val="single" w:color="auto" w:sz="4" w:space="0"/>
              <w:right w:val="single" w:color="auto" w:sz="12" w:space="0"/>
            </w:tcBorders>
            <w:vAlign w:val="center"/>
          </w:tcPr>
          <w:p w14:paraId="04949D95">
            <w:pPr>
              <w:pStyle w:val="227"/>
              <w:ind w:firstLine="0" w:firstLineChars="0"/>
              <w:rPr>
                <w:color w:val="auto"/>
                <w:highlight w:val="none"/>
              </w:rPr>
            </w:pPr>
            <w:r>
              <w:rPr>
                <w:rFonts w:hint="eastAsia"/>
                <w:color w:val="auto"/>
                <w:highlight w:val="none"/>
              </w:rPr>
              <w:t>救援器材准备及演练等。</w:t>
            </w:r>
          </w:p>
        </w:tc>
      </w:tr>
      <w:tr w14:paraId="716A3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70F815BA">
            <w:pPr>
              <w:pStyle w:val="227"/>
              <w:jc w:val="center"/>
              <w:rPr>
                <w:color w:val="auto"/>
                <w:highlight w:val="none"/>
              </w:rPr>
            </w:pPr>
          </w:p>
        </w:tc>
        <w:tc>
          <w:tcPr>
            <w:tcW w:w="2070" w:type="dxa"/>
            <w:gridSpan w:val="2"/>
            <w:tcBorders>
              <w:top w:val="single" w:color="auto" w:sz="4" w:space="0"/>
              <w:left w:val="single" w:color="auto" w:sz="4" w:space="0"/>
              <w:bottom w:val="single" w:color="auto" w:sz="12" w:space="0"/>
              <w:right w:val="single" w:color="auto" w:sz="4" w:space="0"/>
            </w:tcBorders>
            <w:vAlign w:val="center"/>
          </w:tcPr>
          <w:p w14:paraId="61E468DE">
            <w:pPr>
              <w:pStyle w:val="227"/>
              <w:ind w:firstLine="0" w:firstLineChars="0"/>
              <w:jc w:val="center"/>
              <w:rPr>
                <w:color w:val="auto"/>
                <w:highlight w:val="none"/>
              </w:rPr>
            </w:pPr>
            <w:r>
              <w:rPr>
                <w:rFonts w:hint="eastAsia"/>
                <w:color w:val="auto"/>
                <w:highlight w:val="none"/>
              </w:rPr>
              <w:t>非正常情况施工</w:t>
            </w:r>
          </w:p>
        </w:tc>
        <w:tc>
          <w:tcPr>
            <w:tcW w:w="6645" w:type="dxa"/>
            <w:tcBorders>
              <w:top w:val="single" w:color="auto" w:sz="4" w:space="0"/>
              <w:left w:val="single" w:color="auto" w:sz="4" w:space="0"/>
              <w:bottom w:val="single" w:color="auto" w:sz="12" w:space="0"/>
              <w:right w:val="single" w:color="auto" w:sz="12" w:space="0"/>
            </w:tcBorders>
            <w:vAlign w:val="center"/>
          </w:tcPr>
          <w:p w14:paraId="75EBE412">
            <w:pPr>
              <w:pStyle w:val="227"/>
              <w:ind w:firstLine="0" w:firstLineChars="0"/>
              <w:rPr>
                <w:color w:val="auto"/>
                <w:highlight w:val="none"/>
              </w:rPr>
            </w:pPr>
            <w:r>
              <w:rPr>
                <w:rFonts w:hint="eastAsia"/>
                <w:color w:val="auto"/>
                <w:highlight w:val="none"/>
              </w:rPr>
              <w:t>其他特殊情况下的防护费用，如：城市主干道、人流密集、河边等处施工及文物、古建筑、古树保护等。</w:t>
            </w:r>
          </w:p>
        </w:tc>
      </w:tr>
    </w:tbl>
    <w:p w14:paraId="5192F650">
      <w:pPr>
        <w:pStyle w:val="227"/>
        <w:rPr>
          <w:color w:val="auto"/>
          <w:highlight w:val="none"/>
        </w:rPr>
      </w:pPr>
      <w:r>
        <w:rPr>
          <w:rFonts w:hint="eastAsia"/>
          <w:color w:val="auto"/>
          <w:highlight w:val="none"/>
        </w:rPr>
        <w:t>注：本表所列建设工程安全文明施工费，是依据《广西壮族自治区建设工程安全文明施工费使用管理细则》（桂建质[2015]16号）确定的。如法律法规和标准、规范修订，本表所列项目应按照修订后的法律法规和标准规范进行调整。</w:t>
      </w:r>
    </w:p>
    <w:p w14:paraId="12B83053">
      <w:pPr>
        <w:pStyle w:val="227"/>
        <w:rPr>
          <w:color w:val="auto"/>
          <w:highlight w:val="none"/>
        </w:rPr>
      </w:pPr>
    </w:p>
    <w:p w14:paraId="05E774B0">
      <w:pPr>
        <w:pStyle w:val="227"/>
        <w:rPr>
          <w:color w:val="auto"/>
          <w:highlight w:val="none"/>
        </w:rPr>
      </w:pPr>
    </w:p>
    <w:p w14:paraId="53449819">
      <w:pPr>
        <w:pStyle w:val="227"/>
        <w:rPr>
          <w:color w:val="auto"/>
          <w:highlight w:val="none"/>
        </w:rPr>
      </w:pPr>
      <w:bookmarkStart w:id="752" w:name="_Toc267261701"/>
    </w:p>
    <w:p w14:paraId="5AA4876F">
      <w:pPr>
        <w:pStyle w:val="227"/>
        <w:rPr>
          <w:color w:val="auto"/>
          <w:highlight w:val="none"/>
        </w:rPr>
        <w:sectPr>
          <w:pgSz w:w="11906" w:h="16838"/>
          <w:pgMar w:top="935" w:right="1106" w:bottom="1440" w:left="1260" w:header="851" w:footer="992" w:gutter="0"/>
          <w:cols w:space="720" w:num="1"/>
          <w:docGrid w:type="lines" w:linePitch="312" w:charSpace="0"/>
        </w:sectPr>
      </w:pPr>
    </w:p>
    <w:p w14:paraId="2B6FFC09">
      <w:pPr>
        <w:pStyle w:val="227"/>
        <w:rPr>
          <w:color w:val="auto"/>
          <w:highlight w:val="none"/>
        </w:rPr>
      </w:pPr>
      <w:r>
        <w:rPr>
          <w:color w:val="auto"/>
          <w:highlight w:val="none"/>
        </w:rPr>
        <w:t>附件</w:t>
      </w:r>
      <w:r>
        <w:rPr>
          <w:rFonts w:hint="eastAsia"/>
          <w:color w:val="auto"/>
          <w:highlight w:val="none"/>
        </w:rPr>
        <w:t>8</w:t>
      </w:r>
      <w:r>
        <w:rPr>
          <w:color w:val="auto"/>
          <w:highlight w:val="none"/>
        </w:rPr>
        <w:t>：</w:t>
      </w:r>
    </w:p>
    <w:p w14:paraId="4BC6D602">
      <w:pPr>
        <w:pStyle w:val="227"/>
        <w:ind w:firstLine="562"/>
        <w:jc w:val="center"/>
        <w:rPr>
          <w:b/>
          <w:bCs/>
          <w:color w:val="auto"/>
          <w:sz w:val="28"/>
          <w:szCs w:val="28"/>
          <w:highlight w:val="none"/>
        </w:rPr>
      </w:pPr>
      <w:r>
        <w:rPr>
          <w:b/>
          <w:bCs/>
          <w:color w:val="auto"/>
          <w:sz w:val="28"/>
          <w:szCs w:val="28"/>
          <w:highlight w:val="none"/>
        </w:rPr>
        <w:t>履约担保</w:t>
      </w:r>
    </w:p>
    <w:p w14:paraId="5050A676">
      <w:pPr>
        <w:pStyle w:val="227"/>
        <w:ind w:firstLine="0" w:firstLineChars="0"/>
        <w:jc w:val="left"/>
        <w:rPr>
          <w:color w:val="auto"/>
          <w:highlight w:val="none"/>
        </w:rPr>
      </w:pPr>
      <w:r>
        <w:rPr>
          <w:rFonts w:hint="eastAsia"/>
          <w:color w:val="auto"/>
          <w:highlight w:val="none"/>
          <w:u w:val="single"/>
        </w:rPr>
        <w:t xml:space="preserve">                </w:t>
      </w:r>
      <w:r>
        <w:rPr>
          <w:color w:val="auto"/>
          <w:highlight w:val="none"/>
        </w:rPr>
        <w:t>（发包人名称）：</w:t>
      </w:r>
    </w:p>
    <w:p w14:paraId="6F17CD10">
      <w:pPr>
        <w:pStyle w:val="227"/>
        <w:rPr>
          <w:color w:val="auto"/>
          <w:highlight w:val="none"/>
        </w:rPr>
      </w:pPr>
    </w:p>
    <w:p w14:paraId="487B39F0">
      <w:pPr>
        <w:pStyle w:val="227"/>
        <w:rPr>
          <w:color w:val="auto"/>
          <w:highlight w:val="none"/>
        </w:rPr>
      </w:pPr>
      <w:r>
        <w:rPr>
          <w:color w:val="auto"/>
          <w:highlight w:val="none"/>
        </w:rPr>
        <w:t>鉴于</w:t>
      </w:r>
      <w:r>
        <w:rPr>
          <w:color w:val="auto"/>
          <w:highlight w:val="none"/>
          <w:u w:val="single"/>
        </w:rPr>
        <w:t xml:space="preserve">                </w:t>
      </w:r>
      <w:r>
        <w:rPr>
          <w:color w:val="auto"/>
          <w:highlight w:val="none"/>
        </w:rPr>
        <w:t>（发包人名称，以下简称“发包人”）与</w:t>
      </w:r>
    </w:p>
    <w:p w14:paraId="20D3D5FB">
      <w:pPr>
        <w:pStyle w:val="227"/>
        <w:rPr>
          <w:color w:val="auto"/>
          <w:highlight w:val="none"/>
        </w:rPr>
      </w:pPr>
      <w:r>
        <w:rPr>
          <w:color w:val="auto"/>
          <w:highlight w:val="none"/>
        </w:rPr>
        <w:t xml:space="preserve"> </w:t>
      </w:r>
      <w:r>
        <w:rPr>
          <w:color w:val="auto"/>
          <w:highlight w:val="none"/>
          <w:u w:val="single"/>
        </w:rPr>
        <w:t xml:space="preserve">                           </w:t>
      </w:r>
      <w:r>
        <w:rPr>
          <w:color w:val="auto"/>
          <w:highlight w:val="none"/>
        </w:rPr>
        <w:t>（承包人名称）（以下称“承包人”）于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日就</w:t>
      </w:r>
      <w:r>
        <w:rPr>
          <w:color w:val="auto"/>
          <w:highlight w:val="none"/>
          <w:u w:val="single"/>
        </w:rPr>
        <w:t xml:space="preserve">                         </w:t>
      </w:r>
      <w:r>
        <w:rPr>
          <w:color w:val="auto"/>
          <w:highlight w:val="none"/>
        </w:rPr>
        <w:t xml:space="preserve">（工程名称）施工及有关事项协商一致共同签订《建设工程施工合同》。我方愿意无条件地、不可撤销地就承包人履行与你方签订的合同，向你方提供连带责任担保。 </w:t>
      </w:r>
    </w:p>
    <w:p w14:paraId="567EFEA4">
      <w:pPr>
        <w:pStyle w:val="227"/>
        <w:rPr>
          <w:color w:val="auto"/>
          <w:highlight w:val="none"/>
        </w:rPr>
      </w:pPr>
      <w:r>
        <w:rPr>
          <w:color w:val="auto"/>
          <w:highlight w:val="none"/>
        </w:rPr>
        <w:t>1. 担保金额人民币（大写）                 元（¥             ）。</w:t>
      </w:r>
    </w:p>
    <w:p w14:paraId="7CCF1F6A">
      <w:pPr>
        <w:pStyle w:val="227"/>
        <w:rPr>
          <w:color w:val="auto"/>
          <w:highlight w:val="none"/>
        </w:rPr>
      </w:pPr>
      <w:r>
        <w:rPr>
          <w:color w:val="auto"/>
          <w:highlight w:val="none"/>
        </w:rPr>
        <w:t>2. 担保有效期自你方与承包人签订的合同生效之日起至你方签发或应签发工程接收证书之日止</w:t>
      </w:r>
      <w:r>
        <w:rPr>
          <w:rFonts w:hint="eastAsia"/>
          <w:color w:val="auto"/>
          <w:highlight w:val="none"/>
        </w:rPr>
        <w:t>，最迟不超过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8EF2207">
      <w:pPr>
        <w:pStyle w:val="227"/>
        <w:rPr>
          <w:color w:val="auto"/>
          <w:highlight w:val="none"/>
        </w:rPr>
      </w:pPr>
      <w:r>
        <w:rPr>
          <w:color w:val="auto"/>
          <w:highlight w:val="none"/>
        </w:rPr>
        <w:t>3. 在本担保有效期内，因承包人违反合同约定的义务给你方造成经济损失时，我方在收到你方以书面形式提出的在担保金额内的赔偿要求后，在7天内无条件支付。</w:t>
      </w:r>
    </w:p>
    <w:p w14:paraId="2B122DC8">
      <w:pPr>
        <w:pStyle w:val="227"/>
        <w:rPr>
          <w:color w:val="auto"/>
          <w:highlight w:val="none"/>
        </w:rPr>
      </w:pPr>
      <w:r>
        <w:rPr>
          <w:color w:val="auto"/>
          <w:highlight w:val="none"/>
        </w:rPr>
        <w:t>4. 你方和承包人按合同约定变更合同时，我方承担本担保规定的义务不变。</w:t>
      </w:r>
    </w:p>
    <w:p w14:paraId="4E6C35A5">
      <w:pPr>
        <w:pStyle w:val="227"/>
        <w:rPr>
          <w:color w:val="auto"/>
          <w:highlight w:val="none"/>
        </w:rPr>
      </w:pPr>
      <w:r>
        <w:rPr>
          <w:color w:val="auto"/>
          <w:highlight w:val="none"/>
        </w:rPr>
        <w:t>5. 因本保函发生的纠纷，可由双方协商解决，协商不成的，任何一方均可提请</w:t>
      </w:r>
      <w:r>
        <w:rPr>
          <w:color w:val="auto"/>
          <w:highlight w:val="none"/>
          <w:u w:val="single"/>
        </w:rPr>
        <w:t xml:space="preserve">        </w:t>
      </w:r>
      <w:r>
        <w:rPr>
          <w:color w:val="auto"/>
          <w:highlight w:val="none"/>
        </w:rPr>
        <w:t>仲裁委员会仲裁。</w:t>
      </w:r>
    </w:p>
    <w:p w14:paraId="4309EDCB">
      <w:pPr>
        <w:pStyle w:val="227"/>
        <w:rPr>
          <w:color w:val="auto"/>
          <w:highlight w:val="none"/>
        </w:rPr>
      </w:pPr>
      <w:r>
        <w:rPr>
          <w:color w:val="auto"/>
          <w:highlight w:val="none"/>
        </w:rPr>
        <w:t>6. 本保函自我方法定代表人（或其授权代理人）签字并加盖公章之日起生效。</w:t>
      </w:r>
    </w:p>
    <w:p w14:paraId="3042EE0A">
      <w:pPr>
        <w:pStyle w:val="227"/>
        <w:rPr>
          <w:color w:val="auto"/>
          <w:highlight w:val="none"/>
        </w:rPr>
      </w:pPr>
    </w:p>
    <w:p w14:paraId="755ED4D0">
      <w:pPr>
        <w:pStyle w:val="227"/>
        <w:rPr>
          <w:color w:val="auto"/>
          <w:highlight w:val="none"/>
        </w:rPr>
      </w:pPr>
      <w:r>
        <w:rPr>
          <w:color w:val="auto"/>
          <w:highlight w:val="none"/>
        </w:rPr>
        <w:t xml:space="preserve">担 保 人：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（盖单位章）</w:t>
      </w:r>
    </w:p>
    <w:p w14:paraId="3134B987">
      <w:pPr>
        <w:pStyle w:val="227"/>
        <w:rPr>
          <w:color w:val="auto"/>
          <w:highlight w:val="none"/>
        </w:rPr>
      </w:pPr>
      <w:r>
        <w:rPr>
          <w:color w:val="auto"/>
          <w:highlight w:val="none"/>
        </w:rPr>
        <w:t>法定代表人或其委托代理人：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（签字）</w:t>
      </w:r>
    </w:p>
    <w:p w14:paraId="62EFAA13">
      <w:pPr>
        <w:pStyle w:val="227"/>
        <w:rPr>
          <w:color w:val="auto"/>
          <w:highlight w:val="none"/>
        </w:rPr>
      </w:pPr>
      <w:r>
        <w:rPr>
          <w:color w:val="auto"/>
          <w:highlight w:val="none"/>
        </w:rPr>
        <w:t xml:space="preserve">地    址：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0A588D12">
      <w:pPr>
        <w:pStyle w:val="227"/>
        <w:rPr>
          <w:color w:val="auto"/>
          <w:highlight w:val="none"/>
        </w:rPr>
      </w:pPr>
      <w:r>
        <w:rPr>
          <w:color w:val="auto"/>
          <w:highlight w:val="none"/>
        </w:rPr>
        <w:t xml:space="preserve">邮政编码：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7FF3C978">
      <w:pPr>
        <w:pStyle w:val="227"/>
        <w:rPr>
          <w:color w:val="auto"/>
          <w:highlight w:val="none"/>
        </w:rPr>
      </w:pPr>
      <w:r>
        <w:rPr>
          <w:color w:val="auto"/>
          <w:highlight w:val="none"/>
        </w:rPr>
        <w:t xml:space="preserve">电    话：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518164DD">
      <w:pPr>
        <w:pStyle w:val="227"/>
        <w:rPr>
          <w:color w:val="auto"/>
          <w:highlight w:val="none"/>
        </w:rPr>
      </w:pPr>
      <w:r>
        <w:rPr>
          <w:color w:val="auto"/>
          <w:highlight w:val="none"/>
        </w:rPr>
        <w:t xml:space="preserve">传    真：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66587A51">
      <w:pPr>
        <w:pStyle w:val="227"/>
        <w:rPr>
          <w:color w:val="auto"/>
          <w:highlight w:val="none"/>
        </w:rPr>
      </w:pPr>
    </w:p>
    <w:p w14:paraId="1C00902E">
      <w:pPr>
        <w:pStyle w:val="227"/>
        <w:rPr>
          <w:color w:val="auto"/>
          <w:highlight w:val="none"/>
        </w:rPr>
      </w:pPr>
      <w:r>
        <w:rPr>
          <w:color w:val="auto"/>
          <w:highlight w:val="none"/>
        </w:rPr>
        <w:t xml:space="preserve">             </w:t>
      </w:r>
      <w:r>
        <w:rPr>
          <w:rFonts w:hint="eastAsia"/>
          <w:color w:val="auto"/>
          <w:highlight w:val="none"/>
        </w:rPr>
        <w:t xml:space="preserve">  </w:t>
      </w:r>
      <w:r>
        <w:rPr>
          <w:color w:val="auto"/>
          <w:highlight w:val="none"/>
        </w:rPr>
        <w:t xml:space="preserve">           年        月        日</w:t>
      </w:r>
    </w:p>
    <w:p w14:paraId="16752553">
      <w:pPr>
        <w:pStyle w:val="227"/>
        <w:rPr>
          <w:color w:val="auto"/>
          <w:highlight w:val="none"/>
        </w:rPr>
      </w:pPr>
    </w:p>
    <w:p w14:paraId="502139D8">
      <w:pPr>
        <w:pStyle w:val="227"/>
        <w:rPr>
          <w:color w:val="auto"/>
          <w:highlight w:val="none"/>
        </w:rPr>
      </w:pPr>
    </w:p>
    <w:p w14:paraId="25F2A3DB">
      <w:pPr>
        <w:pStyle w:val="227"/>
        <w:rPr>
          <w:color w:val="auto"/>
          <w:highlight w:val="none"/>
        </w:rPr>
      </w:pPr>
    </w:p>
    <w:p w14:paraId="4E4BD8E6">
      <w:pPr>
        <w:pStyle w:val="227"/>
        <w:rPr>
          <w:color w:val="auto"/>
          <w:highlight w:val="none"/>
        </w:rPr>
      </w:pPr>
    </w:p>
    <w:p w14:paraId="09349981">
      <w:pPr>
        <w:pStyle w:val="227"/>
        <w:rPr>
          <w:color w:val="auto"/>
          <w:highlight w:val="none"/>
        </w:rPr>
      </w:pPr>
    </w:p>
    <w:p w14:paraId="76D3E354">
      <w:pPr>
        <w:pStyle w:val="227"/>
        <w:rPr>
          <w:color w:val="auto"/>
          <w:highlight w:val="none"/>
        </w:rPr>
      </w:pPr>
    </w:p>
    <w:p w14:paraId="01BD3E8E">
      <w:pPr>
        <w:pStyle w:val="227"/>
        <w:rPr>
          <w:color w:val="auto"/>
          <w:highlight w:val="none"/>
        </w:rPr>
      </w:pPr>
    </w:p>
    <w:p w14:paraId="471A86E0">
      <w:pPr>
        <w:pStyle w:val="227"/>
        <w:rPr>
          <w:color w:val="auto"/>
          <w:highlight w:val="none"/>
        </w:rPr>
      </w:pPr>
    </w:p>
    <w:p w14:paraId="33FC40CF">
      <w:pPr>
        <w:pStyle w:val="227"/>
        <w:rPr>
          <w:color w:val="auto"/>
          <w:highlight w:val="none"/>
        </w:rPr>
      </w:pPr>
    </w:p>
    <w:p w14:paraId="550463D7">
      <w:pPr>
        <w:pStyle w:val="227"/>
        <w:rPr>
          <w:color w:val="auto"/>
          <w:highlight w:val="none"/>
        </w:rPr>
      </w:pPr>
      <w:r>
        <w:rPr>
          <w:color w:val="auto"/>
          <w:highlight w:val="none"/>
        </w:rPr>
        <w:t>附件</w:t>
      </w:r>
      <w:r>
        <w:rPr>
          <w:rFonts w:hint="eastAsia"/>
          <w:color w:val="auto"/>
          <w:highlight w:val="none"/>
        </w:rPr>
        <w:t>9</w:t>
      </w:r>
      <w:r>
        <w:rPr>
          <w:color w:val="auto"/>
          <w:highlight w:val="none"/>
        </w:rPr>
        <w:t>：</w:t>
      </w:r>
    </w:p>
    <w:p w14:paraId="3B469259">
      <w:pPr>
        <w:pStyle w:val="227"/>
        <w:rPr>
          <w:color w:val="auto"/>
          <w:highlight w:val="none"/>
        </w:rPr>
      </w:pPr>
    </w:p>
    <w:p w14:paraId="56895364">
      <w:pPr>
        <w:pStyle w:val="227"/>
        <w:ind w:firstLine="482"/>
        <w:jc w:val="center"/>
        <w:rPr>
          <w:b/>
          <w:bCs/>
          <w:color w:val="auto"/>
          <w:sz w:val="24"/>
          <w:szCs w:val="24"/>
          <w:highlight w:val="none"/>
        </w:rPr>
      </w:pPr>
      <w:r>
        <w:rPr>
          <w:rFonts w:hint="eastAsia"/>
          <w:b/>
          <w:bCs/>
          <w:color w:val="auto"/>
          <w:sz w:val="24"/>
          <w:szCs w:val="24"/>
          <w:highlight w:val="none"/>
        </w:rPr>
        <w:t>履约保函</w:t>
      </w:r>
    </w:p>
    <w:p w14:paraId="1581CEE1">
      <w:pPr>
        <w:pStyle w:val="227"/>
        <w:ind w:firstLine="482"/>
        <w:jc w:val="center"/>
        <w:rPr>
          <w:b/>
          <w:bCs/>
          <w:color w:val="auto"/>
          <w:sz w:val="24"/>
          <w:szCs w:val="24"/>
          <w:highlight w:val="none"/>
        </w:rPr>
      </w:pPr>
      <w:r>
        <w:rPr>
          <w:rFonts w:hint="eastAsia"/>
          <w:b/>
          <w:bCs/>
          <w:color w:val="auto"/>
          <w:sz w:val="24"/>
          <w:szCs w:val="24"/>
          <w:highlight w:val="none"/>
        </w:rPr>
        <w:t>（独立保函）</w:t>
      </w:r>
    </w:p>
    <w:p w14:paraId="7EB41AAD">
      <w:pPr>
        <w:pStyle w:val="227"/>
        <w:rPr>
          <w:color w:val="auto"/>
          <w:highlight w:val="none"/>
        </w:rPr>
      </w:pPr>
      <w:r>
        <w:rPr>
          <w:rFonts w:hint="eastAsia"/>
          <w:color w:val="auto"/>
          <w:highlight w:val="none"/>
        </w:rPr>
        <w:t xml:space="preserve">编号：           </w:t>
      </w:r>
    </w:p>
    <w:p w14:paraId="21CA94D0">
      <w:pPr>
        <w:pStyle w:val="227"/>
        <w:rPr>
          <w:color w:val="auto"/>
          <w:highlight w:val="none"/>
        </w:rPr>
      </w:pPr>
      <w:r>
        <w:rPr>
          <w:rFonts w:hint="eastAsia"/>
          <w:color w:val="auto"/>
          <w:highlight w:val="none"/>
        </w:rPr>
        <w:t>申请人：</w:t>
      </w:r>
    </w:p>
    <w:p w14:paraId="4CB45490">
      <w:pPr>
        <w:pStyle w:val="227"/>
        <w:rPr>
          <w:color w:val="auto"/>
          <w:highlight w:val="none"/>
        </w:rPr>
      </w:pPr>
      <w:r>
        <w:rPr>
          <w:rFonts w:hint="eastAsia"/>
          <w:color w:val="auto"/>
          <w:highlight w:val="none"/>
        </w:rPr>
        <w:t xml:space="preserve">  地址：</w:t>
      </w:r>
    </w:p>
    <w:p w14:paraId="4E02594E">
      <w:pPr>
        <w:pStyle w:val="227"/>
        <w:rPr>
          <w:color w:val="auto"/>
          <w:highlight w:val="none"/>
        </w:rPr>
      </w:pPr>
      <w:r>
        <w:rPr>
          <w:rFonts w:hint="eastAsia"/>
          <w:color w:val="auto"/>
          <w:highlight w:val="none"/>
        </w:rPr>
        <w:t>受益人：</w:t>
      </w:r>
    </w:p>
    <w:p w14:paraId="47A4EA22">
      <w:pPr>
        <w:pStyle w:val="227"/>
        <w:rPr>
          <w:color w:val="auto"/>
          <w:highlight w:val="none"/>
        </w:rPr>
      </w:pPr>
      <w:r>
        <w:rPr>
          <w:rFonts w:hint="eastAsia"/>
          <w:color w:val="auto"/>
          <w:highlight w:val="none"/>
        </w:rPr>
        <w:t xml:space="preserve">  地址：</w:t>
      </w:r>
    </w:p>
    <w:p w14:paraId="2BFBCDE6">
      <w:pPr>
        <w:pStyle w:val="227"/>
        <w:rPr>
          <w:color w:val="auto"/>
          <w:highlight w:val="none"/>
        </w:rPr>
      </w:pPr>
      <w:r>
        <w:rPr>
          <w:rFonts w:hint="eastAsia"/>
          <w:color w:val="auto"/>
          <w:highlight w:val="none"/>
        </w:rPr>
        <w:t>开立人：</w:t>
      </w:r>
    </w:p>
    <w:p w14:paraId="4CC96B17">
      <w:pPr>
        <w:pStyle w:val="227"/>
        <w:rPr>
          <w:color w:val="auto"/>
          <w:highlight w:val="none"/>
        </w:rPr>
      </w:pPr>
      <w:r>
        <w:rPr>
          <w:rFonts w:hint="eastAsia"/>
          <w:color w:val="auto"/>
          <w:highlight w:val="none"/>
        </w:rPr>
        <w:t xml:space="preserve">  地址：</w:t>
      </w:r>
    </w:p>
    <w:p w14:paraId="4E4F9EC7">
      <w:pPr>
        <w:pStyle w:val="227"/>
        <w:rPr>
          <w:color w:val="auto"/>
          <w:highlight w:val="none"/>
        </w:rPr>
      </w:pPr>
      <w:r>
        <w:rPr>
          <w:rFonts w:hint="eastAsia"/>
          <w:color w:val="auto"/>
          <w:highlight w:val="none"/>
        </w:rPr>
        <w:t xml:space="preserve"> </w:t>
      </w:r>
    </w:p>
    <w:p w14:paraId="6F7EAFBD">
      <w:pPr>
        <w:pStyle w:val="227"/>
        <w:rPr>
          <w:color w:val="auto"/>
          <w:highlight w:val="none"/>
        </w:rPr>
      </w:pPr>
      <w:r>
        <w:rPr>
          <w:rFonts w:hint="eastAsia"/>
          <w:color w:val="auto"/>
          <w:highlight w:val="none"/>
        </w:rPr>
        <w:t xml:space="preserve">              （受益人名称）： </w:t>
      </w:r>
    </w:p>
    <w:p w14:paraId="65A6A1E1">
      <w:pPr>
        <w:pStyle w:val="227"/>
        <w:rPr>
          <w:color w:val="auto"/>
          <w:highlight w:val="none"/>
        </w:rPr>
      </w:pPr>
      <w:r>
        <w:rPr>
          <w:rFonts w:hint="eastAsia"/>
          <w:color w:val="auto"/>
          <w:highlight w:val="none"/>
        </w:rPr>
        <w:t>鉴于</w:t>
      </w:r>
      <w:r>
        <w:rPr>
          <w:rFonts w:hint="eastAsia"/>
          <w:color w:val="auto"/>
          <w:highlight w:val="none"/>
          <w:u w:val="single"/>
        </w:rPr>
        <w:t xml:space="preserve">        </w:t>
      </w:r>
      <w:r>
        <w:rPr>
          <w:rFonts w:hint="eastAsia"/>
          <w:color w:val="auto"/>
          <w:highlight w:val="none"/>
        </w:rPr>
        <w:t>（以下简称“受益人”）与</w:t>
      </w:r>
      <w:r>
        <w:rPr>
          <w:rFonts w:hint="eastAsia"/>
          <w:color w:val="auto"/>
          <w:highlight w:val="none"/>
          <w:u w:val="single"/>
        </w:rPr>
        <w:t xml:space="preserve">         </w:t>
      </w:r>
      <w:r>
        <w:rPr>
          <w:rFonts w:hint="eastAsia"/>
          <w:color w:val="auto"/>
          <w:highlight w:val="none"/>
        </w:rPr>
        <w:t>（以下简称“申请人”）于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日就</w:t>
      </w:r>
      <w:r>
        <w:rPr>
          <w:rFonts w:hint="eastAsia"/>
          <w:color w:val="auto"/>
          <w:highlight w:val="none"/>
          <w:u w:val="single"/>
        </w:rPr>
        <w:t xml:space="preserve">           </w:t>
      </w:r>
      <w:r>
        <w:rPr>
          <w:rFonts w:hint="eastAsia"/>
          <w:color w:val="auto"/>
          <w:highlight w:val="none"/>
        </w:rPr>
        <w:t>工程（以下简称“本工程”）施工和有关事项协商一致共同签订</w:t>
      </w:r>
      <w:r>
        <w:rPr>
          <w:rFonts w:hint="eastAsia"/>
          <w:color w:val="auto"/>
          <w:highlight w:val="none"/>
          <w:u w:val="single"/>
        </w:rPr>
        <w:t>《        》</w:t>
      </w:r>
      <w:r>
        <w:rPr>
          <w:rFonts w:hint="eastAsia"/>
          <w:color w:val="auto"/>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72165B38">
      <w:pPr>
        <w:pStyle w:val="227"/>
        <w:rPr>
          <w:color w:val="auto"/>
          <w:highlight w:val="none"/>
        </w:rPr>
      </w:pPr>
      <w:r>
        <w:rPr>
          <w:rFonts w:hint="eastAsia"/>
          <w:color w:val="auto"/>
          <w:highlight w:val="none"/>
        </w:rPr>
        <w:t>一、本保函担保范围：承包人未按照基础合同的约定履行义务，应当向贵方承担的违约责任和赔偿因此造成的损失、利息、律师费、诉讼费用等实现债权的费用。</w:t>
      </w:r>
    </w:p>
    <w:p w14:paraId="45179FD7">
      <w:pPr>
        <w:pStyle w:val="227"/>
        <w:rPr>
          <w:color w:val="auto"/>
          <w:highlight w:val="none"/>
        </w:rPr>
      </w:pPr>
      <w:r>
        <w:rPr>
          <w:rFonts w:hint="eastAsia"/>
          <w:color w:val="auto"/>
          <w:highlight w:val="none"/>
        </w:rPr>
        <w:t>二、本保函担保金额最高不超过人民币（大写）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 xml:space="preserve">）。 </w:t>
      </w:r>
    </w:p>
    <w:p w14:paraId="3386667C">
      <w:pPr>
        <w:pStyle w:val="227"/>
        <w:rPr>
          <w:color w:val="auto"/>
          <w:highlight w:val="none"/>
        </w:rPr>
      </w:pPr>
      <w:r>
        <w:rPr>
          <w:rFonts w:hint="eastAsia"/>
          <w:color w:val="auto"/>
          <w:highlight w:val="none"/>
        </w:rPr>
        <w:t>三、本保函有效期自开立之日起至基础合同约定的缺陷责任期后</w:t>
      </w:r>
      <w:r>
        <w:rPr>
          <w:rFonts w:hint="eastAsia"/>
          <w:color w:val="auto"/>
          <w:highlight w:val="none"/>
          <w:u w:val="single"/>
        </w:rPr>
        <w:t xml:space="preserve">   </w:t>
      </w:r>
      <w:r>
        <w:rPr>
          <w:rFonts w:hint="eastAsia"/>
          <w:color w:val="auto"/>
          <w:highlight w:val="none"/>
        </w:rPr>
        <w:t>日止，最迟不超过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0A3446DF">
      <w:pPr>
        <w:pStyle w:val="227"/>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w:t>
      </w:r>
      <w:r>
        <w:rPr>
          <w:rFonts w:hint="eastAsia"/>
          <w:color w:val="auto"/>
          <w:highlight w:val="none"/>
        </w:rPr>
        <w:t>日内无条件支付，前述书面付款通知即为付款要求之单据，且应满足以下要求：</w:t>
      </w:r>
    </w:p>
    <w:p w14:paraId="621FB4F8">
      <w:pPr>
        <w:pStyle w:val="227"/>
        <w:rPr>
          <w:color w:val="auto"/>
          <w:highlight w:val="none"/>
        </w:rPr>
      </w:pPr>
      <w:r>
        <w:rPr>
          <w:rFonts w:hint="eastAsia"/>
          <w:color w:val="auto"/>
          <w:highlight w:val="none"/>
        </w:rPr>
        <w:t>（1）付款通知到达的日期在本保函的有效期内；</w:t>
      </w:r>
    </w:p>
    <w:p w14:paraId="55B09264">
      <w:pPr>
        <w:pStyle w:val="227"/>
        <w:rPr>
          <w:color w:val="auto"/>
          <w:highlight w:val="none"/>
        </w:rPr>
      </w:pPr>
      <w:r>
        <w:rPr>
          <w:rFonts w:hint="eastAsia"/>
          <w:color w:val="auto"/>
          <w:highlight w:val="none"/>
        </w:rPr>
        <w:t>（2）载明要求支付的金额；</w:t>
      </w:r>
    </w:p>
    <w:p w14:paraId="3F0F0796">
      <w:pPr>
        <w:pStyle w:val="227"/>
        <w:rPr>
          <w:color w:val="auto"/>
          <w:highlight w:val="none"/>
        </w:rPr>
      </w:pPr>
      <w:r>
        <w:rPr>
          <w:rFonts w:hint="eastAsia"/>
          <w:color w:val="auto"/>
          <w:highlight w:val="none"/>
        </w:rPr>
        <w:t>（3）载明申请人违反合同义务的条款和内容；</w:t>
      </w:r>
    </w:p>
    <w:p w14:paraId="0FA96CE2">
      <w:pPr>
        <w:pStyle w:val="227"/>
        <w:rPr>
          <w:color w:val="auto"/>
          <w:highlight w:val="none"/>
        </w:rPr>
      </w:pPr>
      <w:r>
        <w:rPr>
          <w:rFonts w:hint="eastAsia"/>
          <w:color w:val="auto"/>
          <w:highlight w:val="none"/>
        </w:rPr>
        <w:t>（4）声明不存在合同文件约定或我国法律规定免除申请人或开立人支付责任的情形；</w:t>
      </w:r>
    </w:p>
    <w:p w14:paraId="2C9F0FC9">
      <w:pPr>
        <w:pStyle w:val="227"/>
        <w:rPr>
          <w:color w:val="auto"/>
          <w:highlight w:val="none"/>
        </w:rPr>
      </w:pPr>
      <w:r>
        <w:rPr>
          <w:rFonts w:hint="eastAsia"/>
          <w:color w:val="auto"/>
          <w:highlight w:val="none"/>
        </w:rPr>
        <w:t>（5）付款通知应在本保函有效期内到达的地址是：</w:t>
      </w:r>
      <w:r>
        <w:rPr>
          <w:rFonts w:hint="eastAsia"/>
          <w:color w:val="auto"/>
          <w:highlight w:val="none"/>
          <w:u w:val="single"/>
        </w:rPr>
        <w:t xml:space="preserve">             </w:t>
      </w:r>
      <w:r>
        <w:rPr>
          <w:rFonts w:hint="eastAsia"/>
          <w:color w:val="auto"/>
          <w:highlight w:val="none"/>
        </w:rPr>
        <w:t>。</w:t>
      </w:r>
    </w:p>
    <w:p w14:paraId="3B84298A">
      <w:pPr>
        <w:pStyle w:val="227"/>
        <w:rPr>
          <w:color w:val="auto"/>
          <w:highlight w:val="none"/>
        </w:rPr>
      </w:pPr>
      <w:r>
        <w:rPr>
          <w:rFonts w:hint="eastAsia"/>
          <w:color w:val="auto"/>
          <w:highlight w:val="none"/>
        </w:rPr>
        <w:t>受益人发出的书面付款通知应由其为鉴明受益人法定代表人（负责人）或授权代理人签字并加盖公章。</w:t>
      </w:r>
    </w:p>
    <w:p w14:paraId="3E7DEFCC">
      <w:pPr>
        <w:pStyle w:val="227"/>
        <w:rPr>
          <w:color w:val="auto"/>
          <w:highlight w:val="none"/>
        </w:rPr>
      </w:pPr>
      <w:r>
        <w:rPr>
          <w:rFonts w:hint="eastAsia"/>
          <w:color w:val="auto"/>
          <w:highlight w:val="none"/>
        </w:rPr>
        <w:t xml:space="preserve">五、本保函项下的权利不得转让，不得设定担保。贵方未经我方书面同意转 让本保函或其项下任何权利，对我方不发生法律效力。 </w:t>
      </w:r>
    </w:p>
    <w:p w14:paraId="20CEEA31">
      <w:pPr>
        <w:pStyle w:val="227"/>
        <w:rPr>
          <w:color w:val="auto"/>
          <w:highlight w:val="none"/>
        </w:rPr>
      </w:pPr>
      <w:r>
        <w:rPr>
          <w:rFonts w:hint="eastAsia"/>
          <w:color w:val="auto"/>
          <w:highlight w:val="none"/>
        </w:rPr>
        <w:t xml:space="preserve">六、与本保函有关的基础合同不成立、不生效、无效、被撤销、被解除，不影响本保函的独立有效。 </w:t>
      </w:r>
    </w:p>
    <w:p w14:paraId="513E2AEF">
      <w:pPr>
        <w:pStyle w:val="227"/>
        <w:rPr>
          <w:color w:val="auto"/>
          <w:highlight w:val="none"/>
        </w:rPr>
      </w:pPr>
      <w:r>
        <w:rPr>
          <w:rFonts w:hint="eastAsia"/>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3C6ECF1">
      <w:pPr>
        <w:pStyle w:val="227"/>
        <w:rPr>
          <w:color w:val="auto"/>
          <w:highlight w:val="none"/>
        </w:rPr>
      </w:pPr>
      <w:r>
        <w:rPr>
          <w:rFonts w:hint="eastAsia"/>
          <w:color w:val="auto"/>
          <w:highlight w:val="none"/>
        </w:rPr>
        <w:t>八、本保函适用的法律为中华人民共和国法律，争议裁判管辖地为中华人民共和国</w:t>
      </w:r>
      <w:r>
        <w:rPr>
          <w:rFonts w:hint="eastAsia"/>
          <w:color w:val="auto"/>
          <w:highlight w:val="none"/>
          <w:u w:val="single"/>
        </w:rPr>
        <w:t xml:space="preserve">     </w:t>
      </w:r>
      <w:r>
        <w:rPr>
          <w:rFonts w:hint="eastAsia"/>
          <w:color w:val="auto"/>
          <w:highlight w:val="none"/>
        </w:rPr>
        <w:t xml:space="preserve">。 </w:t>
      </w:r>
    </w:p>
    <w:p w14:paraId="00D4F1C1">
      <w:pPr>
        <w:pStyle w:val="227"/>
        <w:rPr>
          <w:color w:val="auto"/>
          <w:highlight w:val="none"/>
        </w:rPr>
      </w:pPr>
      <w:r>
        <w:rPr>
          <w:rFonts w:hint="eastAsia"/>
          <w:color w:val="auto"/>
          <w:highlight w:val="none"/>
        </w:rPr>
        <w:t xml:space="preserve">九、本保函自我方法定代表人或授权代表签字并加盖公章之日起生效。 </w:t>
      </w:r>
    </w:p>
    <w:p w14:paraId="34D642A5">
      <w:pPr>
        <w:pStyle w:val="227"/>
        <w:rPr>
          <w:color w:val="auto"/>
          <w:highlight w:val="none"/>
        </w:rPr>
      </w:pPr>
      <w:r>
        <w:rPr>
          <w:rFonts w:hint="eastAsia"/>
          <w:color w:val="auto"/>
          <w:highlight w:val="none"/>
        </w:rPr>
        <w:t xml:space="preserve">开 立 人：                              （公章） </w:t>
      </w:r>
    </w:p>
    <w:p w14:paraId="670A8B7D">
      <w:pPr>
        <w:pStyle w:val="227"/>
        <w:rPr>
          <w:color w:val="auto"/>
          <w:highlight w:val="none"/>
        </w:rPr>
      </w:pPr>
      <w:r>
        <w:rPr>
          <w:rFonts w:hint="eastAsia"/>
          <w:color w:val="auto"/>
          <w:highlight w:val="none"/>
        </w:rPr>
        <w:t xml:space="preserve">法定代表人（或授权代表）：               （签字） </w:t>
      </w:r>
    </w:p>
    <w:p w14:paraId="78AD2C00">
      <w:pPr>
        <w:pStyle w:val="227"/>
        <w:rPr>
          <w:color w:val="auto"/>
          <w:highlight w:val="none"/>
        </w:rPr>
      </w:pPr>
      <w:r>
        <w:rPr>
          <w:rFonts w:hint="eastAsia"/>
          <w:color w:val="auto"/>
          <w:highlight w:val="none"/>
        </w:rPr>
        <w:t xml:space="preserve">地    址：                                       </w:t>
      </w:r>
    </w:p>
    <w:p w14:paraId="0C9941D4">
      <w:pPr>
        <w:pStyle w:val="227"/>
        <w:rPr>
          <w:color w:val="auto"/>
          <w:highlight w:val="none"/>
        </w:rPr>
      </w:pPr>
      <w:r>
        <w:rPr>
          <w:rFonts w:hint="eastAsia"/>
          <w:color w:val="auto"/>
          <w:highlight w:val="none"/>
        </w:rPr>
        <w:t xml:space="preserve">邮政编码：                 </w:t>
      </w:r>
    </w:p>
    <w:p w14:paraId="22FC4794">
      <w:pPr>
        <w:pStyle w:val="227"/>
        <w:rPr>
          <w:color w:val="auto"/>
          <w:highlight w:val="none"/>
        </w:rPr>
      </w:pPr>
      <w:r>
        <w:rPr>
          <w:rFonts w:hint="eastAsia"/>
          <w:color w:val="auto"/>
          <w:highlight w:val="none"/>
        </w:rPr>
        <w:t xml:space="preserve">电    话：                 </w:t>
      </w:r>
    </w:p>
    <w:p w14:paraId="05104F1A">
      <w:pPr>
        <w:pStyle w:val="227"/>
        <w:rPr>
          <w:color w:val="auto"/>
          <w:highlight w:val="none"/>
        </w:rPr>
      </w:pPr>
      <w:r>
        <w:rPr>
          <w:rFonts w:hint="eastAsia"/>
          <w:color w:val="auto"/>
          <w:highlight w:val="none"/>
        </w:rPr>
        <w:t xml:space="preserve">传    真：                 </w:t>
      </w:r>
    </w:p>
    <w:p w14:paraId="36F9D44D">
      <w:pPr>
        <w:pStyle w:val="227"/>
        <w:rPr>
          <w:color w:val="auto"/>
          <w:highlight w:val="none"/>
        </w:rPr>
      </w:pPr>
      <w:r>
        <w:rPr>
          <w:rFonts w:hint="eastAsia"/>
          <w:color w:val="auto"/>
          <w:highlight w:val="none"/>
        </w:rPr>
        <w:t xml:space="preserve">开立时间：      年      月    </w:t>
      </w:r>
    </w:p>
    <w:p w14:paraId="00F6E5FF">
      <w:pPr>
        <w:pStyle w:val="227"/>
        <w:rPr>
          <w:color w:val="auto"/>
          <w:highlight w:val="none"/>
        </w:rPr>
      </w:pPr>
    </w:p>
    <w:p w14:paraId="763BFD7E">
      <w:pPr>
        <w:pStyle w:val="227"/>
        <w:rPr>
          <w:color w:val="auto"/>
          <w:highlight w:val="none"/>
        </w:rPr>
      </w:pPr>
    </w:p>
    <w:p w14:paraId="3D35D8EC">
      <w:pPr>
        <w:pStyle w:val="227"/>
        <w:rPr>
          <w:color w:val="auto"/>
          <w:highlight w:val="none"/>
        </w:rPr>
      </w:pPr>
    </w:p>
    <w:p w14:paraId="51B9CED5">
      <w:pPr>
        <w:pStyle w:val="227"/>
        <w:rPr>
          <w:color w:val="auto"/>
          <w:highlight w:val="none"/>
        </w:rPr>
      </w:pPr>
    </w:p>
    <w:p w14:paraId="3313ADF9">
      <w:pPr>
        <w:pStyle w:val="227"/>
        <w:rPr>
          <w:color w:val="auto"/>
          <w:highlight w:val="none"/>
        </w:rPr>
      </w:pPr>
    </w:p>
    <w:p w14:paraId="4C9DE424">
      <w:pPr>
        <w:pStyle w:val="227"/>
        <w:rPr>
          <w:color w:val="auto"/>
          <w:highlight w:val="none"/>
        </w:rPr>
      </w:pPr>
    </w:p>
    <w:p w14:paraId="2807A72F">
      <w:pPr>
        <w:pStyle w:val="227"/>
        <w:rPr>
          <w:color w:val="auto"/>
          <w:highlight w:val="none"/>
        </w:rPr>
      </w:pPr>
    </w:p>
    <w:p w14:paraId="3892D639">
      <w:pPr>
        <w:pStyle w:val="227"/>
        <w:rPr>
          <w:color w:val="auto"/>
          <w:highlight w:val="none"/>
        </w:rPr>
      </w:pPr>
    </w:p>
    <w:p w14:paraId="051D43D8">
      <w:pPr>
        <w:pStyle w:val="227"/>
        <w:rPr>
          <w:color w:val="auto"/>
          <w:highlight w:val="none"/>
        </w:rPr>
      </w:pPr>
    </w:p>
    <w:p w14:paraId="38B18C98">
      <w:pPr>
        <w:pStyle w:val="227"/>
        <w:rPr>
          <w:color w:val="auto"/>
          <w:highlight w:val="none"/>
        </w:rPr>
      </w:pPr>
    </w:p>
    <w:p w14:paraId="42B398B6">
      <w:pPr>
        <w:pStyle w:val="227"/>
        <w:rPr>
          <w:color w:val="auto"/>
          <w:highlight w:val="none"/>
        </w:rPr>
      </w:pPr>
    </w:p>
    <w:p w14:paraId="07BCE9B6">
      <w:pPr>
        <w:pStyle w:val="227"/>
        <w:rPr>
          <w:color w:val="auto"/>
          <w:highlight w:val="none"/>
        </w:rPr>
      </w:pPr>
    </w:p>
    <w:p w14:paraId="55D0753C">
      <w:pPr>
        <w:pStyle w:val="227"/>
        <w:rPr>
          <w:color w:val="auto"/>
          <w:highlight w:val="none"/>
        </w:rPr>
      </w:pPr>
    </w:p>
    <w:p w14:paraId="6D04F42D">
      <w:pPr>
        <w:pStyle w:val="227"/>
        <w:rPr>
          <w:color w:val="auto"/>
          <w:highlight w:val="none"/>
        </w:rPr>
      </w:pPr>
    </w:p>
    <w:p w14:paraId="24E4F3D6">
      <w:pPr>
        <w:pStyle w:val="227"/>
        <w:rPr>
          <w:color w:val="auto"/>
          <w:highlight w:val="none"/>
        </w:rPr>
      </w:pPr>
    </w:p>
    <w:p w14:paraId="2C64A0A6">
      <w:pPr>
        <w:pStyle w:val="227"/>
        <w:rPr>
          <w:color w:val="auto"/>
          <w:highlight w:val="none"/>
        </w:rPr>
      </w:pPr>
    </w:p>
    <w:p w14:paraId="1554DD9E">
      <w:pPr>
        <w:pStyle w:val="227"/>
        <w:rPr>
          <w:color w:val="auto"/>
          <w:highlight w:val="none"/>
        </w:rPr>
      </w:pPr>
    </w:p>
    <w:p w14:paraId="308C496A">
      <w:pPr>
        <w:pStyle w:val="227"/>
        <w:rPr>
          <w:color w:val="auto"/>
          <w:highlight w:val="none"/>
        </w:rPr>
      </w:pPr>
    </w:p>
    <w:p w14:paraId="3C227854">
      <w:pPr>
        <w:pStyle w:val="227"/>
        <w:rPr>
          <w:color w:val="auto"/>
          <w:highlight w:val="none"/>
        </w:rPr>
      </w:pPr>
    </w:p>
    <w:p w14:paraId="03A4FD8A">
      <w:pPr>
        <w:pStyle w:val="227"/>
        <w:rPr>
          <w:color w:val="auto"/>
          <w:highlight w:val="none"/>
        </w:rPr>
      </w:pPr>
    </w:p>
    <w:p w14:paraId="244853C3">
      <w:pPr>
        <w:pStyle w:val="227"/>
        <w:rPr>
          <w:color w:val="auto"/>
          <w:highlight w:val="none"/>
        </w:rPr>
      </w:pPr>
    </w:p>
    <w:p w14:paraId="4A559226">
      <w:pPr>
        <w:pStyle w:val="227"/>
        <w:rPr>
          <w:color w:val="auto"/>
          <w:highlight w:val="none"/>
        </w:rPr>
      </w:pPr>
    </w:p>
    <w:p w14:paraId="23B47478">
      <w:pPr>
        <w:pStyle w:val="227"/>
        <w:rPr>
          <w:color w:val="auto"/>
          <w:highlight w:val="none"/>
        </w:rPr>
      </w:pPr>
    </w:p>
    <w:p w14:paraId="3A1AF806">
      <w:pPr>
        <w:pStyle w:val="227"/>
        <w:rPr>
          <w:color w:val="auto"/>
          <w:highlight w:val="none"/>
        </w:rPr>
      </w:pPr>
    </w:p>
    <w:p w14:paraId="523A5B69">
      <w:pPr>
        <w:pStyle w:val="227"/>
        <w:rPr>
          <w:color w:val="auto"/>
          <w:highlight w:val="none"/>
        </w:rPr>
      </w:pPr>
      <w:r>
        <w:rPr>
          <w:color w:val="auto"/>
          <w:highlight w:val="none"/>
        </w:rPr>
        <w:t>附</w:t>
      </w:r>
      <w:bookmarkStart w:id="753" w:name="_Toc296503232"/>
      <w:bookmarkStart w:id="754" w:name="_Toc267261702"/>
      <w:bookmarkStart w:id="755" w:name="_Toc296346733"/>
      <w:bookmarkStart w:id="756" w:name="_Toc296891060"/>
      <w:bookmarkStart w:id="757" w:name="_Toc296347231"/>
      <w:bookmarkStart w:id="758" w:name="_Toc296891272"/>
      <w:bookmarkStart w:id="759" w:name="_Toc296944571"/>
      <w:r>
        <w:rPr>
          <w:color w:val="auto"/>
          <w:highlight w:val="none"/>
        </w:rPr>
        <w:t>件</w:t>
      </w:r>
      <w:r>
        <w:rPr>
          <w:rFonts w:hint="eastAsia"/>
          <w:color w:val="auto"/>
          <w:highlight w:val="none"/>
        </w:rPr>
        <w:t>10</w:t>
      </w:r>
      <w:r>
        <w:rPr>
          <w:color w:val="auto"/>
          <w:highlight w:val="none"/>
        </w:rPr>
        <w:t xml:space="preserve"> ：</w:t>
      </w:r>
    </w:p>
    <w:bookmarkEnd w:id="753"/>
    <w:bookmarkEnd w:id="754"/>
    <w:bookmarkEnd w:id="755"/>
    <w:bookmarkEnd w:id="756"/>
    <w:bookmarkEnd w:id="757"/>
    <w:bookmarkEnd w:id="758"/>
    <w:bookmarkEnd w:id="759"/>
    <w:p w14:paraId="5CCB6EE0">
      <w:pPr>
        <w:pStyle w:val="227"/>
        <w:ind w:firstLine="562"/>
        <w:jc w:val="center"/>
        <w:rPr>
          <w:b/>
          <w:bCs/>
          <w:color w:val="auto"/>
          <w:sz w:val="28"/>
          <w:szCs w:val="28"/>
          <w:highlight w:val="none"/>
        </w:rPr>
      </w:pPr>
      <w:r>
        <w:rPr>
          <w:b/>
          <w:bCs/>
          <w:color w:val="auto"/>
          <w:sz w:val="28"/>
          <w:szCs w:val="28"/>
          <w:highlight w:val="none"/>
        </w:rPr>
        <w:t>预付款担保</w:t>
      </w:r>
    </w:p>
    <w:p w14:paraId="53FD51B5">
      <w:pPr>
        <w:pStyle w:val="227"/>
        <w:rPr>
          <w:color w:val="auto"/>
          <w:highlight w:val="none"/>
        </w:rPr>
      </w:pP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（发包人名称）：</w:t>
      </w:r>
    </w:p>
    <w:p w14:paraId="33B71ABE">
      <w:pPr>
        <w:pStyle w:val="227"/>
        <w:rPr>
          <w:color w:val="auto"/>
          <w:highlight w:val="none"/>
        </w:rPr>
      </w:pPr>
    </w:p>
    <w:p w14:paraId="45915683">
      <w:pPr>
        <w:pStyle w:val="227"/>
        <w:rPr>
          <w:color w:val="auto"/>
          <w:highlight w:val="none"/>
        </w:rPr>
      </w:pPr>
      <w:r>
        <w:rPr>
          <w:color w:val="auto"/>
          <w:highlight w:val="none"/>
        </w:rPr>
        <w:t>根据</w:t>
      </w:r>
      <w:r>
        <w:rPr>
          <w:color w:val="auto"/>
          <w:highlight w:val="none"/>
          <w:u w:val="single"/>
        </w:rPr>
        <w:t xml:space="preserve">                 </w:t>
      </w:r>
      <w:r>
        <w:rPr>
          <w:color w:val="auto"/>
          <w:highlight w:val="none"/>
        </w:rPr>
        <w:t>（承包人名称）（以下称</w:t>
      </w:r>
      <w:r>
        <w:rPr>
          <w:rFonts w:hint="eastAsia"/>
          <w:color w:val="auto"/>
          <w:highlight w:val="none"/>
        </w:rPr>
        <w:t>“</w:t>
      </w:r>
      <w:r>
        <w:rPr>
          <w:color w:val="auto"/>
          <w:highlight w:val="none"/>
        </w:rPr>
        <w:t>承包人</w:t>
      </w:r>
      <w:r>
        <w:rPr>
          <w:rFonts w:hint="eastAsia"/>
          <w:color w:val="auto"/>
          <w:highlight w:val="none"/>
        </w:rPr>
        <w:t>”</w:t>
      </w:r>
      <w:r>
        <w:rPr>
          <w:color w:val="auto"/>
          <w:highlight w:val="none"/>
        </w:rPr>
        <w:t>）与</w:t>
      </w:r>
      <w:r>
        <w:rPr>
          <w:color w:val="auto"/>
          <w:highlight w:val="none"/>
          <w:u w:val="single"/>
        </w:rPr>
        <w:t xml:space="preserve">                        </w:t>
      </w:r>
      <w:r>
        <w:rPr>
          <w:color w:val="auto"/>
          <w:highlight w:val="none"/>
        </w:rPr>
        <w:t>（发包人名称）（以下简称</w:t>
      </w:r>
      <w:r>
        <w:rPr>
          <w:rFonts w:hint="eastAsia"/>
          <w:color w:val="auto"/>
          <w:highlight w:val="none"/>
        </w:rPr>
        <w:t>“</w:t>
      </w:r>
      <w:r>
        <w:rPr>
          <w:color w:val="auto"/>
          <w:highlight w:val="none"/>
        </w:rPr>
        <w:t>发包人</w:t>
      </w:r>
      <w:r>
        <w:rPr>
          <w:rFonts w:hint="eastAsia"/>
          <w:color w:val="auto"/>
          <w:highlight w:val="none"/>
        </w:rPr>
        <w:t>”</w:t>
      </w:r>
      <w:r>
        <w:rPr>
          <w:color w:val="auto"/>
          <w:highlight w:val="none"/>
        </w:rPr>
        <w:t>）</w:t>
      </w:r>
    </w:p>
    <w:p w14:paraId="7A2C2F6F">
      <w:pPr>
        <w:pStyle w:val="227"/>
        <w:rPr>
          <w:color w:val="auto"/>
          <w:highlight w:val="none"/>
        </w:rPr>
      </w:pPr>
      <w:r>
        <w:rPr>
          <w:color w:val="auto"/>
          <w:highlight w:val="none"/>
        </w:rPr>
        <w:t>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日签订的</w:t>
      </w:r>
      <w:r>
        <w:rPr>
          <w:color w:val="auto"/>
          <w:highlight w:val="none"/>
          <w:u w:val="single"/>
        </w:rPr>
        <w:t xml:space="preserve">                   </w:t>
      </w:r>
      <w:r>
        <w:rPr>
          <w:color w:val="auto"/>
          <w:highlight w:val="none"/>
        </w:rPr>
        <w:t>（工程名称）《建设工程施工合同》，承包人按约定的金额向</w:t>
      </w:r>
      <w:r>
        <w:rPr>
          <w:rFonts w:hint="eastAsia"/>
          <w:color w:val="auto"/>
          <w:highlight w:val="none"/>
        </w:rPr>
        <w:t>你方</w:t>
      </w:r>
      <w:r>
        <w:rPr>
          <w:color w:val="auto"/>
          <w:highlight w:val="none"/>
        </w:rPr>
        <w:t>提交一份预付款担保，即有权得到</w:t>
      </w:r>
      <w:r>
        <w:rPr>
          <w:rFonts w:hint="eastAsia"/>
          <w:color w:val="auto"/>
          <w:highlight w:val="none"/>
        </w:rPr>
        <w:t>你方</w:t>
      </w:r>
      <w:r>
        <w:rPr>
          <w:color w:val="auto"/>
          <w:highlight w:val="none"/>
        </w:rPr>
        <w:t>支付相等金额的预付款。我方愿意就你方提供给承包人的预付款</w:t>
      </w:r>
      <w:r>
        <w:rPr>
          <w:rFonts w:hint="eastAsia"/>
          <w:color w:val="auto"/>
          <w:highlight w:val="none"/>
        </w:rPr>
        <w:t>为承包人</w:t>
      </w:r>
      <w:r>
        <w:rPr>
          <w:color w:val="auto"/>
          <w:highlight w:val="none"/>
        </w:rPr>
        <w:t>提供连带责任担保。</w:t>
      </w:r>
    </w:p>
    <w:p w14:paraId="127AC48B">
      <w:pPr>
        <w:pStyle w:val="227"/>
        <w:rPr>
          <w:color w:val="auto"/>
          <w:highlight w:val="none"/>
        </w:rPr>
      </w:pPr>
      <w:r>
        <w:rPr>
          <w:rFonts w:hint="eastAsia"/>
          <w:color w:val="auto"/>
          <w:highlight w:val="none"/>
        </w:rPr>
        <w:t xml:space="preserve">1. </w:t>
      </w:r>
      <w:r>
        <w:rPr>
          <w:color w:val="auto"/>
          <w:highlight w:val="none"/>
        </w:rPr>
        <w:t>担保金额人民币（大写）</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 xml:space="preserve"> </w:t>
      </w:r>
      <w:r>
        <w:rPr>
          <w:rFonts w:hint="eastAsia"/>
          <w:color w:val="auto"/>
          <w:highlight w:val="none"/>
        </w:rPr>
        <w:t>元</w:t>
      </w:r>
      <w:r>
        <w:rPr>
          <w:color w:val="auto"/>
          <w:highlight w:val="none"/>
        </w:rPr>
        <w:t xml:space="preserve">（¥ </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w:t>
      </w:r>
    </w:p>
    <w:p w14:paraId="779F6D5E">
      <w:pPr>
        <w:pStyle w:val="227"/>
        <w:rPr>
          <w:color w:val="auto"/>
          <w:highlight w:val="none"/>
        </w:rPr>
      </w:pPr>
      <w:r>
        <w:rPr>
          <w:rFonts w:hint="eastAsia"/>
          <w:color w:val="auto"/>
          <w:highlight w:val="none"/>
        </w:rPr>
        <w:t xml:space="preserve">2. </w:t>
      </w:r>
      <w:r>
        <w:rPr>
          <w:color w:val="auto"/>
          <w:highlight w:val="none"/>
        </w:rPr>
        <w:t>担保有效期自预付款支付给承包人起生效，至</w:t>
      </w:r>
      <w:r>
        <w:rPr>
          <w:rFonts w:hint="eastAsia"/>
          <w:color w:val="auto"/>
          <w:highlight w:val="none"/>
        </w:rPr>
        <w:t>你方</w:t>
      </w:r>
      <w:r>
        <w:rPr>
          <w:color w:val="auto"/>
          <w:highlight w:val="none"/>
        </w:rPr>
        <w:t>签发的</w:t>
      </w:r>
      <w:r>
        <w:rPr>
          <w:rFonts w:hint="eastAsia"/>
          <w:color w:val="auto"/>
          <w:highlight w:val="none"/>
        </w:rPr>
        <w:t>进</w:t>
      </w:r>
      <w:r>
        <w:rPr>
          <w:color w:val="auto"/>
          <w:highlight w:val="none"/>
        </w:rPr>
        <w:t>度款支付证书说明已完全扣清止</w:t>
      </w:r>
      <w:r>
        <w:rPr>
          <w:rFonts w:hint="eastAsia"/>
          <w:color w:val="auto"/>
          <w:highlight w:val="none"/>
        </w:rPr>
        <w:t>，最迟不超过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color w:val="auto"/>
          <w:highlight w:val="none"/>
        </w:rPr>
        <w:t>。</w:t>
      </w:r>
    </w:p>
    <w:p w14:paraId="74968F04">
      <w:pPr>
        <w:pStyle w:val="227"/>
        <w:rPr>
          <w:color w:val="auto"/>
          <w:highlight w:val="none"/>
        </w:rPr>
      </w:pPr>
      <w:r>
        <w:rPr>
          <w:rFonts w:hint="eastAsia"/>
          <w:color w:val="auto"/>
          <w:highlight w:val="none"/>
        </w:rPr>
        <w:t xml:space="preserve">3. </w:t>
      </w:r>
      <w:r>
        <w:rPr>
          <w:color w:val="auto"/>
          <w:highlight w:val="none"/>
        </w:rPr>
        <w:t>在本保函有效期内，因承包人违反合同约定的义务而要求</w:t>
      </w:r>
      <w:r>
        <w:rPr>
          <w:rFonts w:hint="eastAsia"/>
          <w:color w:val="auto"/>
          <w:highlight w:val="none"/>
        </w:rPr>
        <w:t>收</w:t>
      </w:r>
      <w:r>
        <w:rPr>
          <w:color w:val="auto"/>
          <w:highlight w:val="none"/>
        </w:rPr>
        <w:t>回预付款时，我方在收到你方的书面通知后，在７天内无条件支付。但本保函的担保金额，在任何时候不应超过预付款金额减去</w:t>
      </w:r>
      <w:r>
        <w:rPr>
          <w:rFonts w:hint="eastAsia"/>
          <w:color w:val="auto"/>
          <w:highlight w:val="none"/>
        </w:rPr>
        <w:t>你方</w:t>
      </w:r>
      <w:r>
        <w:rPr>
          <w:color w:val="auto"/>
          <w:highlight w:val="none"/>
        </w:rPr>
        <w:t>按合同约定在向承包人签发的进度款支付证书中扣除的金额。</w:t>
      </w:r>
    </w:p>
    <w:p w14:paraId="56AE2F76">
      <w:pPr>
        <w:pStyle w:val="227"/>
        <w:rPr>
          <w:color w:val="auto"/>
          <w:highlight w:val="none"/>
        </w:rPr>
      </w:pPr>
      <w:r>
        <w:rPr>
          <w:rFonts w:hint="eastAsia"/>
          <w:color w:val="auto"/>
          <w:highlight w:val="none"/>
        </w:rPr>
        <w:t>4. 你方</w:t>
      </w:r>
      <w:r>
        <w:rPr>
          <w:color w:val="auto"/>
          <w:highlight w:val="none"/>
        </w:rPr>
        <w:t>和承包人按合同约定变更合同时，我方承担本保函规定的义务不变。</w:t>
      </w:r>
    </w:p>
    <w:p w14:paraId="3F0A5EDF">
      <w:pPr>
        <w:pStyle w:val="227"/>
        <w:rPr>
          <w:color w:val="auto"/>
          <w:highlight w:val="none"/>
        </w:rPr>
      </w:pPr>
      <w:r>
        <w:rPr>
          <w:rFonts w:hint="eastAsia"/>
          <w:color w:val="auto"/>
          <w:highlight w:val="none"/>
        </w:rPr>
        <w:t xml:space="preserve">5. </w:t>
      </w:r>
      <w:r>
        <w:rPr>
          <w:color w:val="auto"/>
          <w:highlight w:val="none"/>
        </w:rPr>
        <w:t>因本保函发生的纠纷，可由双方协商解决，协商不成的，任何一方均可提请</w:t>
      </w:r>
      <w:r>
        <w:rPr>
          <w:color w:val="auto"/>
          <w:highlight w:val="none"/>
          <w:u w:val="single"/>
        </w:rPr>
        <w:t xml:space="preserve">        </w:t>
      </w:r>
      <w:r>
        <w:rPr>
          <w:color w:val="auto"/>
          <w:highlight w:val="none"/>
        </w:rPr>
        <w:t>仲裁委员会仲裁。</w:t>
      </w:r>
    </w:p>
    <w:p w14:paraId="73BF6026">
      <w:pPr>
        <w:pStyle w:val="227"/>
        <w:rPr>
          <w:color w:val="auto"/>
          <w:highlight w:val="none"/>
        </w:rPr>
      </w:pPr>
      <w:r>
        <w:rPr>
          <w:rFonts w:hint="eastAsia"/>
          <w:color w:val="auto"/>
          <w:highlight w:val="none"/>
        </w:rPr>
        <w:t xml:space="preserve">6. </w:t>
      </w:r>
      <w:r>
        <w:rPr>
          <w:color w:val="auto"/>
          <w:highlight w:val="none"/>
        </w:rPr>
        <w:t>本保函自我方法定代表人（或其授权代理人）签字并加盖公章之日起生效。</w:t>
      </w:r>
    </w:p>
    <w:p w14:paraId="1F01AF75">
      <w:pPr>
        <w:pStyle w:val="227"/>
        <w:rPr>
          <w:color w:val="auto"/>
          <w:highlight w:val="none"/>
        </w:rPr>
      </w:pPr>
    </w:p>
    <w:p w14:paraId="29D6E49D">
      <w:pPr>
        <w:pStyle w:val="227"/>
        <w:rPr>
          <w:color w:val="auto"/>
          <w:highlight w:val="none"/>
        </w:rPr>
      </w:pPr>
    </w:p>
    <w:p w14:paraId="28B5FB50">
      <w:pPr>
        <w:pStyle w:val="227"/>
        <w:rPr>
          <w:color w:val="auto"/>
          <w:highlight w:val="none"/>
        </w:rPr>
      </w:pPr>
      <w:r>
        <w:rPr>
          <w:color w:val="auto"/>
          <w:highlight w:val="none"/>
        </w:rPr>
        <w:t>担保人：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（盖单位章）</w:t>
      </w:r>
    </w:p>
    <w:p w14:paraId="49636811">
      <w:pPr>
        <w:pStyle w:val="227"/>
        <w:rPr>
          <w:color w:val="auto"/>
          <w:highlight w:val="none"/>
        </w:rPr>
      </w:pPr>
      <w:r>
        <w:rPr>
          <w:color w:val="auto"/>
          <w:highlight w:val="none"/>
        </w:rPr>
        <w:t>法定代表人或其委托代理人：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（签字）</w:t>
      </w:r>
    </w:p>
    <w:p w14:paraId="33D5C752">
      <w:pPr>
        <w:pStyle w:val="227"/>
        <w:rPr>
          <w:color w:val="auto"/>
          <w:highlight w:val="none"/>
        </w:rPr>
      </w:pPr>
      <w:r>
        <w:rPr>
          <w:color w:val="auto"/>
          <w:highlight w:val="none"/>
        </w:rPr>
        <w:t>地    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5745D85B">
      <w:pPr>
        <w:pStyle w:val="227"/>
        <w:rPr>
          <w:color w:val="auto"/>
          <w:highlight w:val="none"/>
        </w:rPr>
      </w:pPr>
      <w:r>
        <w:rPr>
          <w:color w:val="auto"/>
          <w:highlight w:val="none"/>
        </w:rPr>
        <w:t>邮政编码：</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rPr>
        <w:tab/>
      </w:r>
      <w:r>
        <w:rPr>
          <w:color w:val="auto"/>
          <w:highlight w:val="none"/>
        </w:rPr>
        <w:tab/>
      </w:r>
      <w:r>
        <w:rPr>
          <w:color w:val="auto"/>
          <w:highlight w:val="none"/>
        </w:rPr>
        <w:tab/>
      </w:r>
    </w:p>
    <w:p w14:paraId="4BE672E5">
      <w:pPr>
        <w:pStyle w:val="227"/>
        <w:rPr>
          <w:color w:val="auto"/>
          <w:highlight w:val="none"/>
        </w:rPr>
      </w:pPr>
      <w:r>
        <w:rPr>
          <w:color w:val="auto"/>
          <w:highlight w:val="none"/>
        </w:rPr>
        <w:t>电    话：</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1C9D7A80">
      <w:pPr>
        <w:pStyle w:val="227"/>
        <w:rPr>
          <w:color w:val="auto"/>
          <w:highlight w:val="none"/>
        </w:rPr>
      </w:pPr>
      <w:r>
        <w:rPr>
          <w:color w:val="auto"/>
          <w:highlight w:val="none"/>
        </w:rPr>
        <w:t>传    真：</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7EA679EF">
      <w:pPr>
        <w:pStyle w:val="227"/>
        <w:rPr>
          <w:color w:val="auto"/>
          <w:highlight w:val="none"/>
        </w:rPr>
      </w:pPr>
      <w:r>
        <w:rPr>
          <w:color w:val="auto"/>
          <w:highlight w:val="none"/>
        </w:rPr>
        <w:t xml:space="preserve">  </w:t>
      </w:r>
    </w:p>
    <w:p w14:paraId="782CF674">
      <w:pPr>
        <w:pStyle w:val="227"/>
        <w:rPr>
          <w:color w:val="auto"/>
          <w:highlight w:val="none"/>
        </w:rPr>
      </w:pPr>
    </w:p>
    <w:p w14:paraId="6AAFA582">
      <w:pPr>
        <w:pStyle w:val="227"/>
        <w:rPr>
          <w:color w:val="auto"/>
          <w:highlight w:val="none"/>
        </w:rPr>
      </w:pPr>
      <w:r>
        <w:rPr>
          <w:color w:val="auto"/>
          <w:highlight w:val="none"/>
        </w:rPr>
        <w:t xml:space="preserve">                           年      月      日</w:t>
      </w:r>
    </w:p>
    <w:p w14:paraId="7EB89119">
      <w:pPr>
        <w:pStyle w:val="227"/>
        <w:rPr>
          <w:color w:val="auto"/>
          <w:highlight w:val="none"/>
        </w:rPr>
      </w:pPr>
    </w:p>
    <w:p w14:paraId="4313F982">
      <w:pPr>
        <w:pStyle w:val="227"/>
        <w:rPr>
          <w:color w:val="auto"/>
          <w:highlight w:val="none"/>
        </w:rPr>
      </w:pPr>
    </w:p>
    <w:p w14:paraId="45F9C67D">
      <w:pPr>
        <w:pStyle w:val="227"/>
        <w:rPr>
          <w:color w:val="auto"/>
          <w:highlight w:val="none"/>
        </w:rPr>
      </w:pPr>
    </w:p>
    <w:p w14:paraId="21784312">
      <w:pPr>
        <w:pStyle w:val="227"/>
        <w:rPr>
          <w:color w:val="auto"/>
          <w:highlight w:val="none"/>
        </w:rPr>
      </w:pPr>
    </w:p>
    <w:p w14:paraId="72352411">
      <w:pPr>
        <w:pStyle w:val="227"/>
        <w:rPr>
          <w:color w:val="auto"/>
          <w:highlight w:val="none"/>
        </w:rPr>
      </w:pPr>
    </w:p>
    <w:p w14:paraId="60462254">
      <w:pPr>
        <w:pStyle w:val="227"/>
        <w:ind w:firstLine="562"/>
        <w:jc w:val="center"/>
        <w:rPr>
          <w:b/>
          <w:bCs/>
          <w:color w:val="auto"/>
          <w:sz w:val="28"/>
          <w:szCs w:val="28"/>
          <w:highlight w:val="none"/>
        </w:rPr>
      </w:pPr>
      <w:r>
        <w:rPr>
          <w:rFonts w:hint="eastAsia"/>
          <w:b/>
          <w:bCs/>
          <w:color w:val="auto"/>
          <w:sz w:val="28"/>
          <w:szCs w:val="28"/>
          <w:highlight w:val="none"/>
        </w:rPr>
        <w:t>预付款保函</w:t>
      </w:r>
    </w:p>
    <w:p w14:paraId="34E34386">
      <w:pPr>
        <w:pStyle w:val="227"/>
        <w:ind w:firstLine="562"/>
        <w:jc w:val="center"/>
        <w:rPr>
          <w:b/>
          <w:bCs/>
          <w:color w:val="auto"/>
          <w:sz w:val="28"/>
          <w:szCs w:val="28"/>
          <w:highlight w:val="none"/>
        </w:rPr>
      </w:pPr>
      <w:r>
        <w:rPr>
          <w:rFonts w:hint="eastAsia"/>
          <w:b/>
          <w:bCs/>
          <w:color w:val="auto"/>
          <w:sz w:val="28"/>
          <w:szCs w:val="28"/>
          <w:highlight w:val="none"/>
        </w:rPr>
        <w:t>（独立保函）</w:t>
      </w:r>
    </w:p>
    <w:p w14:paraId="3972849F">
      <w:pPr>
        <w:pStyle w:val="227"/>
        <w:rPr>
          <w:color w:val="auto"/>
          <w:highlight w:val="none"/>
        </w:rPr>
      </w:pPr>
      <w:r>
        <w:rPr>
          <w:rFonts w:hint="eastAsia"/>
          <w:color w:val="auto"/>
          <w:highlight w:val="none"/>
        </w:rPr>
        <w:t xml:space="preserve">编号：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247AA883">
      <w:pPr>
        <w:pStyle w:val="227"/>
        <w:rPr>
          <w:color w:val="auto"/>
          <w:highlight w:val="none"/>
        </w:rPr>
      </w:pPr>
    </w:p>
    <w:p w14:paraId="46C5AE5B">
      <w:pPr>
        <w:pStyle w:val="227"/>
        <w:rPr>
          <w:color w:val="auto"/>
          <w:highlight w:val="none"/>
        </w:rPr>
      </w:pPr>
      <w:r>
        <w:rPr>
          <w:rFonts w:hint="eastAsia"/>
          <w:color w:val="auto"/>
          <w:highlight w:val="none"/>
        </w:rPr>
        <w:t>申请人：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5A8BF2A9">
      <w:pPr>
        <w:pStyle w:val="227"/>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57D196DD">
      <w:pPr>
        <w:pStyle w:val="227"/>
        <w:rPr>
          <w:color w:val="auto"/>
          <w:highlight w:val="none"/>
        </w:rPr>
      </w:pPr>
      <w:r>
        <w:rPr>
          <w:rFonts w:hint="eastAsia"/>
          <w:color w:val="auto"/>
          <w:highlight w:val="none"/>
        </w:rPr>
        <w:t>受益人：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4545FBD6">
      <w:pPr>
        <w:pStyle w:val="227"/>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210A8B17">
      <w:pPr>
        <w:pStyle w:val="227"/>
        <w:rPr>
          <w:color w:val="auto"/>
          <w:highlight w:val="none"/>
        </w:rPr>
      </w:pPr>
      <w:r>
        <w:rPr>
          <w:rFonts w:hint="eastAsia"/>
          <w:color w:val="auto"/>
          <w:highlight w:val="none"/>
        </w:rPr>
        <w:t>开立人：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38F2DAEE">
      <w:pPr>
        <w:pStyle w:val="227"/>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72E4FA5C">
      <w:pPr>
        <w:pStyle w:val="227"/>
        <w:rPr>
          <w:color w:val="auto"/>
          <w:highlight w:val="none"/>
        </w:rPr>
      </w:pPr>
      <w:r>
        <w:rPr>
          <w:rFonts w:hint="eastAsia"/>
          <w:color w:val="auto"/>
          <w:highlight w:val="none"/>
        </w:rPr>
        <w:t xml:space="preserve"> </w:t>
      </w:r>
    </w:p>
    <w:p w14:paraId="15A849D5">
      <w:pPr>
        <w:pStyle w:val="227"/>
        <w:ind w:firstLine="0" w:firstLineChars="0"/>
        <w:rPr>
          <w:color w:val="auto"/>
          <w:highlight w:val="none"/>
        </w:rPr>
      </w:pPr>
      <w:r>
        <w:rPr>
          <w:rFonts w:hint="eastAsia"/>
          <w:color w:val="auto"/>
          <w:highlight w:val="none"/>
          <w:u w:val="single"/>
        </w:rPr>
        <w:t xml:space="preserve">              </w:t>
      </w:r>
      <w:r>
        <w:rPr>
          <w:rFonts w:hint="eastAsia"/>
          <w:color w:val="auto"/>
          <w:highlight w:val="none"/>
        </w:rPr>
        <w:t xml:space="preserve">（受益人名称）： </w:t>
      </w:r>
    </w:p>
    <w:p w14:paraId="33929DDA">
      <w:pPr>
        <w:pStyle w:val="227"/>
        <w:rPr>
          <w:color w:val="auto"/>
          <w:highlight w:val="none"/>
        </w:rPr>
      </w:pPr>
      <w:r>
        <w:rPr>
          <w:rFonts w:hint="eastAsia"/>
          <w:color w:val="auto"/>
          <w:highlight w:val="none"/>
        </w:rPr>
        <w:t>鉴于</w:t>
      </w:r>
      <w:r>
        <w:rPr>
          <w:rFonts w:hint="eastAsia"/>
          <w:color w:val="auto"/>
          <w:highlight w:val="none"/>
          <w:u w:val="single"/>
        </w:rPr>
        <w:t xml:space="preserve">        </w:t>
      </w:r>
      <w:r>
        <w:rPr>
          <w:rFonts w:hint="eastAsia"/>
          <w:color w:val="auto"/>
          <w:highlight w:val="none"/>
        </w:rPr>
        <w:t>（以下简称“受益人”）与</w:t>
      </w:r>
      <w:r>
        <w:rPr>
          <w:rFonts w:hint="eastAsia"/>
          <w:color w:val="auto"/>
          <w:highlight w:val="none"/>
          <w:u w:val="single"/>
        </w:rPr>
        <w:t xml:space="preserve">         </w:t>
      </w:r>
      <w:r>
        <w:rPr>
          <w:rFonts w:hint="eastAsia"/>
          <w:color w:val="auto"/>
          <w:highlight w:val="none"/>
        </w:rPr>
        <w:t>（以下简称“申请人”）于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日就</w:t>
      </w:r>
      <w:r>
        <w:rPr>
          <w:rFonts w:hint="eastAsia"/>
          <w:color w:val="auto"/>
          <w:highlight w:val="none"/>
          <w:u w:val="single"/>
        </w:rPr>
        <w:t xml:space="preserve">           </w:t>
      </w:r>
      <w:r>
        <w:rPr>
          <w:rFonts w:hint="eastAsia"/>
          <w:color w:val="auto"/>
          <w:highlight w:val="none"/>
        </w:rPr>
        <w:t>工程（以下简称“本工程”）施工和有关事项协商一致共同签订</w:t>
      </w:r>
      <w:r>
        <w:rPr>
          <w:rFonts w:hint="eastAsia"/>
          <w:color w:val="auto"/>
          <w:highlight w:val="none"/>
          <w:u w:val="single"/>
        </w:rPr>
        <w:t>《        》</w:t>
      </w:r>
      <w:r>
        <w:rPr>
          <w:rFonts w:hint="eastAsia"/>
          <w:color w:val="auto"/>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39DF5685">
      <w:pPr>
        <w:pStyle w:val="227"/>
        <w:rPr>
          <w:color w:val="auto"/>
          <w:highlight w:val="none"/>
        </w:rPr>
      </w:pPr>
      <w:r>
        <w:rPr>
          <w:rFonts w:hint="eastAsia"/>
          <w:color w:val="auto"/>
          <w:highlight w:val="none"/>
        </w:rPr>
        <w:t>一、本保函担保范围：申请人未按照合同约定正确和合理地为合同目的使用预付款，应当向贵方承担的违约责任和赔偿因此造成的损失、利息、律师费、诉讼费用等实现债权的费用。</w:t>
      </w:r>
    </w:p>
    <w:p w14:paraId="0CE68C8C">
      <w:pPr>
        <w:pStyle w:val="227"/>
        <w:rPr>
          <w:color w:val="auto"/>
          <w:highlight w:val="none"/>
        </w:rPr>
      </w:pPr>
      <w:r>
        <w:rPr>
          <w:rFonts w:hint="eastAsia"/>
          <w:color w:val="auto"/>
          <w:highlight w:val="none"/>
        </w:rPr>
        <w:t>二、本保函担保金额最高不超过人民币（大写）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 xml:space="preserve">）。 </w:t>
      </w:r>
    </w:p>
    <w:p w14:paraId="46EAA869">
      <w:pPr>
        <w:pStyle w:val="227"/>
        <w:rPr>
          <w:color w:val="auto"/>
          <w:highlight w:val="none"/>
        </w:rPr>
      </w:pPr>
      <w:r>
        <w:rPr>
          <w:rFonts w:hint="eastAsia"/>
          <w:color w:val="auto"/>
          <w:highlight w:val="none"/>
        </w:rPr>
        <w:t>三、本保函有效期自开立之日起至发包人全额扣回预付款后</w:t>
      </w:r>
      <w:r>
        <w:rPr>
          <w:rFonts w:hint="eastAsia"/>
          <w:color w:val="auto"/>
          <w:highlight w:val="none"/>
          <w:u w:val="single"/>
        </w:rPr>
        <w:t xml:space="preserve">   </w:t>
      </w:r>
      <w:r>
        <w:rPr>
          <w:rFonts w:hint="eastAsia"/>
          <w:color w:val="auto"/>
          <w:highlight w:val="none"/>
        </w:rPr>
        <w:t>日止，最迟不超过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AC12A53">
      <w:pPr>
        <w:pStyle w:val="227"/>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w:t>
      </w:r>
      <w:r>
        <w:rPr>
          <w:rFonts w:hint="eastAsia"/>
          <w:color w:val="auto"/>
          <w:highlight w:val="none"/>
        </w:rPr>
        <w:t>日内无条件支付，前述书面付款通知即为付款要求之单据，且应满足以下要求：</w:t>
      </w:r>
    </w:p>
    <w:p w14:paraId="1800DE70">
      <w:pPr>
        <w:pStyle w:val="227"/>
        <w:rPr>
          <w:color w:val="auto"/>
          <w:highlight w:val="none"/>
        </w:rPr>
      </w:pPr>
      <w:r>
        <w:rPr>
          <w:rFonts w:hint="eastAsia"/>
          <w:color w:val="auto"/>
          <w:highlight w:val="none"/>
        </w:rPr>
        <w:t>（1）付款通知到达的日期在本保函的有效期内；</w:t>
      </w:r>
    </w:p>
    <w:p w14:paraId="48A036ED">
      <w:pPr>
        <w:pStyle w:val="227"/>
        <w:rPr>
          <w:color w:val="auto"/>
          <w:highlight w:val="none"/>
        </w:rPr>
      </w:pPr>
      <w:r>
        <w:rPr>
          <w:rFonts w:hint="eastAsia"/>
          <w:color w:val="auto"/>
          <w:highlight w:val="none"/>
        </w:rPr>
        <w:t>（2）载明要求支付的金额；</w:t>
      </w:r>
    </w:p>
    <w:p w14:paraId="27217F37">
      <w:pPr>
        <w:pStyle w:val="227"/>
        <w:rPr>
          <w:color w:val="auto"/>
          <w:highlight w:val="none"/>
        </w:rPr>
      </w:pPr>
      <w:r>
        <w:rPr>
          <w:rFonts w:hint="eastAsia"/>
          <w:color w:val="auto"/>
          <w:highlight w:val="none"/>
        </w:rPr>
        <w:t>（3）载明申请人违反合同义务的条款和内容；</w:t>
      </w:r>
    </w:p>
    <w:p w14:paraId="0B73FB34">
      <w:pPr>
        <w:pStyle w:val="227"/>
        <w:rPr>
          <w:color w:val="auto"/>
          <w:highlight w:val="none"/>
        </w:rPr>
      </w:pPr>
      <w:r>
        <w:rPr>
          <w:rFonts w:hint="eastAsia"/>
          <w:color w:val="auto"/>
          <w:highlight w:val="none"/>
        </w:rPr>
        <w:t>（4）声明不存在合同文件约定或我国法律规定免除申请人或开立人支付责任的情形；</w:t>
      </w:r>
    </w:p>
    <w:p w14:paraId="25B1EA7E">
      <w:pPr>
        <w:pStyle w:val="227"/>
        <w:rPr>
          <w:color w:val="auto"/>
          <w:highlight w:val="none"/>
        </w:rPr>
      </w:pPr>
      <w:r>
        <w:rPr>
          <w:rFonts w:hint="eastAsia"/>
          <w:color w:val="auto"/>
          <w:highlight w:val="none"/>
        </w:rPr>
        <w:t>（5）付款通知应在本保函有效期内到达的地址是：</w:t>
      </w:r>
      <w:r>
        <w:rPr>
          <w:rFonts w:hint="eastAsia"/>
          <w:color w:val="auto"/>
          <w:highlight w:val="none"/>
          <w:u w:val="single"/>
        </w:rPr>
        <w:t xml:space="preserve">             </w:t>
      </w:r>
      <w:r>
        <w:rPr>
          <w:rFonts w:hint="eastAsia"/>
          <w:color w:val="auto"/>
          <w:highlight w:val="none"/>
        </w:rPr>
        <w:t>。</w:t>
      </w:r>
    </w:p>
    <w:p w14:paraId="50ECC9A0">
      <w:pPr>
        <w:pStyle w:val="227"/>
        <w:rPr>
          <w:color w:val="auto"/>
          <w:highlight w:val="none"/>
        </w:rPr>
      </w:pPr>
      <w:r>
        <w:rPr>
          <w:rFonts w:hint="eastAsia"/>
          <w:color w:val="auto"/>
          <w:highlight w:val="none"/>
        </w:rPr>
        <w:t>受益人发出的书面付款通知应由其为鉴明受益人法定代表人（负责人）或授权代理人签字并加盖公章。</w:t>
      </w:r>
    </w:p>
    <w:p w14:paraId="2AAF526C">
      <w:pPr>
        <w:pStyle w:val="227"/>
        <w:rPr>
          <w:color w:val="auto"/>
          <w:highlight w:val="none"/>
        </w:rPr>
      </w:pPr>
      <w:r>
        <w:rPr>
          <w:rFonts w:hint="eastAsia"/>
          <w:color w:val="auto"/>
          <w:highlight w:val="none"/>
        </w:rPr>
        <w:t xml:space="preserve">五、本保函项下的权利不得转让，不得设定担保。贵方未经我方书面同意转 让本保函或其项下任何权利，对我方不发生法律效力。 </w:t>
      </w:r>
    </w:p>
    <w:p w14:paraId="7C0EDAAC">
      <w:pPr>
        <w:pStyle w:val="227"/>
        <w:rPr>
          <w:color w:val="auto"/>
          <w:highlight w:val="none"/>
        </w:rPr>
      </w:pPr>
      <w:r>
        <w:rPr>
          <w:rFonts w:hint="eastAsia"/>
          <w:color w:val="auto"/>
          <w:highlight w:val="none"/>
        </w:rPr>
        <w:t xml:space="preserve">六、与本保函有关的基础合同不成立、不生效、无效、被撤销、被解除，不影响本保函的独立有效。 </w:t>
      </w:r>
    </w:p>
    <w:p w14:paraId="270CA79B">
      <w:pPr>
        <w:pStyle w:val="227"/>
        <w:rPr>
          <w:color w:val="auto"/>
          <w:highlight w:val="none"/>
        </w:rPr>
      </w:pPr>
      <w:r>
        <w:rPr>
          <w:rFonts w:hint="eastAsia"/>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F91AF22">
      <w:pPr>
        <w:pStyle w:val="227"/>
        <w:rPr>
          <w:color w:val="auto"/>
          <w:highlight w:val="none"/>
        </w:rPr>
      </w:pPr>
      <w:r>
        <w:rPr>
          <w:rFonts w:hint="eastAsia"/>
          <w:color w:val="auto"/>
          <w:highlight w:val="none"/>
        </w:rPr>
        <w:t>八、本保函适用的法律为中华人民共和国法律，争议裁判管辖地为中华人民共和国</w:t>
      </w:r>
      <w:r>
        <w:rPr>
          <w:rFonts w:hint="eastAsia"/>
          <w:color w:val="auto"/>
          <w:highlight w:val="none"/>
          <w:u w:val="single"/>
        </w:rPr>
        <w:t xml:space="preserve">     </w:t>
      </w:r>
      <w:r>
        <w:rPr>
          <w:rFonts w:hint="eastAsia"/>
          <w:color w:val="auto"/>
          <w:highlight w:val="none"/>
        </w:rPr>
        <w:t xml:space="preserve">。 </w:t>
      </w:r>
    </w:p>
    <w:p w14:paraId="491FCDEF">
      <w:pPr>
        <w:pStyle w:val="227"/>
        <w:rPr>
          <w:color w:val="auto"/>
          <w:highlight w:val="none"/>
        </w:rPr>
      </w:pPr>
      <w:r>
        <w:rPr>
          <w:rFonts w:hint="eastAsia"/>
          <w:color w:val="auto"/>
          <w:highlight w:val="none"/>
        </w:rPr>
        <w:t xml:space="preserve">九、本保函自我方法定代表人或授权代表签字并加盖公章之日起生效。 </w:t>
      </w:r>
    </w:p>
    <w:p w14:paraId="4CBF538C">
      <w:pPr>
        <w:pStyle w:val="227"/>
        <w:rPr>
          <w:color w:val="auto"/>
          <w:highlight w:val="none"/>
        </w:rPr>
      </w:pPr>
    </w:p>
    <w:p w14:paraId="17B8B5B7">
      <w:pPr>
        <w:pStyle w:val="227"/>
        <w:rPr>
          <w:color w:val="auto"/>
          <w:highlight w:val="none"/>
        </w:rPr>
      </w:pPr>
    </w:p>
    <w:p w14:paraId="02AB14E0">
      <w:pPr>
        <w:pStyle w:val="227"/>
        <w:rPr>
          <w:color w:val="auto"/>
          <w:highlight w:val="none"/>
        </w:rPr>
      </w:pPr>
      <w:r>
        <w:rPr>
          <w:rFonts w:hint="eastAsia"/>
          <w:color w:val="auto"/>
          <w:highlight w:val="none"/>
        </w:rPr>
        <w:t xml:space="preserve">开 立 人：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（公章） </w:t>
      </w:r>
    </w:p>
    <w:p w14:paraId="0A7A8C53">
      <w:pPr>
        <w:pStyle w:val="227"/>
        <w:rPr>
          <w:color w:val="auto"/>
          <w:highlight w:val="none"/>
        </w:rPr>
      </w:pPr>
      <w:r>
        <w:rPr>
          <w:rFonts w:hint="eastAsia"/>
          <w:color w:val="auto"/>
          <w:highlight w:val="none"/>
        </w:rPr>
        <w:t>法定代表人（或授权代表）：</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（签字） </w:t>
      </w:r>
    </w:p>
    <w:p w14:paraId="76FE26CE">
      <w:pPr>
        <w:pStyle w:val="227"/>
        <w:rPr>
          <w:color w:val="auto"/>
          <w:highlight w:val="none"/>
        </w:rPr>
      </w:pPr>
      <w:r>
        <w:rPr>
          <w:rFonts w:hint="eastAsia"/>
          <w:color w:val="auto"/>
          <w:highlight w:val="none"/>
        </w:rPr>
        <w:t>地    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7C8DD68F">
      <w:pPr>
        <w:pStyle w:val="227"/>
        <w:rPr>
          <w:color w:val="auto"/>
          <w:highlight w:val="none"/>
        </w:rPr>
      </w:pPr>
      <w:r>
        <w:rPr>
          <w:rFonts w:hint="eastAsia"/>
          <w:color w:val="auto"/>
          <w:highlight w:val="none"/>
        </w:rPr>
        <w:t xml:space="preserve">邮政编码：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1303EDB1">
      <w:pPr>
        <w:pStyle w:val="227"/>
        <w:rPr>
          <w:color w:val="auto"/>
          <w:highlight w:val="none"/>
        </w:rPr>
      </w:pPr>
      <w:r>
        <w:rPr>
          <w:rFonts w:hint="eastAsia"/>
          <w:color w:val="auto"/>
          <w:highlight w:val="none"/>
        </w:rPr>
        <w:t>电    话：</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27918F77">
      <w:pPr>
        <w:pStyle w:val="227"/>
        <w:rPr>
          <w:color w:val="auto"/>
          <w:highlight w:val="none"/>
        </w:rPr>
      </w:pPr>
      <w:r>
        <w:rPr>
          <w:rFonts w:hint="eastAsia"/>
          <w:color w:val="auto"/>
          <w:highlight w:val="none"/>
        </w:rPr>
        <w:t>传    真：</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79BFA717">
      <w:pPr>
        <w:pStyle w:val="227"/>
        <w:rPr>
          <w:color w:val="auto"/>
          <w:highlight w:val="none"/>
        </w:rPr>
      </w:pPr>
      <w:r>
        <w:rPr>
          <w:rFonts w:hint="eastAsia"/>
          <w:color w:val="auto"/>
          <w:highlight w:val="none"/>
        </w:rPr>
        <w:t xml:space="preserve">           开立时间：      年      月        日</w:t>
      </w:r>
    </w:p>
    <w:p w14:paraId="34CDCD8D">
      <w:pPr>
        <w:pStyle w:val="327"/>
        <w:rPr>
          <w:rFonts w:ascii="宋体" w:hAnsi="宋体"/>
          <w:color w:val="auto"/>
          <w:szCs w:val="21"/>
          <w:highlight w:val="none"/>
        </w:rPr>
      </w:pPr>
    </w:p>
    <w:p w14:paraId="643997A7">
      <w:pPr>
        <w:pStyle w:val="227"/>
        <w:rPr>
          <w:color w:val="auto"/>
          <w:highlight w:val="none"/>
        </w:rPr>
      </w:pPr>
    </w:p>
    <w:p w14:paraId="64CB448D">
      <w:pPr>
        <w:pStyle w:val="227"/>
        <w:rPr>
          <w:color w:val="auto"/>
          <w:highlight w:val="none"/>
        </w:rPr>
      </w:pPr>
    </w:p>
    <w:p w14:paraId="24C0F6ED">
      <w:pPr>
        <w:pStyle w:val="227"/>
        <w:rPr>
          <w:color w:val="auto"/>
          <w:highlight w:val="none"/>
        </w:rPr>
      </w:pPr>
    </w:p>
    <w:p w14:paraId="7B3E3832">
      <w:pPr>
        <w:pStyle w:val="227"/>
        <w:rPr>
          <w:color w:val="auto"/>
          <w:highlight w:val="none"/>
        </w:rPr>
      </w:pPr>
    </w:p>
    <w:p w14:paraId="3AB28023">
      <w:pPr>
        <w:pStyle w:val="227"/>
        <w:rPr>
          <w:color w:val="auto"/>
          <w:highlight w:val="none"/>
        </w:rPr>
      </w:pPr>
    </w:p>
    <w:p w14:paraId="0099A425">
      <w:pPr>
        <w:pStyle w:val="227"/>
        <w:rPr>
          <w:color w:val="auto"/>
          <w:highlight w:val="none"/>
        </w:rPr>
      </w:pPr>
    </w:p>
    <w:p w14:paraId="486F1DAA">
      <w:pPr>
        <w:pStyle w:val="227"/>
        <w:rPr>
          <w:color w:val="auto"/>
          <w:highlight w:val="none"/>
        </w:rPr>
      </w:pPr>
    </w:p>
    <w:p w14:paraId="02C43B2C">
      <w:pPr>
        <w:pStyle w:val="227"/>
        <w:rPr>
          <w:color w:val="auto"/>
          <w:highlight w:val="none"/>
        </w:rPr>
      </w:pPr>
    </w:p>
    <w:p w14:paraId="76B969BB">
      <w:pPr>
        <w:pStyle w:val="227"/>
        <w:rPr>
          <w:color w:val="auto"/>
          <w:highlight w:val="none"/>
        </w:rPr>
      </w:pPr>
    </w:p>
    <w:p w14:paraId="3BDC0E10">
      <w:pPr>
        <w:pStyle w:val="227"/>
        <w:rPr>
          <w:color w:val="auto"/>
          <w:highlight w:val="none"/>
        </w:rPr>
      </w:pPr>
    </w:p>
    <w:p w14:paraId="4A23C5BF">
      <w:pPr>
        <w:pStyle w:val="227"/>
        <w:rPr>
          <w:color w:val="auto"/>
          <w:highlight w:val="none"/>
        </w:rPr>
      </w:pPr>
    </w:p>
    <w:p w14:paraId="75E25FB0">
      <w:pPr>
        <w:pStyle w:val="227"/>
        <w:rPr>
          <w:color w:val="auto"/>
          <w:highlight w:val="none"/>
        </w:rPr>
      </w:pPr>
    </w:p>
    <w:p w14:paraId="64AE4672">
      <w:pPr>
        <w:pStyle w:val="227"/>
        <w:rPr>
          <w:color w:val="auto"/>
          <w:highlight w:val="none"/>
        </w:rPr>
      </w:pPr>
    </w:p>
    <w:p w14:paraId="1A0BEFE7">
      <w:pPr>
        <w:pStyle w:val="227"/>
        <w:rPr>
          <w:color w:val="auto"/>
          <w:highlight w:val="none"/>
        </w:rPr>
      </w:pPr>
    </w:p>
    <w:p w14:paraId="2A9960E7">
      <w:pPr>
        <w:pStyle w:val="227"/>
        <w:rPr>
          <w:color w:val="auto"/>
          <w:highlight w:val="none"/>
        </w:rPr>
      </w:pPr>
    </w:p>
    <w:p w14:paraId="17CE4508">
      <w:pPr>
        <w:pStyle w:val="227"/>
        <w:rPr>
          <w:color w:val="auto"/>
          <w:highlight w:val="none"/>
        </w:rPr>
      </w:pPr>
    </w:p>
    <w:p w14:paraId="3ED1DF74">
      <w:pPr>
        <w:pStyle w:val="227"/>
        <w:rPr>
          <w:color w:val="auto"/>
          <w:highlight w:val="none"/>
        </w:rPr>
      </w:pPr>
    </w:p>
    <w:p w14:paraId="5CF6D0D3">
      <w:pPr>
        <w:pStyle w:val="227"/>
        <w:rPr>
          <w:color w:val="auto"/>
          <w:highlight w:val="none"/>
        </w:rPr>
      </w:pPr>
    </w:p>
    <w:p w14:paraId="3EAF19DB">
      <w:pPr>
        <w:pStyle w:val="227"/>
        <w:rPr>
          <w:color w:val="auto"/>
          <w:highlight w:val="none"/>
        </w:rPr>
      </w:pPr>
    </w:p>
    <w:p w14:paraId="3A776131">
      <w:pPr>
        <w:pStyle w:val="227"/>
        <w:rPr>
          <w:color w:val="auto"/>
          <w:highlight w:val="none"/>
        </w:rPr>
      </w:pPr>
    </w:p>
    <w:p w14:paraId="5F287486">
      <w:pPr>
        <w:pStyle w:val="227"/>
        <w:rPr>
          <w:color w:val="auto"/>
          <w:highlight w:val="none"/>
        </w:rPr>
      </w:pPr>
    </w:p>
    <w:p w14:paraId="60D8587A">
      <w:pPr>
        <w:pStyle w:val="227"/>
        <w:rPr>
          <w:color w:val="auto"/>
          <w:highlight w:val="none"/>
        </w:rPr>
      </w:pPr>
    </w:p>
    <w:p w14:paraId="40114BB3">
      <w:pPr>
        <w:pStyle w:val="227"/>
        <w:rPr>
          <w:color w:val="auto"/>
          <w:highlight w:val="none"/>
        </w:rPr>
      </w:pPr>
    </w:p>
    <w:p w14:paraId="3BB4B3B3">
      <w:pPr>
        <w:pStyle w:val="227"/>
        <w:rPr>
          <w:color w:val="auto"/>
          <w:highlight w:val="none"/>
        </w:rPr>
      </w:pPr>
      <w:r>
        <w:rPr>
          <w:rFonts w:hint="eastAsia"/>
          <w:color w:val="auto"/>
          <w:highlight w:val="none"/>
        </w:rPr>
        <w:t>附</w:t>
      </w:r>
      <w:bookmarkStart w:id="760" w:name="_Toc296347230"/>
      <w:bookmarkStart w:id="761" w:name="_Toc296944570"/>
      <w:bookmarkStart w:id="762" w:name="_Toc296891059"/>
      <w:bookmarkStart w:id="763" w:name="_Toc296346732"/>
      <w:bookmarkStart w:id="764" w:name="_Toc296503231"/>
      <w:bookmarkStart w:id="765" w:name="_Toc296891271"/>
      <w:r>
        <w:rPr>
          <w:rFonts w:hint="eastAsia"/>
          <w:color w:val="auto"/>
          <w:highlight w:val="none"/>
        </w:rPr>
        <w:t>件11：</w:t>
      </w:r>
      <w:bookmarkEnd w:id="752"/>
      <w:bookmarkEnd w:id="760"/>
      <w:bookmarkEnd w:id="761"/>
      <w:bookmarkEnd w:id="762"/>
      <w:bookmarkEnd w:id="763"/>
      <w:bookmarkEnd w:id="764"/>
      <w:bookmarkEnd w:id="765"/>
      <w:r>
        <w:rPr>
          <w:rFonts w:hint="eastAsia"/>
          <w:color w:val="auto"/>
          <w:highlight w:val="none"/>
        </w:rPr>
        <w:t>暂估价一览表</w:t>
      </w:r>
    </w:p>
    <w:p w14:paraId="4325D158">
      <w:pPr>
        <w:pStyle w:val="227"/>
        <w:ind w:firstLine="422"/>
        <w:jc w:val="center"/>
        <w:rPr>
          <w:b/>
          <w:bCs/>
          <w:color w:val="auto"/>
          <w:highlight w:val="none"/>
        </w:rPr>
      </w:pPr>
      <w:r>
        <w:rPr>
          <w:rFonts w:hint="eastAsia"/>
          <w:b/>
          <w:bCs/>
          <w:color w:val="auto"/>
          <w:highlight w:val="none"/>
        </w:rPr>
        <w:t>11</w:t>
      </w:r>
      <w:r>
        <w:rPr>
          <w:b/>
          <w:bCs/>
          <w:color w:val="auto"/>
          <w:highlight w:val="none"/>
        </w:rPr>
        <w:t>-1</w:t>
      </w:r>
      <w:r>
        <w:rPr>
          <w:rFonts w:hint="eastAsia"/>
          <w:b/>
          <w:bCs/>
          <w:color w:val="auto"/>
          <w:highlight w:val="none"/>
        </w:rPr>
        <w:t>：材料暂估价表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8C8E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6D2026DE">
            <w:pPr>
              <w:pStyle w:val="227"/>
              <w:ind w:firstLine="0" w:firstLineChars="0"/>
              <w:jc w:val="center"/>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48D40191">
            <w:pPr>
              <w:pStyle w:val="227"/>
              <w:ind w:firstLine="0" w:firstLineChars="0"/>
              <w:jc w:val="center"/>
              <w:rPr>
                <w:color w:val="auto"/>
                <w:highlight w:val="none"/>
              </w:rPr>
            </w:pPr>
            <w:r>
              <w:rPr>
                <w:rFonts w:hint="eastAsia"/>
                <w:color w:val="auto"/>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0D5912BE">
            <w:pPr>
              <w:pStyle w:val="227"/>
              <w:ind w:firstLine="0" w:firstLineChars="0"/>
              <w:jc w:val="center"/>
              <w:rPr>
                <w:color w:val="auto"/>
                <w:highlight w:val="none"/>
              </w:rPr>
            </w:pPr>
            <w:r>
              <w:rPr>
                <w:rFonts w:hint="eastAsia"/>
                <w:color w:val="auto"/>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0C8BD55A">
            <w:pPr>
              <w:pStyle w:val="227"/>
              <w:ind w:firstLine="0" w:firstLineChars="0"/>
              <w:jc w:val="center"/>
              <w:rPr>
                <w:color w:val="auto"/>
                <w:highlight w:val="none"/>
              </w:rPr>
            </w:pPr>
            <w:r>
              <w:rPr>
                <w:rFonts w:hint="eastAsia"/>
                <w:color w:val="auto"/>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4112F65">
            <w:pPr>
              <w:pStyle w:val="227"/>
              <w:ind w:firstLine="0" w:firstLineChars="0"/>
              <w:jc w:val="center"/>
              <w:rPr>
                <w:color w:val="auto"/>
                <w:highlight w:val="none"/>
              </w:rPr>
            </w:pPr>
            <w:r>
              <w:rPr>
                <w:rFonts w:hint="eastAsia"/>
                <w:color w:val="auto"/>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39F808CA">
            <w:pPr>
              <w:pStyle w:val="227"/>
              <w:ind w:firstLine="0" w:firstLineChars="0"/>
              <w:jc w:val="center"/>
              <w:rPr>
                <w:color w:val="auto"/>
                <w:highlight w:val="none"/>
              </w:rPr>
            </w:pPr>
            <w:r>
              <w:rPr>
                <w:rFonts w:hint="eastAsia"/>
                <w:color w:val="auto"/>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D3BF61">
            <w:pPr>
              <w:pStyle w:val="227"/>
              <w:jc w:val="center"/>
              <w:rPr>
                <w:color w:val="auto"/>
                <w:highlight w:val="none"/>
              </w:rPr>
            </w:pPr>
            <w:r>
              <w:rPr>
                <w:rFonts w:hint="eastAsia"/>
                <w:color w:val="auto"/>
                <w:highlight w:val="none"/>
              </w:rPr>
              <w:t>备注</w:t>
            </w:r>
          </w:p>
        </w:tc>
      </w:tr>
      <w:tr w14:paraId="2A059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64E026C">
            <w:pPr>
              <w:pStyle w:val="227"/>
              <w:ind w:firstLine="0" w:firstLineChars="0"/>
              <w:jc w:val="center"/>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5E93687B">
            <w:pPr>
              <w:pStyle w:val="227"/>
              <w:ind w:firstLine="0" w:firstLineChars="0"/>
              <w:jc w:val="center"/>
              <w:rPr>
                <w:color w:val="auto"/>
                <w:highlight w:val="none"/>
              </w:rPr>
            </w:pPr>
            <w:r>
              <w:rPr>
                <w:rFonts w:hint="eastAsia"/>
                <w:color w:val="auto"/>
                <w:highlight w:val="none"/>
              </w:rPr>
              <w:t>无</w:t>
            </w:r>
          </w:p>
        </w:tc>
        <w:tc>
          <w:tcPr>
            <w:tcW w:w="851" w:type="dxa"/>
            <w:tcBorders>
              <w:top w:val="double" w:color="auto" w:sz="6" w:space="0"/>
              <w:left w:val="single" w:color="auto" w:sz="6" w:space="0"/>
              <w:bottom w:val="single" w:color="auto" w:sz="6" w:space="0"/>
              <w:right w:val="single" w:color="auto" w:sz="6" w:space="0"/>
            </w:tcBorders>
          </w:tcPr>
          <w:p w14:paraId="7F8E0A2C">
            <w:pPr>
              <w:pStyle w:val="227"/>
              <w:ind w:firstLine="0" w:firstLineChars="0"/>
              <w:jc w:val="center"/>
              <w:rPr>
                <w:color w:val="auto"/>
                <w:highlight w:val="none"/>
              </w:rPr>
            </w:pPr>
            <w:r>
              <w:rPr>
                <w:rFonts w:hint="eastAsia"/>
                <w:color w:val="auto"/>
                <w:highlight w:val="none"/>
              </w:rPr>
              <w:t>无</w:t>
            </w:r>
          </w:p>
        </w:tc>
        <w:tc>
          <w:tcPr>
            <w:tcW w:w="774" w:type="dxa"/>
            <w:tcBorders>
              <w:top w:val="double" w:color="auto" w:sz="6" w:space="0"/>
              <w:left w:val="single" w:color="auto" w:sz="6" w:space="0"/>
              <w:bottom w:val="single" w:color="auto" w:sz="6" w:space="0"/>
              <w:right w:val="single" w:color="auto" w:sz="6" w:space="0"/>
            </w:tcBorders>
          </w:tcPr>
          <w:p w14:paraId="665D22F3">
            <w:pPr>
              <w:pStyle w:val="227"/>
              <w:ind w:firstLine="0" w:firstLineChars="0"/>
              <w:jc w:val="center"/>
              <w:rPr>
                <w:color w:val="auto"/>
                <w:highlight w:val="none"/>
              </w:rPr>
            </w:pPr>
            <w:r>
              <w:rPr>
                <w:rFonts w:hint="eastAsia"/>
                <w:color w:val="auto"/>
                <w:highlight w:val="none"/>
              </w:rPr>
              <w:t>无</w:t>
            </w:r>
          </w:p>
        </w:tc>
        <w:tc>
          <w:tcPr>
            <w:tcW w:w="1352" w:type="dxa"/>
            <w:tcBorders>
              <w:top w:val="double" w:color="auto" w:sz="6" w:space="0"/>
              <w:left w:val="single" w:color="auto" w:sz="6" w:space="0"/>
              <w:bottom w:val="single" w:color="auto" w:sz="6" w:space="0"/>
              <w:right w:val="single" w:color="auto" w:sz="6" w:space="0"/>
            </w:tcBorders>
          </w:tcPr>
          <w:p w14:paraId="06B17FEB">
            <w:pPr>
              <w:pStyle w:val="227"/>
              <w:ind w:firstLine="0" w:firstLineChars="0"/>
              <w:jc w:val="center"/>
              <w:rPr>
                <w:color w:val="auto"/>
                <w:highlight w:val="none"/>
              </w:rPr>
            </w:pPr>
            <w:r>
              <w:rPr>
                <w:rFonts w:hint="eastAsia"/>
                <w:color w:val="auto"/>
                <w:highlight w:val="none"/>
              </w:rPr>
              <w:t>无</w:t>
            </w:r>
          </w:p>
        </w:tc>
        <w:tc>
          <w:tcPr>
            <w:tcW w:w="1418" w:type="dxa"/>
            <w:tcBorders>
              <w:top w:val="double" w:color="auto" w:sz="6" w:space="0"/>
              <w:left w:val="single" w:color="auto" w:sz="6" w:space="0"/>
              <w:bottom w:val="single" w:color="auto" w:sz="6" w:space="0"/>
              <w:right w:val="single" w:color="auto" w:sz="6" w:space="0"/>
            </w:tcBorders>
          </w:tcPr>
          <w:p w14:paraId="1DB6ABBB">
            <w:pPr>
              <w:pStyle w:val="227"/>
              <w:ind w:firstLine="0" w:firstLineChars="0"/>
              <w:jc w:val="center"/>
              <w:rPr>
                <w:color w:val="auto"/>
                <w:highlight w:val="none"/>
              </w:rPr>
            </w:pPr>
            <w:r>
              <w:rPr>
                <w:rFonts w:hint="eastAsia"/>
                <w:color w:val="auto"/>
                <w:highlight w:val="none"/>
              </w:rPr>
              <w:t>无</w:t>
            </w:r>
          </w:p>
        </w:tc>
        <w:tc>
          <w:tcPr>
            <w:tcW w:w="1701" w:type="dxa"/>
            <w:tcBorders>
              <w:top w:val="double" w:color="auto" w:sz="6" w:space="0"/>
              <w:left w:val="single" w:color="auto" w:sz="6" w:space="0"/>
              <w:bottom w:val="single" w:color="auto" w:sz="6" w:space="0"/>
              <w:right w:val="single" w:color="auto" w:sz="12" w:space="0"/>
            </w:tcBorders>
          </w:tcPr>
          <w:p w14:paraId="3445E55A">
            <w:pPr>
              <w:pStyle w:val="227"/>
              <w:ind w:firstLine="0" w:firstLineChars="0"/>
              <w:jc w:val="center"/>
              <w:rPr>
                <w:color w:val="auto"/>
                <w:highlight w:val="none"/>
              </w:rPr>
            </w:pPr>
            <w:r>
              <w:rPr>
                <w:rFonts w:hint="eastAsia"/>
                <w:color w:val="auto"/>
                <w:highlight w:val="none"/>
              </w:rPr>
              <w:t>无</w:t>
            </w:r>
          </w:p>
        </w:tc>
      </w:tr>
      <w:tr w14:paraId="0D3B7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5331BE29">
            <w:pPr>
              <w:pStyle w:val="227"/>
              <w:rPr>
                <w:color w:val="auto"/>
                <w:highlight w:val="none"/>
              </w:rPr>
            </w:pPr>
          </w:p>
        </w:tc>
        <w:tc>
          <w:tcPr>
            <w:tcW w:w="1984" w:type="dxa"/>
            <w:tcBorders>
              <w:top w:val="nil"/>
              <w:left w:val="single" w:color="auto" w:sz="6" w:space="0"/>
              <w:bottom w:val="single" w:color="auto" w:sz="6" w:space="0"/>
              <w:right w:val="single" w:color="auto" w:sz="6" w:space="0"/>
            </w:tcBorders>
          </w:tcPr>
          <w:p w14:paraId="3958B018">
            <w:pPr>
              <w:pStyle w:val="227"/>
              <w:rPr>
                <w:color w:val="auto"/>
                <w:highlight w:val="none"/>
              </w:rPr>
            </w:pPr>
          </w:p>
        </w:tc>
        <w:tc>
          <w:tcPr>
            <w:tcW w:w="851" w:type="dxa"/>
            <w:tcBorders>
              <w:top w:val="nil"/>
              <w:left w:val="single" w:color="auto" w:sz="6" w:space="0"/>
              <w:bottom w:val="single" w:color="auto" w:sz="6" w:space="0"/>
              <w:right w:val="single" w:color="auto" w:sz="6" w:space="0"/>
            </w:tcBorders>
          </w:tcPr>
          <w:p w14:paraId="6256C1CB">
            <w:pPr>
              <w:pStyle w:val="227"/>
              <w:rPr>
                <w:color w:val="auto"/>
                <w:highlight w:val="none"/>
              </w:rPr>
            </w:pPr>
          </w:p>
        </w:tc>
        <w:tc>
          <w:tcPr>
            <w:tcW w:w="774" w:type="dxa"/>
            <w:tcBorders>
              <w:top w:val="nil"/>
              <w:left w:val="single" w:color="auto" w:sz="6" w:space="0"/>
              <w:bottom w:val="single" w:color="auto" w:sz="6" w:space="0"/>
              <w:right w:val="single" w:color="auto" w:sz="6" w:space="0"/>
            </w:tcBorders>
          </w:tcPr>
          <w:p w14:paraId="43192FFB">
            <w:pPr>
              <w:pStyle w:val="227"/>
              <w:rPr>
                <w:color w:val="auto"/>
                <w:highlight w:val="none"/>
              </w:rPr>
            </w:pPr>
          </w:p>
        </w:tc>
        <w:tc>
          <w:tcPr>
            <w:tcW w:w="1352" w:type="dxa"/>
            <w:tcBorders>
              <w:top w:val="nil"/>
              <w:left w:val="single" w:color="auto" w:sz="6" w:space="0"/>
              <w:bottom w:val="single" w:color="auto" w:sz="6" w:space="0"/>
              <w:right w:val="single" w:color="auto" w:sz="6" w:space="0"/>
            </w:tcBorders>
          </w:tcPr>
          <w:p w14:paraId="3051BFE5">
            <w:pPr>
              <w:pStyle w:val="227"/>
              <w:rPr>
                <w:color w:val="auto"/>
                <w:highlight w:val="none"/>
              </w:rPr>
            </w:pPr>
          </w:p>
        </w:tc>
        <w:tc>
          <w:tcPr>
            <w:tcW w:w="1418" w:type="dxa"/>
            <w:tcBorders>
              <w:top w:val="nil"/>
              <w:left w:val="single" w:color="auto" w:sz="6" w:space="0"/>
              <w:bottom w:val="single" w:color="auto" w:sz="6" w:space="0"/>
              <w:right w:val="single" w:color="auto" w:sz="6" w:space="0"/>
            </w:tcBorders>
          </w:tcPr>
          <w:p w14:paraId="6C6714B1">
            <w:pPr>
              <w:pStyle w:val="227"/>
              <w:rPr>
                <w:color w:val="auto"/>
                <w:highlight w:val="none"/>
              </w:rPr>
            </w:pPr>
          </w:p>
        </w:tc>
        <w:tc>
          <w:tcPr>
            <w:tcW w:w="1701" w:type="dxa"/>
            <w:tcBorders>
              <w:top w:val="nil"/>
              <w:left w:val="single" w:color="auto" w:sz="6" w:space="0"/>
              <w:bottom w:val="single" w:color="auto" w:sz="6" w:space="0"/>
              <w:right w:val="single" w:color="auto" w:sz="12" w:space="0"/>
            </w:tcBorders>
          </w:tcPr>
          <w:p w14:paraId="04B7A497">
            <w:pPr>
              <w:pStyle w:val="227"/>
              <w:rPr>
                <w:color w:val="auto"/>
                <w:highlight w:val="none"/>
              </w:rPr>
            </w:pPr>
          </w:p>
        </w:tc>
      </w:tr>
      <w:tr w14:paraId="60C73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954E9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0A8A9D5">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8BD9652">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A50F414">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5689042">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975F058">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29C4B58">
            <w:pPr>
              <w:pStyle w:val="227"/>
              <w:rPr>
                <w:color w:val="auto"/>
                <w:highlight w:val="none"/>
              </w:rPr>
            </w:pPr>
          </w:p>
        </w:tc>
      </w:tr>
      <w:tr w14:paraId="6D97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C3C1C0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EF1EFEA">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62BC3E4">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C14CA94">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6094ED0">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5D33F0">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20E9ADB">
            <w:pPr>
              <w:pStyle w:val="227"/>
              <w:rPr>
                <w:color w:val="auto"/>
                <w:highlight w:val="none"/>
              </w:rPr>
            </w:pPr>
          </w:p>
        </w:tc>
      </w:tr>
      <w:tr w14:paraId="0AC6F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97C59F9">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08286E9">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CDFEAFE">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9321BDD">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FEDF141">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340111E">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D6C629B">
            <w:pPr>
              <w:pStyle w:val="227"/>
              <w:rPr>
                <w:color w:val="auto"/>
                <w:highlight w:val="none"/>
              </w:rPr>
            </w:pPr>
          </w:p>
        </w:tc>
      </w:tr>
      <w:tr w14:paraId="2AB79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ABEA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4367B44">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23E9C27">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2A1A828">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B51DB3B">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4BC5CAA">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0C0D934">
            <w:pPr>
              <w:pStyle w:val="227"/>
              <w:rPr>
                <w:color w:val="auto"/>
                <w:highlight w:val="none"/>
              </w:rPr>
            </w:pPr>
          </w:p>
        </w:tc>
      </w:tr>
      <w:tr w14:paraId="72385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3DB86C">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306CC28">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8DC682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3ADC86A">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D3BFD7F">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39B0033">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BF18C1C">
            <w:pPr>
              <w:pStyle w:val="227"/>
              <w:rPr>
                <w:color w:val="auto"/>
                <w:highlight w:val="none"/>
              </w:rPr>
            </w:pPr>
          </w:p>
        </w:tc>
      </w:tr>
      <w:tr w14:paraId="4FD05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3CF066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32CB1DF">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F68C679">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09B901E">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55AD454">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77FA844">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E0CD877">
            <w:pPr>
              <w:pStyle w:val="227"/>
              <w:rPr>
                <w:color w:val="auto"/>
                <w:highlight w:val="none"/>
              </w:rPr>
            </w:pPr>
          </w:p>
        </w:tc>
      </w:tr>
      <w:tr w14:paraId="023E3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9B2EEF3">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9A1AD63">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07A8D1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1790F59">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4C16B9F">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B67ABAB">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F0AEBFC">
            <w:pPr>
              <w:pStyle w:val="227"/>
              <w:rPr>
                <w:color w:val="auto"/>
                <w:highlight w:val="none"/>
              </w:rPr>
            </w:pPr>
          </w:p>
        </w:tc>
      </w:tr>
      <w:tr w14:paraId="258A2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1A4640">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0F23B27">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6D0992C">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1A21A6">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189DA69">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83A19E9">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3BEB10C">
            <w:pPr>
              <w:pStyle w:val="227"/>
              <w:rPr>
                <w:color w:val="auto"/>
                <w:highlight w:val="none"/>
              </w:rPr>
            </w:pPr>
          </w:p>
        </w:tc>
      </w:tr>
      <w:tr w14:paraId="691D8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B16682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CF9AF8B">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9D813BB">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2E65223">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B9CCAA1">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0ED8B87">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AE7AD15">
            <w:pPr>
              <w:pStyle w:val="227"/>
              <w:rPr>
                <w:color w:val="auto"/>
                <w:highlight w:val="none"/>
              </w:rPr>
            </w:pPr>
          </w:p>
        </w:tc>
      </w:tr>
      <w:tr w14:paraId="1BD35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C3C34C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7B94843">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1DB7624">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2760043">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0A7F73A">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453FE46">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BB16C0B">
            <w:pPr>
              <w:pStyle w:val="227"/>
              <w:rPr>
                <w:color w:val="auto"/>
                <w:highlight w:val="none"/>
              </w:rPr>
            </w:pPr>
          </w:p>
        </w:tc>
      </w:tr>
      <w:tr w14:paraId="00B69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87828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107DABA">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7C08556">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631F2B6">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12DF32D">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9CB0FF4">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F7A5C0B">
            <w:pPr>
              <w:pStyle w:val="227"/>
              <w:rPr>
                <w:color w:val="auto"/>
                <w:highlight w:val="none"/>
              </w:rPr>
            </w:pPr>
          </w:p>
        </w:tc>
      </w:tr>
      <w:tr w14:paraId="2F315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40421C7">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59E0811">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8CE357B">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12E2917">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BD47239">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1312D91">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0378BBD">
            <w:pPr>
              <w:pStyle w:val="227"/>
              <w:rPr>
                <w:color w:val="auto"/>
                <w:highlight w:val="none"/>
              </w:rPr>
            </w:pPr>
          </w:p>
        </w:tc>
      </w:tr>
      <w:tr w14:paraId="60435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94541F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EC07EF0">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BB7BF68">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7DDE057">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1254765">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8326C63">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A9A8EF1">
            <w:pPr>
              <w:pStyle w:val="227"/>
              <w:rPr>
                <w:color w:val="auto"/>
                <w:highlight w:val="none"/>
              </w:rPr>
            </w:pPr>
          </w:p>
        </w:tc>
      </w:tr>
      <w:tr w14:paraId="1EE4C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9570DD0">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71CB432">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D6F3D6A">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846A18E">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AB90216">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C1B11D2">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0BE3DF7">
            <w:pPr>
              <w:pStyle w:val="227"/>
              <w:rPr>
                <w:color w:val="auto"/>
                <w:highlight w:val="none"/>
              </w:rPr>
            </w:pPr>
          </w:p>
        </w:tc>
      </w:tr>
      <w:tr w14:paraId="6F408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0734E30">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32DB02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47C05B5">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81FB9A9">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3C464DE">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865C70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26FCF93">
            <w:pPr>
              <w:pStyle w:val="227"/>
              <w:rPr>
                <w:color w:val="auto"/>
                <w:highlight w:val="none"/>
              </w:rPr>
            </w:pPr>
          </w:p>
        </w:tc>
      </w:tr>
      <w:tr w14:paraId="1BC02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BC14A">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47C2652">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F4AA36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0BC952F">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F40C167">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8498C71">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1653F0A">
            <w:pPr>
              <w:pStyle w:val="227"/>
              <w:rPr>
                <w:color w:val="auto"/>
                <w:highlight w:val="none"/>
              </w:rPr>
            </w:pPr>
          </w:p>
        </w:tc>
      </w:tr>
      <w:tr w14:paraId="0ACA8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61350D4">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81000E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BBBD40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9E63E97">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DED4577">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9F8268B">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E63471B">
            <w:pPr>
              <w:pStyle w:val="227"/>
              <w:rPr>
                <w:color w:val="auto"/>
                <w:highlight w:val="none"/>
              </w:rPr>
            </w:pPr>
          </w:p>
        </w:tc>
      </w:tr>
      <w:tr w14:paraId="4EC4B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32238A2">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900F4E7">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310301D">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0EF58E1">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84126CC">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FD85458">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9CB8562">
            <w:pPr>
              <w:pStyle w:val="227"/>
              <w:rPr>
                <w:color w:val="auto"/>
                <w:highlight w:val="none"/>
              </w:rPr>
            </w:pPr>
          </w:p>
        </w:tc>
      </w:tr>
    </w:tbl>
    <w:p w14:paraId="389E608F">
      <w:pPr>
        <w:pStyle w:val="227"/>
        <w:rPr>
          <w:color w:val="auto"/>
          <w:highlight w:val="none"/>
        </w:rPr>
      </w:pPr>
    </w:p>
    <w:p w14:paraId="3E7F726B">
      <w:pPr>
        <w:pStyle w:val="227"/>
        <w:rPr>
          <w:color w:val="auto"/>
          <w:highlight w:val="none"/>
        </w:rPr>
      </w:pPr>
    </w:p>
    <w:p w14:paraId="028802CE">
      <w:pPr>
        <w:pStyle w:val="227"/>
        <w:rPr>
          <w:color w:val="auto"/>
          <w:highlight w:val="none"/>
        </w:rPr>
      </w:pPr>
    </w:p>
    <w:p w14:paraId="1FF31394">
      <w:pPr>
        <w:pStyle w:val="227"/>
        <w:rPr>
          <w:color w:val="auto"/>
          <w:highlight w:val="none"/>
        </w:rPr>
      </w:pPr>
    </w:p>
    <w:p w14:paraId="677B9827">
      <w:pPr>
        <w:pStyle w:val="227"/>
        <w:rPr>
          <w:color w:val="auto"/>
          <w:highlight w:val="none"/>
        </w:rPr>
      </w:pPr>
    </w:p>
    <w:p w14:paraId="6E0CAE42">
      <w:pPr>
        <w:pStyle w:val="227"/>
        <w:rPr>
          <w:color w:val="auto"/>
          <w:highlight w:val="none"/>
        </w:rPr>
      </w:pPr>
    </w:p>
    <w:p w14:paraId="754A8303">
      <w:pPr>
        <w:pStyle w:val="227"/>
        <w:rPr>
          <w:color w:val="auto"/>
          <w:highlight w:val="none"/>
        </w:rPr>
      </w:pPr>
    </w:p>
    <w:p w14:paraId="746E9DB9">
      <w:pPr>
        <w:pStyle w:val="227"/>
        <w:rPr>
          <w:color w:val="auto"/>
          <w:highlight w:val="none"/>
        </w:rPr>
      </w:pPr>
    </w:p>
    <w:p w14:paraId="70492B57">
      <w:pPr>
        <w:pStyle w:val="227"/>
        <w:rPr>
          <w:color w:val="auto"/>
          <w:highlight w:val="none"/>
        </w:rPr>
      </w:pPr>
    </w:p>
    <w:p w14:paraId="1B882C6C">
      <w:pPr>
        <w:pStyle w:val="227"/>
        <w:rPr>
          <w:color w:val="auto"/>
          <w:highlight w:val="none"/>
        </w:rPr>
      </w:pPr>
    </w:p>
    <w:p w14:paraId="3834D363">
      <w:pPr>
        <w:pStyle w:val="227"/>
        <w:rPr>
          <w:color w:val="auto"/>
          <w:highlight w:val="none"/>
        </w:rPr>
      </w:pPr>
    </w:p>
    <w:p w14:paraId="3D01DD22">
      <w:pPr>
        <w:pStyle w:val="227"/>
        <w:ind w:firstLine="422"/>
        <w:jc w:val="center"/>
        <w:rPr>
          <w:b/>
          <w:bCs/>
          <w:color w:val="auto"/>
          <w:highlight w:val="none"/>
        </w:rPr>
      </w:pPr>
      <w:r>
        <w:rPr>
          <w:rFonts w:hint="eastAsia"/>
          <w:b/>
          <w:bCs/>
          <w:color w:val="auto"/>
          <w:highlight w:val="none"/>
        </w:rPr>
        <w:t>11</w:t>
      </w:r>
      <w:r>
        <w:rPr>
          <w:b/>
          <w:bCs/>
          <w:color w:val="auto"/>
          <w:highlight w:val="none"/>
        </w:rPr>
        <w:t>-2</w:t>
      </w:r>
      <w:r>
        <w:rPr>
          <w:rFonts w:hint="eastAsia"/>
          <w:b/>
          <w:bCs/>
          <w:color w:val="auto"/>
          <w:highlight w:val="none"/>
        </w:rPr>
        <w:t>：工程设备暂估价表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3E67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0AC07E43">
            <w:pPr>
              <w:pStyle w:val="227"/>
              <w:ind w:firstLine="0" w:firstLineChars="0"/>
              <w:jc w:val="center"/>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2405E490">
            <w:pPr>
              <w:pStyle w:val="227"/>
              <w:ind w:firstLine="0" w:firstLineChars="0"/>
              <w:jc w:val="center"/>
              <w:rPr>
                <w:color w:val="auto"/>
                <w:highlight w:val="none"/>
              </w:rPr>
            </w:pPr>
            <w:r>
              <w:rPr>
                <w:rFonts w:hint="eastAsia"/>
                <w:color w:val="auto"/>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34B10F56">
            <w:pPr>
              <w:pStyle w:val="227"/>
              <w:ind w:firstLine="0" w:firstLineChars="0"/>
              <w:jc w:val="center"/>
              <w:rPr>
                <w:color w:val="auto"/>
                <w:highlight w:val="none"/>
              </w:rPr>
            </w:pPr>
            <w:r>
              <w:rPr>
                <w:rFonts w:hint="eastAsia"/>
                <w:color w:val="auto"/>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4FE2612">
            <w:pPr>
              <w:pStyle w:val="227"/>
              <w:ind w:firstLine="0" w:firstLineChars="0"/>
              <w:jc w:val="center"/>
              <w:rPr>
                <w:color w:val="auto"/>
                <w:highlight w:val="none"/>
              </w:rPr>
            </w:pPr>
            <w:r>
              <w:rPr>
                <w:rFonts w:hint="eastAsia"/>
                <w:color w:val="auto"/>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52C7EFC">
            <w:pPr>
              <w:pStyle w:val="227"/>
              <w:ind w:firstLine="0" w:firstLineChars="0"/>
              <w:jc w:val="center"/>
              <w:rPr>
                <w:color w:val="auto"/>
                <w:highlight w:val="none"/>
              </w:rPr>
            </w:pPr>
            <w:r>
              <w:rPr>
                <w:rFonts w:hint="eastAsia"/>
                <w:color w:val="auto"/>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2F3D1B06">
            <w:pPr>
              <w:pStyle w:val="227"/>
              <w:ind w:firstLine="0" w:firstLineChars="0"/>
              <w:jc w:val="center"/>
              <w:rPr>
                <w:color w:val="auto"/>
                <w:highlight w:val="none"/>
              </w:rPr>
            </w:pPr>
            <w:r>
              <w:rPr>
                <w:rFonts w:hint="eastAsia"/>
                <w:color w:val="auto"/>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61266ED">
            <w:pPr>
              <w:pStyle w:val="227"/>
              <w:ind w:firstLine="0" w:firstLineChars="0"/>
              <w:jc w:val="center"/>
              <w:rPr>
                <w:color w:val="auto"/>
                <w:highlight w:val="none"/>
              </w:rPr>
            </w:pPr>
            <w:r>
              <w:rPr>
                <w:rFonts w:hint="eastAsia"/>
                <w:color w:val="auto"/>
                <w:highlight w:val="none"/>
              </w:rPr>
              <w:t>备注</w:t>
            </w:r>
          </w:p>
        </w:tc>
      </w:tr>
      <w:tr w14:paraId="7B418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577D3D07">
            <w:pPr>
              <w:pStyle w:val="227"/>
              <w:ind w:firstLine="0" w:firstLineChars="0"/>
              <w:jc w:val="center"/>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0876115A">
            <w:pPr>
              <w:pStyle w:val="227"/>
              <w:ind w:firstLine="0" w:firstLineChars="0"/>
              <w:jc w:val="center"/>
              <w:rPr>
                <w:color w:val="auto"/>
                <w:highlight w:val="none"/>
              </w:rPr>
            </w:pPr>
            <w:r>
              <w:rPr>
                <w:rFonts w:hint="eastAsia"/>
                <w:color w:val="auto"/>
                <w:highlight w:val="none"/>
              </w:rPr>
              <w:t>无</w:t>
            </w:r>
          </w:p>
        </w:tc>
        <w:tc>
          <w:tcPr>
            <w:tcW w:w="851" w:type="dxa"/>
            <w:tcBorders>
              <w:top w:val="double" w:color="auto" w:sz="6" w:space="0"/>
              <w:left w:val="single" w:color="auto" w:sz="6" w:space="0"/>
              <w:bottom w:val="single" w:color="auto" w:sz="6" w:space="0"/>
              <w:right w:val="single" w:color="auto" w:sz="6" w:space="0"/>
            </w:tcBorders>
          </w:tcPr>
          <w:p w14:paraId="030D3C97">
            <w:pPr>
              <w:pStyle w:val="227"/>
              <w:ind w:firstLine="0" w:firstLineChars="0"/>
              <w:jc w:val="center"/>
              <w:rPr>
                <w:color w:val="auto"/>
                <w:highlight w:val="none"/>
              </w:rPr>
            </w:pPr>
            <w:r>
              <w:rPr>
                <w:rFonts w:hint="eastAsia"/>
                <w:color w:val="auto"/>
                <w:highlight w:val="none"/>
              </w:rPr>
              <w:t>无</w:t>
            </w:r>
          </w:p>
        </w:tc>
        <w:tc>
          <w:tcPr>
            <w:tcW w:w="774" w:type="dxa"/>
            <w:tcBorders>
              <w:top w:val="double" w:color="auto" w:sz="6" w:space="0"/>
              <w:left w:val="single" w:color="auto" w:sz="6" w:space="0"/>
              <w:bottom w:val="single" w:color="auto" w:sz="6" w:space="0"/>
              <w:right w:val="single" w:color="auto" w:sz="6" w:space="0"/>
            </w:tcBorders>
          </w:tcPr>
          <w:p w14:paraId="7C6D5425">
            <w:pPr>
              <w:pStyle w:val="227"/>
              <w:ind w:firstLine="0" w:firstLineChars="0"/>
              <w:jc w:val="center"/>
              <w:rPr>
                <w:color w:val="auto"/>
                <w:highlight w:val="none"/>
              </w:rPr>
            </w:pPr>
            <w:r>
              <w:rPr>
                <w:rFonts w:hint="eastAsia"/>
                <w:color w:val="auto"/>
                <w:highlight w:val="none"/>
              </w:rPr>
              <w:t>无</w:t>
            </w:r>
          </w:p>
        </w:tc>
        <w:tc>
          <w:tcPr>
            <w:tcW w:w="1352" w:type="dxa"/>
            <w:tcBorders>
              <w:top w:val="double" w:color="auto" w:sz="6" w:space="0"/>
              <w:left w:val="single" w:color="auto" w:sz="6" w:space="0"/>
              <w:bottom w:val="single" w:color="auto" w:sz="6" w:space="0"/>
              <w:right w:val="single" w:color="auto" w:sz="6" w:space="0"/>
            </w:tcBorders>
          </w:tcPr>
          <w:p w14:paraId="1306AECF">
            <w:pPr>
              <w:pStyle w:val="227"/>
              <w:ind w:firstLine="0" w:firstLineChars="0"/>
              <w:jc w:val="center"/>
              <w:rPr>
                <w:color w:val="auto"/>
                <w:highlight w:val="none"/>
              </w:rPr>
            </w:pPr>
            <w:r>
              <w:rPr>
                <w:rFonts w:hint="eastAsia"/>
                <w:color w:val="auto"/>
                <w:highlight w:val="none"/>
              </w:rPr>
              <w:t>无</w:t>
            </w:r>
          </w:p>
        </w:tc>
        <w:tc>
          <w:tcPr>
            <w:tcW w:w="1418" w:type="dxa"/>
            <w:tcBorders>
              <w:top w:val="double" w:color="auto" w:sz="6" w:space="0"/>
              <w:left w:val="single" w:color="auto" w:sz="6" w:space="0"/>
              <w:bottom w:val="single" w:color="auto" w:sz="6" w:space="0"/>
              <w:right w:val="single" w:color="auto" w:sz="6" w:space="0"/>
            </w:tcBorders>
          </w:tcPr>
          <w:p w14:paraId="4AB8E07F">
            <w:pPr>
              <w:pStyle w:val="227"/>
              <w:ind w:firstLine="0" w:firstLineChars="0"/>
              <w:jc w:val="center"/>
              <w:rPr>
                <w:color w:val="auto"/>
                <w:highlight w:val="none"/>
              </w:rPr>
            </w:pPr>
            <w:r>
              <w:rPr>
                <w:rFonts w:hint="eastAsia"/>
                <w:color w:val="auto"/>
                <w:highlight w:val="none"/>
              </w:rPr>
              <w:t>无</w:t>
            </w:r>
          </w:p>
        </w:tc>
        <w:tc>
          <w:tcPr>
            <w:tcW w:w="1701" w:type="dxa"/>
            <w:tcBorders>
              <w:top w:val="double" w:color="auto" w:sz="6" w:space="0"/>
              <w:left w:val="single" w:color="auto" w:sz="6" w:space="0"/>
              <w:bottom w:val="single" w:color="auto" w:sz="6" w:space="0"/>
              <w:right w:val="single" w:color="auto" w:sz="12" w:space="0"/>
            </w:tcBorders>
          </w:tcPr>
          <w:p w14:paraId="48CAD51E">
            <w:pPr>
              <w:pStyle w:val="227"/>
              <w:ind w:firstLine="0" w:firstLineChars="0"/>
              <w:jc w:val="center"/>
              <w:rPr>
                <w:color w:val="auto"/>
                <w:highlight w:val="none"/>
              </w:rPr>
            </w:pPr>
            <w:r>
              <w:rPr>
                <w:rFonts w:hint="eastAsia"/>
                <w:color w:val="auto"/>
                <w:highlight w:val="none"/>
              </w:rPr>
              <w:t>无</w:t>
            </w:r>
          </w:p>
        </w:tc>
      </w:tr>
      <w:tr w14:paraId="6AD0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64AEEA52">
            <w:pPr>
              <w:pStyle w:val="227"/>
              <w:rPr>
                <w:color w:val="auto"/>
                <w:highlight w:val="none"/>
              </w:rPr>
            </w:pPr>
          </w:p>
        </w:tc>
        <w:tc>
          <w:tcPr>
            <w:tcW w:w="1984" w:type="dxa"/>
            <w:tcBorders>
              <w:top w:val="nil"/>
              <w:left w:val="single" w:color="auto" w:sz="6" w:space="0"/>
              <w:bottom w:val="single" w:color="auto" w:sz="6" w:space="0"/>
              <w:right w:val="single" w:color="auto" w:sz="6" w:space="0"/>
            </w:tcBorders>
          </w:tcPr>
          <w:p w14:paraId="73560FE8">
            <w:pPr>
              <w:pStyle w:val="227"/>
              <w:rPr>
                <w:color w:val="auto"/>
                <w:highlight w:val="none"/>
              </w:rPr>
            </w:pPr>
          </w:p>
        </w:tc>
        <w:tc>
          <w:tcPr>
            <w:tcW w:w="851" w:type="dxa"/>
            <w:tcBorders>
              <w:top w:val="nil"/>
              <w:left w:val="single" w:color="auto" w:sz="6" w:space="0"/>
              <w:bottom w:val="single" w:color="auto" w:sz="6" w:space="0"/>
              <w:right w:val="single" w:color="auto" w:sz="6" w:space="0"/>
            </w:tcBorders>
          </w:tcPr>
          <w:p w14:paraId="018F3DC4">
            <w:pPr>
              <w:pStyle w:val="227"/>
              <w:rPr>
                <w:color w:val="auto"/>
                <w:highlight w:val="none"/>
              </w:rPr>
            </w:pPr>
          </w:p>
        </w:tc>
        <w:tc>
          <w:tcPr>
            <w:tcW w:w="774" w:type="dxa"/>
            <w:tcBorders>
              <w:top w:val="nil"/>
              <w:left w:val="single" w:color="auto" w:sz="6" w:space="0"/>
              <w:bottom w:val="single" w:color="auto" w:sz="6" w:space="0"/>
              <w:right w:val="single" w:color="auto" w:sz="6" w:space="0"/>
            </w:tcBorders>
          </w:tcPr>
          <w:p w14:paraId="253FD306">
            <w:pPr>
              <w:pStyle w:val="227"/>
              <w:rPr>
                <w:color w:val="auto"/>
                <w:highlight w:val="none"/>
              </w:rPr>
            </w:pPr>
          </w:p>
        </w:tc>
        <w:tc>
          <w:tcPr>
            <w:tcW w:w="1352" w:type="dxa"/>
            <w:tcBorders>
              <w:top w:val="nil"/>
              <w:left w:val="single" w:color="auto" w:sz="6" w:space="0"/>
              <w:bottom w:val="single" w:color="auto" w:sz="6" w:space="0"/>
              <w:right w:val="single" w:color="auto" w:sz="6" w:space="0"/>
            </w:tcBorders>
          </w:tcPr>
          <w:p w14:paraId="4FE52F8B">
            <w:pPr>
              <w:pStyle w:val="227"/>
              <w:rPr>
                <w:color w:val="auto"/>
                <w:highlight w:val="none"/>
              </w:rPr>
            </w:pPr>
          </w:p>
        </w:tc>
        <w:tc>
          <w:tcPr>
            <w:tcW w:w="1418" w:type="dxa"/>
            <w:tcBorders>
              <w:top w:val="nil"/>
              <w:left w:val="single" w:color="auto" w:sz="6" w:space="0"/>
              <w:bottom w:val="single" w:color="auto" w:sz="6" w:space="0"/>
              <w:right w:val="single" w:color="auto" w:sz="6" w:space="0"/>
            </w:tcBorders>
          </w:tcPr>
          <w:p w14:paraId="2FBE2D07">
            <w:pPr>
              <w:pStyle w:val="227"/>
              <w:rPr>
                <w:color w:val="auto"/>
                <w:highlight w:val="none"/>
              </w:rPr>
            </w:pPr>
          </w:p>
        </w:tc>
        <w:tc>
          <w:tcPr>
            <w:tcW w:w="1701" w:type="dxa"/>
            <w:tcBorders>
              <w:top w:val="nil"/>
              <w:left w:val="single" w:color="auto" w:sz="6" w:space="0"/>
              <w:bottom w:val="single" w:color="auto" w:sz="6" w:space="0"/>
              <w:right w:val="single" w:color="auto" w:sz="12" w:space="0"/>
            </w:tcBorders>
          </w:tcPr>
          <w:p w14:paraId="37EBBEBC">
            <w:pPr>
              <w:pStyle w:val="227"/>
              <w:rPr>
                <w:color w:val="auto"/>
                <w:highlight w:val="none"/>
              </w:rPr>
            </w:pPr>
          </w:p>
        </w:tc>
      </w:tr>
      <w:tr w14:paraId="31DE8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C0B692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2F439E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736EA85">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EAD0E9E">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812F9A0">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831F11D">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8680D6F">
            <w:pPr>
              <w:pStyle w:val="227"/>
              <w:rPr>
                <w:color w:val="auto"/>
                <w:highlight w:val="none"/>
              </w:rPr>
            </w:pPr>
          </w:p>
        </w:tc>
      </w:tr>
      <w:tr w14:paraId="6BC28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B4EEF3B">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FC3B0D0">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79E3184">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41E2000">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70654ED">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9AF34EC">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0DCAEDA">
            <w:pPr>
              <w:pStyle w:val="227"/>
              <w:rPr>
                <w:color w:val="auto"/>
                <w:highlight w:val="none"/>
              </w:rPr>
            </w:pPr>
          </w:p>
        </w:tc>
      </w:tr>
      <w:tr w14:paraId="218AC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21AC8B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2DA1AA7">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1CE0241">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B02D8CA">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874D850">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70CE12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AB6AD49">
            <w:pPr>
              <w:pStyle w:val="227"/>
              <w:rPr>
                <w:color w:val="auto"/>
                <w:highlight w:val="none"/>
              </w:rPr>
            </w:pPr>
          </w:p>
        </w:tc>
      </w:tr>
      <w:tr w14:paraId="36E0F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18CA72">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1C00B51">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A13C63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FB19965">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DBEACD5">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1EAD10A">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BA0C75A">
            <w:pPr>
              <w:pStyle w:val="227"/>
              <w:rPr>
                <w:color w:val="auto"/>
                <w:highlight w:val="none"/>
              </w:rPr>
            </w:pPr>
          </w:p>
        </w:tc>
      </w:tr>
      <w:tr w14:paraId="6F78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44FE8F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1014C39">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EBBA58D">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433AD71">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D81D011">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E58AF8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4C978F1">
            <w:pPr>
              <w:pStyle w:val="227"/>
              <w:rPr>
                <w:color w:val="auto"/>
                <w:highlight w:val="none"/>
              </w:rPr>
            </w:pPr>
          </w:p>
        </w:tc>
      </w:tr>
      <w:tr w14:paraId="43F3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69A598E">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6B7941A">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89C6B48">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F068D85">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A266C50">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020EC4E">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18DAABC">
            <w:pPr>
              <w:pStyle w:val="227"/>
              <w:rPr>
                <w:color w:val="auto"/>
                <w:highlight w:val="none"/>
              </w:rPr>
            </w:pPr>
          </w:p>
        </w:tc>
      </w:tr>
      <w:tr w14:paraId="7A8CC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AB186A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4A405B3">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FF75463">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E99B3D4">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784A1E3">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F6DF906">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85DD6CC">
            <w:pPr>
              <w:pStyle w:val="227"/>
              <w:rPr>
                <w:color w:val="auto"/>
                <w:highlight w:val="none"/>
              </w:rPr>
            </w:pPr>
          </w:p>
        </w:tc>
      </w:tr>
      <w:tr w14:paraId="5438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9D17B1C">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0CBE61D">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0960C45">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9F66687">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F8BDFFE">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04B436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FBFA24E">
            <w:pPr>
              <w:pStyle w:val="227"/>
              <w:rPr>
                <w:color w:val="auto"/>
                <w:highlight w:val="none"/>
              </w:rPr>
            </w:pPr>
          </w:p>
        </w:tc>
      </w:tr>
      <w:tr w14:paraId="501BB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6663911">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DFE707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293D395">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319EC46">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A6DE3EF">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F66DF7D">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554F035">
            <w:pPr>
              <w:pStyle w:val="227"/>
              <w:rPr>
                <w:color w:val="auto"/>
                <w:highlight w:val="none"/>
              </w:rPr>
            </w:pPr>
          </w:p>
        </w:tc>
      </w:tr>
      <w:tr w14:paraId="32CEE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1C348DE">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B2C04E1">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EEE7DB9">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F3A11EC">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EE1277F">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B3F58C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E3A3D15">
            <w:pPr>
              <w:pStyle w:val="227"/>
              <w:rPr>
                <w:color w:val="auto"/>
                <w:highlight w:val="none"/>
              </w:rPr>
            </w:pPr>
          </w:p>
        </w:tc>
      </w:tr>
      <w:tr w14:paraId="6E914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FAB6F2F">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0E5DD72">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0EB09F9">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B88DD27">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B985A10">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721CD0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CECF38D">
            <w:pPr>
              <w:pStyle w:val="227"/>
              <w:rPr>
                <w:color w:val="auto"/>
                <w:highlight w:val="none"/>
              </w:rPr>
            </w:pPr>
          </w:p>
        </w:tc>
      </w:tr>
      <w:tr w14:paraId="2E2F4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F6B7209">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D4B80A0">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FC3484C">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F39C7AD">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9CF31D7">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4845273">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A46112F">
            <w:pPr>
              <w:pStyle w:val="227"/>
              <w:rPr>
                <w:color w:val="auto"/>
                <w:highlight w:val="none"/>
              </w:rPr>
            </w:pPr>
          </w:p>
        </w:tc>
      </w:tr>
      <w:tr w14:paraId="21BFB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AD191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F03CBF1">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4A927A1">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F15EC3C">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9B66FD4">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1ADF3F4">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3721422">
            <w:pPr>
              <w:pStyle w:val="227"/>
              <w:rPr>
                <w:color w:val="auto"/>
                <w:highlight w:val="none"/>
              </w:rPr>
            </w:pPr>
          </w:p>
        </w:tc>
      </w:tr>
      <w:tr w14:paraId="07E32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74A28E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D810C3F">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836074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48BBC34">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BA0EBA5">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FED2D5C">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A4F404A">
            <w:pPr>
              <w:pStyle w:val="227"/>
              <w:rPr>
                <w:color w:val="auto"/>
                <w:highlight w:val="none"/>
              </w:rPr>
            </w:pPr>
          </w:p>
        </w:tc>
      </w:tr>
      <w:tr w14:paraId="78E0A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BB82190">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2B52F15">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88F21AB">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1C42AD0">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172DE08">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733BBF6">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90508EB">
            <w:pPr>
              <w:pStyle w:val="227"/>
              <w:rPr>
                <w:color w:val="auto"/>
                <w:highlight w:val="none"/>
              </w:rPr>
            </w:pPr>
          </w:p>
        </w:tc>
      </w:tr>
      <w:tr w14:paraId="7F25C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575C502">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21FE09A">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9F9A02E">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846D4A2">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73E20C6">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381AC63">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D88BAF1">
            <w:pPr>
              <w:pStyle w:val="227"/>
              <w:rPr>
                <w:color w:val="auto"/>
                <w:highlight w:val="none"/>
              </w:rPr>
            </w:pPr>
          </w:p>
        </w:tc>
      </w:tr>
      <w:tr w14:paraId="46DD5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B1009EE">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E0FFBA8">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B38080C">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5021873">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673F489">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C66BB27">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D612468">
            <w:pPr>
              <w:pStyle w:val="227"/>
              <w:rPr>
                <w:color w:val="auto"/>
                <w:highlight w:val="none"/>
              </w:rPr>
            </w:pPr>
          </w:p>
        </w:tc>
      </w:tr>
      <w:tr w14:paraId="270C5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6472AE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54E193">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AB0A76">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283A0FC">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039C701">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E4A3CFB">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5DEB1C2">
            <w:pPr>
              <w:pStyle w:val="227"/>
              <w:rPr>
                <w:color w:val="auto"/>
                <w:highlight w:val="none"/>
              </w:rPr>
            </w:pPr>
          </w:p>
        </w:tc>
      </w:tr>
      <w:tr w14:paraId="1E6E0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1225B7">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875748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B009D65">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4A7BF1C">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C7C7406">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E9782BA">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036D9D6">
            <w:pPr>
              <w:pStyle w:val="227"/>
              <w:rPr>
                <w:color w:val="auto"/>
                <w:highlight w:val="none"/>
              </w:rPr>
            </w:pPr>
          </w:p>
        </w:tc>
      </w:tr>
      <w:tr w14:paraId="04F7F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FC1B75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9965C86">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2682600">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CFBD1D1">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8943683">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44FCEAD">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D43711D">
            <w:pPr>
              <w:pStyle w:val="227"/>
              <w:rPr>
                <w:color w:val="auto"/>
                <w:highlight w:val="none"/>
              </w:rPr>
            </w:pPr>
          </w:p>
        </w:tc>
      </w:tr>
      <w:tr w14:paraId="5CCD8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FA9D957">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53DF433">
            <w:pPr>
              <w:pStyle w:val="227"/>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8D3139D">
            <w:pPr>
              <w:pStyle w:val="227"/>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550C6CE">
            <w:pPr>
              <w:pStyle w:val="227"/>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4E3C38E">
            <w:pPr>
              <w:pStyle w:val="227"/>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C1B0EB5">
            <w:pPr>
              <w:pStyle w:val="227"/>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F7CFEC5">
            <w:pPr>
              <w:pStyle w:val="227"/>
              <w:rPr>
                <w:color w:val="auto"/>
                <w:highlight w:val="none"/>
              </w:rPr>
            </w:pPr>
          </w:p>
        </w:tc>
      </w:tr>
      <w:tr w14:paraId="7363B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A03C5F7">
            <w:pPr>
              <w:pStyle w:val="227"/>
              <w:rPr>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4176031C">
            <w:pPr>
              <w:pStyle w:val="227"/>
              <w:rPr>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4E992A13">
            <w:pPr>
              <w:pStyle w:val="227"/>
              <w:rPr>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5743FD5D">
            <w:pPr>
              <w:pStyle w:val="227"/>
              <w:rPr>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0295ED40">
            <w:pPr>
              <w:pStyle w:val="227"/>
              <w:rPr>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17527E2A">
            <w:pPr>
              <w:pStyle w:val="227"/>
              <w:rPr>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4320A8C6">
            <w:pPr>
              <w:pStyle w:val="227"/>
              <w:rPr>
                <w:color w:val="auto"/>
                <w:highlight w:val="none"/>
              </w:rPr>
            </w:pPr>
          </w:p>
        </w:tc>
      </w:tr>
    </w:tbl>
    <w:p w14:paraId="4AAFCB95">
      <w:pPr>
        <w:pStyle w:val="227"/>
        <w:rPr>
          <w:color w:val="auto"/>
          <w:highlight w:val="none"/>
        </w:rPr>
      </w:pPr>
    </w:p>
    <w:p w14:paraId="7B477F54">
      <w:pPr>
        <w:pStyle w:val="227"/>
        <w:rPr>
          <w:color w:val="auto"/>
          <w:highlight w:val="none"/>
        </w:rPr>
      </w:pPr>
    </w:p>
    <w:p w14:paraId="3D4F5F77">
      <w:pPr>
        <w:pStyle w:val="227"/>
        <w:rPr>
          <w:color w:val="auto"/>
          <w:highlight w:val="none"/>
        </w:rPr>
      </w:pPr>
    </w:p>
    <w:p w14:paraId="3C93B3E2">
      <w:pPr>
        <w:pStyle w:val="227"/>
        <w:rPr>
          <w:color w:val="auto"/>
          <w:highlight w:val="none"/>
        </w:rPr>
      </w:pPr>
    </w:p>
    <w:p w14:paraId="3458FE79">
      <w:pPr>
        <w:pStyle w:val="227"/>
        <w:rPr>
          <w:color w:val="auto"/>
          <w:highlight w:val="none"/>
        </w:rPr>
      </w:pPr>
    </w:p>
    <w:p w14:paraId="754EACFA">
      <w:pPr>
        <w:pStyle w:val="227"/>
        <w:rPr>
          <w:color w:val="auto"/>
          <w:highlight w:val="none"/>
        </w:rPr>
      </w:pPr>
    </w:p>
    <w:p w14:paraId="7829353B">
      <w:pPr>
        <w:pStyle w:val="227"/>
        <w:rPr>
          <w:color w:val="auto"/>
          <w:highlight w:val="none"/>
        </w:rPr>
      </w:pPr>
    </w:p>
    <w:p w14:paraId="29DE7879">
      <w:pPr>
        <w:pStyle w:val="227"/>
        <w:rPr>
          <w:color w:val="auto"/>
          <w:highlight w:val="none"/>
        </w:rPr>
      </w:pPr>
    </w:p>
    <w:p w14:paraId="3BDC5C9D">
      <w:pPr>
        <w:pStyle w:val="227"/>
        <w:rPr>
          <w:color w:val="auto"/>
          <w:highlight w:val="none"/>
        </w:rPr>
      </w:pPr>
    </w:p>
    <w:p w14:paraId="6753B21B">
      <w:pPr>
        <w:pStyle w:val="227"/>
        <w:ind w:firstLine="422"/>
        <w:jc w:val="center"/>
        <w:rPr>
          <w:b/>
          <w:bCs/>
          <w:color w:val="auto"/>
          <w:highlight w:val="none"/>
        </w:rPr>
      </w:pPr>
      <w:r>
        <w:rPr>
          <w:rFonts w:hint="eastAsia"/>
          <w:b/>
          <w:bCs/>
          <w:color w:val="auto"/>
          <w:highlight w:val="none"/>
        </w:rPr>
        <w:t>11</w:t>
      </w:r>
      <w:r>
        <w:rPr>
          <w:b/>
          <w:bCs/>
          <w:color w:val="auto"/>
          <w:highlight w:val="none"/>
        </w:rPr>
        <w:t>-3</w:t>
      </w:r>
      <w:r>
        <w:rPr>
          <w:rFonts w:hint="eastAsia"/>
          <w:b/>
          <w:bCs/>
          <w:color w:val="auto"/>
          <w:highlight w:val="none"/>
        </w:rPr>
        <w:t>：专业工程暂估价表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6711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14:paraId="2F5B15C8">
            <w:pPr>
              <w:pStyle w:val="227"/>
              <w:ind w:firstLine="0" w:firstLineChars="0"/>
              <w:jc w:val="center"/>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7477777A">
            <w:pPr>
              <w:pStyle w:val="227"/>
              <w:jc w:val="center"/>
              <w:rPr>
                <w:color w:val="auto"/>
                <w:highlight w:val="none"/>
              </w:rPr>
            </w:pPr>
            <w:r>
              <w:rPr>
                <w:rFonts w:hint="eastAsia"/>
                <w:color w:val="auto"/>
                <w:highlight w:val="none"/>
              </w:rPr>
              <w:t>专业工程名称</w:t>
            </w:r>
          </w:p>
        </w:tc>
        <w:tc>
          <w:tcPr>
            <w:tcW w:w="4678" w:type="dxa"/>
            <w:tcBorders>
              <w:top w:val="single" w:color="auto" w:sz="12" w:space="0"/>
              <w:left w:val="single" w:color="auto" w:sz="6" w:space="0"/>
              <w:bottom w:val="double" w:color="auto" w:sz="6" w:space="0"/>
              <w:right w:val="single" w:color="auto" w:sz="6" w:space="0"/>
            </w:tcBorders>
          </w:tcPr>
          <w:p w14:paraId="5E11D57C">
            <w:pPr>
              <w:pStyle w:val="227"/>
              <w:jc w:val="center"/>
              <w:rPr>
                <w:color w:val="auto"/>
                <w:highlight w:val="none"/>
              </w:rPr>
            </w:pPr>
            <w:r>
              <w:rPr>
                <w:rFonts w:hint="eastAsia"/>
                <w:color w:val="auto"/>
                <w:highlight w:val="none"/>
              </w:rPr>
              <w:t>工程内容</w:t>
            </w:r>
          </w:p>
        </w:tc>
        <w:tc>
          <w:tcPr>
            <w:tcW w:w="1276" w:type="dxa"/>
            <w:tcBorders>
              <w:top w:val="single" w:color="auto" w:sz="12" w:space="0"/>
              <w:left w:val="single" w:color="auto" w:sz="6" w:space="0"/>
              <w:bottom w:val="double" w:color="auto" w:sz="6" w:space="0"/>
              <w:right w:val="single" w:color="auto" w:sz="12" w:space="0"/>
            </w:tcBorders>
          </w:tcPr>
          <w:p w14:paraId="377FCEDC">
            <w:pPr>
              <w:pStyle w:val="227"/>
              <w:jc w:val="center"/>
              <w:rPr>
                <w:color w:val="auto"/>
                <w:highlight w:val="none"/>
              </w:rPr>
            </w:pPr>
            <w:r>
              <w:rPr>
                <w:rFonts w:hint="eastAsia"/>
                <w:color w:val="auto"/>
                <w:highlight w:val="none"/>
              </w:rPr>
              <w:t>金额</w:t>
            </w:r>
          </w:p>
        </w:tc>
      </w:tr>
      <w:tr w14:paraId="57693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14:paraId="16E10CE4">
            <w:pPr>
              <w:pStyle w:val="227"/>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241262FE">
            <w:pPr>
              <w:pStyle w:val="227"/>
              <w:rPr>
                <w:color w:val="auto"/>
                <w:highlight w:val="none"/>
              </w:rPr>
            </w:pPr>
            <w:r>
              <w:rPr>
                <w:rFonts w:hint="eastAsia"/>
                <w:color w:val="auto"/>
                <w:highlight w:val="none"/>
              </w:rPr>
              <w:t>无</w:t>
            </w:r>
          </w:p>
        </w:tc>
        <w:tc>
          <w:tcPr>
            <w:tcW w:w="4678" w:type="dxa"/>
            <w:tcBorders>
              <w:top w:val="double" w:color="auto" w:sz="6" w:space="0"/>
              <w:left w:val="single" w:color="auto" w:sz="6" w:space="0"/>
              <w:bottom w:val="single" w:color="auto" w:sz="6" w:space="0"/>
              <w:right w:val="single" w:color="auto" w:sz="6" w:space="0"/>
            </w:tcBorders>
          </w:tcPr>
          <w:p w14:paraId="436FC259">
            <w:pPr>
              <w:pStyle w:val="227"/>
              <w:rPr>
                <w:color w:val="auto"/>
                <w:highlight w:val="none"/>
              </w:rPr>
            </w:pPr>
            <w:r>
              <w:rPr>
                <w:rFonts w:hint="eastAsia"/>
                <w:color w:val="auto"/>
                <w:highlight w:val="none"/>
              </w:rPr>
              <w:t>无</w:t>
            </w:r>
          </w:p>
        </w:tc>
        <w:tc>
          <w:tcPr>
            <w:tcW w:w="1276" w:type="dxa"/>
            <w:tcBorders>
              <w:top w:val="double" w:color="auto" w:sz="6" w:space="0"/>
              <w:left w:val="single" w:color="auto" w:sz="6" w:space="0"/>
              <w:bottom w:val="single" w:color="auto" w:sz="6" w:space="0"/>
              <w:right w:val="single" w:color="auto" w:sz="12" w:space="0"/>
            </w:tcBorders>
          </w:tcPr>
          <w:p w14:paraId="696B60CC">
            <w:pPr>
              <w:pStyle w:val="227"/>
              <w:rPr>
                <w:color w:val="auto"/>
                <w:highlight w:val="none"/>
              </w:rPr>
            </w:pPr>
            <w:r>
              <w:rPr>
                <w:rFonts w:hint="eastAsia"/>
                <w:color w:val="auto"/>
                <w:highlight w:val="none"/>
              </w:rPr>
              <w:t>无</w:t>
            </w:r>
          </w:p>
        </w:tc>
      </w:tr>
      <w:tr w14:paraId="22CDF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6E9F577A">
            <w:pPr>
              <w:pStyle w:val="227"/>
              <w:rPr>
                <w:color w:val="auto"/>
                <w:highlight w:val="none"/>
              </w:rPr>
            </w:pPr>
          </w:p>
        </w:tc>
        <w:tc>
          <w:tcPr>
            <w:tcW w:w="1984" w:type="dxa"/>
            <w:tcBorders>
              <w:top w:val="nil"/>
              <w:left w:val="single" w:color="auto" w:sz="6" w:space="0"/>
              <w:bottom w:val="single" w:color="auto" w:sz="6" w:space="0"/>
              <w:right w:val="single" w:color="auto" w:sz="6" w:space="0"/>
            </w:tcBorders>
          </w:tcPr>
          <w:p w14:paraId="242231AD">
            <w:pPr>
              <w:pStyle w:val="227"/>
              <w:rPr>
                <w:color w:val="auto"/>
                <w:highlight w:val="none"/>
              </w:rPr>
            </w:pPr>
          </w:p>
        </w:tc>
        <w:tc>
          <w:tcPr>
            <w:tcW w:w="4678" w:type="dxa"/>
            <w:tcBorders>
              <w:top w:val="nil"/>
              <w:left w:val="single" w:color="auto" w:sz="6" w:space="0"/>
              <w:bottom w:val="single" w:color="auto" w:sz="6" w:space="0"/>
              <w:right w:val="single" w:color="auto" w:sz="6" w:space="0"/>
            </w:tcBorders>
          </w:tcPr>
          <w:p w14:paraId="7AB41CC7">
            <w:pPr>
              <w:pStyle w:val="227"/>
              <w:rPr>
                <w:color w:val="auto"/>
                <w:highlight w:val="none"/>
              </w:rPr>
            </w:pPr>
          </w:p>
        </w:tc>
        <w:tc>
          <w:tcPr>
            <w:tcW w:w="1276" w:type="dxa"/>
            <w:tcBorders>
              <w:top w:val="nil"/>
              <w:left w:val="single" w:color="auto" w:sz="6" w:space="0"/>
              <w:bottom w:val="single" w:color="auto" w:sz="6" w:space="0"/>
              <w:right w:val="single" w:color="auto" w:sz="12" w:space="0"/>
            </w:tcBorders>
          </w:tcPr>
          <w:p w14:paraId="52444034">
            <w:pPr>
              <w:pStyle w:val="227"/>
              <w:rPr>
                <w:color w:val="auto"/>
                <w:highlight w:val="none"/>
              </w:rPr>
            </w:pPr>
          </w:p>
        </w:tc>
      </w:tr>
      <w:tr w14:paraId="73E94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232369C">
            <w:pPr>
              <w:pStyle w:val="227"/>
              <w:rPr>
                <w:color w:val="auto"/>
                <w:highlight w:val="none"/>
              </w:rPr>
            </w:pPr>
          </w:p>
        </w:tc>
        <w:tc>
          <w:tcPr>
            <w:tcW w:w="1984" w:type="dxa"/>
            <w:tcBorders>
              <w:top w:val="nil"/>
              <w:left w:val="single" w:color="auto" w:sz="6" w:space="0"/>
              <w:bottom w:val="single" w:color="auto" w:sz="6" w:space="0"/>
              <w:right w:val="single" w:color="auto" w:sz="6" w:space="0"/>
            </w:tcBorders>
          </w:tcPr>
          <w:p w14:paraId="354A2615">
            <w:pPr>
              <w:pStyle w:val="227"/>
              <w:rPr>
                <w:color w:val="auto"/>
                <w:highlight w:val="none"/>
              </w:rPr>
            </w:pPr>
          </w:p>
        </w:tc>
        <w:tc>
          <w:tcPr>
            <w:tcW w:w="4678" w:type="dxa"/>
            <w:tcBorders>
              <w:top w:val="nil"/>
              <w:left w:val="single" w:color="auto" w:sz="6" w:space="0"/>
              <w:bottom w:val="single" w:color="auto" w:sz="6" w:space="0"/>
              <w:right w:val="single" w:color="auto" w:sz="6" w:space="0"/>
            </w:tcBorders>
          </w:tcPr>
          <w:p w14:paraId="3E9EA4E1">
            <w:pPr>
              <w:pStyle w:val="227"/>
              <w:rPr>
                <w:color w:val="auto"/>
                <w:highlight w:val="none"/>
              </w:rPr>
            </w:pPr>
          </w:p>
        </w:tc>
        <w:tc>
          <w:tcPr>
            <w:tcW w:w="1276" w:type="dxa"/>
            <w:tcBorders>
              <w:top w:val="nil"/>
              <w:left w:val="single" w:color="auto" w:sz="6" w:space="0"/>
              <w:bottom w:val="single" w:color="auto" w:sz="6" w:space="0"/>
              <w:right w:val="single" w:color="auto" w:sz="12" w:space="0"/>
            </w:tcBorders>
          </w:tcPr>
          <w:p w14:paraId="0AE70A17">
            <w:pPr>
              <w:pStyle w:val="227"/>
              <w:rPr>
                <w:color w:val="auto"/>
                <w:highlight w:val="none"/>
              </w:rPr>
            </w:pPr>
          </w:p>
        </w:tc>
      </w:tr>
      <w:tr w14:paraId="09A29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4CCAC7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FAB9DE7">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1B30A946">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454E022">
            <w:pPr>
              <w:pStyle w:val="227"/>
              <w:rPr>
                <w:color w:val="auto"/>
                <w:highlight w:val="none"/>
              </w:rPr>
            </w:pPr>
          </w:p>
        </w:tc>
      </w:tr>
      <w:tr w14:paraId="12B16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C10C67A">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3711977">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0B7E13B">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580ED1EE">
            <w:pPr>
              <w:pStyle w:val="227"/>
              <w:rPr>
                <w:color w:val="auto"/>
                <w:highlight w:val="none"/>
              </w:rPr>
            </w:pPr>
          </w:p>
        </w:tc>
      </w:tr>
      <w:tr w14:paraId="2FE4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6FB437">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6993AEE">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0F280A2">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383534E7">
            <w:pPr>
              <w:pStyle w:val="227"/>
              <w:rPr>
                <w:color w:val="auto"/>
                <w:highlight w:val="none"/>
              </w:rPr>
            </w:pPr>
          </w:p>
        </w:tc>
      </w:tr>
      <w:tr w14:paraId="311AC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579F614">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DF60CCD">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231623C0">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F8C6573">
            <w:pPr>
              <w:pStyle w:val="227"/>
              <w:rPr>
                <w:color w:val="auto"/>
                <w:highlight w:val="none"/>
              </w:rPr>
            </w:pPr>
          </w:p>
        </w:tc>
      </w:tr>
      <w:tr w14:paraId="10C92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EDE98F3">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103FAB9">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735F3D95">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436E29CF">
            <w:pPr>
              <w:pStyle w:val="227"/>
              <w:rPr>
                <w:color w:val="auto"/>
                <w:highlight w:val="none"/>
              </w:rPr>
            </w:pPr>
          </w:p>
        </w:tc>
      </w:tr>
      <w:tr w14:paraId="578A1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6998F7C">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06C6176">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54A51AA">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7A447CC4">
            <w:pPr>
              <w:pStyle w:val="227"/>
              <w:rPr>
                <w:color w:val="auto"/>
                <w:highlight w:val="none"/>
              </w:rPr>
            </w:pPr>
          </w:p>
        </w:tc>
      </w:tr>
      <w:tr w14:paraId="611A4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7AC65A7">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0ED0D77">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2375C48B">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34747C4">
            <w:pPr>
              <w:pStyle w:val="227"/>
              <w:rPr>
                <w:color w:val="auto"/>
                <w:highlight w:val="none"/>
              </w:rPr>
            </w:pPr>
          </w:p>
        </w:tc>
      </w:tr>
      <w:tr w14:paraId="66E44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2BEF86B">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C40F68A">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65F12BF">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0EA48938">
            <w:pPr>
              <w:pStyle w:val="227"/>
              <w:rPr>
                <w:color w:val="auto"/>
                <w:highlight w:val="none"/>
              </w:rPr>
            </w:pPr>
          </w:p>
        </w:tc>
      </w:tr>
      <w:tr w14:paraId="4297F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B101960">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82A055F">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3DD48730">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5FBC6CF5">
            <w:pPr>
              <w:pStyle w:val="227"/>
              <w:rPr>
                <w:color w:val="auto"/>
                <w:highlight w:val="none"/>
              </w:rPr>
            </w:pPr>
          </w:p>
        </w:tc>
      </w:tr>
      <w:tr w14:paraId="6EF82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AD7CF8D">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3F20B0">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6A8C38BD">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4BFB21F6">
            <w:pPr>
              <w:pStyle w:val="227"/>
              <w:rPr>
                <w:color w:val="auto"/>
                <w:highlight w:val="none"/>
              </w:rPr>
            </w:pPr>
          </w:p>
        </w:tc>
      </w:tr>
      <w:tr w14:paraId="52564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C9051AC">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AA9C405">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4C9530D2">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7C56E89B">
            <w:pPr>
              <w:pStyle w:val="227"/>
              <w:rPr>
                <w:color w:val="auto"/>
                <w:highlight w:val="none"/>
              </w:rPr>
            </w:pPr>
          </w:p>
        </w:tc>
      </w:tr>
      <w:tr w14:paraId="362BE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7129DA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B1F0D20">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4F32122">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0D202415">
            <w:pPr>
              <w:pStyle w:val="227"/>
              <w:rPr>
                <w:color w:val="auto"/>
                <w:highlight w:val="none"/>
              </w:rPr>
            </w:pPr>
          </w:p>
        </w:tc>
      </w:tr>
      <w:tr w14:paraId="405C7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6439561">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F2ACAF5">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3840EF33">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EECDF32">
            <w:pPr>
              <w:pStyle w:val="227"/>
              <w:rPr>
                <w:color w:val="auto"/>
                <w:highlight w:val="none"/>
              </w:rPr>
            </w:pPr>
          </w:p>
        </w:tc>
      </w:tr>
      <w:tr w14:paraId="516B0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4C447AA">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0034402">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2484FE73">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C41FAC8">
            <w:pPr>
              <w:pStyle w:val="227"/>
              <w:rPr>
                <w:color w:val="auto"/>
                <w:highlight w:val="none"/>
              </w:rPr>
            </w:pPr>
          </w:p>
        </w:tc>
      </w:tr>
      <w:tr w14:paraId="538E7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78FD2B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66AC2C9">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1FE59B49">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92E7E23">
            <w:pPr>
              <w:pStyle w:val="227"/>
              <w:rPr>
                <w:color w:val="auto"/>
                <w:highlight w:val="none"/>
              </w:rPr>
            </w:pPr>
          </w:p>
        </w:tc>
      </w:tr>
      <w:tr w14:paraId="7F383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37F183B">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C52021">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70A0F022">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CCB87D1">
            <w:pPr>
              <w:pStyle w:val="227"/>
              <w:rPr>
                <w:color w:val="auto"/>
                <w:highlight w:val="none"/>
              </w:rPr>
            </w:pPr>
          </w:p>
        </w:tc>
      </w:tr>
      <w:tr w14:paraId="441A1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31E4E41">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06F9A37">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156B2EA2">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794E560">
            <w:pPr>
              <w:pStyle w:val="227"/>
              <w:rPr>
                <w:color w:val="auto"/>
                <w:highlight w:val="none"/>
              </w:rPr>
            </w:pPr>
          </w:p>
        </w:tc>
      </w:tr>
      <w:tr w14:paraId="6BB40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BD51806">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204D326">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7A42CB38">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DBBD3A2">
            <w:pPr>
              <w:pStyle w:val="227"/>
              <w:rPr>
                <w:color w:val="auto"/>
                <w:highlight w:val="none"/>
              </w:rPr>
            </w:pPr>
          </w:p>
        </w:tc>
      </w:tr>
      <w:tr w14:paraId="3228E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D77E2E">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A13C9E6">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1D5F157B">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FC784AC">
            <w:pPr>
              <w:pStyle w:val="227"/>
              <w:rPr>
                <w:color w:val="auto"/>
                <w:highlight w:val="none"/>
              </w:rPr>
            </w:pPr>
          </w:p>
        </w:tc>
      </w:tr>
      <w:tr w14:paraId="09A1A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C1FDA8">
            <w:pPr>
              <w:pStyle w:val="227"/>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86DD4A4">
            <w:pPr>
              <w:pStyle w:val="227"/>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235442E8">
            <w:pPr>
              <w:pStyle w:val="227"/>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766EF48">
            <w:pPr>
              <w:pStyle w:val="227"/>
              <w:rPr>
                <w:color w:val="auto"/>
                <w:highlight w:val="none"/>
              </w:rPr>
            </w:pPr>
          </w:p>
        </w:tc>
      </w:tr>
      <w:tr w14:paraId="115BA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65803E21">
            <w:pPr>
              <w:pStyle w:val="227"/>
              <w:rPr>
                <w:color w:val="auto"/>
                <w:highlight w:val="none"/>
              </w:rPr>
            </w:pPr>
            <w:r>
              <w:rPr>
                <w:rFonts w:hint="eastAsia"/>
                <w:color w:val="auto"/>
                <w:highlight w:val="none"/>
              </w:rPr>
              <w:t>小计：</w:t>
            </w:r>
          </w:p>
        </w:tc>
      </w:tr>
    </w:tbl>
    <w:p w14:paraId="5F99F844">
      <w:pPr>
        <w:pStyle w:val="227"/>
        <w:rPr>
          <w:color w:val="auto"/>
          <w:highlight w:val="none"/>
        </w:rPr>
        <w:sectPr>
          <w:pgSz w:w="11906" w:h="16838"/>
          <w:pgMar w:top="935" w:right="1106" w:bottom="1440" w:left="1260" w:header="851" w:footer="992" w:gutter="0"/>
          <w:cols w:space="720" w:num="1"/>
          <w:docGrid w:type="lines" w:linePitch="312" w:charSpace="0"/>
        </w:sectPr>
      </w:pPr>
    </w:p>
    <w:p w14:paraId="5268D8ED">
      <w:pPr>
        <w:pStyle w:val="227"/>
        <w:ind w:firstLine="0" w:firstLineChars="0"/>
        <w:rPr>
          <w:color w:val="auto"/>
          <w:highlight w:val="none"/>
        </w:rPr>
      </w:pPr>
      <w:r>
        <w:rPr>
          <w:rFonts w:hint="eastAsia"/>
          <w:color w:val="auto"/>
          <w:highlight w:val="none"/>
        </w:rPr>
        <w:t xml:space="preserve">附件12：   </w:t>
      </w:r>
    </w:p>
    <w:p w14:paraId="3B78F7CC">
      <w:pPr>
        <w:pStyle w:val="227"/>
        <w:jc w:val="center"/>
        <w:rPr>
          <w:b/>
          <w:bCs/>
          <w:color w:val="auto"/>
          <w:highlight w:val="none"/>
        </w:rPr>
      </w:pPr>
      <w:r>
        <w:rPr>
          <w:rFonts w:hint="eastAsia"/>
          <w:color w:val="auto"/>
          <w:highlight w:val="none"/>
        </w:rPr>
        <w:t>允许调整价格的主要材料和工程设备一览表</w:t>
      </w:r>
    </w:p>
    <w:tbl>
      <w:tblPr>
        <w:tblStyle w:val="45"/>
        <w:tblW w:w="14174" w:type="dxa"/>
        <w:tblInd w:w="0" w:type="dxa"/>
        <w:tblLayout w:type="autofit"/>
        <w:tblCellMar>
          <w:top w:w="0" w:type="dxa"/>
          <w:left w:w="108" w:type="dxa"/>
          <w:bottom w:w="0" w:type="dxa"/>
          <w:right w:w="108" w:type="dxa"/>
        </w:tblCellMar>
      </w:tblPr>
      <w:tblGrid>
        <w:gridCol w:w="686"/>
        <w:gridCol w:w="3767"/>
        <w:gridCol w:w="812"/>
        <w:gridCol w:w="984"/>
        <w:gridCol w:w="1172"/>
        <w:gridCol w:w="1358"/>
        <w:gridCol w:w="1304"/>
        <w:gridCol w:w="1335"/>
        <w:gridCol w:w="270"/>
        <w:gridCol w:w="958"/>
        <w:gridCol w:w="1280"/>
        <w:gridCol w:w="248"/>
      </w:tblGrid>
      <w:tr w14:paraId="7E306721">
        <w:tblPrEx>
          <w:tblCellMar>
            <w:top w:w="0" w:type="dxa"/>
            <w:left w:w="108" w:type="dxa"/>
            <w:bottom w:w="0" w:type="dxa"/>
            <w:right w:w="108" w:type="dxa"/>
          </w:tblCellMar>
        </w:tblPrEx>
        <w:trPr>
          <w:trHeight w:val="540" w:hRule="atLeast"/>
        </w:trPr>
        <w:tc>
          <w:tcPr>
            <w:tcW w:w="11688" w:type="dxa"/>
            <w:gridSpan w:val="9"/>
            <w:tcBorders>
              <w:top w:val="nil"/>
              <w:left w:val="nil"/>
              <w:bottom w:val="nil"/>
              <w:right w:val="nil"/>
            </w:tcBorders>
            <w:shd w:val="clear" w:color="auto" w:fill="FFFFFF"/>
            <w:vAlign w:val="bottom"/>
          </w:tcPr>
          <w:p w14:paraId="19231FCD">
            <w:pPr>
              <w:widowControl/>
              <w:jc w:val="left"/>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工程名称：</w:t>
            </w:r>
          </w:p>
        </w:tc>
        <w:tc>
          <w:tcPr>
            <w:tcW w:w="2486" w:type="dxa"/>
            <w:gridSpan w:val="3"/>
            <w:tcBorders>
              <w:top w:val="nil"/>
              <w:left w:val="nil"/>
              <w:bottom w:val="nil"/>
              <w:right w:val="nil"/>
            </w:tcBorders>
            <w:shd w:val="clear" w:color="auto" w:fill="FFFFFF"/>
            <w:vAlign w:val="bottom"/>
          </w:tcPr>
          <w:p w14:paraId="648BF0D0">
            <w:pPr>
              <w:widowControl/>
              <w:jc w:val="left"/>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编号：</w:t>
            </w:r>
          </w:p>
        </w:tc>
      </w:tr>
      <w:tr w14:paraId="743E49F1">
        <w:tblPrEx>
          <w:tblCellMar>
            <w:top w:w="0" w:type="dxa"/>
            <w:left w:w="108" w:type="dxa"/>
            <w:bottom w:w="0" w:type="dxa"/>
            <w:right w:w="108" w:type="dxa"/>
          </w:tblCellMar>
        </w:tblPrEx>
        <w:trPr>
          <w:trHeight w:val="382"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A372E">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序号</w:t>
            </w:r>
          </w:p>
        </w:tc>
        <w:tc>
          <w:tcPr>
            <w:tcW w:w="3767" w:type="dxa"/>
            <w:tcBorders>
              <w:top w:val="single" w:color="000000" w:sz="4" w:space="0"/>
              <w:left w:val="nil"/>
              <w:bottom w:val="single" w:color="000000" w:sz="4" w:space="0"/>
              <w:right w:val="single" w:color="000000" w:sz="4" w:space="0"/>
            </w:tcBorders>
            <w:shd w:val="clear" w:color="auto" w:fill="FFFFFF"/>
            <w:vAlign w:val="center"/>
          </w:tcPr>
          <w:p w14:paraId="20F609D9">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名称、规格、型号</w:t>
            </w:r>
          </w:p>
        </w:tc>
        <w:tc>
          <w:tcPr>
            <w:tcW w:w="812" w:type="dxa"/>
            <w:tcBorders>
              <w:top w:val="single" w:color="000000" w:sz="4" w:space="0"/>
              <w:left w:val="nil"/>
              <w:bottom w:val="single" w:color="000000" w:sz="4" w:space="0"/>
              <w:right w:val="single" w:color="000000" w:sz="4" w:space="0"/>
            </w:tcBorders>
            <w:shd w:val="clear" w:color="auto" w:fill="FFFFFF"/>
            <w:vAlign w:val="center"/>
          </w:tcPr>
          <w:p w14:paraId="4037CC96">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单位</w:t>
            </w:r>
          </w:p>
        </w:tc>
        <w:tc>
          <w:tcPr>
            <w:tcW w:w="984" w:type="dxa"/>
            <w:tcBorders>
              <w:top w:val="single" w:color="000000" w:sz="4" w:space="0"/>
              <w:left w:val="nil"/>
              <w:bottom w:val="single" w:color="000000" w:sz="4" w:space="0"/>
              <w:right w:val="single" w:color="000000" w:sz="4" w:space="0"/>
            </w:tcBorders>
            <w:shd w:val="clear" w:color="auto" w:fill="FFFFFF"/>
            <w:vAlign w:val="center"/>
          </w:tcPr>
          <w:p w14:paraId="738573AD">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数量</w:t>
            </w:r>
          </w:p>
        </w:tc>
        <w:tc>
          <w:tcPr>
            <w:tcW w:w="1172" w:type="dxa"/>
            <w:tcBorders>
              <w:top w:val="single" w:color="000000" w:sz="4" w:space="0"/>
              <w:left w:val="nil"/>
              <w:bottom w:val="single" w:color="000000" w:sz="4" w:space="0"/>
              <w:right w:val="single" w:color="000000" w:sz="4" w:space="0"/>
            </w:tcBorders>
            <w:shd w:val="clear" w:color="auto" w:fill="FFFFFF"/>
            <w:vAlign w:val="center"/>
          </w:tcPr>
          <w:p w14:paraId="13514BFA">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风险系数（%）</w:t>
            </w:r>
          </w:p>
        </w:tc>
        <w:tc>
          <w:tcPr>
            <w:tcW w:w="1358" w:type="dxa"/>
            <w:tcBorders>
              <w:top w:val="single" w:color="000000" w:sz="4" w:space="0"/>
              <w:left w:val="nil"/>
              <w:bottom w:val="single" w:color="000000" w:sz="4" w:space="0"/>
              <w:right w:val="single" w:color="000000" w:sz="4" w:space="0"/>
            </w:tcBorders>
            <w:shd w:val="clear" w:color="auto" w:fill="FFFFFF"/>
            <w:vAlign w:val="center"/>
          </w:tcPr>
          <w:p w14:paraId="6463636D">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基准单价（元）</w:t>
            </w:r>
          </w:p>
        </w:tc>
        <w:tc>
          <w:tcPr>
            <w:tcW w:w="1304" w:type="dxa"/>
            <w:tcBorders>
              <w:top w:val="single" w:color="000000" w:sz="4" w:space="0"/>
              <w:left w:val="nil"/>
              <w:bottom w:val="single" w:color="000000" w:sz="4" w:space="0"/>
              <w:right w:val="single" w:color="000000" w:sz="4" w:space="0"/>
            </w:tcBorders>
            <w:shd w:val="clear" w:color="auto" w:fill="FFFFFF"/>
            <w:vAlign w:val="center"/>
          </w:tcPr>
          <w:p w14:paraId="52EA6AD7">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磋商单价（元）</w:t>
            </w:r>
          </w:p>
        </w:tc>
        <w:tc>
          <w:tcPr>
            <w:tcW w:w="1335" w:type="dxa"/>
            <w:tcBorders>
              <w:top w:val="single" w:color="000000" w:sz="4" w:space="0"/>
              <w:left w:val="nil"/>
              <w:bottom w:val="single" w:color="000000" w:sz="4" w:space="0"/>
              <w:right w:val="single" w:color="000000" w:sz="4" w:space="0"/>
            </w:tcBorders>
            <w:shd w:val="clear" w:color="auto" w:fill="FFFFFF"/>
            <w:vAlign w:val="center"/>
          </w:tcPr>
          <w:p w14:paraId="5DD04100">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确认单价（元）</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48D9E48E">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价差（元）</w:t>
            </w:r>
          </w:p>
        </w:tc>
        <w:tc>
          <w:tcPr>
            <w:tcW w:w="1280" w:type="dxa"/>
            <w:tcBorders>
              <w:top w:val="single" w:color="000000" w:sz="4" w:space="0"/>
              <w:left w:val="nil"/>
              <w:bottom w:val="single" w:color="000000" w:sz="4" w:space="0"/>
              <w:right w:val="single" w:color="000000" w:sz="4" w:space="0"/>
            </w:tcBorders>
            <w:shd w:val="clear" w:color="auto" w:fill="FFFFFF"/>
            <w:vAlign w:val="center"/>
          </w:tcPr>
          <w:p w14:paraId="57E15D59">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合计差价（元）</w:t>
            </w:r>
          </w:p>
        </w:tc>
        <w:tc>
          <w:tcPr>
            <w:tcW w:w="248" w:type="dxa"/>
            <w:tcBorders>
              <w:top w:val="nil"/>
              <w:left w:val="nil"/>
              <w:bottom w:val="nil"/>
              <w:right w:val="nil"/>
            </w:tcBorders>
          </w:tcPr>
          <w:p w14:paraId="349E7ACB">
            <w:pPr>
              <w:widowControl/>
              <w:jc w:val="left"/>
              <w:rPr>
                <w:rFonts w:ascii="Arial" w:hAnsi="Arial" w:cs="Arial"/>
                <w:color w:val="auto"/>
                <w:kern w:val="0"/>
                <w:sz w:val="24"/>
                <w:highlight w:val="none"/>
              </w:rPr>
            </w:pPr>
          </w:p>
        </w:tc>
      </w:tr>
      <w:tr w14:paraId="598CCA3E">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76D76BD5">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1</w:t>
            </w:r>
          </w:p>
        </w:tc>
        <w:tc>
          <w:tcPr>
            <w:tcW w:w="3767" w:type="dxa"/>
            <w:tcBorders>
              <w:top w:val="nil"/>
              <w:left w:val="nil"/>
              <w:bottom w:val="single" w:color="000000" w:sz="4" w:space="0"/>
              <w:right w:val="single" w:color="000000" w:sz="4" w:space="0"/>
            </w:tcBorders>
            <w:shd w:val="clear" w:color="auto" w:fill="FFFFFF"/>
            <w:vAlign w:val="center"/>
          </w:tcPr>
          <w:p w14:paraId="79F1B471">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CAF5964">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512B8A9D">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4B739242">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6FBC09ED">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33B24B74">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2C3779F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2B01345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C002B6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43A78B82">
            <w:pPr>
              <w:widowControl/>
              <w:jc w:val="left"/>
              <w:rPr>
                <w:rFonts w:ascii="Arial" w:hAnsi="Arial" w:cs="Arial"/>
                <w:color w:val="auto"/>
                <w:kern w:val="0"/>
                <w:sz w:val="24"/>
                <w:highlight w:val="none"/>
              </w:rPr>
            </w:pPr>
          </w:p>
        </w:tc>
      </w:tr>
      <w:tr w14:paraId="43A5AA74">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7DA7A649">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2</w:t>
            </w:r>
          </w:p>
        </w:tc>
        <w:tc>
          <w:tcPr>
            <w:tcW w:w="3767" w:type="dxa"/>
            <w:tcBorders>
              <w:top w:val="nil"/>
              <w:left w:val="nil"/>
              <w:bottom w:val="single" w:color="000000" w:sz="4" w:space="0"/>
              <w:right w:val="single" w:color="000000" w:sz="4" w:space="0"/>
            </w:tcBorders>
            <w:shd w:val="clear" w:color="auto" w:fill="FFFFFF"/>
            <w:vAlign w:val="center"/>
          </w:tcPr>
          <w:p w14:paraId="45FF296A">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5DA4C7D8">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353A4056">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4FB65AA7">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0D79E5A5">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36BAC88">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70EE427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618769FF">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35B92E6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3BD40B8F">
            <w:pPr>
              <w:widowControl/>
              <w:jc w:val="left"/>
              <w:rPr>
                <w:rFonts w:ascii="Arial" w:hAnsi="Arial" w:cs="Arial"/>
                <w:color w:val="auto"/>
                <w:kern w:val="0"/>
                <w:sz w:val="24"/>
                <w:highlight w:val="none"/>
              </w:rPr>
            </w:pPr>
          </w:p>
        </w:tc>
      </w:tr>
      <w:tr w14:paraId="1AB7F9FA">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7414D1D">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3</w:t>
            </w:r>
          </w:p>
        </w:tc>
        <w:tc>
          <w:tcPr>
            <w:tcW w:w="3767" w:type="dxa"/>
            <w:tcBorders>
              <w:top w:val="nil"/>
              <w:left w:val="nil"/>
              <w:bottom w:val="single" w:color="000000" w:sz="4" w:space="0"/>
              <w:right w:val="single" w:color="000000" w:sz="4" w:space="0"/>
            </w:tcBorders>
            <w:shd w:val="clear" w:color="auto" w:fill="FFFFFF"/>
            <w:vAlign w:val="center"/>
          </w:tcPr>
          <w:p w14:paraId="3D33F674">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0949F9E4">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6D622442">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A3A03B6">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565BA3A7">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310FA704">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3D784992">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3A10243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E5846C6">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2BB962DA">
            <w:pPr>
              <w:widowControl/>
              <w:jc w:val="left"/>
              <w:rPr>
                <w:rFonts w:ascii="Arial" w:hAnsi="Arial" w:cs="Arial"/>
                <w:color w:val="auto"/>
                <w:kern w:val="0"/>
                <w:sz w:val="24"/>
                <w:highlight w:val="none"/>
              </w:rPr>
            </w:pPr>
          </w:p>
        </w:tc>
      </w:tr>
      <w:tr w14:paraId="59957233">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75DB4FAD">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4</w:t>
            </w:r>
          </w:p>
        </w:tc>
        <w:tc>
          <w:tcPr>
            <w:tcW w:w="3767" w:type="dxa"/>
            <w:tcBorders>
              <w:top w:val="nil"/>
              <w:left w:val="nil"/>
              <w:bottom w:val="single" w:color="000000" w:sz="4" w:space="0"/>
              <w:right w:val="single" w:color="000000" w:sz="4" w:space="0"/>
            </w:tcBorders>
            <w:shd w:val="clear" w:color="auto" w:fill="FFFFFF"/>
            <w:vAlign w:val="center"/>
          </w:tcPr>
          <w:p w14:paraId="69F254EA">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33A701EC">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0297C93C">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2AFF76C5">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3845EE2C">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2FF6460">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1197A6DD">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2A5EE93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2CA93B09">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F0A993A">
            <w:pPr>
              <w:widowControl/>
              <w:jc w:val="left"/>
              <w:rPr>
                <w:rFonts w:ascii="Arial" w:hAnsi="Arial" w:cs="Arial"/>
                <w:color w:val="auto"/>
                <w:kern w:val="0"/>
                <w:sz w:val="24"/>
                <w:highlight w:val="none"/>
              </w:rPr>
            </w:pPr>
          </w:p>
        </w:tc>
      </w:tr>
      <w:tr w14:paraId="52CD15DF">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63866CE3">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5</w:t>
            </w:r>
          </w:p>
        </w:tc>
        <w:tc>
          <w:tcPr>
            <w:tcW w:w="3767" w:type="dxa"/>
            <w:tcBorders>
              <w:top w:val="nil"/>
              <w:left w:val="nil"/>
              <w:bottom w:val="single" w:color="000000" w:sz="4" w:space="0"/>
              <w:right w:val="single" w:color="000000" w:sz="4" w:space="0"/>
            </w:tcBorders>
            <w:shd w:val="clear" w:color="auto" w:fill="FFFFFF"/>
            <w:vAlign w:val="center"/>
          </w:tcPr>
          <w:p w14:paraId="5CE2637C">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337B3F96">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7127BF7A">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0F196D9">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197E56B4">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141DC847">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26241CC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6B5F9B35">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58AD3232">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43C3AF89">
            <w:pPr>
              <w:widowControl/>
              <w:jc w:val="left"/>
              <w:rPr>
                <w:rFonts w:ascii="Arial" w:hAnsi="Arial" w:cs="Arial"/>
                <w:color w:val="auto"/>
                <w:kern w:val="0"/>
                <w:sz w:val="24"/>
                <w:highlight w:val="none"/>
              </w:rPr>
            </w:pPr>
          </w:p>
        </w:tc>
      </w:tr>
      <w:tr w14:paraId="06B02A88">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2C09807B">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6</w:t>
            </w:r>
          </w:p>
        </w:tc>
        <w:tc>
          <w:tcPr>
            <w:tcW w:w="3767" w:type="dxa"/>
            <w:tcBorders>
              <w:top w:val="nil"/>
              <w:left w:val="nil"/>
              <w:bottom w:val="single" w:color="000000" w:sz="4" w:space="0"/>
              <w:right w:val="single" w:color="000000" w:sz="4" w:space="0"/>
            </w:tcBorders>
            <w:shd w:val="clear" w:color="auto" w:fill="FFFFFF"/>
            <w:vAlign w:val="center"/>
          </w:tcPr>
          <w:p w14:paraId="129C16A7">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3CD99D96">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25D66CC3">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0332F6B4">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142F5EF9">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4FE069AF">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2A1E6A5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12D9B966">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2EF31354">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F70493D">
            <w:pPr>
              <w:widowControl/>
              <w:jc w:val="left"/>
              <w:rPr>
                <w:rFonts w:ascii="Arial" w:hAnsi="Arial" w:cs="Arial"/>
                <w:color w:val="auto"/>
                <w:kern w:val="0"/>
                <w:sz w:val="24"/>
                <w:highlight w:val="none"/>
              </w:rPr>
            </w:pPr>
          </w:p>
        </w:tc>
      </w:tr>
      <w:tr w14:paraId="1EC09956">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2EDB5F3E">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7</w:t>
            </w:r>
          </w:p>
        </w:tc>
        <w:tc>
          <w:tcPr>
            <w:tcW w:w="3767" w:type="dxa"/>
            <w:tcBorders>
              <w:top w:val="nil"/>
              <w:left w:val="nil"/>
              <w:bottom w:val="single" w:color="000000" w:sz="4" w:space="0"/>
              <w:right w:val="single" w:color="000000" w:sz="4" w:space="0"/>
            </w:tcBorders>
            <w:shd w:val="clear" w:color="auto" w:fill="FFFFFF"/>
            <w:vAlign w:val="center"/>
          </w:tcPr>
          <w:p w14:paraId="6A487BB9">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5D83AE7F">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532EDE3A">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442F6ECE">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0051F969">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9FCC769">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36B25FD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6E188222">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5245D79C">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268E7138">
            <w:pPr>
              <w:widowControl/>
              <w:jc w:val="left"/>
              <w:rPr>
                <w:rFonts w:ascii="Arial" w:hAnsi="Arial" w:cs="Arial"/>
                <w:color w:val="auto"/>
                <w:kern w:val="0"/>
                <w:sz w:val="24"/>
                <w:highlight w:val="none"/>
              </w:rPr>
            </w:pPr>
          </w:p>
        </w:tc>
      </w:tr>
      <w:tr w14:paraId="348A0CB5">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49E26BF">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8</w:t>
            </w:r>
          </w:p>
        </w:tc>
        <w:tc>
          <w:tcPr>
            <w:tcW w:w="3767" w:type="dxa"/>
            <w:tcBorders>
              <w:top w:val="nil"/>
              <w:left w:val="nil"/>
              <w:bottom w:val="single" w:color="000000" w:sz="4" w:space="0"/>
              <w:right w:val="single" w:color="000000" w:sz="4" w:space="0"/>
            </w:tcBorders>
            <w:shd w:val="clear" w:color="auto" w:fill="FFFFFF"/>
            <w:vAlign w:val="center"/>
          </w:tcPr>
          <w:p w14:paraId="083D15A2">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4D58C82E">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6789979F">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7C48DE3E">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576640CF">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20BCCC4">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6F853C1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2EA7BFBE">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6403949C">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2BDB87F8">
            <w:pPr>
              <w:widowControl/>
              <w:jc w:val="left"/>
              <w:rPr>
                <w:rFonts w:ascii="Arial" w:hAnsi="Arial" w:cs="Arial"/>
                <w:color w:val="auto"/>
                <w:kern w:val="0"/>
                <w:sz w:val="24"/>
                <w:highlight w:val="none"/>
              </w:rPr>
            </w:pPr>
          </w:p>
        </w:tc>
      </w:tr>
      <w:tr w14:paraId="30CAB23C">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7A095BC5">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9</w:t>
            </w:r>
          </w:p>
        </w:tc>
        <w:tc>
          <w:tcPr>
            <w:tcW w:w="3767" w:type="dxa"/>
            <w:tcBorders>
              <w:top w:val="nil"/>
              <w:left w:val="nil"/>
              <w:bottom w:val="single" w:color="000000" w:sz="4" w:space="0"/>
              <w:right w:val="single" w:color="000000" w:sz="4" w:space="0"/>
            </w:tcBorders>
            <w:shd w:val="clear" w:color="auto" w:fill="FFFFFF"/>
            <w:vAlign w:val="center"/>
          </w:tcPr>
          <w:p w14:paraId="75E60196">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4B2AF5AF">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46CD2A6A">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28355DBB">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712B9647">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4853EB2">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53AF223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5442C8AE">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23EBDE6">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19507524">
            <w:pPr>
              <w:widowControl/>
              <w:jc w:val="left"/>
              <w:rPr>
                <w:rFonts w:ascii="Arial" w:hAnsi="Arial" w:cs="Arial"/>
                <w:color w:val="auto"/>
                <w:kern w:val="0"/>
                <w:sz w:val="24"/>
                <w:highlight w:val="none"/>
              </w:rPr>
            </w:pPr>
          </w:p>
        </w:tc>
      </w:tr>
      <w:tr w14:paraId="3EE827C1">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605EDBC6">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10</w:t>
            </w:r>
          </w:p>
        </w:tc>
        <w:tc>
          <w:tcPr>
            <w:tcW w:w="3767" w:type="dxa"/>
            <w:tcBorders>
              <w:top w:val="nil"/>
              <w:left w:val="nil"/>
              <w:bottom w:val="single" w:color="000000" w:sz="4" w:space="0"/>
              <w:right w:val="single" w:color="000000" w:sz="4" w:space="0"/>
            </w:tcBorders>
            <w:shd w:val="clear" w:color="auto" w:fill="FFFFFF"/>
            <w:vAlign w:val="center"/>
          </w:tcPr>
          <w:p w14:paraId="37A80540">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19F58D27">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3F1AAA86">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25547D5E">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204145D4">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57DCB17F">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222F14D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6FAA0888">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4B129395">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1E8C3DDE">
            <w:pPr>
              <w:widowControl/>
              <w:jc w:val="left"/>
              <w:rPr>
                <w:rFonts w:ascii="Arial" w:hAnsi="Arial" w:cs="Arial"/>
                <w:color w:val="auto"/>
                <w:kern w:val="0"/>
                <w:sz w:val="24"/>
                <w:highlight w:val="none"/>
              </w:rPr>
            </w:pPr>
          </w:p>
        </w:tc>
      </w:tr>
      <w:tr w14:paraId="2495C91F">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C260E3C">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11</w:t>
            </w:r>
          </w:p>
        </w:tc>
        <w:tc>
          <w:tcPr>
            <w:tcW w:w="3767" w:type="dxa"/>
            <w:tcBorders>
              <w:top w:val="nil"/>
              <w:left w:val="nil"/>
              <w:bottom w:val="single" w:color="000000" w:sz="4" w:space="0"/>
              <w:right w:val="single" w:color="000000" w:sz="4" w:space="0"/>
            </w:tcBorders>
            <w:shd w:val="clear" w:color="auto" w:fill="FFFFFF"/>
            <w:vAlign w:val="center"/>
          </w:tcPr>
          <w:p w14:paraId="0190F927">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0D597C9A">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5CC3E4CF">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01263245">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77145E40">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0E9CD4D7">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04DEC013">
            <w:pPr>
              <w:widowControl/>
              <w:jc w:val="right"/>
              <w:rPr>
                <w:rFonts w:ascii="宋体" w:hAnsi="宋体" w:cs="Arial"/>
                <w:color w:val="auto"/>
                <w:kern w:val="0"/>
                <w:sz w:val="18"/>
                <w:szCs w:val="18"/>
                <w:highlight w:val="none"/>
              </w:rPr>
            </w:pP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38B35860">
            <w:pPr>
              <w:widowControl/>
              <w:jc w:val="right"/>
              <w:rPr>
                <w:rFonts w:ascii="宋体" w:hAnsi="宋体" w:cs="Arial"/>
                <w:color w:val="auto"/>
                <w:kern w:val="0"/>
                <w:sz w:val="18"/>
                <w:szCs w:val="18"/>
                <w:highlight w:val="none"/>
              </w:rPr>
            </w:pPr>
          </w:p>
        </w:tc>
        <w:tc>
          <w:tcPr>
            <w:tcW w:w="1280" w:type="dxa"/>
            <w:tcBorders>
              <w:top w:val="nil"/>
              <w:left w:val="nil"/>
              <w:bottom w:val="single" w:color="000000" w:sz="4" w:space="0"/>
              <w:right w:val="single" w:color="000000" w:sz="4" w:space="0"/>
            </w:tcBorders>
            <w:shd w:val="clear" w:color="auto" w:fill="FFFFFF"/>
            <w:vAlign w:val="center"/>
          </w:tcPr>
          <w:p w14:paraId="05D8EEA5">
            <w:pPr>
              <w:widowControl/>
              <w:jc w:val="right"/>
              <w:rPr>
                <w:rFonts w:ascii="宋体" w:hAnsi="宋体" w:cs="Arial"/>
                <w:color w:val="auto"/>
                <w:kern w:val="0"/>
                <w:sz w:val="18"/>
                <w:szCs w:val="18"/>
                <w:highlight w:val="none"/>
              </w:rPr>
            </w:pPr>
          </w:p>
        </w:tc>
        <w:tc>
          <w:tcPr>
            <w:tcW w:w="248" w:type="dxa"/>
            <w:tcBorders>
              <w:top w:val="nil"/>
              <w:left w:val="nil"/>
              <w:bottom w:val="nil"/>
              <w:right w:val="nil"/>
            </w:tcBorders>
          </w:tcPr>
          <w:p w14:paraId="5ADC81A8">
            <w:pPr>
              <w:widowControl/>
              <w:jc w:val="left"/>
              <w:rPr>
                <w:rFonts w:ascii="Arial" w:hAnsi="Arial" w:cs="Arial"/>
                <w:color w:val="auto"/>
                <w:kern w:val="0"/>
                <w:sz w:val="24"/>
                <w:highlight w:val="none"/>
              </w:rPr>
            </w:pPr>
          </w:p>
        </w:tc>
      </w:tr>
      <w:tr w14:paraId="62067FF6">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175EA50E">
            <w:pPr>
              <w:widowControl/>
              <w:jc w:val="center"/>
              <w:textAlignment w:val="center"/>
              <w:rPr>
                <w:rFonts w:ascii="宋体" w:hAnsi="宋体" w:cs="Arial"/>
                <w:color w:val="auto"/>
                <w:kern w:val="0"/>
                <w:sz w:val="18"/>
                <w:szCs w:val="18"/>
                <w:highlight w:val="none"/>
              </w:rPr>
            </w:pPr>
            <w:r>
              <w:rPr>
                <w:rFonts w:hint="eastAsia" w:ascii="宋体" w:hAnsi="宋体" w:cs="宋体"/>
                <w:color w:val="auto"/>
                <w:kern w:val="0"/>
                <w:sz w:val="18"/>
                <w:szCs w:val="18"/>
                <w:highlight w:val="none"/>
              </w:rPr>
              <w:t>12</w:t>
            </w:r>
          </w:p>
        </w:tc>
        <w:tc>
          <w:tcPr>
            <w:tcW w:w="3767" w:type="dxa"/>
            <w:tcBorders>
              <w:top w:val="nil"/>
              <w:left w:val="nil"/>
              <w:bottom w:val="single" w:color="000000" w:sz="4" w:space="0"/>
              <w:right w:val="single" w:color="000000" w:sz="4" w:space="0"/>
            </w:tcBorders>
            <w:shd w:val="clear" w:color="auto" w:fill="FFFFFF"/>
            <w:vAlign w:val="center"/>
          </w:tcPr>
          <w:p w14:paraId="2623E191">
            <w:pPr>
              <w:widowControl/>
              <w:jc w:val="left"/>
              <w:textAlignment w:val="center"/>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6BE17A3">
            <w:pPr>
              <w:widowControl/>
              <w:jc w:val="center"/>
              <w:textAlignment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695AEB86">
            <w:pPr>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5D007451">
            <w:pPr>
              <w:widowControl/>
              <w:jc w:val="center"/>
              <w:textAlignment w:val="center"/>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16708EC3">
            <w:pPr>
              <w:widowControl/>
              <w:jc w:val="center"/>
              <w:textAlignment w:val="center"/>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9137596">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11C24815">
            <w:pPr>
              <w:widowControl/>
              <w:jc w:val="right"/>
              <w:rPr>
                <w:rFonts w:ascii="宋体" w:hAnsi="宋体" w:cs="Arial"/>
                <w:color w:val="auto"/>
                <w:kern w:val="0"/>
                <w:sz w:val="18"/>
                <w:szCs w:val="18"/>
                <w:highlight w:val="none"/>
              </w:rPr>
            </w:pP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54CDD436">
            <w:pPr>
              <w:widowControl/>
              <w:jc w:val="right"/>
              <w:rPr>
                <w:rFonts w:ascii="宋体" w:hAnsi="宋体" w:cs="Arial"/>
                <w:color w:val="auto"/>
                <w:kern w:val="0"/>
                <w:sz w:val="18"/>
                <w:szCs w:val="18"/>
                <w:highlight w:val="none"/>
              </w:rPr>
            </w:pPr>
          </w:p>
        </w:tc>
        <w:tc>
          <w:tcPr>
            <w:tcW w:w="1280" w:type="dxa"/>
            <w:tcBorders>
              <w:top w:val="nil"/>
              <w:left w:val="nil"/>
              <w:bottom w:val="single" w:color="000000" w:sz="4" w:space="0"/>
              <w:right w:val="single" w:color="000000" w:sz="4" w:space="0"/>
            </w:tcBorders>
            <w:shd w:val="clear" w:color="auto" w:fill="FFFFFF"/>
            <w:vAlign w:val="center"/>
          </w:tcPr>
          <w:p w14:paraId="36054CF8">
            <w:pPr>
              <w:widowControl/>
              <w:jc w:val="right"/>
              <w:rPr>
                <w:rFonts w:ascii="宋体" w:hAnsi="宋体" w:cs="Arial"/>
                <w:color w:val="auto"/>
                <w:kern w:val="0"/>
                <w:sz w:val="18"/>
                <w:szCs w:val="18"/>
                <w:highlight w:val="none"/>
              </w:rPr>
            </w:pPr>
          </w:p>
        </w:tc>
        <w:tc>
          <w:tcPr>
            <w:tcW w:w="248" w:type="dxa"/>
            <w:tcBorders>
              <w:top w:val="nil"/>
              <w:left w:val="nil"/>
              <w:bottom w:val="nil"/>
              <w:right w:val="nil"/>
            </w:tcBorders>
          </w:tcPr>
          <w:p w14:paraId="73AFDBFA">
            <w:pPr>
              <w:widowControl/>
              <w:jc w:val="left"/>
              <w:rPr>
                <w:rFonts w:ascii="Arial" w:hAnsi="Arial" w:cs="Arial"/>
                <w:color w:val="auto"/>
                <w:kern w:val="0"/>
                <w:sz w:val="24"/>
                <w:highlight w:val="none"/>
              </w:rPr>
            </w:pPr>
          </w:p>
        </w:tc>
      </w:tr>
      <w:tr w14:paraId="6B712B91">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76073AD">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19</w:t>
            </w:r>
          </w:p>
        </w:tc>
        <w:tc>
          <w:tcPr>
            <w:tcW w:w="3767" w:type="dxa"/>
            <w:tcBorders>
              <w:top w:val="nil"/>
              <w:left w:val="nil"/>
              <w:bottom w:val="single" w:color="000000" w:sz="4" w:space="0"/>
              <w:right w:val="single" w:color="000000" w:sz="4" w:space="0"/>
            </w:tcBorders>
            <w:shd w:val="clear" w:color="auto" w:fill="FFFFFF"/>
            <w:vAlign w:val="center"/>
          </w:tcPr>
          <w:p w14:paraId="41C16DED">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rPr>
              <w:t xml:space="preserve">            合       计</w:t>
            </w:r>
          </w:p>
        </w:tc>
        <w:tc>
          <w:tcPr>
            <w:tcW w:w="812" w:type="dxa"/>
            <w:tcBorders>
              <w:top w:val="nil"/>
              <w:left w:val="nil"/>
              <w:bottom w:val="single" w:color="000000" w:sz="4" w:space="0"/>
              <w:right w:val="single" w:color="000000" w:sz="4" w:space="0"/>
            </w:tcBorders>
            <w:shd w:val="clear" w:color="auto" w:fill="FFFFFF"/>
            <w:vAlign w:val="center"/>
          </w:tcPr>
          <w:p w14:paraId="7F4A1B38">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984" w:type="dxa"/>
            <w:tcBorders>
              <w:top w:val="nil"/>
              <w:left w:val="nil"/>
              <w:bottom w:val="single" w:color="000000" w:sz="4" w:space="0"/>
              <w:right w:val="single" w:color="000000" w:sz="4" w:space="0"/>
            </w:tcBorders>
            <w:shd w:val="clear" w:color="auto" w:fill="FFFFFF"/>
            <w:vAlign w:val="center"/>
          </w:tcPr>
          <w:p w14:paraId="00D7592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172" w:type="dxa"/>
            <w:tcBorders>
              <w:top w:val="nil"/>
              <w:left w:val="nil"/>
              <w:bottom w:val="single" w:color="000000" w:sz="4" w:space="0"/>
              <w:right w:val="single" w:color="000000" w:sz="4" w:space="0"/>
            </w:tcBorders>
            <w:shd w:val="clear" w:color="auto" w:fill="FFFFFF"/>
            <w:vAlign w:val="center"/>
          </w:tcPr>
          <w:p w14:paraId="40118E1F">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58" w:type="dxa"/>
            <w:tcBorders>
              <w:top w:val="nil"/>
              <w:left w:val="nil"/>
              <w:bottom w:val="single" w:color="000000" w:sz="4" w:space="0"/>
              <w:right w:val="single" w:color="000000" w:sz="4" w:space="0"/>
            </w:tcBorders>
            <w:shd w:val="clear" w:color="auto" w:fill="FFFFFF"/>
            <w:vAlign w:val="center"/>
          </w:tcPr>
          <w:p w14:paraId="219B852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04" w:type="dxa"/>
            <w:tcBorders>
              <w:top w:val="nil"/>
              <w:left w:val="nil"/>
              <w:bottom w:val="single" w:color="000000" w:sz="4" w:space="0"/>
              <w:right w:val="single" w:color="000000" w:sz="4" w:space="0"/>
            </w:tcBorders>
            <w:shd w:val="clear" w:color="auto" w:fill="FFFFFF"/>
            <w:vAlign w:val="center"/>
          </w:tcPr>
          <w:p w14:paraId="1C5F8E0C">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35" w:type="dxa"/>
            <w:tcBorders>
              <w:top w:val="nil"/>
              <w:left w:val="nil"/>
              <w:bottom w:val="single" w:color="000000" w:sz="4" w:space="0"/>
              <w:right w:val="single" w:color="000000" w:sz="4" w:space="0"/>
            </w:tcBorders>
            <w:shd w:val="clear" w:color="auto" w:fill="FFFFFF"/>
            <w:vAlign w:val="center"/>
          </w:tcPr>
          <w:p w14:paraId="4EFA96D9">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1DA6F0B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2EC1E894">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C1F7016">
            <w:pPr>
              <w:widowControl/>
              <w:jc w:val="left"/>
              <w:rPr>
                <w:rFonts w:ascii="Arial" w:hAnsi="Arial" w:cs="Arial"/>
                <w:color w:val="auto"/>
                <w:kern w:val="0"/>
                <w:sz w:val="24"/>
                <w:highlight w:val="none"/>
              </w:rPr>
            </w:pPr>
          </w:p>
        </w:tc>
      </w:tr>
    </w:tbl>
    <w:p w14:paraId="69EEFE6A">
      <w:pPr>
        <w:rPr>
          <w:color w:val="auto"/>
          <w:highlight w:val="none"/>
        </w:rPr>
      </w:pPr>
      <w:r>
        <w:rPr>
          <w:rFonts w:hint="eastAsia"/>
          <w:color w:val="auto"/>
          <w:highlight w:val="none"/>
        </w:rPr>
        <w:t>注：1.此表由采购人填写除“磋商单价”栏的内容，供应商在磋商时自主确定磋商单价。</w:t>
      </w:r>
    </w:p>
    <w:p w14:paraId="3622809A">
      <w:pPr>
        <w:rPr>
          <w:color w:val="auto"/>
          <w:highlight w:val="none"/>
        </w:rPr>
      </w:pPr>
      <w:r>
        <w:rPr>
          <w:rFonts w:hint="eastAsia"/>
          <w:color w:val="auto"/>
          <w:highlight w:val="none"/>
        </w:rPr>
        <w:t>2.采购人应优先采用工程造价管理机构发布的单价作为基础单价，未发布的，通过市场调查确定其基准单价。</w:t>
      </w:r>
    </w:p>
    <w:p w14:paraId="5F38AB91">
      <w:pPr>
        <w:pStyle w:val="2"/>
        <w:rPr>
          <w:color w:val="auto"/>
          <w:highlight w:val="none"/>
        </w:rPr>
      </w:pPr>
    </w:p>
    <w:sectPr>
      <w:headerReference r:id="rId14" w:type="first"/>
      <w:footerReference r:id="rId16" w:type="first"/>
      <w:headerReference r:id="rId12" w:type="default"/>
      <w:footerReference r:id="rId15" w:type="default"/>
      <w:headerReference r:id="rId13" w:type="even"/>
      <w:pgSz w:w="16838" w:h="11906" w:orient="landscape"/>
      <w:pgMar w:top="1587"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43CEF2-1833-4B9C-9D94-AC6B66F21769}"/>
  </w:font>
  <w:font w:name="Arial">
    <w:panose1 w:val="020B0604020202020204"/>
    <w:charset w:val="01"/>
    <w:family w:val="swiss"/>
    <w:pitch w:val="default"/>
    <w:sig w:usb0="E0002AFF" w:usb1="C0007843" w:usb2="00000009" w:usb3="00000000" w:csb0="400001FF" w:csb1="FFFF0000"/>
    <w:embedRegular r:id="rId2" w:fontKey="{115CCE2B-4162-4739-B227-A1F6BDA11070}"/>
  </w:font>
  <w:font w:name="黑体">
    <w:panose1 w:val="02010609060101010101"/>
    <w:charset w:val="86"/>
    <w:family w:val="auto"/>
    <w:pitch w:val="default"/>
    <w:sig w:usb0="800002BF" w:usb1="38CF7CFA" w:usb2="00000016" w:usb3="00000000" w:csb0="00040001" w:csb1="00000000"/>
    <w:embedRegular r:id="rId3" w:fontKey="{0D355C01-D243-4D27-9006-420B4DF3A87E}"/>
  </w:font>
  <w:font w:name="Courier New">
    <w:panose1 w:val="02070309020205020404"/>
    <w:charset w:val="01"/>
    <w:family w:val="modern"/>
    <w:pitch w:val="default"/>
    <w:sig w:usb0="E0002AFF" w:usb1="C0007843" w:usb2="00000009" w:usb3="00000000" w:csb0="400001FF" w:csb1="FFFF0000"/>
    <w:embedRegular r:id="rId4" w:fontKey="{D9D28426-4886-4E97-9125-A201FB347F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C7B520D3-9243-4ECF-BB51-2CB0DFDC489F}"/>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D20A4417-97E5-4E75-83E7-A6CB40E60AD6}"/>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embedRegular r:id="rId7" w:fontKey="{BDB311D0-2F99-4B43-9146-87E0BEDF7427}"/>
  </w:font>
  <w:font w:name="Arial Unicode MS">
    <w:panose1 w:val="020B0604020202020204"/>
    <w:charset w:val="86"/>
    <w:family w:val="swiss"/>
    <w:pitch w:val="default"/>
    <w:sig w:usb0="FFFFFFFF" w:usb1="E9FFFFFF"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8" w:fontKey="{C77DD68A-A0AD-47E7-B0F1-34EF43C34AE4}"/>
  </w:font>
  <w:font w:name="华文新魏">
    <w:panose1 w:val="02010800040101010101"/>
    <w:charset w:val="86"/>
    <w:family w:val="auto"/>
    <w:pitch w:val="default"/>
    <w:sig w:usb0="00000001" w:usb1="080F0000" w:usb2="00000000" w:usb3="00000000" w:csb0="00040000" w:csb1="00000000"/>
    <w:embedRegular r:id="rId9" w:fontKey="{223D3A47-FDCF-453C-BA63-6E32E300BE8B}"/>
  </w:font>
  <w:font w:name="宋体;SimSun">
    <w:altName w:val="宋体"/>
    <w:panose1 w:val="00000000000000000000"/>
    <w:charset w:val="86"/>
    <w:family w:val="roman"/>
    <w:pitch w:val="default"/>
    <w:sig w:usb0="00000000" w:usb1="00000000" w:usb2="00000000" w:usb3="00000000" w:csb0="00040001" w:csb1="00000000"/>
    <w:embedRegular r:id="rId10" w:fontKey="{9F9F266F-8600-494C-84F3-8CAFFA90FA86}"/>
  </w:font>
  <w:font w:name="方正粗黑宋简体">
    <w:panose1 w:val="02000000000000000000"/>
    <w:charset w:val="86"/>
    <w:family w:val="auto"/>
    <w:pitch w:val="default"/>
    <w:sig w:usb0="A00002BF" w:usb1="184F6CFA" w:usb2="00000012" w:usb3="00000000" w:csb0="00040001" w:csb1="00000000"/>
    <w:embedRegular r:id="rId11" w:fontKey="{9992E8D5-E866-4A82-9529-0A2F54DB8819}"/>
  </w:font>
  <w:font w:name="华文中宋">
    <w:panose1 w:val="02010600040101010101"/>
    <w:charset w:val="86"/>
    <w:family w:val="auto"/>
    <w:pitch w:val="default"/>
    <w:sig w:usb0="00000287" w:usb1="080F0000" w:usb2="00000000" w:usb3="00000000" w:csb0="0004009F" w:csb1="DFD70000"/>
    <w:embedRegular r:id="rId12" w:fontKey="{4386F85C-B039-4165-98BF-E531CC7B91CA}"/>
  </w:font>
  <w:font w:name="??Regular">
    <w:altName w:val="Courier New"/>
    <w:panose1 w:val="00000000000000000000"/>
    <w:charset w:val="00"/>
    <w:family w:val="auto"/>
    <w:pitch w:val="default"/>
    <w:sig w:usb0="00000000" w:usb1="00000000" w:usb2="00000000" w:usb3="00000000" w:csb0="00000000" w:csb1="00000000"/>
    <w:embedRegular r:id="rId13" w:fontKey="{4D179C57-CE40-4DE1-A414-92F2923A332D}"/>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8222">
    <w:pPr>
      <w:pStyle w:val="3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A2586B">
                          <w:pPr>
                            <w:pStyle w:val="3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gbNA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gbNABAACqAwAADgAAAAAAAAABACAAAAAeAQAAZHJz&#10;L2Uyb0RvYy54bWxQSwUGAAAAAAYABgBZAQAAYAUAAAAA&#10;">
              <v:fill on="f" focussize="0,0"/>
              <v:stroke on="f"/>
              <v:imagedata o:title=""/>
              <o:lock v:ext="edit" aspectratio="f"/>
              <v:textbox inset="0mm,0mm,0mm,0mm" style="mso-fit-shape-to-text:t;">
                <w:txbxContent>
                  <w:p w14:paraId="00A2586B">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46BAB2E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553253"/>
    </w:sdtPr>
    <w:sdtContent>
      <w:p w14:paraId="38567CA8">
        <w:pPr>
          <w:pStyle w:val="30"/>
          <w:jc w:val="center"/>
        </w:pPr>
        <w:r>
          <w:fldChar w:fldCharType="begin"/>
        </w:r>
        <w:r>
          <w:instrText xml:space="preserve">PAGE   \* MERGEFORMAT</w:instrText>
        </w:r>
        <w:r>
          <w:fldChar w:fldCharType="separate"/>
        </w:r>
        <w:r>
          <w:rPr>
            <w:lang w:val="zh-CN"/>
          </w:rPr>
          <w:t>0</w:t>
        </w:r>
        <w:r>
          <w:rPr>
            <w:lang w:val="zh-CN"/>
          </w:rPr>
          <w:fldChar w:fldCharType="end"/>
        </w:r>
      </w:p>
    </w:sdtContent>
  </w:sdt>
  <w:p w14:paraId="27871D71">
    <w:pPr>
      <w:pStyle w:val="30"/>
      <w:tabs>
        <w:tab w:val="center" w:pos="443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8925">
    <w:pPr>
      <w:pStyle w:val="30"/>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146</w:t>
    </w:r>
    <w:r>
      <w:rPr>
        <w:rStyle w:val="50"/>
      </w:rPr>
      <w:fldChar w:fldCharType="end"/>
    </w:r>
  </w:p>
  <w:p w14:paraId="392D83AB">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136B">
    <w:pPr>
      <w:pStyle w:val="30"/>
      <w:framePr w:wrap="around" w:vAnchor="text" w:hAnchor="margin" w:xAlign="center" w:y="1"/>
      <w:rPr>
        <w:rStyle w:val="50"/>
      </w:rPr>
    </w:pPr>
    <w:r>
      <w:rPr>
        <w:rStyle w:val="50"/>
      </w:rPr>
      <w:fldChar w:fldCharType="begin"/>
    </w:r>
    <w:r>
      <w:rPr>
        <w:rStyle w:val="50"/>
      </w:rPr>
      <w:instrText xml:space="preserve">PAGE  </w:instrText>
    </w:r>
    <w:r>
      <w:rPr>
        <w:rStyle w:val="50"/>
      </w:rPr>
      <w:fldChar w:fldCharType="end"/>
    </w:r>
  </w:p>
  <w:p w14:paraId="4D5030DE">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8197">
    <w:pPr>
      <w:pStyle w:val="30"/>
      <w:jc w:val="center"/>
    </w:pPr>
  </w:p>
  <w:p w14:paraId="7DD5413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2C21">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47A38A">
                          <w:pPr>
                            <w:pStyle w:val="30"/>
                            <w:jc w:val="center"/>
                          </w:pPr>
                          <w:r>
                            <w:fldChar w:fldCharType="begin"/>
                          </w:r>
                          <w:r>
                            <w:instrText xml:space="preserve"> PAGE  \* MERGEFORMAT </w:instrText>
                          </w:r>
                          <w:r>
                            <w:fldChar w:fldCharType="separate"/>
                          </w:r>
                          <w:r>
                            <w:t>167</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14:paraId="4947A38A">
                    <w:pPr>
                      <w:pStyle w:val="30"/>
                      <w:jc w:val="center"/>
                    </w:pPr>
                    <w:r>
                      <w:fldChar w:fldCharType="begin"/>
                    </w:r>
                    <w:r>
                      <w:instrText xml:space="preserve"> PAGE  \* MERGEFORMAT </w:instrText>
                    </w:r>
                    <w:r>
                      <w:fldChar w:fldCharType="separate"/>
                    </w:r>
                    <w:r>
                      <w:t>167</w:t>
                    </w:r>
                    <w:r>
                      <w:fldChar w:fldCharType="end"/>
                    </w:r>
                  </w:p>
                </w:txbxContent>
              </v:textbox>
            </v:shape>
          </w:pict>
        </mc:Fallback>
      </mc:AlternateContent>
    </w:r>
  </w:p>
  <w:p w14:paraId="20DEBB85">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6F1B">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13D0F4">
                          <w:pPr>
                            <w:pStyle w:val="30"/>
                          </w:pPr>
                          <w:r>
                            <w:fldChar w:fldCharType="begin"/>
                          </w:r>
                          <w:r>
                            <w:instrText xml:space="preserve"> PAGE  \* MERGEFORMAT </w:instrText>
                          </w:r>
                          <w:r>
                            <w:fldChar w:fldCharType="separate"/>
                          </w:r>
                          <w:r>
                            <w:t>168</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14:paraId="4113D0F4">
                    <w:pPr>
                      <w:pStyle w:val="30"/>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D962">
    <w:pPr>
      <w:pStyle w:val="31"/>
      <w:pBdr>
        <w:bottom w:val="none" w:color="auto" w:sz="0" w:space="0"/>
      </w:pBdr>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660900"/>
          <wp:effectExtent l="0" t="0" r="2540" b="6350"/>
          <wp:wrapNone/>
          <wp:docPr id="4"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9C46">
    <w:pPr>
      <w:pStyle w:val="3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36895" cy="4980940"/>
          <wp:effectExtent l="0" t="0" r="1905" b="10160"/>
          <wp:wrapNone/>
          <wp:docPr id="5"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05ABE">
    <w:pPr>
      <w:pStyle w:val="31"/>
      <w:pBdr>
        <w:bottom w:val="none" w:color="auto" w:sz="0" w:space="1"/>
      </w:pBdr>
    </w:pPr>
    <w: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A9A1">
    <w:pPr>
      <w:pStyle w:val="31"/>
      <w:pBdr>
        <w:bottom w:val="none" w:color="auto" w:sz="0" w:space="0"/>
      </w:pBdr>
    </w:pPr>
    <w: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23B3">
    <w:pPr>
      <w:pStyle w:val="31"/>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9"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69F3">
    <w:pPr>
      <w:pStyle w:val="3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9764">
    <w:pPr>
      <w:pStyle w:val="31"/>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10"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rPr>
        <w:rFonts w:cs="Times New Roman"/>
      </w:rPr>
    </w:lvl>
  </w:abstractNum>
  <w:abstractNum w:abstractNumId="1">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58996FC4"/>
    <w:multiLevelType w:val="singleLevel"/>
    <w:tmpl w:val="58996FC4"/>
    <w:lvl w:ilvl="0" w:tentative="0">
      <w:start w:val="8"/>
      <w:numFmt w:val="decimal"/>
      <w:suff w:val="space"/>
      <w:lvlText w:val="%1."/>
      <w:lvlJc w:val="left"/>
    </w:lvl>
  </w:abstractNum>
  <w:abstractNum w:abstractNumId="3">
    <w:nsid w:val="58997CBF"/>
    <w:multiLevelType w:val="singleLevel"/>
    <w:tmpl w:val="58997CBF"/>
    <w:lvl w:ilvl="0" w:tentative="0">
      <w:start w:val="2"/>
      <w:numFmt w:val="decimal"/>
      <w:suff w:val="nothing"/>
      <w:lvlText w:val="（%1）"/>
      <w:lvlJc w:val="left"/>
    </w:lvl>
  </w:abstractNum>
  <w:abstractNum w:abstractNumId="4">
    <w:nsid w:val="5899810D"/>
    <w:multiLevelType w:val="singleLevel"/>
    <w:tmpl w:val="5899810D"/>
    <w:lvl w:ilvl="0" w:tentative="0">
      <w:start w:val="2"/>
      <w:numFmt w:val="decimal"/>
      <w:suff w:val="nothing"/>
      <w:lvlText w:val="（%1）"/>
      <w:lvlJc w:val="left"/>
    </w:lvl>
  </w:abstractNum>
  <w:abstractNum w:abstractNumId="5">
    <w:nsid w:val="5899971B"/>
    <w:multiLevelType w:val="singleLevel"/>
    <w:tmpl w:val="5899971B"/>
    <w:lvl w:ilvl="0" w:tentative="0">
      <w:start w:val="1"/>
      <w:numFmt w:val="decimal"/>
      <w:suff w:val="nothing"/>
      <w:lvlText w:val="（%1）"/>
      <w:lvlJc w:val="left"/>
    </w:lvl>
  </w:abstractNum>
  <w:abstractNum w:abstractNumId="6">
    <w:nsid w:val="58999E78"/>
    <w:multiLevelType w:val="singleLevel"/>
    <w:tmpl w:val="58999E78"/>
    <w:lvl w:ilvl="0" w:tentative="0">
      <w:start w:val="1"/>
      <w:numFmt w:val="decimal"/>
      <w:suff w:val="nothing"/>
      <w:lvlText w:val="（%1）"/>
      <w:lvlJc w:val="left"/>
    </w:lvl>
  </w:abstractNum>
  <w:abstractNum w:abstractNumId="7">
    <w:nsid w:val="58AD93E8"/>
    <w:multiLevelType w:val="singleLevel"/>
    <w:tmpl w:val="58AD93E8"/>
    <w:lvl w:ilvl="0" w:tentative="0">
      <w:start w:val="7"/>
      <w:numFmt w:val="decimal"/>
      <w:suff w:val="nothing"/>
      <w:lvlText w:val="（%1）"/>
      <w:lvlJc w:val="left"/>
    </w:lvl>
  </w:abstractNum>
  <w:abstractNum w:abstractNumId="8">
    <w:nsid w:val="58AE53F6"/>
    <w:multiLevelType w:val="singleLevel"/>
    <w:tmpl w:val="58AE53F6"/>
    <w:lvl w:ilvl="0" w:tentative="0">
      <w:start w:val="1"/>
      <w:numFmt w:val="decimal"/>
      <w:suff w:val="nothing"/>
      <w:lvlText w:val="（%1）"/>
      <w:lvlJc w:val="left"/>
    </w:lvl>
  </w:abstractNum>
  <w:abstractNum w:abstractNumId="9">
    <w:nsid w:val="58B517A3"/>
    <w:multiLevelType w:val="singleLevel"/>
    <w:tmpl w:val="58B517A3"/>
    <w:lvl w:ilvl="0" w:tentative="0">
      <w:start w:val="1"/>
      <w:numFmt w:val="decimal"/>
      <w:suff w:val="nothing"/>
      <w:lvlText w:val="（%1）"/>
      <w:lvlJc w:val="left"/>
    </w:lvl>
  </w:abstractNum>
  <w:abstractNum w:abstractNumId="10">
    <w:nsid w:val="5F153245"/>
    <w:multiLevelType w:val="singleLevel"/>
    <w:tmpl w:val="5F153245"/>
    <w:lvl w:ilvl="0" w:tentative="0">
      <w:start w:val="2"/>
      <w:numFmt w:val="decimal"/>
      <w:lvlText w:val="%1."/>
      <w:lvlJc w:val="left"/>
      <w:pPr>
        <w:tabs>
          <w:tab w:val="left" w:pos="312"/>
        </w:tabs>
      </w:pPr>
    </w:lvl>
  </w:abstractNum>
  <w:abstractNum w:abstractNumId="11">
    <w:nsid w:val="7D335EF8"/>
    <w:multiLevelType w:val="singleLevel"/>
    <w:tmpl w:val="7D335EF8"/>
    <w:lvl w:ilvl="0" w:tentative="0">
      <w:start w:val="1"/>
      <w:numFmt w:val="decimal"/>
      <w:suff w:val="space"/>
      <w:lvlText w:val="%1."/>
      <w:lvlJc w:val="left"/>
      <w:pPr>
        <w:ind w:left="0" w:firstLine="0"/>
      </w:pPr>
    </w:lvl>
  </w:abstractNum>
  <w:num w:numId="1">
    <w:abstractNumId w:val="1"/>
  </w:num>
  <w:num w:numId="2">
    <w:abstractNumId w:val="10"/>
  </w:num>
  <w:num w:numId="3">
    <w:abstractNumId w:val="0"/>
  </w:num>
  <w:num w:numId="4">
    <w:abstractNumId w:val="7"/>
  </w:num>
  <w:num w:numId="5">
    <w:abstractNumId w:val="2"/>
  </w:num>
  <w:num w:numId="6">
    <w:abstractNumId w:val="3"/>
  </w:num>
  <w:num w:numId="7">
    <w:abstractNumId w:val="8"/>
  </w:num>
  <w:num w:numId="8">
    <w:abstractNumId w:val="4"/>
  </w:num>
  <w:num w:numId="9">
    <w:abstractNumId w:val="5"/>
  </w:num>
  <w:num w:numId="10">
    <w:abstractNumId w:val="6"/>
  </w:num>
  <w:num w:numId="11">
    <w:abstractNumId w:val="9"/>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QzYmM1OTQzMTRhMzg5NzJmNGVkNTA3ZmNiODM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076"/>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506DE"/>
    <w:rsid w:val="000509D9"/>
    <w:rsid w:val="00050C02"/>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6FE"/>
    <w:rsid w:val="00072AED"/>
    <w:rsid w:val="000734D6"/>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525"/>
    <w:rsid w:val="000B37F2"/>
    <w:rsid w:val="000B3815"/>
    <w:rsid w:val="000B3C7B"/>
    <w:rsid w:val="000B3E68"/>
    <w:rsid w:val="000B4321"/>
    <w:rsid w:val="000B544A"/>
    <w:rsid w:val="000B5CCB"/>
    <w:rsid w:val="000B5F6B"/>
    <w:rsid w:val="000B613A"/>
    <w:rsid w:val="000B6A6B"/>
    <w:rsid w:val="000B6C95"/>
    <w:rsid w:val="000B7515"/>
    <w:rsid w:val="000B79FC"/>
    <w:rsid w:val="000B7E0A"/>
    <w:rsid w:val="000C144E"/>
    <w:rsid w:val="000C1679"/>
    <w:rsid w:val="000C190E"/>
    <w:rsid w:val="000C1953"/>
    <w:rsid w:val="000C1BFE"/>
    <w:rsid w:val="000C1EE3"/>
    <w:rsid w:val="000C3346"/>
    <w:rsid w:val="000C370B"/>
    <w:rsid w:val="000C3AE7"/>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5EED"/>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4BA6"/>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5D2B"/>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669"/>
    <w:rsid w:val="00184F57"/>
    <w:rsid w:val="00185091"/>
    <w:rsid w:val="00185544"/>
    <w:rsid w:val="00185617"/>
    <w:rsid w:val="00186FE1"/>
    <w:rsid w:val="00187A14"/>
    <w:rsid w:val="00190D50"/>
    <w:rsid w:val="00191177"/>
    <w:rsid w:val="0019171E"/>
    <w:rsid w:val="0019224D"/>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187"/>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375"/>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532"/>
    <w:rsid w:val="001F6C96"/>
    <w:rsid w:val="001F711A"/>
    <w:rsid w:val="001F75B0"/>
    <w:rsid w:val="001F7CBE"/>
    <w:rsid w:val="0020057C"/>
    <w:rsid w:val="0020083C"/>
    <w:rsid w:val="00200CE5"/>
    <w:rsid w:val="00200F7C"/>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6714"/>
    <w:rsid w:val="00217B07"/>
    <w:rsid w:val="00217C26"/>
    <w:rsid w:val="00217C4B"/>
    <w:rsid w:val="00220043"/>
    <w:rsid w:val="0022054D"/>
    <w:rsid w:val="0022107B"/>
    <w:rsid w:val="002223EB"/>
    <w:rsid w:val="00222538"/>
    <w:rsid w:val="00223611"/>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5E"/>
    <w:rsid w:val="002358EA"/>
    <w:rsid w:val="0023609B"/>
    <w:rsid w:val="00236578"/>
    <w:rsid w:val="00236A10"/>
    <w:rsid w:val="00236DE9"/>
    <w:rsid w:val="00237342"/>
    <w:rsid w:val="00237D5A"/>
    <w:rsid w:val="002407BA"/>
    <w:rsid w:val="00240922"/>
    <w:rsid w:val="00240D75"/>
    <w:rsid w:val="00240F92"/>
    <w:rsid w:val="00241288"/>
    <w:rsid w:val="002412BD"/>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924"/>
    <w:rsid w:val="00262B14"/>
    <w:rsid w:val="0026494E"/>
    <w:rsid w:val="00265A12"/>
    <w:rsid w:val="00266165"/>
    <w:rsid w:val="00266F2C"/>
    <w:rsid w:val="002671A3"/>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F6B"/>
    <w:rsid w:val="002807B0"/>
    <w:rsid w:val="00281B9B"/>
    <w:rsid w:val="0028282C"/>
    <w:rsid w:val="00282D56"/>
    <w:rsid w:val="00282EC5"/>
    <w:rsid w:val="002835B0"/>
    <w:rsid w:val="00283C74"/>
    <w:rsid w:val="0028407E"/>
    <w:rsid w:val="0028410F"/>
    <w:rsid w:val="00284572"/>
    <w:rsid w:val="002850AA"/>
    <w:rsid w:val="00285221"/>
    <w:rsid w:val="00286EB4"/>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173"/>
    <w:rsid w:val="002B3528"/>
    <w:rsid w:val="002B3539"/>
    <w:rsid w:val="002B398D"/>
    <w:rsid w:val="002B427F"/>
    <w:rsid w:val="002B4395"/>
    <w:rsid w:val="002B4532"/>
    <w:rsid w:val="002B4C9E"/>
    <w:rsid w:val="002B4DD9"/>
    <w:rsid w:val="002B5042"/>
    <w:rsid w:val="002B51AB"/>
    <w:rsid w:val="002B57C3"/>
    <w:rsid w:val="002B5832"/>
    <w:rsid w:val="002B612E"/>
    <w:rsid w:val="002B69CC"/>
    <w:rsid w:val="002B6D71"/>
    <w:rsid w:val="002B7DC4"/>
    <w:rsid w:val="002C03AE"/>
    <w:rsid w:val="002C0C1C"/>
    <w:rsid w:val="002C10A7"/>
    <w:rsid w:val="002C1190"/>
    <w:rsid w:val="002C18B8"/>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5FC"/>
    <w:rsid w:val="002D3866"/>
    <w:rsid w:val="002D3DF8"/>
    <w:rsid w:val="002D4AC6"/>
    <w:rsid w:val="002D59BF"/>
    <w:rsid w:val="002D5BF5"/>
    <w:rsid w:val="002D5EE8"/>
    <w:rsid w:val="002D63F6"/>
    <w:rsid w:val="002D6CB2"/>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4E58"/>
    <w:rsid w:val="0030572D"/>
    <w:rsid w:val="0030586A"/>
    <w:rsid w:val="00305A5E"/>
    <w:rsid w:val="00305DA2"/>
    <w:rsid w:val="0030622D"/>
    <w:rsid w:val="00306811"/>
    <w:rsid w:val="00306F32"/>
    <w:rsid w:val="003074C5"/>
    <w:rsid w:val="00307A3C"/>
    <w:rsid w:val="00307FA4"/>
    <w:rsid w:val="00310290"/>
    <w:rsid w:val="003103B1"/>
    <w:rsid w:val="00310CC1"/>
    <w:rsid w:val="00310F0A"/>
    <w:rsid w:val="003118A8"/>
    <w:rsid w:val="0031192A"/>
    <w:rsid w:val="00312504"/>
    <w:rsid w:val="00312B89"/>
    <w:rsid w:val="00313026"/>
    <w:rsid w:val="0031319A"/>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CDB"/>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495"/>
    <w:rsid w:val="0036193D"/>
    <w:rsid w:val="00361B8B"/>
    <w:rsid w:val="003629D6"/>
    <w:rsid w:val="00362C5A"/>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26C"/>
    <w:rsid w:val="00370316"/>
    <w:rsid w:val="00370DC7"/>
    <w:rsid w:val="003713D7"/>
    <w:rsid w:val="003714AC"/>
    <w:rsid w:val="00371CBD"/>
    <w:rsid w:val="00371F20"/>
    <w:rsid w:val="003721E3"/>
    <w:rsid w:val="00372B98"/>
    <w:rsid w:val="003737B7"/>
    <w:rsid w:val="003740CC"/>
    <w:rsid w:val="003745F4"/>
    <w:rsid w:val="0037491A"/>
    <w:rsid w:val="00374A14"/>
    <w:rsid w:val="00374E79"/>
    <w:rsid w:val="0037529A"/>
    <w:rsid w:val="00375388"/>
    <w:rsid w:val="00375559"/>
    <w:rsid w:val="00375FB9"/>
    <w:rsid w:val="00376170"/>
    <w:rsid w:val="003762F9"/>
    <w:rsid w:val="003766DE"/>
    <w:rsid w:val="00376851"/>
    <w:rsid w:val="00376FA2"/>
    <w:rsid w:val="00377133"/>
    <w:rsid w:val="00377A3B"/>
    <w:rsid w:val="00377B8B"/>
    <w:rsid w:val="00377D34"/>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BB9"/>
    <w:rsid w:val="00385C25"/>
    <w:rsid w:val="003861F0"/>
    <w:rsid w:val="00387051"/>
    <w:rsid w:val="003876F0"/>
    <w:rsid w:val="00387ECF"/>
    <w:rsid w:val="003901EA"/>
    <w:rsid w:val="0039021B"/>
    <w:rsid w:val="00390353"/>
    <w:rsid w:val="00390429"/>
    <w:rsid w:val="003906A0"/>
    <w:rsid w:val="00391413"/>
    <w:rsid w:val="003915B2"/>
    <w:rsid w:val="003923D5"/>
    <w:rsid w:val="003931AF"/>
    <w:rsid w:val="0039338D"/>
    <w:rsid w:val="0039366C"/>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584"/>
    <w:rsid w:val="003B3A90"/>
    <w:rsid w:val="003B3D01"/>
    <w:rsid w:val="003B534F"/>
    <w:rsid w:val="003B7A79"/>
    <w:rsid w:val="003C0FE1"/>
    <w:rsid w:val="003C151A"/>
    <w:rsid w:val="003C1D27"/>
    <w:rsid w:val="003C308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312"/>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144E"/>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C3B"/>
    <w:rsid w:val="00406F10"/>
    <w:rsid w:val="0040763D"/>
    <w:rsid w:val="00410156"/>
    <w:rsid w:val="0041038E"/>
    <w:rsid w:val="00410D17"/>
    <w:rsid w:val="0041183A"/>
    <w:rsid w:val="00412656"/>
    <w:rsid w:val="00412AA9"/>
    <w:rsid w:val="00413442"/>
    <w:rsid w:val="00413821"/>
    <w:rsid w:val="00413BA5"/>
    <w:rsid w:val="004141A3"/>
    <w:rsid w:val="00414909"/>
    <w:rsid w:val="00415304"/>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404"/>
    <w:rsid w:val="00444DB3"/>
    <w:rsid w:val="00445617"/>
    <w:rsid w:val="00445A2F"/>
    <w:rsid w:val="0044680A"/>
    <w:rsid w:val="0044684E"/>
    <w:rsid w:val="0044697A"/>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86F"/>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B69"/>
    <w:rsid w:val="00485406"/>
    <w:rsid w:val="0048590F"/>
    <w:rsid w:val="004864D4"/>
    <w:rsid w:val="00486D60"/>
    <w:rsid w:val="00486DBC"/>
    <w:rsid w:val="00491FA1"/>
    <w:rsid w:val="00492A25"/>
    <w:rsid w:val="004938A3"/>
    <w:rsid w:val="004950A6"/>
    <w:rsid w:val="0049558B"/>
    <w:rsid w:val="00496026"/>
    <w:rsid w:val="00496350"/>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4772"/>
    <w:rsid w:val="004A5088"/>
    <w:rsid w:val="004A50E5"/>
    <w:rsid w:val="004A5255"/>
    <w:rsid w:val="004A5DC2"/>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085"/>
    <w:rsid w:val="004B66FD"/>
    <w:rsid w:val="004B6E54"/>
    <w:rsid w:val="004B722E"/>
    <w:rsid w:val="004B72E8"/>
    <w:rsid w:val="004B771A"/>
    <w:rsid w:val="004C01A5"/>
    <w:rsid w:val="004C0412"/>
    <w:rsid w:val="004C0882"/>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5E1"/>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E2F"/>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0E5D"/>
    <w:rsid w:val="00561730"/>
    <w:rsid w:val="00561B97"/>
    <w:rsid w:val="00562149"/>
    <w:rsid w:val="0056248C"/>
    <w:rsid w:val="005640EB"/>
    <w:rsid w:val="00565559"/>
    <w:rsid w:val="005666A4"/>
    <w:rsid w:val="00567B5D"/>
    <w:rsid w:val="00567D10"/>
    <w:rsid w:val="00570593"/>
    <w:rsid w:val="00570757"/>
    <w:rsid w:val="00571280"/>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BEE"/>
    <w:rsid w:val="005B645C"/>
    <w:rsid w:val="005B6AA9"/>
    <w:rsid w:val="005B77D2"/>
    <w:rsid w:val="005B7BDA"/>
    <w:rsid w:val="005B7EF2"/>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75B"/>
    <w:rsid w:val="00604BED"/>
    <w:rsid w:val="00604FB6"/>
    <w:rsid w:val="00605387"/>
    <w:rsid w:val="00606302"/>
    <w:rsid w:val="006076FD"/>
    <w:rsid w:val="00610597"/>
    <w:rsid w:val="006107B1"/>
    <w:rsid w:val="00610811"/>
    <w:rsid w:val="0061143F"/>
    <w:rsid w:val="006114D8"/>
    <w:rsid w:val="00611800"/>
    <w:rsid w:val="00612E26"/>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5964"/>
    <w:rsid w:val="00676B25"/>
    <w:rsid w:val="00677576"/>
    <w:rsid w:val="0068051E"/>
    <w:rsid w:val="00680B9D"/>
    <w:rsid w:val="00680DF1"/>
    <w:rsid w:val="00681F13"/>
    <w:rsid w:val="0068231C"/>
    <w:rsid w:val="00682344"/>
    <w:rsid w:val="00682C87"/>
    <w:rsid w:val="00682F28"/>
    <w:rsid w:val="0068321C"/>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00B2"/>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37"/>
    <w:rsid w:val="006C32F4"/>
    <w:rsid w:val="006C3C54"/>
    <w:rsid w:val="006C3CA5"/>
    <w:rsid w:val="006C3CAA"/>
    <w:rsid w:val="006C4B6B"/>
    <w:rsid w:val="006C4CE1"/>
    <w:rsid w:val="006C4F9F"/>
    <w:rsid w:val="006C54B1"/>
    <w:rsid w:val="006C71A2"/>
    <w:rsid w:val="006C73EC"/>
    <w:rsid w:val="006D0997"/>
    <w:rsid w:val="006D0B19"/>
    <w:rsid w:val="006D0C1D"/>
    <w:rsid w:val="006D1BB1"/>
    <w:rsid w:val="006D2606"/>
    <w:rsid w:val="006D28F3"/>
    <w:rsid w:val="006D2E9D"/>
    <w:rsid w:val="006D3043"/>
    <w:rsid w:val="006D3B34"/>
    <w:rsid w:val="006D3B48"/>
    <w:rsid w:val="006D4305"/>
    <w:rsid w:val="006D4970"/>
    <w:rsid w:val="006D4A4E"/>
    <w:rsid w:val="006D4C42"/>
    <w:rsid w:val="006D5067"/>
    <w:rsid w:val="006D5389"/>
    <w:rsid w:val="006D53A2"/>
    <w:rsid w:val="006D5809"/>
    <w:rsid w:val="006D607E"/>
    <w:rsid w:val="006D68DB"/>
    <w:rsid w:val="006D6E12"/>
    <w:rsid w:val="006D70CB"/>
    <w:rsid w:val="006D715C"/>
    <w:rsid w:val="006D7363"/>
    <w:rsid w:val="006D774E"/>
    <w:rsid w:val="006D7F08"/>
    <w:rsid w:val="006E0754"/>
    <w:rsid w:val="006E1201"/>
    <w:rsid w:val="006E12B2"/>
    <w:rsid w:val="006E1347"/>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52"/>
    <w:rsid w:val="006F2574"/>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60B"/>
    <w:rsid w:val="00720B1B"/>
    <w:rsid w:val="00721062"/>
    <w:rsid w:val="00721D3D"/>
    <w:rsid w:val="00721E5D"/>
    <w:rsid w:val="007229D4"/>
    <w:rsid w:val="00722AE0"/>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2990"/>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D5C"/>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55DA"/>
    <w:rsid w:val="00796F65"/>
    <w:rsid w:val="0079751F"/>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E22"/>
    <w:rsid w:val="007C5022"/>
    <w:rsid w:val="007C58C1"/>
    <w:rsid w:val="007C5B39"/>
    <w:rsid w:val="007C5CAB"/>
    <w:rsid w:val="007C6218"/>
    <w:rsid w:val="007C6484"/>
    <w:rsid w:val="007C67C6"/>
    <w:rsid w:val="007C78BE"/>
    <w:rsid w:val="007C7A5D"/>
    <w:rsid w:val="007C7A74"/>
    <w:rsid w:val="007C7E59"/>
    <w:rsid w:val="007D0476"/>
    <w:rsid w:val="007D0B91"/>
    <w:rsid w:val="007D0FE7"/>
    <w:rsid w:val="007D1197"/>
    <w:rsid w:val="007D1452"/>
    <w:rsid w:val="007D1563"/>
    <w:rsid w:val="007D23FD"/>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122"/>
    <w:rsid w:val="0085788B"/>
    <w:rsid w:val="00857A9E"/>
    <w:rsid w:val="00857D1F"/>
    <w:rsid w:val="00857DE2"/>
    <w:rsid w:val="0086003D"/>
    <w:rsid w:val="008613DD"/>
    <w:rsid w:val="00861507"/>
    <w:rsid w:val="0086174F"/>
    <w:rsid w:val="00861D63"/>
    <w:rsid w:val="008623B9"/>
    <w:rsid w:val="00863285"/>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EE2"/>
    <w:rsid w:val="00882910"/>
    <w:rsid w:val="00882B44"/>
    <w:rsid w:val="00883809"/>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717"/>
    <w:rsid w:val="008A0FAC"/>
    <w:rsid w:val="008A0FC9"/>
    <w:rsid w:val="008A14C8"/>
    <w:rsid w:val="008A1956"/>
    <w:rsid w:val="008A1A7C"/>
    <w:rsid w:val="008A2990"/>
    <w:rsid w:val="008A2CE2"/>
    <w:rsid w:val="008A40D3"/>
    <w:rsid w:val="008A413F"/>
    <w:rsid w:val="008A451F"/>
    <w:rsid w:val="008A469C"/>
    <w:rsid w:val="008A50FB"/>
    <w:rsid w:val="008A51D1"/>
    <w:rsid w:val="008A5C90"/>
    <w:rsid w:val="008A5DCE"/>
    <w:rsid w:val="008A75D3"/>
    <w:rsid w:val="008A7DEA"/>
    <w:rsid w:val="008A7F09"/>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A39"/>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6672"/>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232"/>
    <w:rsid w:val="008E3674"/>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29A"/>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85"/>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20B"/>
    <w:rsid w:val="0092430E"/>
    <w:rsid w:val="00924451"/>
    <w:rsid w:val="00925889"/>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4BBB"/>
    <w:rsid w:val="0097560A"/>
    <w:rsid w:val="00975E1E"/>
    <w:rsid w:val="00975E70"/>
    <w:rsid w:val="009761DE"/>
    <w:rsid w:val="009766FA"/>
    <w:rsid w:val="009770BE"/>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3DB1"/>
    <w:rsid w:val="00994AAD"/>
    <w:rsid w:val="00995150"/>
    <w:rsid w:val="009956BA"/>
    <w:rsid w:val="00995B89"/>
    <w:rsid w:val="00995D67"/>
    <w:rsid w:val="00997613"/>
    <w:rsid w:val="009A013B"/>
    <w:rsid w:val="009A02F4"/>
    <w:rsid w:val="009A06BF"/>
    <w:rsid w:val="009A0D17"/>
    <w:rsid w:val="009A2494"/>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5F29"/>
    <w:rsid w:val="009C6606"/>
    <w:rsid w:val="009C6CE5"/>
    <w:rsid w:val="009C6D50"/>
    <w:rsid w:val="009C72B2"/>
    <w:rsid w:val="009C7547"/>
    <w:rsid w:val="009D05EC"/>
    <w:rsid w:val="009D18D4"/>
    <w:rsid w:val="009D1FCF"/>
    <w:rsid w:val="009D2F60"/>
    <w:rsid w:val="009D3A2E"/>
    <w:rsid w:val="009D4C2E"/>
    <w:rsid w:val="009D587E"/>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A23"/>
    <w:rsid w:val="009E7C14"/>
    <w:rsid w:val="009F0494"/>
    <w:rsid w:val="009F0CD9"/>
    <w:rsid w:val="009F115D"/>
    <w:rsid w:val="009F1A79"/>
    <w:rsid w:val="009F1F57"/>
    <w:rsid w:val="009F2DDD"/>
    <w:rsid w:val="009F3447"/>
    <w:rsid w:val="009F446D"/>
    <w:rsid w:val="009F65F4"/>
    <w:rsid w:val="009F6763"/>
    <w:rsid w:val="009F676B"/>
    <w:rsid w:val="009F6D2D"/>
    <w:rsid w:val="009F6D54"/>
    <w:rsid w:val="00A0028A"/>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DEF"/>
    <w:rsid w:val="00A65311"/>
    <w:rsid w:val="00A654D2"/>
    <w:rsid w:val="00A665DF"/>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6B9B"/>
    <w:rsid w:val="00A87519"/>
    <w:rsid w:val="00A90213"/>
    <w:rsid w:val="00A90870"/>
    <w:rsid w:val="00A9246D"/>
    <w:rsid w:val="00A92CCA"/>
    <w:rsid w:val="00A936E7"/>
    <w:rsid w:val="00A93BD0"/>
    <w:rsid w:val="00A93CC2"/>
    <w:rsid w:val="00A9430B"/>
    <w:rsid w:val="00A94D4B"/>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4014"/>
    <w:rsid w:val="00AD41B3"/>
    <w:rsid w:val="00AD5721"/>
    <w:rsid w:val="00AD62FE"/>
    <w:rsid w:val="00AD69F0"/>
    <w:rsid w:val="00AD7127"/>
    <w:rsid w:val="00AD72E3"/>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A3E"/>
    <w:rsid w:val="00AE4CCE"/>
    <w:rsid w:val="00AE5C6A"/>
    <w:rsid w:val="00AE60A9"/>
    <w:rsid w:val="00AE7058"/>
    <w:rsid w:val="00AE7280"/>
    <w:rsid w:val="00AE7B5F"/>
    <w:rsid w:val="00AF01FA"/>
    <w:rsid w:val="00AF033A"/>
    <w:rsid w:val="00AF118E"/>
    <w:rsid w:val="00AF132D"/>
    <w:rsid w:val="00AF1658"/>
    <w:rsid w:val="00AF1699"/>
    <w:rsid w:val="00AF18D1"/>
    <w:rsid w:val="00AF1BA4"/>
    <w:rsid w:val="00AF1FD3"/>
    <w:rsid w:val="00AF2910"/>
    <w:rsid w:val="00AF34B8"/>
    <w:rsid w:val="00AF3896"/>
    <w:rsid w:val="00AF39C9"/>
    <w:rsid w:val="00AF3DB7"/>
    <w:rsid w:val="00AF3F97"/>
    <w:rsid w:val="00AF3FC2"/>
    <w:rsid w:val="00AF4687"/>
    <w:rsid w:val="00AF4DEC"/>
    <w:rsid w:val="00AF6541"/>
    <w:rsid w:val="00AF6B57"/>
    <w:rsid w:val="00B003FF"/>
    <w:rsid w:val="00B0098A"/>
    <w:rsid w:val="00B00A5F"/>
    <w:rsid w:val="00B024FB"/>
    <w:rsid w:val="00B029B8"/>
    <w:rsid w:val="00B02F60"/>
    <w:rsid w:val="00B02F94"/>
    <w:rsid w:val="00B032B8"/>
    <w:rsid w:val="00B03765"/>
    <w:rsid w:val="00B0396A"/>
    <w:rsid w:val="00B046D9"/>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2DE"/>
    <w:rsid w:val="00B23738"/>
    <w:rsid w:val="00B23BEF"/>
    <w:rsid w:val="00B247BB"/>
    <w:rsid w:val="00B2490B"/>
    <w:rsid w:val="00B2504A"/>
    <w:rsid w:val="00B25EE6"/>
    <w:rsid w:val="00B3115A"/>
    <w:rsid w:val="00B3178B"/>
    <w:rsid w:val="00B31825"/>
    <w:rsid w:val="00B31A5C"/>
    <w:rsid w:val="00B32265"/>
    <w:rsid w:val="00B3276D"/>
    <w:rsid w:val="00B33331"/>
    <w:rsid w:val="00B333C8"/>
    <w:rsid w:val="00B33B06"/>
    <w:rsid w:val="00B33C19"/>
    <w:rsid w:val="00B3462E"/>
    <w:rsid w:val="00B34958"/>
    <w:rsid w:val="00B35A15"/>
    <w:rsid w:val="00B35B45"/>
    <w:rsid w:val="00B36165"/>
    <w:rsid w:val="00B36A99"/>
    <w:rsid w:val="00B37395"/>
    <w:rsid w:val="00B4055B"/>
    <w:rsid w:val="00B40C29"/>
    <w:rsid w:val="00B414F5"/>
    <w:rsid w:val="00B42264"/>
    <w:rsid w:val="00B434B2"/>
    <w:rsid w:val="00B43B9E"/>
    <w:rsid w:val="00B43D45"/>
    <w:rsid w:val="00B459AF"/>
    <w:rsid w:val="00B468F2"/>
    <w:rsid w:val="00B469DE"/>
    <w:rsid w:val="00B47286"/>
    <w:rsid w:val="00B47EB4"/>
    <w:rsid w:val="00B50234"/>
    <w:rsid w:val="00B5052F"/>
    <w:rsid w:val="00B51641"/>
    <w:rsid w:val="00B51A70"/>
    <w:rsid w:val="00B51BF4"/>
    <w:rsid w:val="00B52279"/>
    <w:rsid w:val="00B522D7"/>
    <w:rsid w:val="00B527AD"/>
    <w:rsid w:val="00B52C68"/>
    <w:rsid w:val="00B533CB"/>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8A1"/>
    <w:rsid w:val="00B85FEC"/>
    <w:rsid w:val="00B864A3"/>
    <w:rsid w:val="00B86C2A"/>
    <w:rsid w:val="00B87575"/>
    <w:rsid w:val="00B902A5"/>
    <w:rsid w:val="00B90420"/>
    <w:rsid w:val="00B90848"/>
    <w:rsid w:val="00B91146"/>
    <w:rsid w:val="00B913E4"/>
    <w:rsid w:val="00B91DB9"/>
    <w:rsid w:val="00B91FF3"/>
    <w:rsid w:val="00B925F8"/>
    <w:rsid w:val="00B9330A"/>
    <w:rsid w:val="00B93352"/>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0473"/>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427"/>
    <w:rsid w:val="00C014C7"/>
    <w:rsid w:val="00C031CF"/>
    <w:rsid w:val="00C047AB"/>
    <w:rsid w:val="00C058AF"/>
    <w:rsid w:val="00C075B6"/>
    <w:rsid w:val="00C07C94"/>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82C"/>
    <w:rsid w:val="00C25C0F"/>
    <w:rsid w:val="00C26353"/>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7027"/>
    <w:rsid w:val="00C373BF"/>
    <w:rsid w:val="00C37B15"/>
    <w:rsid w:val="00C37B19"/>
    <w:rsid w:val="00C41349"/>
    <w:rsid w:val="00C413CB"/>
    <w:rsid w:val="00C41558"/>
    <w:rsid w:val="00C416B8"/>
    <w:rsid w:val="00C41A60"/>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12AC"/>
    <w:rsid w:val="00C7158C"/>
    <w:rsid w:val="00C71C15"/>
    <w:rsid w:val="00C71F3D"/>
    <w:rsid w:val="00C72F53"/>
    <w:rsid w:val="00C734E7"/>
    <w:rsid w:val="00C74035"/>
    <w:rsid w:val="00C748EA"/>
    <w:rsid w:val="00C76FB0"/>
    <w:rsid w:val="00C77818"/>
    <w:rsid w:val="00C8063F"/>
    <w:rsid w:val="00C81282"/>
    <w:rsid w:val="00C8155F"/>
    <w:rsid w:val="00C8198D"/>
    <w:rsid w:val="00C82167"/>
    <w:rsid w:val="00C827B4"/>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6D7C"/>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9A7"/>
    <w:rsid w:val="00CD7FAD"/>
    <w:rsid w:val="00CE0331"/>
    <w:rsid w:val="00CE0789"/>
    <w:rsid w:val="00CE0E8D"/>
    <w:rsid w:val="00CE1A03"/>
    <w:rsid w:val="00CE1B5D"/>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B3E"/>
    <w:rsid w:val="00CF1D74"/>
    <w:rsid w:val="00CF2BE2"/>
    <w:rsid w:val="00CF348C"/>
    <w:rsid w:val="00CF371A"/>
    <w:rsid w:val="00CF37C2"/>
    <w:rsid w:val="00CF3DE4"/>
    <w:rsid w:val="00CF3DEB"/>
    <w:rsid w:val="00CF55F9"/>
    <w:rsid w:val="00CF578D"/>
    <w:rsid w:val="00CF7074"/>
    <w:rsid w:val="00CF7495"/>
    <w:rsid w:val="00CF76D6"/>
    <w:rsid w:val="00D01CF9"/>
    <w:rsid w:val="00D021E8"/>
    <w:rsid w:val="00D0334D"/>
    <w:rsid w:val="00D0374D"/>
    <w:rsid w:val="00D05145"/>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A1F"/>
    <w:rsid w:val="00D12B03"/>
    <w:rsid w:val="00D1368C"/>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4A85"/>
    <w:rsid w:val="00D2585A"/>
    <w:rsid w:val="00D25920"/>
    <w:rsid w:val="00D259B0"/>
    <w:rsid w:val="00D259C2"/>
    <w:rsid w:val="00D26C3F"/>
    <w:rsid w:val="00D27185"/>
    <w:rsid w:val="00D3028A"/>
    <w:rsid w:val="00D30E98"/>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903"/>
    <w:rsid w:val="00D96F7C"/>
    <w:rsid w:val="00D9714B"/>
    <w:rsid w:val="00D97DA2"/>
    <w:rsid w:val="00DA0485"/>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075C"/>
    <w:rsid w:val="00DC1056"/>
    <w:rsid w:val="00DC1442"/>
    <w:rsid w:val="00DC1781"/>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198"/>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2DB9"/>
    <w:rsid w:val="00DE3D2C"/>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5FB9"/>
    <w:rsid w:val="00E6680A"/>
    <w:rsid w:val="00E669E3"/>
    <w:rsid w:val="00E66F0D"/>
    <w:rsid w:val="00E67976"/>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B70C5"/>
    <w:rsid w:val="00EC005F"/>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73D0"/>
    <w:rsid w:val="00EE7CB0"/>
    <w:rsid w:val="00EE7CD1"/>
    <w:rsid w:val="00EF08A8"/>
    <w:rsid w:val="00EF167B"/>
    <w:rsid w:val="00EF1B4A"/>
    <w:rsid w:val="00EF1C90"/>
    <w:rsid w:val="00EF2496"/>
    <w:rsid w:val="00EF41A8"/>
    <w:rsid w:val="00EF44FB"/>
    <w:rsid w:val="00EF5122"/>
    <w:rsid w:val="00EF5554"/>
    <w:rsid w:val="00EF5AD8"/>
    <w:rsid w:val="00EF6B90"/>
    <w:rsid w:val="00EF70C9"/>
    <w:rsid w:val="00EF741E"/>
    <w:rsid w:val="00EF7807"/>
    <w:rsid w:val="00EF79F7"/>
    <w:rsid w:val="00F006C0"/>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C62"/>
    <w:rsid w:val="00F134BA"/>
    <w:rsid w:val="00F13599"/>
    <w:rsid w:val="00F13A71"/>
    <w:rsid w:val="00F13B28"/>
    <w:rsid w:val="00F142DD"/>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92B"/>
    <w:rsid w:val="00F30B83"/>
    <w:rsid w:val="00F30BDB"/>
    <w:rsid w:val="00F30CF8"/>
    <w:rsid w:val="00F31402"/>
    <w:rsid w:val="00F31EDF"/>
    <w:rsid w:val="00F31F89"/>
    <w:rsid w:val="00F32507"/>
    <w:rsid w:val="00F32CC8"/>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37B"/>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67F12"/>
    <w:rsid w:val="00F705F6"/>
    <w:rsid w:val="00F70795"/>
    <w:rsid w:val="00F70799"/>
    <w:rsid w:val="00F70A8B"/>
    <w:rsid w:val="00F70B22"/>
    <w:rsid w:val="00F70B8D"/>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6DA2"/>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A92"/>
    <w:rsid w:val="00FA681F"/>
    <w:rsid w:val="00FB0261"/>
    <w:rsid w:val="00FB0CBF"/>
    <w:rsid w:val="00FB18F6"/>
    <w:rsid w:val="00FB24CB"/>
    <w:rsid w:val="00FB2A52"/>
    <w:rsid w:val="00FB2B5A"/>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E0794"/>
    <w:rsid w:val="00FE1041"/>
    <w:rsid w:val="00FE1614"/>
    <w:rsid w:val="00FE24CB"/>
    <w:rsid w:val="00FE323F"/>
    <w:rsid w:val="00FE3473"/>
    <w:rsid w:val="00FE4049"/>
    <w:rsid w:val="00FE4794"/>
    <w:rsid w:val="00FE480F"/>
    <w:rsid w:val="00FE4998"/>
    <w:rsid w:val="00FE5382"/>
    <w:rsid w:val="00FE57DE"/>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29164F"/>
    <w:rsid w:val="012C5FAF"/>
    <w:rsid w:val="0196219F"/>
    <w:rsid w:val="01AF3D99"/>
    <w:rsid w:val="01BE7323"/>
    <w:rsid w:val="01CD3708"/>
    <w:rsid w:val="0246123A"/>
    <w:rsid w:val="02511F9D"/>
    <w:rsid w:val="025739FF"/>
    <w:rsid w:val="02F14006"/>
    <w:rsid w:val="03215F8C"/>
    <w:rsid w:val="03A314B8"/>
    <w:rsid w:val="03B65EE5"/>
    <w:rsid w:val="03CB1052"/>
    <w:rsid w:val="03CE6EAF"/>
    <w:rsid w:val="03D82B98"/>
    <w:rsid w:val="03ED3E80"/>
    <w:rsid w:val="03F83E8B"/>
    <w:rsid w:val="043B3C82"/>
    <w:rsid w:val="045D50CB"/>
    <w:rsid w:val="05C56868"/>
    <w:rsid w:val="06BF4168"/>
    <w:rsid w:val="072027E6"/>
    <w:rsid w:val="07A539BD"/>
    <w:rsid w:val="07B72767"/>
    <w:rsid w:val="07F36ECC"/>
    <w:rsid w:val="08077E72"/>
    <w:rsid w:val="08882DD0"/>
    <w:rsid w:val="08DF1565"/>
    <w:rsid w:val="090C6EF2"/>
    <w:rsid w:val="09B90BFB"/>
    <w:rsid w:val="09CC2AAC"/>
    <w:rsid w:val="0A5F5DD3"/>
    <w:rsid w:val="0A652D3E"/>
    <w:rsid w:val="0B326F2A"/>
    <w:rsid w:val="0B412BB2"/>
    <w:rsid w:val="0BA87CB2"/>
    <w:rsid w:val="0BBA0B5B"/>
    <w:rsid w:val="0BFB34AC"/>
    <w:rsid w:val="0C1E2888"/>
    <w:rsid w:val="0C92213C"/>
    <w:rsid w:val="0CC2027E"/>
    <w:rsid w:val="0CEE6C39"/>
    <w:rsid w:val="0D84032B"/>
    <w:rsid w:val="0EF63F9C"/>
    <w:rsid w:val="0F2A74C4"/>
    <w:rsid w:val="10115BD8"/>
    <w:rsid w:val="104C139F"/>
    <w:rsid w:val="10A27F31"/>
    <w:rsid w:val="1192548D"/>
    <w:rsid w:val="11927058"/>
    <w:rsid w:val="120E171E"/>
    <w:rsid w:val="123E0112"/>
    <w:rsid w:val="12E441F4"/>
    <w:rsid w:val="13012033"/>
    <w:rsid w:val="13AF4F03"/>
    <w:rsid w:val="14503F60"/>
    <w:rsid w:val="14736E66"/>
    <w:rsid w:val="14772ABA"/>
    <w:rsid w:val="147F458F"/>
    <w:rsid w:val="15001CD4"/>
    <w:rsid w:val="1534169A"/>
    <w:rsid w:val="15B61356"/>
    <w:rsid w:val="15C03E03"/>
    <w:rsid w:val="162A25EB"/>
    <w:rsid w:val="16735895"/>
    <w:rsid w:val="16FD2A55"/>
    <w:rsid w:val="17067C1A"/>
    <w:rsid w:val="17325554"/>
    <w:rsid w:val="17366761"/>
    <w:rsid w:val="177C01F0"/>
    <w:rsid w:val="179E3EFA"/>
    <w:rsid w:val="17CE6630"/>
    <w:rsid w:val="18333A1E"/>
    <w:rsid w:val="1AFF0AFE"/>
    <w:rsid w:val="1B495A4F"/>
    <w:rsid w:val="1B4F19F8"/>
    <w:rsid w:val="1BC51582"/>
    <w:rsid w:val="1C4353EA"/>
    <w:rsid w:val="1C56042C"/>
    <w:rsid w:val="1C640D9B"/>
    <w:rsid w:val="1C8808A6"/>
    <w:rsid w:val="1ECC44FA"/>
    <w:rsid w:val="1EE4323A"/>
    <w:rsid w:val="1EEB4794"/>
    <w:rsid w:val="1F063325"/>
    <w:rsid w:val="1F1106BF"/>
    <w:rsid w:val="1FA17E7A"/>
    <w:rsid w:val="1FBC5DF5"/>
    <w:rsid w:val="1FF90588"/>
    <w:rsid w:val="2017731F"/>
    <w:rsid w:val="209D2ACD"/>
    <w:rsid w:val="20BA760B"/>
    <w:rsid w:val="20C3623F"/>
    <w:rsid w:val="213C5C7D"/>
    <w:rsid w:val="21781212"/>
    <w:rsid w:val="21B83F86"/>
    <w:rsid w:val="21C13819"/>
    <w:rsid w:val="21FD486B"/>
    <w:rsid w:val="221044EF"/>
    <w:rsid w:val="221178A8"/>
    <w:rsid w:val="221213CF"/>
    <w:rsid w:val="22327A92"/>
    <w:rsid w:val="22C32B15"/>
    <w:rsid w:val="22CF10D9"/>
    <w:rsid w:val="22F55B9C"/>
    <w:rsid w:val="231D53A2"/>
    <w:rsid w:val="236D5383"/>
    <w:rsid w:val="238D02D4"/>
    <w:rsid w:val="23B7504C"/>
    <w:rsid w:val="24085F40"/>
    <w:rsid w:val="24291BD5"/>
    <w:rsid w:val="24571307"/>
    <w:rsid w:val="25110A2A"/>
    <w:rsid w:val="256C0944"/>
    <w:rsid w:val="25C20AD6"/>
    <w:rsid w:val="26446DE3"/>
    <w:rsid w:val="26877DFE"/>
    <w:rsid w:val="269669E7"/>
    <w:rsid w:val="26A270C1"/>
    <w:rsid w:val="26D7699F"/>
    <w:rsid w:val="28926C90"/>
    <w:rsid w:val="29703308"/>
    <w:rsid w:val="29D75F7F"/>
    <w:rsid w:val="29DD4EE5"/>
    <w:rsid w:val="2A3D49B0"/>
    <w:rsid w:val="2A704DAF"/>
    <w:rsid w:val="2AE11B34"/>
    <w:rsid w:val="2AEF2177"/>
    <w:rsid w:val="2B774624"/>
    <w:rsid w:val="2B980F11"/>
    <w:rsid w:val="2BA44FDA"/>
    <w:rsid w:val="2BCF57CB"/>
    <w:rsid w:val="2BEE242F"/>
    <w:rsid w:val="2C7A72BE"/>
    <w:rsid w:val="2C9A7D75"/>
    <w:rsid w:val="2CC17412"/>
    <w:rsid w:val="2CC56979"/>
    <w:rsid w:val="2D7C1E99"/>
    <w:rsid w:val="2DBB7A6F"/>
    <w:rsid w:val="2DE15A8F"/>
    <w:rsid w:val="2E5E298C"/>
    <w:rsid w:val="2E9976CE"/>
    <w:rsid w:val="2EF01DEE"/>
    <w:rsid w:val="2F401D3C"/>
    <w:rsid w:val="2F5B24E1"/>
    <w:rsid w:val="2FA95C88"/>
    <w:rsid w:val="2FEE43F1"/>
    <w:rsid w:val="3041370F"/>
    <w:rsid w:val="30B87FED"/>
    <w:rsid w:val="312B50A3"/>
    <w:rsid w:val="317C1D74"/>
    <w:rsid w:val="31894FD2"/>
    <w:rsid w:val="32453A27"/>
    <w:rsid w:val="3263064A"/>
    <w:rsid w:val="32A43132"/>
    <w:rsid w:val="32AC0C06"/>
    <w:rsid w:val="33344EF5"/>
    <w:rsid w:val="337367F5"/>
    <w:rsid w:val="345D63A4"/>
    <w:rsid w:val="3537750C"/>
    <w:rsid w:val="3537798C"/>
    <w:rsid w:val="35AA657D"/>
    <w:rsid w:val="35C13FC9"/>
    <w:rsid w:val="36197F72"/>
    <w:rsid w:val="36372B05"/>
    <w:rsid w:val="363870C8"/>
    <w:rsid w:val="364257B6"/>
    <w:rsid w:val="36824F86"/>
    <w:rsid w:val="37D7646D"/>
    <w:rsid w:val="37EA5922"/>
    <w:rsid w:val="38276B93"/>
    <w:rsid w:val="382E58B8"/>
    <w:rsid w:val="38AC3431"/>
    <w:rsid w:val="390C1745"/>
    <w:rsid w:val="392F2E16"/>
    <w:rsid w:val="394A35C4"/>
    <w:rsid w:val="395B30CE"/>
    <w:rsid w:val="398467A9"/>
    <w:rsid w:val="39E00529"/>
    <w:rsid w:val="3A0B64A7"/>
    <w:rsid w:val="3A265857"/>
    <w:rsid w:val="3A574DDA"/>
    <w:rsid w:val="3A5E4C24"/>
    <w:rsid w:val="3AD3075A"/>
    <w:rsid w:val="3AF74C02"/>
    <w:rsid w:val="3AF77EB0"/>
    <w:rsid w:val="3B5D6F9F"/>
    <w:rsid w:val="3C0059A5"/>
    <w:rsid w:val="3C134E78"/>
    <w:rsid w:val="3C3D2D60"/>
    <w:rsid w:val="3C3E0E89"/>
    <w:rsid w:val="3CAC5063"/>
    <w:rsid w:val="3DE03BA2"/>
    <w:rsid w:val="3DF6345D"/>
    <w:rsid w:val="3E2B5515"/>
    <w:rsid w:val="3E2B6A45"/>
    <w:rsid w:val="3E4D4F28"/>
    <w:rsid w:val="3ED92EC4"/>
    <w:rsid w:val="3EE13701"/>
    <w:rsid w:val="3F1A4BB3"/>
    <w:rsid w:val="3F944257"/>
    <w:rsid w:val="3FFD3288"/>
    <w:rsid w:val="40192BA6"/>
    <w:rsid w:val="40D84160"/>
    <w:rsid w:val="415D70B9"/>
    <w:rsid w:val="41766EA9"/>
    <w:rsid w:val="42550A18"/>
    <w:rsid w:val="42675D02"/>
    <w:rsid w:val="429D496A"/>
    <w:rsid w:val="42F473A1"/>
    <w:rsid w:val="435026E1"/>
    <w:rsid w:val="437217EA"/>
    <w:rsid w:val="43AB7156"/>
    <w:rsid w:val="440E1ED7"/>
    <w:rsid w:val="441E62C0"/>
    <w:rsid w:val="448E23DE"/>
    <w:rsid w:val="44BD2DB7"/>
    <w:rsid w:val="45087033"/>
    <w:rsid w:val="45325D14"/>
    <w:rsid w:val="45605CF4"/>
    <w:rsid w:val="45811C7C"/>
    <w:rsid w:val="45906116"/>
    <w:rsid w:val="45931B8C"/>
    <w:rsid w:val="45B778DE"/>
    <w:rsid w:val="45EF2552"/>
    <w:rsid w:val="46304F0D"/>
    <w:rsid w:val="468B3EFB"/>
    <w:rsid w:val="46914823"/>
    <w:rsid w:val="470A6193"/>
    <w:rsid w:val="47385210"/>
    <w:rsid w:val="475510F8"/>
    <w:rsid w:val="47DC4F5C"/>
    <w:rsid w:val="47FE35A2"/>
    <w:rsid w:val="48B40671"/>
    <w:rsid w:val="499B5738"/>
    <w:rsid w:val="499F244D"/>
    <w:rsid w:val="49B86BA4"/>
    <w:rsid w:val="4A1762AC"/>
    <w:rsid w:val="4A5D532D"/>
    <w:rsid w:val="4A973F3F"/>
    <w:rsid w:val="4AF96BC7"/>
    <w:rsid w:val="4B862A85"/>
    <w:rsid w:val="4B905E0B"/>
    <w:rsid w:val="4CEF36E2"/>
    <w:rsid w:val="4CEF4DC5"/>
    <w:rsid w:val="4D2E66D8"/>
    <w:rsid w:val="4D4759EB"/>
    <w:rsid w:val="4D8D1B51"/>
    <w:rsid w:val="4DE72F2C"/>
    <w:rsid w:val="4E056DCE"/>
    <w:rsid w:val="4E257655"/>
    <w:rsid w:val="4F2E0C11"/>
    <w:rsid w:val="4F372380"/>
    <w:rsid w:val="4F372FFB"/>
    <w:rsid w:val="5025116D"/>
    <w:rsid w:val="506128E9"/>
    <w:rsid w:val="516D7C55"/>
    <w:rsid w:val="52395ECD"/>
    <w:rsid w:val="525D4D85"/>
    <w:rsid w:val="526967B0"/>
    <w:rsid w:val="52C10D75"/>
    <w:rsid w:val="53C27FF8"/>
    <w:rsid w:val="53DE68C7"/>
    <w:rsid w:val="53E53CEE"/>
    <w:rsid w:val="5449029B"/>
    <w:rsid w:val="54806794"/>
    <w:rsid w:val="549E1A80"/>
    <w:rsid w:val="54B46C79"/>
    <w:rsid w:val="54C658F4"/>
    <w:rsid w:val="550C4BD7"/>
    <w:rsid w:val="554C1D56"/>
    <w:rsid w:val="55572986"/>
    <w:rsid w:val="565340FA"/>
    <w:rsid w:val="56625829"/>
    <w:rsid w:val="56742E03"/>
    <w:rsid w:val="56932E5F"/>
    <w:rsid w:val="56AD5F59"/>
    <w:rsid w:val="56C60774"/>
    <w:rsid w:val="56D57069"/>
    <w:rsid w:val="577675F9"/>
    <w:rsid w:val="577E316C"/>
    <w:rsid w:val="57B12A52"/>
    <w:rsid w:val="58A61397"/>
    <w:rsid w:val="58B4208E"/>
    <w:rsid w:val="593F45D6"/>
    <w:rsid w:val="59627F23"/>
    <w:rsid w:val="59807BFB"/>
    <w:rsid w:val="59995821"/>
    <w:rsid w:val="5A2F2CC8"/>
    <w:rsid w:val="5B852B8B"/>
    <w:rsid w:val="5C10702D"/>
    <w:rsid w:val="5C152601"/>
    <w:rsid w:val="5C591F03"/>
    <w:rsid w:val="5C8A1B2F"/>
    <w:rsid w:val="5DC5689D"/>
    <w:rsid w:val="5E090A14"/>
    <w:rsid w:val="5E3168E5"/>
    <w:rsid w:val="5F561B72"/>
    <w:rsid w:val="606007BB"/>
    <w:rsid w:val="60AC7F66"/>
    <w:rsid w:val="60ED7BB7"/>
    <w:rsid w:val="61927B9E"/>
    <w:rsid w:val="61BF10D9"/>
    <w:rsid w:val="61DF6FF8"/>
    <w:rsid w:val="623767FE"/>
    <w:rsid w:val="62AC22DC"/>
    <w:rsid w:val="63A22BFD"/>
    <w:rsid w:val="64A65808"/>
    <w:rsid w:val="64E45EF7"/>
    <w:rsid w:val="64FA4F82"/>
    <w:rsid w:val="65B80747"/>
    <w:rsid w:val="66216270"/>
    <w:rsid w:val="66474C07"/>
    <w:rsid w:val="66660838"/>
    <w:rsid w:val="66803B32"/>
    <w:rsid w:val="6691014E"/>
    <w:rsid w:val="66A40361"/>
    <w:rsid w:val="66C87CCE"/>
    <w:rsid w:val="671A1A91"/>
    <w:rsid w:val="6749301F"/>
    <w:rsid w:val="677435B2"/>
    <w:rsid w:val="67EF75F1"/>
    <w:rsid w:val="684F4F11"/>
    <w:rsid w:val="68915D86"/>
    <w:rsid w:val="68C90E14"/>
    <w:rsid w:val="69124F16"/>
    <w:rsid w:val="69BA0848"/>
    <w:rsid w:val="69CD5C14"/>
    <w:rsid w:val="69CF0D33"/>
    <w:rsid w:val="69E05B56"/>
    <w:rsid w:val="6B9946B3"/>
    <w:rsid w:val="6BE518DA"/>
    <w:rsid w:val="6BF90722"/>
    <w:rsid w:val="6C276F3A"/>
    <w:rsid w:val="6C7007C7"/>
    <w:rsid w:val="6D46417D"/>
    <w:rsid w:val="6D480D21"/>
    <w:rsid w:val="6DE76850"/>
    <w:rsid w:val="6E176345"/>
    <w:rsid w:val="6EC20C4D"/>
    <w:rsid w:val="6F113E47"/>
    <w:rsid w:val="6F2D03B1"/>
    <w:rsid w:val="6FB20BD4"/>
    <w:rsid w:val="6FBA59BE"/>
    <w:rsid w:val="6FCF1288"/>
    <w:rsid w:val="70281A19"/>
    <w:rsid w:val="70296B3E"/>
    <w:rsid w:val="70611204"/>
    <w:rsid w:val="70AC7790"/>
    <w:rsid w:val="7165620F"/>
    <w:rsid w:val="717039F8"/>
    <w:rsid w:val="7258197D"/>
    <w:rsid w:val="72CA35BE"/>
    <w:rsid w:val="72D66DF2"/>
    <w:rsid w:val="741E2752"/>
    <w:rsid w:val="74D13AD5"/>
    <w:rsid w:val="74FA2C30"/>
    <w:rsid w:val="754D5C4B"/>
    <w:rsid w:val="757524F1"/>
    <w:rsid w:val="759E1D21"/>
    <w:rsid w:val="75A02CB7"/>
    <w:rsid w:val="75CC53E3"/>
    <w:rsid w:val="764230B1"/>
    <w:rsid w:val="76C240A7"/>
    <w:rsid w:val="76DA416A"/>
    <w:rsid w:val="775246B7"/>
    <w:rsid w:val="778B4487"/>
    <w:rsid w:val="78191BAF"/>
    <w:rsid w:val="781E69D1"/>
    <w:rsid w:val="78922A1A"/>
    <w:rsid w:val="7901747F"/>
    <w:rsid w:val="792E291A"/>
    <w:rsid w:val="795A422D"/>
    <w:rsid w:val="7A263B6B"/>
    <w:rsid w:val="7AF46346"/>
    <w:rsid w:val="7B0F5EBF"/>
    <w:rsid w:val="7B130FB9"/>
    <w:rsid w:val="7BD71E38"/>
    <w:rsid w:val="7BF64EDE"/>
    <w:rsid w:val="7BFE0D2F"/>
    <w:rsid w:val="7C400C1E"/>
    <w:rsid w:val="7CB575D7"/>
    <w:rsid w:val="7DC205F3"/>
    <w:rsid w:val="7DD11708"/>
    <w:rsid w:val="7DEE4A4F"/>
    <w:rsid w:val="7DFD085E"/>
    <w:rsid w:val="7EAE6230"/>
    <w:rsid w:val="7EBD579E"/>
    <w:rsid w:val="7EC167BD"/>
    <w:rsid w:val="7F272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56"/>
    <w:autoRedefine/>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4"/>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184"/>
    <w:autoRedefine/>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4"/>
    <w:autoRedefine/>
    <w:qFormat/>
    <w:uiPriority w:val="0"/>
    <w:pPr>
      <w:keepNext/>
      <w:keepLines/>
      <w:spacing w:before="240" w:after="64" w:line="317" w:lineRule="auto"/>
      <w:outlineLvl w:val="6"/>
    </w:pPr>
    <w:rPr>
      <w:b/>
      <w:bCs/>
      <w:kern w:val="0"/>
      <w:sz w:val="24"/>
    </w:rPr>
  </w:style>
  <w:style w:type="paragraph" w:styleId="10">
    <w:name w:val="heading 8"/>
    <w:basedOn w:val="1"/>
    <w:next w:val="1"/>
    <w:link w:val="176"/>
    <w:autoRedefine/>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89"/>
    <w:autoRedefine/>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3"/>
    <w:autoRedefine/>
    <w:qFormat/>
    <w:uiPriority w:val="0"/>
    <w:pPr>
      <w:ind w:firstLine="420"/>
    </w:pPr>
    <w:rPr>
      <w:szCs w:val="20"/>
    </w:rPr>
  </w:style>
  <w:style w:type="paragraph" w:styleId="12">
    <w:name w:val="toc 7"/>
    <w:basedOn w:val="1"/>
    <w:next w:val="1"/>
    <w:autoRedefine/>
    <w:qFormat/>
    <w:uiPriority w:val="0"/>
    <w:pPr>
      <w:ind w:left="2520" w:leftChars="1200"/>
    </w:pPr>
    <w:rPr>
      <w:rFonts w:ascii="Calibri" w:hAnsi="Calibri" w:cs="Calibri"/>
      <w:szCs w:val="21"/>
    </w:r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212"/>
    <w:autoRedefine/>
    <w:qFormat/>
    <w:uiPriority w:val="0"/>
    <w:pPr>
      <w:shd w:val="clear" w:color="auto" w:fill="000080"/>
    </w:pPr>
    <w:rPr>
      <w:sz w:val="24"/>
      <w:shd w:val="clear" w:color="auto" w:fill="000080"/>
    </w:rPr>
  </w:style>
  <w:style w:type="paragraph" w:styleId="16">
    <w:name w:val="annotation text"/>
    <w:basedOn w:val="1"/>
    <w:link w:val="64"/>
    <w:autoRedefine/>
    <w:qFormat/>
    <w:uiPriority w:val="99"/>
    <w:pPr>
      <w:jc w:val="left"/>
    </w:pPr>
  </w:style>
  <w:style w:type="paragraph" w:styleId="17">
    <w:name w:val="Body Text 3"/>
    <w:basedOn w:val="1"/>
    <w:link w:val="167"/>
    <w:autoRedefine/>
    <w:unhideWhenUsed/>
    <w:qFormat/>
    <w:uiPriority w:val="0"/>
    <w:pPr>
      <w:spacing w:after="120"/>
    </w:pPr>
    <w:rPr>
      <w:sz w:val="16"/>
      <w:szCs w:val="16"/>
    </w:rPr>
  </w:style>
  <w:style w:type="paragraph" w:styleId="18">
    <w:name w:val="Body Text"/>
    <w:basedOn w:val="1"/>
    <w:link w:val="88"/>
    <w:autoRedefine/>
    <w:unhideWhenUsed/>
    <w:qFormat/>
    <w:uiPriority w:val="0"/>
    <w:pPr>
      <w:spacing w:after="120"/>
    </w:pPr>
  </w:style>
  <w:style w:type="paragraph" w:styleId="19">
    <w:name w:val="Body Text Indent"/>
    <w:basedOn w:val="1"/>
    <w:link w:val="190"/>
    <w:autoRedefine/>
    <w:qFormat/>
    <w:uiPriority w:val="0"/>
    <w:pPr>
      <w:ind w:firstLine="830" w:firstLineChars="352"/>
    </w:pPr>
    <w:rPr>
      <w:rFonts w:ascii="仿宋_GB2312" w:eastAsia="仿宋_GB2312"/>
      <w:kern w:val="0"/>
      <w:sz w:val="32"/>
      <w:szCs w:val="20"/>
    </w:rPr>
  </w:style>
  <w:style w:type="paragraph" w:styleId="20">
    <w:name w:val="List 2"/>
    <w:basedOn w:val="1"/>
    <w:autoRedefine/>
    <w:unhideWhenUsed/>
    <w:qFormat/>
    <w:uiPriority w:val="99"/>
    <w:pPr>
      <w:ind w:left="100" w:leftChars="200" w:hanging="200" w:hangingChars="200"/>
      <w:contextualSpacing/>
    </w:pPr>
  </w:style>
  <w:style w:type="paragraph" w:styleId="21">
    <w:name w:val="Block Text"/>
    <w:basedOn w:val="1"/>
    <w:autoRedefine/>
    <w:unhideWhenUsed/>
    <w:qFormat/>
    <w:uiPriority w:val="99"/>
    <w:pPr>
      <w:adjustRightInd w:val="0"/>
      <w:spacing w:line="400" w:lineRule="exact"/>
      <w:ind w:left="420" w:right="33" w:firstLine="1044" w:firstLineChars="200"/>
      <w:jc w:val="left"/>
    </w:pPr>
    <w:rPr>
      <w:kern w:val="0"/>
      <w:sz w:val="24"/>
      <w:szCs w:val="20"/>
    </w:r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0"/>
    <w:pPr>
      <w:ind w:left="1680" w:leftChars="800"/>
    </w:pPr>
    <w:rPr>
      <w:rFonts w:ascii="Calibri" w:hAnsi="Calibri" w:cs="Calibri"/>
      <w:szCs w:val="21"/>
    </w:rPr>
  </w:style>
  <w:style w:type="paragraph" w:styleId="24">
    <w:name w:val="toc 3"/>
    <w:basedOn w:val="1"/>
    <w:next w:val="1"/>
    <w:autoRedefine/>
    <w:qFormat/>
    <w:uiPriority w:val="0"/>
    <w:pPr>
      <w:ind w:left="840" w:leftChars="400"/>
    </w:pPr>
    <w:rPr>
      <w:szCs w:val="21"/>
    </w:rPr>
  </w:style>
  <w:style w:type="paragraph" w:styleId="25">
    <w:name w:val="Plain Text"/>
    <w:basedOn w:val="1"/>
    <w:link w:val="102"/>
    <w:autoRedefine/>
    <w:qFormat/>
    <w:uiPriority w:val="0"/>
    <w:rPr>
      <w:rFonts w:ascii="宋体" w:hAnsi="Courier New"/>
      <w:kern w:val="0"/>
      <w:sz w:val="20"/>
      <w:szCs w:val="21"/>
    </w:rPr>
  </w:style>
  <w:style w:type="paragraph" w:styleId="26">
    <w:name w:val="toc 8"/>
    <w:basedOn w:val="1"/>
    <w:next w:val="1"/>
    <w:autoRedefine/>
    <w:qFormat/>
    <w:uiPriority w:val="0"/>
    <w:pPr>
      <w:ind w:left="2940" w:leftChars="1400"/>
    </w:pPr>
    <w:rPr>
      <w:rFonts w:ascii="Calibri" w:hAnsi="Calibri" w:cs="Calibri"/>
      <w:szCs w:val="21"/>
    </w:rPr>
  </w:style>
  <w:style w:type="paragraph" w:styleId="27">
    <w:name w:val="Date"/>
    <w:basedOn w:val="1"/>
    <w:next w:val="1"/>
    <w:link w:val="203"/>
    <w:autoRedefine/>
    <w:unhideWhenUsed/>
    <w:qFormat/>
    <w:uiPriority w:val="0"/>
    <w:pPr>
      <w:ind w:left="100" w:leftChars="2500"/>
    </w:pPr>
  </w:style>
  <w:style w:type="paragraph" w:styleId="28">
    <w:name w:val="Body Text Indent 2"/>
    <w:basedOn w:val="1"/>
    <w:link w:val="73"/>
    <w:autoRedefine/>
    <w:qFormat/>
    <w:uiPriority w:val="0"/>
    <w:pPr>
      <w:spacing w:after="120" w:line="480" w:lineRule="auto"/>
      <w:ind w:left="420" w:leftChars="200"/>
    </w:pPr>
    <w:rPr>
      <w:sz w:val="24"/>
    </w:rPr>
  </w:style>
  <w:style w:type="paragraph" w:styleId="29">
    <w:name w:val="Balloon Text"/>
    <w:basedOn w:val="1"/>
    <w:link w:val="210"/>
    <w:autoRedefine/>
    <w:qFormat/>
    <w:uiPriority w:val="0"/>
    <w:rPr>
      <w:sz w:val="18"/>
      <w:szCs w:val="18"/>
    </w:rPr>
  </w:style>
  <w:style w:type="paragraph" w:styleId="30">
    <w:name w:val="footer"/>
    <w:basedOn w:val="1"/>
    <w:link w:val="100"/>
    <w:autoRedefine/>
    <w:unhideWhenUsed/>
    <w:qFormat/>
    <w:uiPriority w:val="99"/>
    <w:pPr>
      <w:tabs>
        <w:tab w:val="center" w:pos="4153"/>
        <w:tab w:val="right" w:pos="8306"/>
      </w:tabs>
      <w:snapToGrid w:val="0"/>
      <w:jc w:val="left"/>
    </w:pPr>
    <w:rPr>
      <w:kern w:val="0"/>
      <w:sz w:val="18"/>
      <w:szCs w:val="18"/>
    </w:rPr>
  </w:style>
  <w:style w:type="paragraph" w:styleId="31">
    <w:name w:val="header"/>
    <w:basedOn w:val="1"/>
    <w:link w:val="16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0"/>
  </w:style>
  <w:style w:type="paragraph" w:styleId="33">
    <w:name w:val="toc 4"/>
    <w:basedOn w:val="1"/>
    <w:next w:val="1"/>
    <w:autoRedefine/>
    <w:qFormat/>
    <w:uiPriority w:val="0"/>
    <w:pPr>
      <w:ind w:left="1260" w:leftChars="600"/>
    </w:pPr>
    <w:rPr>
      <w:rFonts w:ascii="Calibri" w:hAnsi="Calibri" w:cs="Calibri"/>
      <w:szCs w:val="21"/>
    </w:rPr>
  </w:style>
  <w:style w:type="paragraph" w:styleId="34">
    <w:name w:val="Subtitle"/>
    <w:basedOn w:val="1"/>
    <w:next w:val="1"/>
    <w:link w:val="13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77"/>
    <w:autoRedefine/>
    <w:qFormat/>
    <w:uiPriority w:val="0"/>
    <w:pPr>
      <w:adjustRightInd w:val="0"/>
      <w:spacing w:line="312" w:lineRule="atLeast"/>
      <w:jc w:val="left"/>
      <w:textAlignment w:val="baseline"/>
    </w:pPr>
    <w:rPr>
      <w:kern w:val="0"/>
      <w:sz w:val="18"/>
      <w:szCs w:val="18"/>
    </w:rPr>
  </w:style>
  <w:style w:type="paragraph" w:styleId="36">
    <w:name w:val="toc 6"/>
    <w:basedOn w:val="1"/>
    <w:next w:val="1"/>
    <w:autoRedefine/>
    <w:qFormat/>
    <w:uiPriority w:val="0"/>
    <w:pPr>
      <w:ind w:left="2100" w:leftChars="1000"/>
    </w:pPr>
    <w:rPr>
      <w:rFonts w:ascii="Calibri" w:hAnsi="Calibri" w:cs="Calibri"/>
      <w:szCs w:val="21"/>
    </w:rPr>
  </w:style>
  <w:style w:type="paragraph" w:styleId="37">
    <w:name w:val="Body Text Indent 3"/>
    <w:basedOn w:val="1"/>
    <w:link w:val="141"/>
    <w:autoRedefine/>
    <w:unhideWhenUsed/>
    <w:qFormat/>
    <w:uiPriority w:val="0"/>
    <w:pPr>
      <w:adjustRightInd w:val="0"/>
      <w:spacing w:line="360" w:lineRule="auto"/>
      <w:ind w:firstLine="527"/>
    </w:pPr>
    <w:rPr>
      <w:kern w:val="0"/>
      <w:sz w:val="28"/>
      <w:szCs w:val="20"/>
    </w:rPr>
  </w:style>
  <w:style w:type="paragraph" w:styleId="38">
    <w:name w:val="toc 2"/>
    <w:basedOn w:val="1"/>
    <w:next w:val="1"/>
    <w:autoRedefine/>
    <w:unhideWhenUsed/>
    <w:qFormat/>
    <w:uiPriority w:val="0"/>
    <w:pPr>
      <w:tabs>
        <w:tab w:val="right" w:leader="dot" w:pos="8296"/>
      </w:tabs>
      <w:ind w:left="420" w:leftChars="200"/>
    </w:pPr>
  </w:style>
  <w:style w:type="paragraph" w:styleId="39">
    <w:name w:val="toc 9"/>
    <w:basedOn w:val="1"/>
    <w:next w:val="1"/>
    <w:autoRedefine/>
    <w:qFormat/>
    <w:uiPriority w:val="0"/>
    <w:pPr>
      <w:ind w:left="3360" w:leftChars="1600"/>
    </w:pPr>
    <w:rPr>
      <w:rFonts w:ascii="Calibri" w:hAnsi="Calibri" w:cs="Calibri"/>
      <w:szCs w:val="21"/>
    </w:rPr>
  </w:style>
  <w:style w:type="paragraph" w:styleId="40">
    <w:name w:val="HTML Preformatted"/>
    <w:basedOn w:val="1"/>
    <w:link w:val="16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autoRedefine/>
    <w:unhideWhenUsed/>
    <w:qFormat/>
    <w:uiPriority w:val="0"/>
    <w:rPr>
      <w:rFonts w:ascii="Calibri" w:hAnsi="Calibri"/>
      <w:kern w:val="0"/>
      <w:sz w:val="24"/>
    </w:rPr>
  </w:style>
  <w:style w:type="paragraph" w:styleId="42">
    <w:name w:val="index 1"/>
    <w:basedOn w:val="1"/>
    <w:next w:val="1"/>
    <w:autoRedefine/>
    <w:unhideWhenUsed/>
    <w:qFormat/>
    <w:uiPriority w:val="0"/>
    <w:pPr>
      <w:adjustRightInd w:val="0"/>
      <w:spacing w:line="312" w:lineRule="atLeast"/>
    </w:pPr>
    <w:rPr>
      <w:kern w:val="0"/>
      <w:szCs w:val="20"/>
    </w:rPr>
  </w:style>
  <w:style w:type="paragraph" w:styleId="43">
    <w:name w:val="Title"/>
    <w:basedOn w:val="1"/>
    <w:next w:val="1"/>
    <w:link w:val="197"/>
    <w:autoRedefine/>
    <w:qFormat/>
    <w:uiPriority w:val="0"/>
    <w:pPr>
      <w:spacing w:before="240" w:after="60"/>
      <w:jc w:val="center"/>
      <w:outlineLvl w:val="0"/>
    </w:pPr>
    <w:rPr>
      <w:rFonts w:ascii="Cambria" w:hAnsi="Cambria"/>
      <w:b/>
      <w:bCs/>
      <w:sz w:val="32"/>
      <w:szCs w:val="32"/>
    </w:rPr>
  </w:style>
  <w:style w:type="paragraph" w:styleId="44">
    <w:name w:val="annotation subject"/>
    <w:basedOn w:val="16"/>
    <w:next w:val="16"/>
    <w:link w:val="175"/>
    <w:autoRedefine/>
    <w:qFormat/>
    <w:uiPriority w:val="0"/>
    <w:rPr>
      <w:b/>
      <w:bCs/>
    </w:rPr>
  </w:style>
  <w:style w:type="table" w:styleId="46">
    <w:name w:val="Table Grid"/>
    <w:basedOn w:val="4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autoRedefine/>
    <w:qFormat/>
    <w:uiPriority w:val="0"/>
    <w:rPr>
      <w:b/>
      <w:bCs/>
    </w:rPr>
  </w:style>
  <w:style w:type="character" w:styleId="49">
    <w:name w:val="endnote reference"/>
    <w:autoRedefine/>
    <w:unhideWhenUsed/>
    <w:qFormat/>
    <w:uiPriority w:val="99"/>
    <w:rPr>
      <w:vertAlign w:val="superscript"/>
    </w:rPr>
  </w:style>
  <w:style w:type="character" w:styleId="50">
    <w:name w:val="page number"/>
    <w:autoRedefine/>
    <w:qFormat/>
    <w:uiPriority w:val="99"/>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TML Definition"/>
    <w:basedOn w:val="47"/>
    <w:autoRedefine/>
    <w:unhideWhenUsed/>
    <w:qFormat/>
    <w:uiPriority w:val="0"/>
  </w:style>
  <w:style w:type="character" w:styleId="54">
    <w:name w:val="HTML Typewriter"/>
    <w:basedOn w:val="47"/>
    <w:autoRedefine/>
    <w:unhideWhenUsed/>
    <w:qFormat/>
    <w:uiPriority w:val="0"/>
    <w:rPr>
      <w:rFonts w:hint="default" w:ascii="Courier New" w:hAnsi="Courier New" w:eastAsia="Courier New" w:cs="Courier New"/>
      <w:sz w:val="24"/>
      <w:szCs w:val="24"/>
    </w:rPr>
  </w:style>
  <w:style w:type="character" w:styleId="55">
    <w:name w:val="HTML Variable"/>
    <w:basedOn w:val="47"/>
    <w:autoRedefine/>
    <w:unhideWhenUsed/>
    <w:qFormat/>
    <w:uiPriority w:val="0"/>
    <w:rPr>
      <w:vanish/>
      <w:bdr w:val="single" w:color="DCDCDC" w:sz="6" w:space="0"/>
    </w:rPr>
  </w:style>
  <w:style w:type="character" w:styleId="56">
    <w:name w:val="Hyperlink"/>
    <w:autoRedefine/>
    <w:unhideWhenUsed/>
    <w:qFormat/>
    <w:uiPriority w:val="0"/>
    <w:rPr>
      <w:color w:val="0000FF"/>
      <w:u w:val="single"/>
    </w:rPr>
  </w:style>
  <w:style w:type="character" w:styleId="57">
    <w:name w:val="HTML Code"/>
    <w:basedOn w:val="47"/>
    <w:autoRedefine/>
    <w:unhideWhenUsed/>
    <w:qFormat/>
    <w:uiPriority w:val="0"/>
    <w:rPr>
      <w:rFonts w:hint="default" w:ascii="Courier New" w:hAnsi="Courier New" w:eastAsia="Courier New" w:cs="Courier New"/>
      <w:sz w:val="24"/>
      <w:szCs w:val="24"/>
    </w:rPr>
  </w:style>
  <w:style w:type="character" w:styleId="58">
    <w:name w:val="annotation reference"/>
    <w:autoRedefine/>
    <w:qFormat/>
    <w:uiPriority w:val="99"/>
    <w:rPr>
      <w:sz w:val="21"/>
      <w:szCs w:val="21"/>
    </w:rPr>
  </w:style>
  <w:style w:type="character" w:styleId="59">
    <w:name w:val="HTML Cite"/>
    <w:basedOn w:val="47"/>
    <w:autoRedefine/>
    <w:unhideWhenUsed/>
    <w:qFormat/>
    <w:uiPriority w:val="0"/>
  </w:style>
  <w:style w:type="character" w:styleId="60">
    <w:name w:val="footnote reference"/>
    <w:basedOn w:val="47"/>
    <w:autoRedefine/>
    <w:unhideWhenUsed/>
    <w:qFormat/>
    <w:uiPriority w:val="0"/>
    <w:rPr>
      <w:vertAlign w:val="superscript"/>
    </w:rPr>
  </w:style>
  <w:style w:type="character" w:styleId="61">
    <w:name w:val="HTML Keyboard"/>
    <w:basedOn w:val="47"/>
    <w:autoRedefine/>
    <w:unhideWhenUsed/>
    <w:qFormat/>
    <w:uiPriority w:val="0"/>
    <w:rPr>
      <w:rFonts w:hint="default" w:ascii="Courier New" w:hAnsi="Courier New" w:eastAsia="Courier New" w:cs="Courier New"/>
      <w:sz w:val="24"/>
      <w:szCs w:val="24"/>
    </w:rPr>
  </w:style>
  <w:style w:type="character" w:styleId="62">
    <w:name w:val="HTML Sample"/>
    <w:basedOn w:val="47"/>
    <w:autoRedefine/>
    <w:unhideWhenUsed/>
    <w:qFormat/>
    <w:uiPriority w:val="0"/>
    <w:rPr>
      <w:rFonts w:hint="default" w:ascii="Courier New" w:hAnsi="Courier New" w:eastAsia="Courier New" w:cs="Courier New"/>
    </w:rPr>
  </w:style>
  <w:style w:type="paragraph" w:styleId="6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批注文字 Char1"/>
    <w:link w:val="16"/>
    <w:autoRedefine/>
    <w:qFormat/>
    <w:uiPriority w:val="99"/>
    <w:rPr>
      <w:rFonts w:ascii="Times New Roman" w:hAnsi="Times New Roman"/>
      <w:kern w:val="2"/>
      <w:sz w:val="21"/>
      <w:szCs w:val="24"/>
    </w:rPr>
  </w:style>
  <w:style w:type="character" w:customStyle="1" w:styleId="65">
    <w:name w:val="正文文本缩进 Char1"/>
    <w:basedOn w:val="47"/>
    <w:autoRedefine/>
    <w:semiHidden/>
    <w:qFormat/>
    <w:locked/>
    <w:uiPriority w:val="0"/>
    <w:rPr>
      <w:kern w:val="2"/>
      <w:sz w:val="21"/>
      <w:szCs w:val="24"/>
    </w:rPr>
  </w:style>
  <w:style w:type="character" w:customStyle="1" w:styleId="66">
    <w:name w:val="Body text|2_"/>
    <w:link w:val="67"/>
    <w:autoRedefine/>
    <w:qFormat/>
    <w:uiPriority w:val="0"/>
    <w:rPr>
      <w:sz w:val="21"/>
    </w:rPr>
  </w:style>
  <w:style w:type="paragraph" w:customStyle="1" w:styleId="67">
    <w:name w:val="Body text|2"/>
    <w:basedOn w:val="1"/>
    <w:link w:val="66"/>
    <w:autoRedefine/>
    <w:qFormat/>
    <w:uiPriority w:val="0"/>
    <w:pPr>
      <w:spacing w:after="30"/>
      <w:ind w:firstLine="420"/>
      <w:jc w:val="left"/>
    </w:pPr>
    <w:rPr>
      <w:kern w:val="0"/>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Comment Text Char1"/>
    <w:autoRedefine/>
    <w:qFormat/>
    <w:uiPriority w:val="99"/>
    <w:rPr>
      <w:sz w:val="24"/>
      <w:szCs w:val="24"/>
    </w:rPr>
  </w:style>
  <w:style w:type="character" w:customStyle="1" w:styleId="70">
    <w:name w:val="Char Char19"/>
    <w:autoRedefine/>
    <w:qFormat/>
    <w:uiPriority w:val="99"/>
    <w:rPr>
      <w:rFonts w:ascii="Arial" w:hAnsi="Arial" w:eastAsia="宋体" w:cs="Arial"/>
      <w:b/>
      <w:bCs/>
      <w:sz w:val="28"/>
      <w:szCs w:val="28"/>
    </w:rPr>
  </w:style>
  <w:style w:type="character" w:styleId="71">
    <w:name w:val="Placeholder Text"/>
    <w:autoRedefine/>
    <w:unhideWhenUsed/>
    <w:qFormat/>
    <w:uiPriority w:val="99"/>
    <w:rPr>
      <w:color w:val="808080"/>
    </w:rPr>
  </w:style>
  <w:style w:type="character" w:customStyle="1" w:styleId="72">
    <w:name w:val="apple-converted-space"/>
    <w:basedOn w:val="47"/>
    <w:autoRedefine/>
    <w:qFormat/>
    <w:uiPriority w:val="0"/>
  </w:style>
  <w:style w:type="character" w:customStyle="1" w:styleId="73">
    <w:name w:val="正文文本缩进 2 Char"/>
    <w:basedOn w:val="47"/>
    <w:link w:val="28"/>
    <w:autoRedefine/>
    <w:qFormat/>
    <w:uiPriority w:val="0"/>
    <w:rPr>
      <w:kern w:val="2"/>
      <w:sz w:val="24"/>
      <w:szCs w:val="24"/>
    </w:rPr>
  </w:style>
  <w:style w:type="character" w:customStyle="1" w:styleId="74">
    <w:name w:val="Heading 5 Char"/>
    <w:autoRedefine/>
    <w:qFormat/>
    <w:uiPriority w:val="99"/>
    <w:rPr>
      <w:rFonts w:eastAsia="宋体"/>
      <w:b/>
      <w:bCs/>
      <w:kern w:val="2"/>
      <w:sz w:val="28"/>
      <w:szCs w:val="28"/>
      <w:lang w:val="en-US" w:eastAsia="zh-CN"/>
    </w:rPr>
  </w:style>
  <w:style w:type="character" w:customStyle="1" w:styleId="75">
    <w:name w:val="正文呀2 Char"/>
    <w:basedOn w:val="76"/>
    <w:link w:val="78"/>
    <w:autoRedefine/>
    <w:qFormat/>
    <w:locked/>
    <w:uiPriority w:val="0"/>
    <w:rPr>
      <w:rFonts w:ascii="宋体" w:hAnsi="宋体"/>
      <w:szCs w:val="21"/>
    </w:rPr>
  </w:style>
  <w:style w:type="character" w:customStyle="1" w:styleId="76">
    <w:name w:val="正文呀 Char"/>
    <w:link w:val="77"/>
    <w:autoRedefine/>
    <w:qFormat/>
    <w:locked/>
    <w:uiPriority w:val="0"/>
    <w:rPr>
      <w:rFonts w:ascii="宋体" w:hAnsi="宋体"/>
      <w:szCs w:val="21"/>
    </w:rPr>
  </w:style>
  <w:style w:type="paragraph" w:customStyle="1" w:styleId="77">
    <w:name w:val="正文呀"/>
    <w:basedOn w:val="1"/>
    <w:link w:val="76"/>
    <w:autoRedefine/>
    <w:qFormat/>
    <w:uiPriority w:val="0"/>
    <w:pPr>
      <w:adjustRightInd w:val="0"/>
      <w:spacing w:line="420" w:lineRule="exact"/>
      <w:ind w:firstLine="420" w:firstLineChars="200"/>
    </w:pPr>
    <w:rPr>
      <w:rFonts w:ascii="宋体" w:hAnsi="宋体"/>
      <w:kern w:val="0"/>
      <w:sz w:val="20"/>
      <w:szCs w:val="21"/>
    </w:rPr>
  </w:style>
  <w:style w:type="paragraph" w:customStyle="1" w:styleId="78">
    <w:name w:val="正文呀2"/>
    <w:basedOn w:val="77"/>
    <w:link w:val="75"/>
    <w:autoRedefine/>
    <w:qFormat/>
    <w:uiPriority w:val="0"/>
  </w:style>
  <w:style w:type="character" w:customStyle="1" w:styleId="79">
    <w:name w:val="Document Map Char"/>
    <w:autoRedefine/>
    <w:qFormat/>
    <w:uiPriority w:val="99"/>
    <w:rPr>
      <w:rFonts w:eastAsia="宋体"/>
      <w:kern w:val="2"/>
      <w:sz w:val="24"/>
      <w:szCs w:val="24"/>
      <w:lang w:val="en-US" w:eastAsia="zh-CN"/>
    </w:rPr>
  </w:style>
  <w:style w:type="character" w:customStyle="1" w:styleId="80">
    <w:name w:val="Char Char18"/>
    <w:autoRedefine/>
    <w:qFormat/>
    <w:uiPriority w:val="99"/>
    <w:rPr>
      <w:rFonts w:ascii="Times New Roman" w:hAnsi="Times New Roman" w:eastAsia="宋体" w:cs="Times New Roman"/>
      <w:b/>
      <w:bCs/>
      <w:sz w:val="28"/>
      <w:szCs w:val="28"/>
    </w:rPr>
  </w:style>
  <w:style w:type="character" w:customStyle="1" w:styleId="81">
    <w:name w:val="Heading 1 Char"/>
    <w:autoRedefine/>
    <w:qFormat/>
    <w:uiPriority w:val="99"/>
    <w:rPr>
      <w:rFonts w:eastAsia="宋体"/>
      <w:b/>
      <w:bCs/>
      <w:kern w:val="44"/>
      <w:sz w:val="44"/>
      <w:szCs w:val="44"/>
      <w:lang w:val="en-US" w:eastAsia="zh-CN"/>
    </w:rPr>
  </w:style>
  <w:style w:type="character" w:customStyle="1" w:styleId="82">
    <w:name w:val="ca-51"/>
    <w:autoRedefine/>
    <w:qFormat/>
    <w:uiPriority w:val="0"/>
    <w:rPr>
      <w:rFonts w:hint="eastAsia" w:ascii="宋体" w:hAnsi="宋体" w:eastAsia="宋体" w:cs="Times New Roman"/>
      <w:color w:val="E60000"/>
      <w:sz w:val="20"/>
      <w:szCs w:val="20"/>
    </w:rPr>
  </w:style>
  <w:style w:type="character" w:customStyle="1" w:styleId="83">
    <w:name w:val="正文缩进 Char"/>
    <w:link w:val="7"/>
    <w:qFormat/>
    <w:uiPriority w:val="0"/>
    <w:rPr>
      <w:kern w:val="2"/>
      <w:sz w:val="21"/>
    </w:rPr>
  </w:style>
  <w:style w:type="character" w:customStyle="1" w:styleId="84">
    <w:name w:val="Heading #3|1_"/>
    <w:link w:val="85"/>
    <w:qFormat/>
    <w:uiPriority w:val="0"/>
    <w:rPr>
      <w:rFonts w:ascii="宋体" w:hAnsi="宋体" w:cs="宋体"/>
      <w:sz w:val="28"/>
      <w:szCs w:val="28"/>
      <w:lang w:val="zh-CN" w:bidi="zh-CN"/>
    </w:rPr>
  </w:style>
  <w:style w:type="paragraph" w:customStyle="1" w:styleId="85">
    <w:name w:val="Heading #3|1"/>
    <w:basedOn w:val="1"/>
    <w:link w:val="84"/>
    <w:qFormat/>
    <w:uiPriority w:val="0"/>
    <w:pPr>
      <w:spacing w:after="570"/>
      <w:jc w:val="center"/>
      <w:outlineLvl w:val="2"/>
    </w:pPr>
    <w:rPr>
      <w:rFonts w:ascii="宋体" w:hAnsi="宋体" w:cs="宋体"/>
      <w:kern w:val="0"/>
      <w:sz w:val="28"/>
      <w:szCs w:val="28"/>
      <w:lang w:val="zh-CN" w:bidi="zh-CN"/>
    </w:rPr>
  </w:style>
  <w:style w:type="character" w:customStyle="1" w:styleId="86">
    <w:name w:val="标题5 Char Char"/>
    <w:link w:val="87"/>
    <w:autoRedefine/>
    <w:qFormat/>
    <w:locked/>
    <w:uiPriority w:val="99"/>
    <w:rPr>
      <w:rFonts w:ascii="Arial" w:hAnsi="Arial" w:cs="Arial"/>
      <w:b/>
      <w:bCs/>
      <w:sz w:val="32"/>
      <w:szCs w:val="32"/>
    </w:rPr>
  </w:style>
  <w:style w:type="paragraph" w:customStyle="1" w:styleId="87">
    <w:name w:val="标题5"/>
    <w:basedOn w:val="4"/>
    <w:link w:val="86"/>
    <w:qFormat/>
    <w:uiPriority w:val="99"/>
    <w:pPr>
      <w:spacing w:line="413" w:lineRule="auto"/>
    </w:pPr>
    <w:rPr>
      <w:rFonts w:ascii="Arial" w:hAnsi="Arial"/>
      <w:kern w:val="0"/>
    </w:rPr>
  </w:style>
  <w:style w:type="character" w:customStyle="1" w:styleId="88">
    <w:name w:val="正文文本 Char1"/>
    <w:link w:val="18"/>
    <w:qFormat/>
    <w:uiPriority w:val="0"/>
    <w:rPr>
      <w:rFonts w:ascii="Times New Roman" w:hAnsi="Times New Roman"/>
      <w:kern w:val="2"/>
      <w:sz w:val="21"/>
      <w:szCs w:val="24"/>
    </w:rPr>
  </w:style>
  <w:style w:type="character" w:customStyle="1" w:styleId="89">
    <w:name w:val="明显强调1"/>
    <w:qFormat/>
    <w:uiPriority w:val="99"/>
    <w:rPr>
      <w:b/>
      <w:bCs/>
      <w:i/>
      <w:iCs/>
      <w:color w:val="4F81BD"/>
    </w:rPr>
  </w:style>
  <w:style w:type="character" w:customStyle="1" w:styleId="90">
    <w:name w:val="Char Char24"/>
    <w:autoRedefine/>
    <w:qFormat/>
    <w:uiPriority w:val="99"/>
    <w:rPr>
      <w:rFonts w:eastAsia="宋体"/>
      <w:b/>
      <w:bCs/>
      <w:kern w:val="44"/>
      <w:sz w:val="44"/>
      <w:szCs w:val="44"/>
      <w:lang w:val="en-US" w:eastAsia="zh-CN"/>
    </w:rPr>
  </w:style>
  <w:style w:type="character" w:customStyle="1" w:styleId="91">
    <w:name w:val="ca-71"/>
    <w:autoRedefine/>
    <w:qFormat/>
    <w:uiPriority w:val="0"/>
    <w:rPr>
      <w:rFonts w:hint="eastAsia" w:ascii="宋体" w:hAnsi="宋体" w:eastAsia="宋体" w:cs="Times New Roman"/>
      <w:color w:val="000000"/>
      <w:sz w:val="12"/>
      <w:szCs w:val="12"/>
    </w:rPr>
  </w:style>
  <w:style w:type="character" w:customStyle="1" w:styleId="92">
    <w:name w:val="书籍标题1"/>
    <w:qFormat/>
    <w:uiPriority w:val="99"/>
    <w:rPr>
      <w:b/>
      <w:bCs/>
      <w:smallCaps/>
      <w:spacing w:val="5"/>
    </w:rPr>
  </w:style>
  <w:style w:type="character" w:customStyle="1" w:styleId="93">
    <w:name w:val="ca-41"/>
    <w:qFormat/>
    <w:uiPriority w:val="0"/>
    <w:rPr>
      <w:rFonts w:hint="eastAsia" w:ascii="宋体" w:hAnsi="宋体" w:eastAsia="宋体" w:cs="Times New Roman"/>
      <w:color w:val="000000"/>
      <w:sz w:val="20"/>
      <w:szCs w:val="20"/>
    </w:rPr>
  </w:style>
  <w:style w:type="character" w:customStyle="1" w:styleId="94">
    <w:name w:val="不明显强调1"/>
    <w:qFormat/>
    <w:uiPriority w:val="99"/>
    <w:rPr>
      <w:i/>
      <w:iCs/>
      <w:color w:val="808080"/>
    </w:rPr>
  </w:style>
  <w:style w:type="character" w:customStyle="1" w:styleId="95">
    <w:name w:val="标题 1 字符1"/>
    <w:qFormat/>
    <w:uiPriority w:val="0"/>
    <w:rPr>
      <w:b/>
      <w:bCs/>
      <w:kern w:val="44"/>
      <w:sz w:val="44"/>
      <w:szCs w:val="44"/>
    </w:rPr>
  </w:style>
  <w:style w:type="character" w:customStyle="1" w:styleId="96">
    <w:name w:val="Body Text Indent 2 Char"/>
    <w:qFormat/>
    <w:uiPriority w:val="99"/>
    <w:rPr>
      <w:rFonts w:eastAsia="宋体"/>
      <w:kern w:val="2"/>
      <w:sz w:val="24"/>
      <w:szCs w:val="24"/>
      <w:lang w:val="en-US" w:eastAsia="zh-CN"/>
    </w:rPr>
  </w:style>
  <w:style w:type="character" w:customStyle="1" w:styleId="97">
    <w:name w:val="普通文字 Char Char3"/>
    <w:qFormat/>
    <w:uiPriority w:val="0"/>
    <w:rPr>
      <w:rFonts w:hint="eastAsia" w:ascii="宋体" w:hAnsi="Courier New" w:eastAsia="宋体"/>
      <w:kern w:val="2"/>
      <w:sz w:val="21"/>
      <w:lang w:val="en-US" w:eastAsia="zh-CN" w:bidi="ar-SA"/>
    </w:rPr>
  </w:style>
  <w:style w:type="character" w:customStyle="1" w:styleId="98">
    <w:name w:val="标题 Char2"/>
    <w:qFormat/>
    <w:uiPriority w:val="99"/>
    <w:rPr>
      <w:rFonts w:ascii="Cambria" w:hAnsi="Cambria" w:eastAsia="宋体" w:cs="Cambria"/>
      <w:b/>
      <w:bCs/>
      <w:sz w:val="32"/>
      <w:szCs w:val="32"/>
    </w:rPr>
  </w:style>
  <w:style w:type="character" w:customStyle="1" w:styleId="99">
    <w:name w:val="标题 2 Char"/>
    <w:qFormat/>
    <w:uiPriority w:val="0"/>
    <w:rPr>
      <w:rFonts w:ascii="Cambria" w:hAnsi="Cambria" w:eastAsia="宋体" w:cs="Times New Roman"/>
      <w:b/>
      <w:bCs/>
      <w:kern w:val="2"/>
      <w:sz w:val="32"/>
      <w:szCs w:val="32"/>
    </w:rPr>
  </w:style>
  <w:style w:type="character" w:customStyle="1" w:styleId="100">
    <w:name w:val="页脚 Char"/>
    <w:link w:val="30"/>
    <w:qFormat/>
    <w:uiPriority w:val="99"/>
    <w:rPr>
      <w:sz w:val="18"/>
      <w:szCs w:val="18"/>
    </w:rPr>
  </w:style>
  <w:style w:type="character" w:customStyle="1" w:styleId="101">
    <w:name w:val="批注主题 Char1"/>
    <w:qFormat/>
    <w:uiPriority w:val="99"/>
    <w:rPr>
      <w:rFonts w:ascii="Times New Roman" w:hAnsi="Times New Roman" w:eastAsia="宋体" w:cs="Times New Roman"/>
      <w:b/>
      <w:bCs/>
      <w:sz w:val="24"/>
      <w:szCs w:val="24"/>
    </w:rPr>
  </w:style>
  <w:style w:type="character" w:customStyle="1" w:styleId="102">
    <w:name w:val="纯文本 Char1"/>
    <w:link w:val="25"/>
    <w:qFormat/>
    <w:uiPriority w:val="0"/>
    <w:rPr>
      <w:rFonts w:ascii="宋体" w:hAnsi="Courier New" w:eastAsia="宋体" w:cs="Courier New"/>
      <w:szCs w:val="21"/>
    </w:rPr>
  </w:style>
  <w:style w:type="character" w:customStyle="1" w:styleId="103">
    <w:name w:val="Heading #2|1_"/>
    <w:link w:val="104"/>
    <w:autoRedefine/>
    <w:qFormat/>
    <w:uiPriority w:val="0"/>
    <w:rPr>
      <w:rFonts w:ascii="宋体" w:hAnsi="宋体" w:cs="宋体"/>
      <w:sz w:val="34"/>
      <w:szCs w:val="34"/>
      <w:lang w:val="zh-CN" w:bidi="zh-CN"/>
    </w:rPr>
  </w:style>
  <w:style w:type="paragraph" w:customStyle="1" w:styleId="104">
    <w:name w:val="Heading #2|1"/>
    <w:basedOn w:val="1"/>
    <w:link w:val="103"/>
    <w:autoRedefine/>
    <w:qFormat/>
    <w:uiPriority w:val="0"/>
    <w:pPr>
      <w:spacing w:after="900"/>
      <w:jc w:val="center"/>
      <w:outlineLvl w:val="1"/>
    </w:pPr>
    <w:rPr>
      <w:rFonts w:ascii="宋体" w:hAnsi="宋体" w:cs="宋体"/>
      <w:kern w:val="0"/>
      <w:sz w:val="34"/>
      <w:szCs w:val="34"/>
      <w:lang w:val="zh-CN" w:bidi="zh-CN"/>
    </w:rPr>
  </w:style>
  <w:style w:type="character" w:customStyle="1" w:styleId="105">
    <w:name w:val="Body text|7_"/>
    <w:link w:val="106"/>
    <w:autoRedefine/>
    <w:qFormat/>
    <w:uiPriority w:val="0"/>
    <w:rPr>
      <w:rFonts w:ascii="Courier New" w:hAnsi="Courier New" w:eastAsia="Courier New" w:cs="Courier New"/>
      <w:b/>
      <w:bCs/>
      <w:sz w:val="8"/>
      <w:szCs w:val="8"/>
      <w:lang w:val="zh-CN"/>
    </w:rPr>
  </w:style>
  <w:style w:type="paragraph" w:customStyle="1" w:styleId="106">
    <w:name w:val="Body text|7"/>
    <w:basedOn w:val="1"/>
    <w:link w:val="105"/>
    <w:autoRedefine/>
    <w:qFormat/>
    <w:uiPriority w:val="0"/>
    <w:pPr>
      <w:ind w:hanging="1760"/>
      <w:jc w:val="left"/>
    </w:pPr>
    <w:rPr>
      <w:rFonts w:ascii="Courier New" w:hAnsi="Courier New" w:eastAsia="Courier New"/>
      <w:b/>
      <w:bCs/>
      <w:kern w:val="0"/>
      <w:sz w:val="8"/>
      <w:szCs w:val="8"/>
      <w:lang w:val="zh-CN"/>
    </w:rPr>
  </w:style>
  <w:style w:type="character" w:customStyle="1" w:styleId="107">
    <w:name w:val="Heading 3 Char"/>
    <w:autoRedefine/>
    <w:qFormat/>
    <w:uiPriority w:val="99"/>
    <w:rPr>
      <w:b/>
      <w:bCs/>
      <w:kern w:val="2"/>
      <w:sz w:val="32"/>
      <w:szCs w:val="32"/>
    </w:rPr>
  </w:style>
  <w:style w:type="character" w:customStyle="1" w:styleId="108">
    <w:name w:val="正文文本 Char"/>
    <w:autoRedefine/>
    <w:qFormat/>
    <w:uiPriority w:val="0"/>
    <w:rPr>
      <w:rFonts w:ascii="Times New Roman" w:hAnsi="Times New Roman"/>
      <w:kern w:val="2"/>
      <w:sz w:val="21"/>
      <w:szCs w:val="24"/>
    </w:rPr>
  </w:style>
  <w:style w:type="character" w:customStyle="1" w:styleId="109">
    <w:name w:val="正文文本 字符"/>
    <w:autoRedefine/>
    <w:qFormat/>
    <w:uiPriority w:val="0"/>
    <w:rPr>
      <w:rFonts w:ascii="Times New Roman" w:hAnsi="Times New Roman"/>
      <w:kern w:val="2"/>
      <w:sz w:val="21"/>
      <w:szCs w:val="24"/>
    </w:rPr>
  </w:style>
  <w:style w:type="character" w:customStyle="1" w:styleId="110">
    <w:name w:val="Balloon Text Char"/>
    <w:autoRedefine/>
    <w:qFormat/>
    <w:uiPriority w:val="99"/>
    <w:rPr>
      <w:sz w:val="18"/>
      <w:szCs w:val="18"/>
    </w:rPr>
  </w:style>
  <w:style w:type="character" w:customStyle="1" w:styleId="111">
    <w:name w:val="Footnote Text Char"/>
    <w:autoRedefine/>
    <w:qFormat/>
    <w:uiPriority w:val="99"/>
    <w:rPr>
      <w:rFonts w:eastAsia="宋体"/>
      <w:sz w:val="18"/>
      <w:szCs w:val="18"/>
      <w:lang w:val="en-US" w:eastAsia="zh-CN"/>
    </w:rPr>
  </w:style>
  <w:style w:type="character" w:customStyle="1" w:styleId="112">
    <w:name w:val="列出段落 Char"/>
    <w:link w:val="113"/>
    <w:autoRedefine/>
    <w:qFormat/>
    <w:locked/>
    <w:uiPriority w:val="0"/>
    <w:rPr>
      <w:kern w:val="2"/>
      <w:sz w:val="21"/>
      <w:szCs w:val="24"/>
    </w:rPr>
  </w:style>
  <w:style w:type="paragraph" w:styleId="113">
    <w:name w:val="List Paragraph"/>
    <w:basedOn w:val="1"/>
    <w:link w:val="112"/>
    <w:autoRedefine/>
    <w:qFormat/>
    <w:uiPriority w:val="0"/>
    <w:pPr>
      <w:ind w:firstLine="420" w:firstLineChars="200"/>
    </w:pPr>
  </w:style>
  <w:style w:type="character" w:customStyle="1" w:styleId="114">
    <w:name w:val="引用 Char1"/>
    <w:autoRedefine/>
    <w:qFormat/>
    <w:uiPriority w:val="99"/>
    <w:rPr>
      <w:rFonts w:ascii="Times New Roman" w:hAnsi="Times New Roman" w:eastAsia="宋体" w:cs="Times New Roman"/>
      <w:i/>
      <w:iCs/>
      <w:color w:val="000000"/>
      <w:sz w:val="24"/>
      <w:szCs w:val="24"/>
    </w:rPr>
  </w:style>
  <w:style w:type="character" w:customStyle="1" w:styleId="115">
    <w:name w:val="Title Char"/>
    <w:autoRedefine/>
    <w:qFormat/>
    <w:uiPriority w:val="99"/>
    <w:rPr>
      <w:rFonts w:ascii="Cambria" w:hAnsi="Cambria" w:cs="Cambria"/>
      <w:b/>
      <w:bCs/>
      <w:sz w:val="32"/>
      <w:szCs w:val="32"/>
    </w:rPr>
  </w:style>
  <w:style w:type="character" w:customStyle="1" w:styleId="116">
    <w:name w:val="Plain Text Char"/>
    <w:autoRedefine/>
    <w:qFormat/>
    <w:uiPriority w:val="99"/>
    <w:rPr>
      <w:rFonts w:ascii="宋体" w:hAnsi="Courier New" w:eastAsia="宋体" w:cs="宋体"/>
      <w:sz w:val="24"/>
      <w:szCs w:val="24"/>
    </w:rPr>
  </w:style>
  <w:style w:type="character" w:customStyle="1" w:styleId="117">
    <w:name w:val="批注文字 字符1"/>
    <w:autoRedefine/>
    <w:qFormat/>
    <w:uiPriority w:val="0"/>
    <w:rPr>
      <w:rFonts w:ascii="Times New Roman" w:hAnsi="Times New Roman"/>
      <w:kern w:val="2"/>
      <w:sz w:val="21"/>
      <w:szCs w:val="24"/>
    </w:rPr>
  </w:style>
  <w:style w:type="character" w:customStyle="1" w:styleId="118">
    <w:name w:val="纯文本 字符2"/>
    <w:autoRedefine/>
    <w:qFormat/>
    <w:uiPriority w:val="0"/>
    <w:rPr>
      <w:rFonts w:ascii="宋体" w:hAnsi="Courier New" w:eastAsia="宋体" w:cs="Courier New"/>
      <w:szCs w:val="21"/>
    </w:rPr>
  </w:style>
  <w:style w:type="character" w:customStyle="1" w:styleId="119">
    <w:name w:val="纯文本 Char2"/>
    <w:autoRedefine/>
    <w:qFormat/>
    <w:uiPriority w:val="0"/>
    <w:rPr>
      <w:rFonts w:hint="eastAsia" w:ascii="宋体" w:hAnsi="Courier New" w:eastAsia="宋体" w:cs="宋体"/>
      <w:kern w:val="0"/>
      <w:sz w:val="20"/>
      <w:szCs w:val="20"/>
    </w:rPr>
  </w:style>
  <w:style w:type="character" w:customStyle="1" w:styleId="120">
    <w:name w:val="不明显参考1"/>
    <w:autoRedefine/>
    <w:qFormat/>
    <w:uiPriority w:val="99"/>
    <w:rPr>
      <w:smallCaps/>
      <w:color w:val="auto"/>
      <w:u w:val="single"/>
    </w:rPr>
  </w:style>
  <w:style w:type="character" w:customStyle="1" w:styleId="121">
    <w:name w:val="页脚 Char1"/>
    <w:autoRedefine/>
    <w:qFormat/>
    <w:locked/>
    <w:uiPriority w:val="0"/>
    <w:rPr>
      <w:sz w:val="18"/>
      <w:szCs w:val="18"/>
    </w:rPr>
  </w:style>
  <w:style w:type="character" w:customStyle="1" w:styleId="122">
    <w:name w:val="Char Char20"/>
    <w:autoRedefine/>
    <w:qFormat/>
    <w:uiPriority w:val="99"/>
    <w:rPr>
      <w:rFonts w:ascii="Times New Roman" w:hAnsi="Times New Roman" w:eastAsia="宋体" w:cs="Times New Roman"/>
      <w:b/>
      <w:bCs/>
      <w:sz w:val="32"/>
      <w:szCs w:val="32"/>
    </w:rPr>
  </w:style>
  <w:style w:type="character" w:customStyle="1" w:styleId="123">
    <w:name w:val="Char Char23"/>
    <w:autoRedefine/>
    <w:qFormat/>
    <w:uiPriority w:val="99"/>
    <w:rPr>
      <w:rFonts w:eastAsia="宋体"/>
      <w:b/>
      <w:bCs/>
      <w:kern w:val="44"/>
      <w:sz w:val="44"/>
      <w:szCs w:val="44"/>
      <w:lang w:val="en-US" w:eastAsia="zh-CN"/>
    </w:rPr>
  </w:style>
  <w:style w:type="character" w:customStyle="1" w:styleId="124">
    <w:name w:val="标题 7 Char"/>
    <w:basedOn w:val="47"/>
    <w:link w:val="9"/>
    <w:autoRedefine/>
    <w:qFormat/>
    <w:uiPriority w:val="0"/>
    <w:rPr>
      <w:b/>
      <w:bCs/>
      <w:sz w:val="24"/>
      <w:szCs w:val="24"/>
    </w:rPr>
  </w:style>
  <w:style w:type="character" w:customStyle="1" w:styleId="125">
    <w:name w:val="Body text|6_"/>
    <w:link w:val="126"/>
    <w:autoRedefine/>
    <w:qFormat/>
    <w:uiPriority w:val="0"/>
    <w:rPr>
      <w:rFonts w:ascii="Arial" w:hAnsi="Arial" w:eastAsia="Arial" w:cs="Arial"/>
      <w:lang w:val="zh-CN"/>
    </w:rPr>
  </w:style>
  <w:style w:type="paragraph" w:customStyle="1" w:styleId="126">
    <w:name w:val="Body text|6"/>
    <w:basedOn w:val="1"/>
    <w:link w:val="125"/>
    <w:autoRedefine/>
    <w:qFormat/>
    <w:uiPriority w:val="0"/>
    <w:pPr>
      <w:ind w:hanging="2220"/>
      <w:jc w:val="left"/>
    </w:pPr>
    <w:rPr>
      <w:rFonts w:ascii="Arial" w:hAnsi="Arial" w:eastAsia="Arial"/>
      <w:kern w:val="0"/>
      <w:sz w:val="20"/>
      <w:szCs w:val="20"/>
      <w:lang w:val="zh-CN"/>
    </w:rPr>
  </w:style>
  <w:style w:type="character" w:customStyle="1" w:styleId="127">
    <w:name w:val="Body text|5_"/>
    <w:link w:val="128"/>
    <w:autoRedefine/>
    <w:qFormat/>
    <w:uiPriority w:val="0"/>
    <w:rPr>
      <w:rFonts w:ascii="宋体" w:hAnsi="宋体" w:cs="宋体"/>
      <w:sz w:val="52"/>
      <w:szCs w:val="52"/>
      <w:lang w:val="zh-CN" w:bidi="zh-CN"/>
    </w:rPr>
  </w:style>
  <w:style w:type="paragraph" w:customStyle="1" w:styleId="128">
    <w:name w:val="Body text|5"/>
    <w:basedOn w:val="1"/>
    <w:link w:val="127"/>
    <w:autoRedefine/>
    <w:qFormat/>
    <w:uiPriority w:val="0"/>
    <w:pPr>
      <w:jc w:val="center"/>
    </w:pPr>
    <w:rPr>
      <w:rFonts w:ascii="宋体" w:hAnsi="宋体" w:cs="宋体"/>
      <w:kern w:val="0"/>
      <w:sz w:val="52"/>
      <w:szCs w:val="52"/>
      <w:lang w:val="zh-CN" w:bidi="zh-CN"/>
    </w:rPr>
  </w:style>
  <w:style w:type="character" w:customStyle="1" w:styleId="129">
    <w:name w:val="批注文字 Char Char"/>
    <w:autoRedefine/>
    <w:qFormat/>
    <w:uiPriority w:val="99"/>
    <w:rPr>
      <w:rFonts w:ascii="宋体" w:hAnsi="Times New Roman" w:eastAsia="宋体" w:cs="宋体"/>
      <w:sz w:val="20"/>
      <w:szCs w:val="20"/>
    </w:rPr>
  </w:style>
  <w:style w:type="character" w:customStyle="1" w:styleId="130">
    <w:name w:val="引用 Char"/>
    <w:link w:val="131"/>
    <w:autoRedefine/>
    <w:qFormat/>
    <w:locked/>
    <w:uiPriority w:val="99"/>
    <w:rPr>
      <w:i/>
      <w:iCs/>
      <w:color w:val="000000"/>
    </w:rPr>
  </w:style>
  <w:style w:type="paragraph" w:customStyle="1" w:styleId="131">
    <w:name w:val="引用1"/>
    <w:basedOn w:val="1"/>
    <w:next w:val="1"/>
    <w:link w:val="130"/>
    <w:autoRedefine/>
    <w:qFormat/>
    <w:uiPriority w:val="99"/>
    <w:rPr>
      <w:i/>
      <w:iCs/>
      <w:color w:val="000000"/>
      <w:kern w:val="0"/>
      <w:sz w:val="20"/>
      <w:szCs w:val="20"/>
    </w:rPr>
  </w:style>
  <w:style w:type="character" w:customStyle="1" w:styleId="132">
    <w:name w:val="批注文字 Char2"/>
    <w:autoRedefine/>
    <w:qFormat/>
    <w:uiPriority w:val="0"/>
    <w:rPr>
      <w:rFonts w:ascii="Times New Roman" w:hAnsi="Times New Roman"/>
      <w:kern w:val="2"/>
      <w:sz w:val="21"/>
      <w:szCs w:val="24"/>
    </w:rPr>
  </w:style>
  <w:style w:type="character" w:customStyle="1" w:styleId="133">
    <w:name w:val="副标题 Char"/>
    <w:basedOn w:val="47"/>
    <w:link w:val="34"/>
    <w:autoRedefine/>
    <w:qFormat/>
    <w:uiPriority w:val="11"/>
    <w:rPr>
      <w:rFonts w:ascii="Cambria" w:hAnsi="Cambria"/>
      <w:b/>
      <w:bCs/>
      <w:kern w:val="28"/>
      <w:sz w:val="32"/>
      <w:szCs w:val="32"/>
    </w:rPr>
  </w:style>
  <w:style w:type="character" w:customStyle="1" w:styleId="134">
    <w:name w:val="正文文本缩进 3 Char1"/>
    <w:basedOn w:val="47"/>
    <w:autoRedefine/>
    <w:semiHidden/>
    <w:qFormat/>
    <w:locked/>
    <w:uiPriority w:val="0"/>
    <w:rPr>
      <w:sz w:val="28"/>
    </w:rPr>
  </w:style>
  <w:style w:type="character" w:customStyle="1" w:styleId="135">
    <w:name w:val="textcontents"/>
    <w:autoRedefine/>
    <w:qFormat/>
    <w:uiPriority w:val="0"/>
  </w:style>
  <w:style w:type="character" w:customStyle="1" w:styleId="136">
    <w:name w:val="Heading 2 Char"/>
    <w:autoRedefine/>
    <w:qFormat/>
    <w:uiPriority w:val="99"/>
    <w:rPr>
      <w:rFonts w:ascii="Arial" w:hAnsi="Arial" w:eastAsia="黑体" w:cs="Arial"/>
      <w:b/>
      <w:bCs/>
      <w:kern w:val="2"/>
      <w:sz w:val="32"/>
      <w:szCs w:val="32"/>
      <w:lang w:val="en-US" w:eastAsia="zh-CN"/>
    </w:rPr>
  </w:style>
  <w:style w:type="character" w:customStyle="1" w:styleId="137">
    <w:name w:val="Char Char9"/>
    <w:autoRedefine/>
    <w:qFormat/>
    <w:uiPriority w:val="0"/>
    <w:rPr>
      <w:rFonts w:eastAsia="宋体"/>
      <w:b/>
      <w:bCs/>
      <w:kern w:val="44"/>
      <w:sz w:val="44"/>
      <w:szCs w:val="44"/>
      <w:lang w:val="en-US" w:eastAsia="zh-CN"/>
    </w:rPr>
  </w:style>
  <w:style w:type="character" w:customStyle="1" w:styleId="138">
    <w:name w:val="Other|1_"/>
    <w:link w:val="139"/>
    <w:autoRedefine/>
    <w:qFormat/>
    <w:uiPriority w:val="0"/>
    <w:rPr>
      <w:rFonts w:ascii="宋体" w:hAnsi="宋体" w:cs="宋体"/>
      <w:lang w:val="zh-CN" w:bidi="zh-CN"/>
    </w:rPr>
  </w:style>
  <w:style w:type="paragraph" w:customStyle="1" w:styleId="139">
    <w:name w:val="Other|1"/>
    <w:basedOn w:val="1"/>
    <w:link w:val="138"/>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40">
    <w:name w:val="标题 Char1"/>
    <w:autoRedefine/>
    <w:qFormat/>
    <w:uiPriority w:val="99"/>
    <w:rPr>
      <w:rFonts w:ascii="Cambria" w:hAnsi="Cambria" w:eastAsia="宋体" w:cs="Cambria"/>
      <w:b/>
      <w:bCs/>
      <w:sz w:val="32"/>
      <w:szCs w:val="32"/>
    </w:rPr>
  </w:style>
  <w:style w:type="character" w:customStyle="1" w:styleId="141">
    <w:name w:val="正文文本缩进 3 Char"/>
    <w:basedOn w:val="47"/>
    <w:link w:val="37"/>
    <w:autoRedefine/>
    <w:semiHidden/>
    <w:qFormat/>
    <w:uiPriority w:val="0"/>
    <w:rPr>
      <w:sz w:val="28"/>
    </w:rPr>
  </w:style>
  <w:style w:type="character" w:customStyle="1" w:styleId="142">
    <w:name w:val="Heading #4|1_"/>
    <w:link w:val="143"/>
    <w:autoRedefine/>
    <w:qFormat/>
    <w:uiPriority w:val="0"/>
    <w:rPr>
      <w:rFonts w:ascii="宋体" w:hAnsi="宋体" w:cs="宋体"/>
      <w:lang w:val="zh-CN" w:bidi="zh-CN"/>
    </w:rPr>
  </w:style>
  <w:style w:type="paragraph" w:customStyle="1" w:styleId="143">
    <w:name w:val="Heading #4|1"/>
    <w:basedOn w:val="1"/>
    <w:link w:val="142"/>
    <w:autoRedefine/>
    <w:qFormat/>
    <w:uiPriority w:val="0"/>
    <w:pPr>
      <w:spacing w:after="120"/>
      <w:jc w:val="left"/>
      <w:outlineLvl w:val="3"/>
    </w:pPr>
    <w:rPr>
      <w:rFonts w:ascii="宋体" w:hAnsi="宋体" w:cs="宋体"/>
      <w:kern w:val="0"/>
      <w:sz w:val="20"/>
      <w:szCs w:val="20"/>
      <w:lang w:val="zh-CN" w:bidi="zh-CN"/>
    </w:rPr>
  </w:style>
  <w:style w:type="character" w:customStyle="1" w:styleId="144">
    <w:name w:val="标题 5 Char"/>
    <w:link w:val="6"/>
    <w:autoRedefine/>
    <w:qFormat/>
    <w:uiPriority w:val="99"/>
    <w:rPr>
      <w:rFonts w:ascii="Times New Roman" w:hAnsi="Times New Roman"/>
      <w:b/>
      <w:bCs/>
      <w:kern w:val="2"/>
      <w:sz w:val="28"/>
      <w:szCs w:val="28"/>
    </w:rPr>
  </w:style>
  <w:style w:type="character" w:customStyle="1" w:styleId="145">
    <w:name w:val="Char Char6"/>
    <w:autoRedefine/>
    <w:qFormat/>
    <w:uiPriority w:val="99"/>
    <w:rPr>
      <w:rFonts w:eastAsia="宋体"/>
      <w:b/>
      <w:bCs/>
      <w:kern w:val="44"/>
      <w:sz w:val="44"/>
      <w:szCs w:val="44"/>
      <w:lang w:val="en-US" w:eastAsia="zh-CN"/>
    </w:rPr>
  </w:style>
  <w:style w:type="character" w:customStyle="1" w:styleId="146">
    <w:name w:val="文档结构图 Char1"/>
    <w:autoRedefine/>
    <w:qFormat/>
    <w:uiPriority w:val="0"/>
    <w:rPr>
      <w:rFonts w:ascii="宋体" w:hAnsi="Times New Roman" w:eastAsia="宋体" w:cs="宋体"/>
      <w:sz w:val="18"/>
      <w:szCs w:val="18"/>
    </w:rPr>
  </w:style>
  <w:style w:type="character" w:customStyle="1" w:styleId="147">
    <w:name w:val="Char Char22"/>
    <w:autoRedefine/>
    <w:qFormat/>
    <w:uiPriority w:val="99"/>
    <w:rPr>
      <w:rFonts w:ascii="Times New Roman" w:hAnsi="Times New Roman" w:eastAsia="宋体" w:cs="Times New Roman"/>
      <w:b/>
      <w:bCs/>
      <w:kern w:val="44"/>
      <w:sz w:val="44"/>
      <w:szCs w:val="44"/>
    </w:rPr>
  </w:style>
  <w:style w:type="character" w:customStyle="1" w:styleId="148">
    <w:name w:val="Comment Subject Char"/>
    <w:autoRedefine/>
    <w:qFormat/>
    <w:uiPriority w:val="99"/>
    <w:rPr>
      <w:b/>
      <w:bCs/>
      <w:sz w:val="24"/>
      <w:szCs w:val="24"/>
    </w:rPr>
  </w:style>
  <w:style w:type="character" w:customStyle="1" w:styleId="149">
    <w:name w:val="！正文 Char Char"/>
    <w:link w:val="150"/>
    <w:autoRedefine/>
    <w:qFormat/>
    <w:locked/>
    <w:uiPriority w:val="0"/>
    <w:rPr>
      <w:rFonts w:ascii="华文细黑" w:hAnsi="华文细黑" w:eastAsia="华文细黑"/>
      <w:sz w:val="24"/>
    </w:rPr>
  </w:style>
  <w:style w:type="paragraph" w:customStyle="1" w:styleId="150">
    <w:name w:val="！正文"/>
    <w:basedOn w:val="1"/>
    <w:link w:val="149"/>
    <w:autoRedefine/>
    <w:qFormat/>
    <w:uiPriority w:val="0"/>
    <w:pPr>
      <w:spacing w:line="360" w:lineRule="auto"/>
      <w:ind w:firstLine="200" w:firstLineChars="200"/>
    </w:pPr>
    <w:rPr>
      <w:rFonts w:ascii="华文细黑" w:hAnsi="华文细黑" w:eastAsia="华文细黑"/>
      <w:kern w:val="0"/>
      <w:sz w:val="24"/>
      <w:szCs w:val="20"/>
    </w:rPr>
  </w:style>
  <w:style w:type="character" w:customStyle="1" w:styleId="151">
    <w:name w:val="Comment Text Char"/>
    <w:autoRedefine/>
    <w:qFormat/>
    <w:uiPriority w:val="99"/>
    <w:rPr>
      <w:sz w:val="24"/>
      <w:szCs w:val="24"/>
    </w:rPr>
  </w:style>
  <w:style w:type="character" w:customStyle="1" w:styleId="152">
    <w:name w:val="正文2 Char Char"/>
    <w:link w:val="153"/>
    <w:autoRedefine/>
    <w:qFormat/>
    <w:uiPriority w:val="0"/>
    <w:rPr>
      <w:kern w:val="2"/>
      <w:sz w:val="24"/>
    </w:rPr>
  </w:style>
  <w:style w:type="paragraph" w:customStyle="1" w:styleId="153">
    <w:name w:val="正文2"/>
    <w:basedOn w:val="1"/>
    <w:link w:val="152"/>
    <w:autoRedefine/>
    <w:qFormat/>
    <w:uiPriority w:val="0"/>
    <w:pPr>
      <w:adjustRightInd w:val="0"/>
      <w:spacing w:before="156" w:line="360" w:lineRule="auto"/>
      <w:ind w:firstLine="510" w:firstLineChars="200"/>
    </w:pPr>
    <w:rPr>
      <w:sz w:val="24"/>
      <w:szCs w:val="20"/>
    </w:rPr>
  </w:style>
  <w:style w:type="character" w:customStyle="1" w:styleId="154">
    <w:name w:val="Table caption|1_"/>
    <w:link w:val="155"/>
    <w:autoRedefine/>
    <w:qFormat/>
    <w:uiPriority w:val="0"/>
    <w:rPr>
      <w:rFonts w:ascii="宋体" w:hAnsi="宋体" w:cs="宋体"/>
      <w:lang w:val="zh-CN" w:bidi="zh-CN"/>
    </w:rPr>
  </w:style>
  <w:style w:type="paragraph" w:customStyle="1" w:styleId="155">
    <w:name w:val="Table caption|1"/>
    <w:basedOn w:val="1"/>
    <w:link w:val="154"/>
    <w:autoRedefine/>
    <w:qFormat/>
    <w:uiPriority w:val="0"/>
    <w:pPr>
      <w:jc w:val="left"/>
    </w:pPr>
    <w:rPr>
      <w:rFonts w:ascii="宋体" w:hAnsi="宋体" w:cs="宋体"/>
      <w:kern w:val="0"/>
      <w:sz w:val="20"/>
      <w:szCs w:val="20"/>
      <w:lang w:val="zh-CN" w:bidi="zh-CN"/>
    </w:rPr>
  </w:style>
  <w:style w:type="character" w:customStyle="1" w:styleId="156">
    <w:name w:val="标题 4 Char"/>
    <w:basedOn w:val="47"/>
    <w:link w:val="5"/>
    <w:autoRedefine/>
    <w:qFormat/>
    <w:uiPriority w:val="0"/>
    <w:rPr>
      <w:rFonts w:ascii="Arial" w:hAnsi="Arial"/>
      <w:b/>
      <w:bCs/>
      <w:kern w:val="2"/>
      <w:sz w:val="28"/>
      <w:szCs w:val="28"/>
    </w:rPr>
  </w:style>
  <w:style w:type="character" w:customStyle="1" w:styleId="157">
    <w:name w:val="明显引用 Char1"/>
    <w:autoRedefine/>
    <w:qFormat/>
    <w:uiPriority w:val="99"/>
    <w:rPr>
      <w:rFonts w:ascii="Times New Roman" w:hAnsi="Times New Roman" w:eastAsia="宋体" w:cs="Times New Roman"/>
      <w:b/>
      <w:bCs/>
      <w:i/>
      <w:iCs/>
      <w:color w:val="4F81BD"/>
      <w:sz w:val="24"/>
      <w:szCs w:val="24"/>
    </w:rPr>
  </w:style>
  <w:style w:type="character" w:customStyle="1" w:styleId="15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59">
    <w:name w:val="页眉 Char1"/>
    <w:basedOn w:val="47"/>
    <w:autoRedefine/>
    <w:semiHidden/>
    <w:qFormat/>
    <w:locked/>
    <w:uiPriority w:val="0"/>
    <w:rPr>
      <w:kern w:val="2"/>
      <w:sz w:val="18"/>
      <w:szCs w:val="18"/>
    </w:rPr>
  </w:style>
  <w:style w:type="character" w:customStyle="1" w:styleId="160">
    <w:name w:val="页眉 Char"/>
    <w:link w:val="31"/>
    <w:autoRedefine/>
    <w:qFormat/>
    <w:uiPriority w:val="0"/>
    <w:rPr>
      <w:sz w:val="18"/>
      <w:szCs w:val="18"/>
    </w:rPr>
  </w:style>
  <w:style w:type="character" w:customStyle="1" w:styleId="161">
    <w:name w:val="Heading 4 Char"/>
    <w:autoRedefine/>
    <w:qFormat/>
    <w:uiPriority w:val="99"/>
    <w:rPr>
      <w:rFonts w:ascii="Arial" w:hAnsi="Arial" w:eastAsia="宋体" w:cs="Arial"/>
      <w:b/>
      <w:bCs/>
      <w:kern w:val="2"/>
      <w:sz w:val="28"/>
      <w:szCs w:val="28"/>
      <w:lang w:val="en-US" w:eastAsia="zh-CN"/>
    </w:rPr>
  </w:style>
  <w:style w:type="character" w:customStyle="1" w:styleId="162">
    <w:name w:val="Char Char21"/>
    <w:autoRedefine/>
    <w:qFormat/>
    <w:uiPriority w:val="99"/>
    <w:rPr>
      <w:rFonts w:ascii="Arial" w:hAnsi="Arial" w:eastAsia="黑体" w:cs="Arial"/>
      <w:b/>
      <w:bCs/>
      <w:sz w:val="32"/>
      <w:szCs w:val="32"/>
    </w:rPr>
  </w:style>
  <w:style w:type="character" w:customStyle="1" w:styleId="163">
    <w:name w:val="Header or footer|2_"/>
    <w:link w:val="164"/>
    <w:autoRedefine/>
    <w:qFormat/>
    <w:uiPriority w:val="0"/>
    <w:rPr>
      <w:lang w:val="zh-CN" w:bidi="zh-CN"/>
    </w:rPr>
  </w:style>
  <w:style w:type="paragraph" w:customStyle="1" w:styleId="164">
    <w:name w:val="Header or footer|2"/>
    <w:basedOn w:val="1"/>
    <w:link w:val="163"/>
    <w:autoRedefine/>
    <w:qFormat/>
    <w:uiPriority w:val="0"/>
    <w:pPr>
      <w:jc w:val="left"/>
    </w:pPr>
    <w:rPr>
      <w:kern w:val="0"/>
      <w:sz w:val="20"/>
      <w:szCs w:val="20"/>
      <w:lang w:val="zh-CN" w:bidi="zh-CN"/>
    </w:rPr>
  </w:style>
  <w:style w:type="character" w:customStyle="1" w:styleId="165">
    <w:name w:val="HTML 预设格式 Char"/>
    <w:basedOn w:val="47"/>
    <w:link w:val="40"/>
    <w:autoRedefine/>
    <w:qFormat/>
    <w:uiPriority w:val="99"/>
    <w:rPr>
      <w:rFonts w:ascii="宋体" w:hAnsi="宋体"/>
      <w:sz w:val="24"/>
      <w:szCs w:val="24"/>
    </w:rPr>
  </w:style>
  <w:style w:type="character" w:customStyle="1" w:styleId="166">
    <w:name w:val="纯文本 字符"/>
    <w:autoRedefine/>
    <w:qFormat/>
    <w:uiPriority w:val="0"/>
    <w:rPr>
      <w:rFonts w:ascii="宋体" w:hAnsi="Courier New" w:eastAsia="宋体" w:cs="Courier New"/>
      <w:szCs w:val="21"/>
    </w:rPr>
  </w:style>
  <w:style w:type="character" w:customStyle="1" w:styleId="167">
    <w:name w:val="正文文本 3 Char"/>
    <w:link w:val="17"/>
    <w:autoRedefine/>
    <w:semiHidden/>
    <w:qFormat/>
    <w:uiPriority w:val="0"/>
    <w:rPr>
      <w:kern w:val="2"/>
      <w:sz w:val="16"/>
      <w:szCs w:val="16"/>
    </w:rPr>
  </w:style>
  <w:style w:type="character" w:customStyle="1" w:styleId="168">
    <w:name w:val="Heading 3 Char1"/>
    <w:autoRedefine/>
    <w:qFormat/>
    <w:uiPriority w:val="99"/>
    <w:rPr>
      <w:rFonts w:eastAsia="宋体"/>
      <w:b/>
      <w:bCs/>
      <w:kern w:val="2"/>
      <w:sz w:val="32"/>
      <w:szCs w:val="32"/>
      <w:lang w:val="en-US" w:eastAsia="zh-CN"/>
    </w:rPr>
  </w:style>
  <w:style w:type="character" w:customStyle="1" w:styleId="169">
    <w:name w:val="日期 Char1"/>
    <w:autoRedefine/>
    <w:qFormat/>
    <w:uiPriority w:val="0"/>
    <w:rPr>
      <w:rFonts w:ascii="Times New Roman" w:hAnsi="Times New Roman" w:eastAsia="宋体" w:cs="Times New Roman"/>
      <w:sz w:val="24"/>
      <w:szCs w:val="24"/>
    </w:rPr>
  </w:style>
  <w:style w:type="character" w:customStyle="1" w:styleId="170">
    <w:name w:val="Date Char"/>
    <w:autoRedefine/>
    <w:qFormat/>
    <w:uiPriority w:val="99"/>
    <w:rPr>
      <w:rFonts w:eastAsia="宋体"/>
      <w:kern w:val="2"/>
      <w:sz w:val="24"/>
      <w:szCs w:val="24"/>
      <w:lang w:val="en-US" w:eastAsia="zh-CN"/>
    </w:rPr>
  </w:style>
  <w:style w:type="character" w:customStyle="1" w:styleId="171">
    <w:name w:val="Heading #1|1_"/>
    <w:link w:val="172"/>
    <w:autoRedefine/>
    <w:qFormat/>
    <w:uiPriority w:val="0"/>
    <w:rPr>
      <w:rFonts w:ascii="宋体" w:hAnsi="宋体" w:cs="宋体"/>
      <w:sz w:val="38"/>
      <w:szCs w:val="38"/>
      <w:lang w:val="zh-CN" w:bidi="zh-CN"/>
    </w:rPr>
  </w:style>
  <w:style w:type="paragraph" w:customStyle="1" w:styleId="172">
    <w:name w:val="Heading #1|1"/>
    <w:basedOn w:val="1"/>
    <w:link w:val="171"/>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3">
    <w:name w:val="ca-31"/>
    <w:autoRedefine/>
    <w:qFormat/>
    <w:uiPriority w:val="0"/>
    <w:rPr>
      <w:rFonts w:hint="eastAsia" w:ascii="宋体" w:hAnsi="宋体" w:eastAsia="宋体" w:cs="Times New Roman"/>
      <w:color w:val="000000"/>
      <w:sz w:val="24"/>
      <w:szCs w:val="24"/>
    </w:rPr>
  </w:style>
  <w:style w:type="character" w:customStyle="1" w:styleId="174">
    <w:name w:val="批注框文本 Char1"/>
    <w:autoRedefine/>
    <w:qFormat/>
    <w:uiPriority w:val="0"/>
    <w:rPr>
      <w:rFonts w:ascii="Times New Roman" w:hAnsi="Times New Roman" w:eastAsia="宋体" w:cs="Times New Roman"/>
      <w:sz w:val="18"/>
      <w:szCs w:val="18"/>
    </w:rPr>
  </w:style>
  <w:style w:type="character" w:customStyle="1" w:styleId="175">
    <w:name w:val="批注主题 Char"/>
    <w:link w:val="44"/>
    <w:autoRedefine/>
    <w:qFormat/>
    <w:uiPriority w:val="0"/>
    <w:rPr>
      <w:rFonts w:ascii="Times New Roman" w:hAnsi="Times New Roman"/>
      <w:b/>
      <w:bCs/>
      <w:kern w:val="2"/>
      <w:sz w:val="21"/>
      <w:szCs w:val="24"/>
    </w:rPr>
  </w:style>
  <w:style w:type="character" w:customStyle="1" w:styleId="176">
    <w:name w:val="标题 8 Char1"/>
    <w:link w:val="10"/>
    <w:autoRedefine/>
    <w:semiHidden/>
    <w:qFormat/>
    <w:uiPriority w:val="9"/>
    <w:rPr>
      <w:rFonts w:ascii="等线 Light" w:hAnsi="等线 Light" w:eastAsia="等线 Light" w:cs="Times New Roman"/>
      <w:kern w:val="2"/>
      <w:sz w:val="24"/>
      <w:szCs w:val="24"/>
    </w:rPr>
  </w:style>
  <w:style w:type="character" w:customStyle="1" w:styleId="177">
    <w:name w:val="脚注文本 Char"/>
    <w:basedOn w:val="47"/>
    <w:link w:val="35"/>
    <w:autoRedefine/>
    <w:semiHidden/>
    <w:qFormat/>
    <w:uiPriority w:val="0"/>
    <w:rPr>
      <w:sz w:val="18"/>
      <w:szCs w:val="18"/>
    </w:rPr>
  </w:style>
  <w:style w:type="character" w:customStyle="1" w:styleId="178">
    <w:name w:val="Table of contents|1_"/>
    <w:link w:val="179"/>
    <w:qFormat/>
    <w:uiPriority w:val="0"/>
    <w:rPr>
      <w:rFonts w:ascii="宋体" w:hAnsi="宋体" w:cs="宋体"/>
      <w:lang w:val="zh-CN" w:bidi="zh-CN"/>
    </w:rPr>
  </w:style>
  <w:style w:type="paragraph" w:customStyle="1" w:styleId="179">
    <w:name w:val="Table of contents|1"/>
    <w:basedOn w:val="1"/>
    <w:link w:val="178"/>
    <w:autoRedefine/>
    <w:qFormat/>
    <w:uiPriority w:val="0"/>
    <w:pPr>
      <w:spacing w:after="100"/>
      <w:ind w:firstLine="600"/>
      <w:jc w:val="left"/>
    </w:pPr>
    <w:rPr>
      <w:rFonts w:ascii="宋体" w:hAnsi="宋体" w:cs="宋体"/>
      <w:kern w:val="0"/>
      <w:sz w:val="20"/>
      <w:szCs w:val="20"/>
      <w:lang w:val="zh-CN" w:bidi="zh-CN"/>
    </w:rPr>
  </w:style>
  <w:style w:type="character" w:customStyle="1" w:styleId="180">
    <w:name w:val="Char Char181"/>
    <w:autoRedefine/>
    <w:qFormat/>
    <w:uiPriority w:val="99"/>
    <w:rPr>
      <w:b/>
      <w:bCs/>
      <w:kern w:val="44"/>
      <w:sz w:val="44"/>
      <w:szCs w:val="44"/>
    </w:rPr>
  </w:style>
  <w:style w:type="character" w:customStyle="1" w:styleId="181">
    <w:name w:val="NormalCharacter"/>
    <w:qFormat/>
    <w:uiPriority w:val="0"/>
  </w:style>
  <w:style w:type="character" w:customStyle="1" w:styleId="182">
    <w:name w:val="标题 3 Char"/>
    <w:basedOn w:val="47"/>
    <w:link w:val="4"/>
    <w:autoRedefine/>
    <w:qFormat/>
    <w:uiPriority w:val="0"/>
    <w:rPr>
      <w:b/>
      <w:bCs/>
      <w:kern w:val="2"/>
      <w:sz w:val="32"/>
      <w:szCs w:val="32"/>
    </w:rPr>
  </w:style>
  <w:style w:type="character" w:customStyle="1" w:styleId="183">
    <w:name w:val="Footer Char"/>
    <w:autoRedefine/>
    <w:qFormat/>
    <w:uiPriority w:val="99"/>
    <w:rPr>
      <w:rFonts w:eastAsia="宋体"/>
      <w:kern w:val="2"/>
      <w:sz w:val="18"/>
      <w:szCs w:val="18"/>
      <w:lang w:val="en-US" w:eastAsia="zh-CN"/>
    </w:rPr>
  </w:style>
  <w:style w:type="character" w:customStyle="1" w:styleId="184">
    <w:name w:val="标题 6 Char"/>
    <w:basedOn w:val="47"/>
    <w:link w:val="8"/>
    <w:qFormat/>
    <w:uiPriority w:val="0"/>
    <w:rPr>
      <w:rFonts w:ascii="Cambria" w:hAnsi="Cambria"/>
      <w:b/>
      <w:bCs/>
      <w:sz w:val="24"/>
      <w:szCs w:val="24"/>
    </w:rPr>
  </w:style>
  <w:style w:type="character" w:customStyle="1" w:styleId="185">
    <w:name w:val="Body text|3_"/>
    <w:link w:val="186"/>
    <w:autoRedefine/>
    <w:qFormat/>
    <w:uiPriority w:val="0"/>
    <w:rPr>
      <w:rFonts w:ascii="宋体" w:hAnsi="宋体" w:cs="宋体"/>
      <w:lang w:val="zh-CN" w:bidi="zh-CN"/>
    </w:rPr>
  </w:style>
  <w:style w:type="paragraph" w:customStyle="1" w:styleId="186">
    <w:name w:val="Body text|3"/>
    <w:basedOn w:val="1"/>
    <w:link w:val="185"/>
    <w:qFormat/>
    <w:uiPriority w:val="0"/>
    <w:pPr>
      <w:spacing w:after="340"/>
      <w:jc w:val="left"/>
    </w:pPr>
    <w:rPr>
      <w:rFonts w:ascii="宋体" w:hAnsi="宋体" w:cs="宋体"/>
      <w:kern w:val="0"/>
      <w:sz w:val="20"/>
      <w:szCs w:val="20"/>
      <w:lang w:val="zh-CN" w:bidi="zh-CN"/>
    </w:rPr>
  </w:style>
  <w:style w:type="character" w:customStyle="1" w:styleId="187">
    <w:name w:val="批注文字 Char"/>
    <w:qFormat/>
    <w:uiPriority w:val="0"/>
    <w:rPr>
      <w:rFonts w:ascii="Times New Roman" w:hAnsi="Times New Roman"/>
      <w:kern w:val="2"/>
      <w:sz w:val="21"/>
      <w:szCs w:val="24"/>
    </w:rPr>
  </w:style>
  <w:style w:type="character" w:customStyle="1" w:styleId="188">
    <w:name w:val="标题 2 Char1"/>
    <w:link w:val="3"/>
    <w:autoRedefine/>
    <w:qFormat/>
    <w:uiPriority w:val="9"/>
    <w:rPr>
      <w:rFonts w:ascii="Cambria" w:hAnsi="Cambria" w:eastAsia="宋体" w:cs="Times New Roman"/>
      <w:b/>
      <w:bCs/>
      <w:kern w:val="2"/>
      <w:sz w:val="32"/>
      <w:szCs w:val="32"/>
    </w:rPr>
  </w:style>
  <w:style w:type="character" w:customStyle="1" w:styleId="189">
    <w:name w:val="标题 9 Char"/>
    <w:basedOn w:val="47"/>
    <w:link w:val="11"/>
    <w:qFormat/>
    <w:uiPriority w:val="0"/>
    <w:rPr>
      <w:rFonts w:ascii="Cambria" w:hAnsi="Cambria"/>
      <w:szCs w:val="21"/>
    </w:rPr>
  </w:style>
  <w:style w:type="character" w:customStyle="1" w:styleId="190">
    <w:name w:val="正文文本缩进 Char"/>
    <w:link w:val="19"/>
    <w:qFormat/>
    <w:uiPriority w:val="0"/>
    <w:rPr>
      <w:rFonts w:ascii="仿宋_GB2312" w:hAnsi="Times New Roman" w:eastAsia="仿宋_GB2312" w:cs="Times New Roman"/>
      <w:sz w:val="32"/>
      <w:szCs w:val="20"/>
    </w:rPr>
  </w:style>
  <w:style w:type="character" w:customStyle="1" w:styleId="191">
    <w:name w:val="纯文本 Char"/>
    <w:qFormat/>
    <w:uiPriority w:val="0"/>
    <w:rPr>
      <w:rFonts w:ascii="宋体" w:hAnsi="Courier New" w:eastAsia="宋体" w:cs="Courier New"/>
      <w:szCs w:val="21"/>
    </w:rPr>
  </w:style>
  <w:style w:type="character" w:customStyle="1" w:styleId="192">
    <w:name w:val="Body text|4_"/>
    <w:link w:val="193"/>
    <w:qFormat/>
    <w:uiPriority w:val="0"/>
    <w:rPr>
      <w:rFonts w:ascii="宋体" w:hAnsi="宋体" w:cs="宋体"/>
      <w:b/>
      <w:bCs/>
      <w:sz w:val="17"/>
      <w:szCs w:val="17"/>
      <w:lang w:val="zh-CN" w:bidi="zh-CN"/>
    </w:rPr>
  </w:style>
  <w:style w:type="paragraph" w:customStyle="1" w:styleId="193">
    <w:name w:val="Body text|4"/>
    <w:basedOn w:val="1"/>
    <w:link w:val="192"/>
    <w:qFormat/>
    <w:uiPriority w:val="0"/>
    <w:pPr>
      <w:spacing w:line="281" w:lineRule="exact"/>
      <w:jc w:val="center"/>
    </w:pPr>
    <w:rPr>
      <w:rFonts w:ascii="宋体" w:hAnsi="宋体" w:cs="宋体"/>
      <w:b/>
      <w:bCs/>
      <w:kern w:val="0"/>
      <w:sz w:val="17"/>
      <w:szCs w:val="17"/>
      <w:lang w:val="zh-CN" w:bidi="zh-CN"/>
    </w:rPr>
  </w:style>
  <w:style w:type="character" w:customStyle="1" w:styleId="194">
    <w:name w:val="明显参考1"/>
    <w:qFormat/>
    <w:uiPriority w:val="99"/>
    <w:rPr>
      <w:b/>
      <w:bCs/>
      <w:smallCaps/>
      <w:color w:val="auto"/>
      <w:spacing w:val="5"/>
      <w:u w:val="single"/>
    </w:rPr>
  </w:style>
  <w:style w:type="character" w:customStyle="1" w:styleId="195">
    <w:name w:val="UserStyle_9"/>
    <w:link w:val="196"/>
    <w:qFormat/>
    <w:locked/>
    <w:uiPriority w:val="0"/>
    <w:rPr>
      <w:kern w:val="2"/>
      <w:sz w:val="21"/>
      <w:szCs w:val="24"/>
    </w:rPr>
  </w:style>
  <w:style w:type="paragraph" w:customStyle="1" w:styleId="196">
    <w:name w:val="AnnotationText"/>
    <w:basedOn w:val="1"/>
    <w:link w:val="195"/>
    <w:autoRedefine/>
    <w:qFormat/>
    <w:uiPriority w:val="0"/>
    <w:pPr>
      <w:widowControl/>
      <w:jc w:val="left"/>
    </w:pPr>
  </w:style>
  <w:style w:type="character" w:customStyle="1" w:styleId="197">
    <w:name w:val="标题 Char"/>
    <w:basedOn w:val="47"/>
    <w:link w:val="43"/>
    <w:autoRedefine/>
    <w:qFormat/>
    <w:uiPriority w:val="0"/>
    <w:rPr>
      <w:rFonts w:ascii="Cambria" w:hAnsi="Cambria"/>
      <w:b/>
      <w:bCs/>
      <w:kern w:val="2"/>
      <w:sz w:val="32"/>
      <w:szCs w:val="32"/>
    </w:rPr>
  </w:style>
  <w:style w:type="character" w:customStyle="1" w:styleId="198">
    <w:name w:val="标题 1 Char"/>
    <w:link w:val="2"/>
    <w:qFormat/>
    <w:uiPriority w:val="0"/>
    <w:rPr>
      <w:b/>
      <w:bCs/>
      <w:kern w:val="44"/>
      <w:sz w:val="44"/>
      <w:szCs w:val="44"/>
    </w:rPr>
  </w:style>
  <w:style w:type="character" w:customStyle="1" w:styleId="199">
    <w:name w:val="Char Char91"/>
    <w:autoRedefine/>
    <w:qFormat/>
    <w:uiPriority w:val="99"/>
    <w:rPr>
      <w:rFonts w:eastAsia="宋体"/>
      <w:b/>
      <w:bCs/>
      <w:kern w:val="44"/>
      <w:sz w:val="44"/>
      <w:szCs w:val="44"/>
      <w:lang w:val="en-US" w:eastAsia="zh-CN"/>
    </w:rPr>
  </w:style>
  <w:style w:type="character" w:customStyle="1" w:styleId="200">
    <w:name w:val="明显引用 Char"/>
    <w:link w:val="201"/>
    <w:autoRedefine/>
    <w:qFormat/>
    <w:locked/>
    <w:uiPriority w:val="99"/>
    <w:rPr>
      <w:b/>
      <w:bCs/>
      <w:i/>
      <w:iCs/>
      <w:color w:val="4F81BD"/>
    </w:rPr>
  </w:style>
  <w:style w:type="paragraph" w:customStyle="1" w:styleId="201">
    <w:name w:val="明显引用1"/>
    <w:basedOn w:val="1"/>
    <w:next w:val="1"/>
    <w:link w:val="20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2">
    <w:name w:val="手改 Char Char"/>
    <w:autoRedefine/>
    <w:qFormat/>
    <w:uiPriority w:val="0"/>
    <w:rPr>
      <w:rFonts w:hint="default" w:ascii="Times New Roman" w:hAnsi="Times New Roman" w:eastAsia="宋体" w:cs="Times New Roman"/>
      <w:sz w:val="24"/>
      <w:szCs w:val="24"/>
      <w:lang w:bidi="ar-SA"/>
    </w:rPr>
  </w:style>
  <w:style w:type="character" w:customStyle="1" w:styleId="203">
    <w:name w:val="日期 Char"/>
    <w:link w:val="27"/>
    <w:qFormat/>
    <w:uiPriority w:val="0"/>
    <w:rPr>
      <w:rFonts w:ascii="Times New Roman" w:hAnsi="Times New Roman"/>
      <w:kern w:val="2"/>
      <w:sz w:val="21"/>
      <w:szCs w:val="24"/>
    </w:rPr>
  </w:style>
  <w:style w:type="character" w:customStyle="1" w:styleId="204">
    <w:name w:val="标准文本 Char"/>
    <w:link w:val="205"/>
    <w:autoRedefine/>
    <w:qFormat/>
    <w:locked/>
    <w:uiPriority w:val="0"/>
    <w:rPr>
      <w:kern w:val="2"/>
      <w:sz w:val="24"/>
    </w:rPr>
  </w:style>
  <w:style w:type="paragraph" w:customStyle="1" w:styleId="205">
    <w:name w:val="标准文本"/>
    <w:basedOn w:val="1"/>
    <w:link w:val="204"/>
    <w:autoRedefine/>
    <w:qFormat/>
    <w:uiPriority w:val="0"/>
    <w:pPr>
      <w:spacing w:line="360" w:lineRule="auto"/>
      <w:ind w:firstLine="480" w:firstLineChars="200"/>
    </w:pPr>
    <w:rPr>
      <w:sz w:val="24"/>
      <w:szCs w:val="20"/>
    </w:rPr>
  </w:style>
  <w:style w:type="character" w:customStyle="1" w:styleId="206">
    <w:name w:val="段 Char"/>
    <w:link w:val="207"/>
    <w:qFormat/>
    <w:locked/>
    <w:uiPriority w:val="0"/>
    <w:rPr>
      <w:rFonts w:ascii="宋体" w:hAnsi="宋体"/>
      <w:lang w:val="en-US" w:eastAsia="zh-CN" w:bidi="ar-SA"/>
    </w:rPr>
  </w:style>
  <w:style w:type="paragraph" w:customStyle="1" w:styleId="207">
    <w:name w:val="段"/>
    <w:link w:val="206"/>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08">
    <w:name w:val="批注文字 字符"/>
    <w:autoRedefine/>
    <w:qFormat/>
    <w:uiPriority w:val="99"/>
    <w:rPr>
      <w:rFonts w:ascii="Times New Roman" w:hAnsi="Times New Roman"/>
      <w:kern w:val="2"/>
      <w:sz w:val="21"/>
      <w:szCs w:val="24"/>
    </w:rPr>
  </w:style>
  <w:style w:type="character" w:customStyle="1" w:styleId="209">
    <w:name w:val="apple-style-span"/>
    <w:autoRedefine/>
    <w:qFormat/>
    <w:uiPriority w:val="0"/>
  </w:style>
  <w:style w:type="character" w:customStyle="1" w:styleId="210">
    <w:name w:val="批注框文本 Char"/>
    <w:link w:val="29"/>
    <w:qFormat/>
    <w:locked/>
    <w:uiPriority w:val="0"/>
    <w:rPr>
      <w:kern w:val="2"/>
      <w:sz w:val="18"/>
      <w:szCs w:val="18"/>
    </w:rPr>
  </w:style>
  <w:style w:type="character" w:customStyle="1" w:styleId="211">
    <w:name w:val="纯文本 字符1"/>
    <w:qFormat/>
    <w:uiPriority w:val="0"/>
    <w:rPr>
      <w:rFonts w:ascii="宋体" w:hAnsi="Courier New"/>
    </w:rPr>
  </w:style>
  <w:style w:type="character" w:customStyle="1" w:styleId="212">
    <w:name w:val="文档结构图 Char"/>
    <w:basedOn w:val="47"/>
    <w:link w:val="15"/>
    <w:autoRedefine/>
    <w:qFormat/>
    <w:uiPriority w:val="0"/>
    <w:rPr>
      <w:kern w:val="2"/>
      <w:sz w:val="24"/>
      <w:szCs w:val="24"/>
      <w:shd w:val="clear" w:color="auto" w:fill="000080"/>
    </w:rPr>
  </w:style>
  <w:style w:type="character" w:customStyle="1" w:styleId="213">
    <w:name w:val="Header or footer|1_"/>
    <w:link w:val="214"/>
    <w:qFormat/>
    <w:uiPriority w:val="0"/>
    <w:rPr>
      <w:sz w:val="17"/>
      <w:szCs w:val="17"/>
      <w:lang w:val="zh-CN" w:bidi="zh-CN"/>
    </w:rPr>
  </w:style>
  <w:style w:type="paragraph" w:customStyle="1" w:styleId="214">
    <w:name w:val="Header or footer|1"/>
    <w:basedOn w:val="1"/>
    <w:link w:val="213"/>
    <w:autoRedefine/>
    <w:qFormat/>
    <w:uiPriority w:val="0"/>
    <w:pPr>
      <w:jc w:val="center"/>
    </w:pPr>
    <w:rPr>
      <w:kern w:val="0"/>
      <w:sz w:val="17"/>
      <w:szCs w:val="17"/>
      <w:lang w:val="zh-CN" w:bidi="zh-CN"/>
    </w:rPr>
  </w:style>
  <w:style w:type="character" w:customStyle="1" w:styleId="215">
    <w:name w:val="Body text|1_"/>
    <w:link w:val="216"/>
    <w:qFormat/>
    <w:uiPriority w:val="0"/>
    <w:rPr>
      <w:rFonts w:ascii="宋体" w:hAnsi="宋体" w:cs="宋体"/>
      <w:kern w:val="2"/>
      <w:sz w:val="21"/>
      <w:lang w:val="zh-CN" w:bidi="zh-CN"/>
    </w:rPr>
  </w:style>
  <w:style w:type="paragraph" w:customStyle="1" w:styleId="216">
    <w:name w:val="Body text|1"/>
    <w:basedOn w:val="1"/>
    <w:link w:val="215"/>
    <w:qFormat/>
    <w:uiPriority w:val="0"/>
    <w:pPr>
      <w:spacing w:line="360" w:lineRule="auto"/>
      <w:ind w:firstLine="400"/>
    </w:pPr>
    <w:rPr>
      <w:rFonts w:ascii="宋体" w:hAnsi="宋体" w:cs="宋体"/>
      <w:szCs w:val="20"/>
      <w:lang w:val="zh-CN" w:bidi="zh-CN"/>
    </w:rPr>
  </w:style>
  <w:style w:type="character" w:customStyle="1" w:styleId="217">
    <w:name w:val="Body Text Indent Char"/>
    <w:autoRedefine/>
    <w:qFormat/>
    <w:uiPriority w:val="99"/>
    <w:rPr>
      <w:rFonts w:ascii="宋体" w:hAnsi="宋体" w:eastAsia="宋体" w:cs="宋体"/>
      <w:kern w:val="2"/>
      <w:sz w:val="21"/>
      <w:szCs w:val="21"/>
      <w:lang w:val="en-US" w:eastAsia="zh-CN"/>
    </w:rPr>
  </w:style>
  <w:style w:type="character" w:customStyle="1" w:styleId="218">
    <w:name w:val="Header Char"/>
    <w:qFormat/>
    <w:uiPriority w:val="99"/>
    <w:rPr>
      <w:rFonts w:eastAsia="宋体"/>
      <w:kern w:val="2"/>
      <w:sz w:val="18"/>
      <w:szCs w:val="18"/>
      <w:lang w:val="en-US" w:eastAsia="zh-CN"/>
    </w:rPr>
  </w:style>
  <w:style w:type="character" w:customStyle="1" w:styleId="219">
    <w:name w:val="标题4 Char Char"/>
    <w:link w:val="220"/>
    <w:qFormat/>
    <w:locked/>
    <w:uiPriority w:val="99"/>
    <w:rPr>
      <w:rFonts w:ascii="Arial" w:hAnsi="Arial" w:cs="Arial"/>
      <w:b/>
      <w:bCs/>
      <w:sz w:val="32"/>
      <w:szCs w:val="32"/>
    </w:rPr>
  </w:style>
  <w:style w:type="paragraph" w:customStyle="1" w:styleId="220">
    <w:name w:val="标题4"/>
    <w:basedOn w:val="3"/>
    <w:next w:val="22"/>
    <w:link w:val="219"/>
    <w:qFormat/>
    <w:uiPriority w:val="99"/>
    <w:pPr>
      <w:spacing w:before="60" w:after="60" w:line="413" w:lineRule="auto"/>
    </w:pPr>
    <w:rPr>
      <w:rFonts w:ascii="Arial" w:hAnsi="Arial"/>
      <w:kern w:val="0"/>
    </w:rPr>
  </w:style>
  <w:style w:type="paragraph" w:customStyle="1" w:styleId="221">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2">
    <w:name w:val="Char Char1 Char Char Char Char Char Char Char Char Char Char"/>
    <w:basedOn w:val="1"/>
    <w:autoRedefine/>
    <w:qFormat/>
    <w:uiPriority w:val="0"/>
    <w:pPr>
      <w:widowControl/>
      <w:spacing w:after="160" w:line="240" w:lineRule="exact"/>
      <w:jc w:val="left"/>
    </w:pPr>
    <w:rPr>
      <w:szCs w:val="20"/>
    </w:rPr>
  </w:style>
  <w:style w:type="paragraph" w:customStyle="1" w:styleId="223">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4">
    <w:name w:val="Char1 Char Char Char Char Char Char"/>
    <w:basedOn w:val="1"/>
    <w:autoRedefine/>
    <w:qFormat/>
    <w:uiPriority w:val="0"/>
    <w:rPr>
      <w:rFonts w:ascii="Tahoma" w:hAnsi="Tahoma"/>
      <w:sz w:val="24"/>
      <w:szCs w:val="20"/>
    </w:rPr>
  </w:style>
  <w:style w:type="paragraph" w:customStyle="1" w:styleId="225">
    <w:name w:val="正正正正"/>
    <w:basedOn w:val="18"/>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6">
    <w:name w:val="表格文字"/>
    <w:basedOn w:val="1"/>
    <w:qFormat/>
    <w:uiPriority w:val="0"/>
    <w:pPr>
      <w:adjustRightInd w:val="0"/>
      <w:spacing w:line="420" w:lineRule="atLeast"/>
      <w:jc w:val="left"/>
    </w:pPr>
    <w:rPr>
      <w:kern w:val="0"/>
    </w:rPr>
  </w:style>
  <w:style w:type="paragraph" w:customStyle="1" w:styleId="227">
    <w:name w:val="正文_2"/>
    <w:autoRedefine/>
    <w:qFormat/>
    <w:uiPriority w:val="0"/>
    <w:pPr>
      <w:widowControl w:val="0"/>
      <w:spacing w:line="400" w:lineRule="exact"/>
      <w:ind w:firstLine="420" w:firstLineChars="200"/>
      <w:jc w:val="both"/>
    </w:pPr>
    <w:rPr>
      <w:rFonts w:ascii="宋体" w:hAnsi="宋体" w:eastAsia="宋体" w:cs="宋体"/>
      <w:kern w:val="2"/>
      <w:sz w:val="21"/>
      <w:szCs w:val="22"/>
      <w:lang w:val="en-US" w:eastAsia="zh-CN" w:bidi="ar-SA"/>
    </w:rPr>
  </w:style>
  <w:style w:type="paragraph" w:customStyle="1" w:styleId="228">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0">
    <w:name w:val="次小点说明 Char"/>
    <w:basedOn w:val="7"/>
    <w:autoRedefine/>
    <w:qFormat/>
    <w:uiPriority w:val="0"/>
    <w:pPr>
      <w:ind w:firstLine="0"/>
    </w:pPr>
    <w:rPr>
      <w:sz w:val="24"/>
      <w:szCs w:val="24"/>
    </w:rPr>
  </w:style>
  <w:style w:type="paragraph" w:customStyle="1" w:styleId="23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Char Char Char Char Char Char Char"/>
    <w:basedOn w:val="1"/>
    <w:qFormat/>
    <w:uiPriority w:val="99"/>
    <w:pPr>
      <w:widowControl/>
      <w:spacing w:after="160" w:line="240" w:lineRule="exact"/>
      <w:jc w:val="left"/>
    </w:pPr>
    <w:rPr>
      <w:szCs w:val="21"/>
    </w:rPr>
  </w:style>
  <w:style w:type="paragraph" w:customStyle="1" w:styleId="233">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4">
    <w:name w:val="修订1"/>
    <w:qFormat/>
    <w:uiPriority w:val="99"/>
    <w:rPr>
      <w:rFonts w:ascii="Times New Roman" w:hAnsi="Times New Roman" w:eastAsia="宋体" w:cs="Times New Roman"/>
      <w:kern w:val="2"/>
      <w:sz w:val="21"/>
      <w:szCs w:val="21"/>
      <w:lang w:val="en-US" w:eastAsia="zh-CN" w:bidi="ar-SA"/>
    </w:rPr>
  </w:style>
  <w:style w:type="paragraph" w:customStyle="1" w:styleId="235">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6">
    <w:name w:val="正文_0_0"/>
    <w:next w:val="23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_Style 5_0"/>
    <w:qFormat/>
    <w:uiPriority w:val="0"/>
    <w:rPr>
      <w:rFonts w:ascii="Times New Roman" w:hAnsi="Times New Roman" w:eastAsia="宋体" w:cs="Times New Roman"/>
      <w:sz w:val="22"/>
      <w:szCs w:val="22"/>
      <w:lang w:val="en-US" w:eastAsia="zh-CN" w:bidi="ar-SA"/>
    </w:rPr>
  </w:style>
  <w:style w:type="paragraph" w:customStyle="1" w:styleId="238">
    <w:name w:val="样式1"/>
    <w:basedOn w:val="1"/>
    <w:next w:val="5"/>
    <w:qFormat/>
    <w:uiPriority w:val="99"/>
    <w:pPr>
      <w:spacing w:line="360" w:lineRule="auto"/>
      <w:ind w:firstLine="420" w:firstLineChars="200"/>
    </w:pPr>
    <w:rPr>
      <w:rFonts w:ascii="宋体" w:hAnsi="宋体" w:cs="宋体"/>
      <w:szCs w:val="21"/>
    </w:rPr>
  </w:style>
  <w:style w:type="paragraph" w:customStyle="1" w:styleId="239">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0">
    <w:name w:val="列出段落1"/>
    <w:basedOn w:val="1"/>
    <w:autoRedefine/>
    <w:qFormat/>
    <w:uiPriority w:val="0"/>
    <w:pPr>
      <w:ind w:firstLine="420" w:firstLineChars="200"/>
    </w:pPr>
    <w:rPr>
      <w:rFonts w:ascii="Calibri" w:hAnsi="Calibri" w:cs="Calibri"/>
      <w:szCs w:val="21"/>
    </w:rPr>
  </w:style>
  <w:style w:type="paragraph" w:customStyle="1" w:styleId="241">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2">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43">
    <w:name w:val="xl49"/>
    <w:basedOn w:val="1"/>
    <w:autoRedefine/>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4">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5">
    <w:name w:val="p0"/>
    <w:basedOn w:val="1"/>
    <w:autoRedefine/>
    <w:qFormat/>
    <w:uiPriority w:val="0"/>
    <w:pPr>
      <w:widowControl/>
    </w:pPr>
    <w:rPr>
      <w:rFonts w:ascii="Calibri" w:hAnsi="Calibri" w:cs="Calibri"/>
      <w:kern w:val="0"/>
      <w:szCs w:val="21"/>
    </w:rPr>
  </w:style>
  <w:style w:type="paragraph" w:customStyle="1" w:styleId="24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7">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customStyle="1" w:styleId="248">
    <w:name w:val="xl58"/>
    <w:basedOn w:val="1"/>
    <w:autoRedefine/>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49">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0">
    <w:name w:val="Char Char Char1"/>
    <w:basedOn w:val="1"/>
    <w:autoRedefine/>
    <w:qFormat/>
    <w:uiPriority w:val="0"/>
    <w:rPr>
      <w:rFonts w:ascii="Tahoma" w:hAnsi="Tahoma"/>
      <w:sz w:val="24"/>
      <w:szCs w:val="20"/>
    </w:rPr>
  </w:style>
  <w:style w:type="paragraph" w:customStyle="1" w:styleId="251">
    <w:name w:val="xl46"/>
    <w:basedOn w:val="1"/>
    <w:autoRedefine/>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2">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3">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4">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55">
    <w:name w:val="列表段落1"/>
    <w:basedOn w:val="1"/>
    <w:qFormat/>
    <w:uiPriority w:val="34"/>
    <w:pPr>
      <w:ind w:firstLine="420" w:firstLineChars="200"/>
    </w:pPr>
    <w:rPr>
      <w:rFonts w:ascii="Calibri" w:hAnsi="Calibri"/>
      <w:szCs w:val="22"/>
    </w:rPr>
  </w:style>
  <w:style w:type="paragraph" w:customStyle="1" w:styleId="256">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58">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59">
    <w:name w:val="xl3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0">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1">
    <w:name w:val="_Style 36"/>
    <w:basedOn w:val="1"/>
    <w:qFormat/>
    <w:uiPriority w:val="0"/>
    <w:rPr>
      <w:rFonts w:ascii="Tahoma" w:hAnsi="Tahoma"/>
      <w:sz w:val="24"/>
      <w:szCs w:val="20"/>
    </w:rPr>
  </w:style>
  <w:style w:type="paragraph" w:customStyle="1" w:styleId="262">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3">
    <w:name w:val="Char Char Char"/>
    <w:basedOn w:val="1"/>
    <w:qFormat/>
    <w:uiPriority w:val="0"/>
    <w:rPr>
      <w:rFonts w:ascii="Tahoma" w:hAnsi="Tahoma"/>
      <w:sz w:val="24"/>
      <w:szCs w:val="20"/>
    </w:rPr>
  </w:style>
  <w:style w:type="paragraph" w:customStyle="1" w:styleId="264">
    <w:name w:val="Char"/>
    <w:basedOn w:val="1"/>
    <w:autoRedefine/>
    <w:qFormat/>
    <w:uiPriority w:val="0"/>
    <w:pPr>
      <w:widowControl/>
      <w:spacing w:after="160" w:line="240" w:lineRule="exact"/>
      <w:jc w:val="left"/>
    </w:pPr>
    <w:rPr>
      <w:szCs w:val="21"/>
    </w:rPr>
  </w:style>
  <w:style w:type="paragraph" w:customStyle="1" w:styleId="265">
    <w:name w:val="xl53"/>
    <w:basedOn w:val="1"/>
    <w:autoRedefine/>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6">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7">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8">
    <w:name w:val="正文呀2_0"/>
    <w:basedOn w:val="269"/>
    <w:autoRedefine/>
    <w:qFormat/>
    <w:uiPriority w:val="0"/>
    <w:rPr>
      <w:rFonts w:ascii="Times New Roman" w:hAnsi="Times New Roman" w:eastAsia="宋体"/>
    </w:rPr>
  </w:style>
  <w:style w:type="paragraph" w:customStyle="1" w:styleId="269">
    <w:name w:val="正文呀_0"/>
    <w:basedOn w:val="270"/>
    <w:qFormat/>
    <w:uiPriority w:val="0"/>
    <w:pPr>
      <w:spacing w:line="420" w:lineRule="exact"/>
      <w:ind w:firstLine="420" w:firstLineChars="200"/>
    </w:pPr>
    <w:rPr>
      <w:rFonts w:ascii="宋体" w:hAnsi="宋体" w:eastAsia="等线"/>
    </w:rPr>
  </w:style>
  <w:style w:type="paragraph" w:customStyle="1" w:styleId="27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正文_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3">
    <w:name w:val="默认段落字体 Para Char Char Char Char Char Char Char Char Char1 Char Char Char Char"/>
    <w:basedOn w:val="1"/>
    <w:autoRedefine/>
    <w:qFormat/>
    <w:uiPriority w:val="0"/>
    <w:rPr>
      <w:rFonts w:ascii="Tahoma" w:hAnsi="Tahoma"/>
      <w:sz w:val="24"/>
      <w:szCs w:val="20"/>
    </w:rPr>
  </w:style>
  <w:style w:type="paragraph" w:customStyle="1" w:styleId="27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5">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6">
    <w:name w:val="标题 3_0"/>
    <w:basedOn w:val="277"/>
    <w:next w:val="227"/>
    <w:qFormat/>
    <w:uiPriority w:val="0"/>
    <w:pPr>
      <w:keepNext/>
      <w:keepLines/>
      <w:spacing w:before="260" w:after="260" w:line="412" w:lineRule="auto"/>
      <w:jc w:val="left"/>
      <w:outlineLvl w:val="2"/>
    </w:pPr>
    <w:rPr>
      <w:b/>
    </w:rPr>
  </w:style>
  <w:style w:type="paragraph" w:customStyle="1" w:styleId="277">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78">
    <w:name w:val="font7"/>
    <w:basedOn w:val="1"/>
    <w:qFormat/>
    <w:uiPriority w:val="0"/>
    <w:pPr>
      <w:widowControl/>
      <w:spacing w:before="100" w:beforeAutospacing="1" w:after="100" w:afterAutospacing="1"/>
      <w:jc w:val="left"/>
    </w:pPr>
    <w:rPr>
      <w:kern w:val="0"/>
      <w:sz w:val="20"/>
      <w:szCs w:val="20"/>
    </w:rPr>
  </w:style>
  <w:style w:type="paragraph" w:customStyle="1" w:styleId="279">
    <w:name w:val="列出段落11"/>
    <w:autoRedefine/>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1">
    <w:name w:val="xl50"/>
    <w:basedOn w:val="1"/>
    <w:autoRedefine/>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2">
    <w:name w:val="xl2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3">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5">
    <w:name w:val="xl4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7">
    <w:name w:val="列出段落2"/>
    <w:basedOn w:val="1"/>
    <w:autoRedefine/>
    <w:qFormat/>
    <w:uiPriority w:val="99"/>
    <w:pPr>
      <w:ind w:firstLine="420" w:firstLineChars="200"/>
    </w:pPr>
    <w:rPr>
      <w:rFonts w:ascii="Calibri" w:hAnsi="Calibri" w:cs="Calibri"/>
      <w:szCs w:val="21"/>
    </w:rPr>
  </w:style>
  <w:style w:type="paragraph" w:customStyle="1" w:styleId="28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89">
    <w:name w:val="标题 2_0"/>
    <w:basedOn w:val="227"/>
    <w:next w:val="227"/>
    <w:qFormat/>
    <w:uiPriority w:val="9"/>
    <w:pPr>
      <w:keepNext/>
      <w:keepLines/>
      <w:spacing w:before="260" w:after="260" w:line="412" w:lineRule="auto"/>
      <w:jc w:val="left"/>
      <w:outlineLvl w:val="1"/>
    </w:pPr>
    <w:rPr>
      <w:rFonts w:ascii="Arial" w:hAnsi="Arial"/>
      <w:b/>
    </w:rPr>
  </w:style>
  <w:style w:type="paragraph" w:customStyle="1" w:styleId="290">
    <w:name w:val="xl44"/>
    <w:basedOn w:val="1"/>
    <w:autoRedefine/>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93">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4">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5">
    <w:name w:val="1"/>
    <w:basedOn w:val="1"/>
    <w:next w:val="1"/>
    <w:autoRedefine/>
    <w:qFormat/>
    <w:uiPriority w:val="99"/>
    <w:rPr>
      <w:szCs w:val="21"/>
    </w:rPr>
  </w:style>
  <w:style w:type="paragraph" w:customStyle="1" w:styleId="296">
    <w:name w:val="Table Paragraph"/>
    <w:basedOn w:val="1"/>
    <w:autoRedefine/>
    <w:qFormat/>
    <w:uiPriority w:val="1"/>
    <w:pPr>
      <w:jc w:val="left"/>
    </w:pPr>
    <w:rPr>
      <w:rFonts w:ascii="Calibri" w:hAnsi="Calibri"/>
      <w:kern w:val="0"/>
      <w:sz w:val="22"/>
      <w:szCs w:val="22"/>
      <w:lang w:eastAsia="en-US"/>
    </w:rPr>
  </w:style>
  <w:style w:type="paragraph" w:customStyle="1" w:styleId="29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9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99">
    <w:name w:val="正文缩进1"/>
    <w:basedOn w:val="1"/>
    <w:next w:val="1"/>
    <w:autoRedefine/>
    <w:qFormat/>
    <w:uiPriority w:val="0"/>
    <w:pPr>
      <w:widowControl/>
      <w:ind w:firstLine="420"/>
    </w:pPr>
    <w:rPr>
      <w:color w:val="000000"/>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1">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2">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3">
    <w:name w:val="pa-1"/>
    <w:basedOn w:val="1"/>
    <w:qFormat/>
    <w:uiPriority w:val="0"/>
    <w:pPr>
      <w:widowControl/>
      <w:spacing w:line="384" w:lineRule="atLeast"/>
      <w:jc w:val="left"/>
    </w:pPr>
    <w:rPr>
      <w:rFonts w:ascii="宋体" w:hAnsi="宋体" w:cs="宋体"/>
      <w:kern w:val="0"/>
      <w:sz w:val="24"/>
    </w:rPr>
  </w:style>
  <w:style w:type="paragraph" w:customStyle="1" w:styleId="304">
    <w:name w:val="xl2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5">
    <w:name w:val="one"/>
    <w:basedOn w:val="1"/>
    <w:qFormat/>
    <w:uiPriority w:val="0"/>
    <w:pPr>
      <w:widowControl/>
      <w:jc w:val="left"/>
    </w:pPr>
    <w:rPr>
      <w:rFonts w:ascii="宋体" w:cs="宋体"/>
      <w:kern w:val="0"/>
      <w:sz w:val="24"/>
    </w:rPr>
  </w:style>
  <w:style w:type="paragraph" w:customStyle="1" w:styleId="306">
    <w:name w:val="Char1"/>
    <w:basedOn w:val="1"/>
    <w:qFormat/>
    <w:uiPriority w:val="99"/>
    <w:pPr>
      <w:widowControl/>
      <w:spacing w:after="160" w:line="240" w:lineRule="exact"/>
      <w:jc w:val="left"/>
    </w:pPr>
    <w:rPr>
      <w:szCs w:val="21"/>
    </w:rPr>
  </w:style>
  <w:style w:type="paragraph" w:customStyle="1" w:styleId="307">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08">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09">
    <w:name w:val="Char Char1 Char Char Char Char Char Char"/>
    <w:basedOn w:val="1"/>
    <w:autoRedefine/>
    <w:qFormat/>
    <w:uiPriority w:val="0"/>
    <w:pPr>
      <w:widowControl/>
      <w:adjustRightInd w:val="0"/>
      <w:snapToGrid w:val="0"/>
      <w:spacing w:beforeLines="25" w:line="240" w:lineRule="exact"/>
      <w:ind w:firstLine="560" w:firstLineChars="192"/>
      <w:jc w:val="left"/>
    </w:pPr>
    <w:rPr>
      <w:szCs w:val="20"/>
    </w:rPr>
  </w:style>
  <w:style w:type="paragraph" w:customStyle="1" w:styleId="310">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2">
    <w:name w:val="_Style 37"/>
    <w:basedOn w:val="1"/>
    <w:next w:val="1"/>
    <w:autoRedefine/>
    <w:qFormat/>
    <w:uiPriority w:val="0"/>
    <w:rPr>
      <w:szCs w:val="21"/>
    </w:rPr>
  </w:style>
  <w:style w:type="paragraph" w:customStyle="1" w:styleId="313">
    <w:name w:val="xl47"/>
    <w:basedOn w:val="1"/>
    <w:autoRedefine/>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4">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5">
    <w:name w:val="font9"/>
    <w:basedOn w:val="1"/>
    <w:autoRedefine/>
    <w:qFormat/>
    <w:uiPriority w:val="0"/>
    <w:pPr>
      <w:widowControl/>
      <w:spacing w:before="100" w:beforeAutospacing="1" w:after="100" w:afterAutospacing="1"/>
      <w:jc w:val="left"/>
    </w:pPr>
    <w:rPr>
      <w:b/>
      <w:bCs/>
      <w:color w:val="000000"/>
      <w:kern w:val="0"/>
      <w:szCs w:val="21"/>
    </w:rPr>
  </w:style>
  <w:style w:type="paragraph" w:customStyle="1" w:styleId="31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18">
    <w:name w:val="_Style 20"/>
    <w:basedOn w:val="1"/>
    <w:autoRedefine/>
    <w:qFormat/>
    <w:uiPriority w:val="0"/>
    <w:rPr>
      <w:rFonts w:ascii="Tahoma" w:hAnsi="Tahoma"/>
      <w:sz w:val="24"/>
      <w:szCs w:val="20"/>
    </w:rPr>
  </w:style>
  <w:style w:type="paragraph" w:customStyle="1" w:styleId="319">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0">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1">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2">
    <w:name w:val="正文小标题"/>
    <w:basedOn w:val="2"/>
    <w:link w:val="333"/>
    <w:qFormat/>
    <w:uiPriority w:val="0"/>
    <w:pPr>
      <w:spacing w:line="420" w:lineRule="exact"/>
    </w:pPr>
    <w:rPr>
      <w:rFonts w:hAnsi="宋体"/>
      <w:sz w:val="21"/>
      <w:szCs w:val="21"/>
    </w:rPr>
  </w:style>
  <w:style w:type="paragraph" w:customStyle="1" w:styleId="323">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325">
    <w:name w:val="_Style 5"/>
    <w:autoRedefine/>
    <w:qFormat/>
    <w:uiPriority w:val="1"/>
    <w:rPr>
      <w:rFonts w:ascii="Times New Roman" w:hAnsi="Times New Roman" w:eastAsia="宋体" w:cs="Times New Roman"/>
      <w:sz w:val="22"/>
      <w:szCs w:val="22"/>
      <w:lang w:val="en-US" w:eastAsia="zh-CN" w:bidi="ar-SA"/>
    </w:rPr>
  </w:style>
  <w:style w:type="paragraph" w:customStyle="1" w:styleId="326">
    <w:name w:val="首行缩进"/>
    <w:basedOn w:val="1"/>
    <w:autoRedefine/>
    <w:qFormat/>
    <w:uiPriority w:val="0"/>
    <w:pPr>
      <w:ind w:firstLine="480" w:firstLineChars="200"/>
    </w:pPr>
  </w:style>
  <w:style w:type="paragraph" w:customStyle="1" w:styleId="327">
    <w:name w:val="无间隔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29">
    <w:name w:val="cf01"/>
    <w:basedOn w:val="47"/>
    <w:qFormat/>
    <w:uiPriority w:val="0"/>
    <w:rPr>
      <w:rFonts w:hint="eastAsia" w:ascii="Microsoft YaHei UI" w:hAnsi="Microsoft YaHei UI" w:eastAsia="Microsoft YaHei UI"/>
      <w:sz w:val="18"/>
      <w:szCs w:val="18"/>
      <w:u w:val="single"/>
    </w:rPr>
  </w:style>
  <w:style w:type="paragraph" w:customStyle="1" w:styleId="3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32">
    <w:name w:val="批注文字 Char3"/>
    <w:qFormat/>
    <w:locked/>
    <w:uiPriority w:val="99"/>
    <w:rPr>
      <w:rFonts w:ascii="Times New Roman" w:hAnsi="Times New Roman" w:eastAsia="宋体" w:cs="Times New Roman"/>
      <w:sz w:val="21"/>
      <w:szCs w:val="21"/>
    </w:rPr>
  </w:style>
  <w:style w:type="character" w:customStyle="1" w:styleId="333">
    <w:name w:val="正文小标题 Char"/>
    <w:link w:val="322"/>
    <w:qFormat/>
    <w:uiPriority w:val="0"/>
    <w:rPr>
      <w:rFonts w:hAnsi="宋体"/>
      <w:b/>
      <w:bCs/>
      <w:kern w:val="44"/>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wmf"/><Relationship Id="rId26" Type="http://schemas.openxmlformats.org/officeDocument/2006/relationships/oleObject" Target="embeddings/oleObject5.bin"/><Relationship Id="rId25" Type="http://schemas.openxmlformats.org/officeDocument/2006/relationships/image" Target="media/image5.wmf"/><Relationship Id="rId24" Type="http://schemas.openxmlformats.org/officeDocument/2006/relationships/oleObject" Target="embeddings/oleObject4.bin"/><Relationship Id="rId23" Type="http://schemas.openxmlformats.org/officeDocument/2006/relationships/image" Target="media/image4.wmf"/><Relationship Id="rId22" Type="http://schemas.openxmlformats.org/officeDocument/2006/relationships/oleObject" Target="embeddings/oleObject3.bin"/><Relationship Id="rId21" Type="http://schemas.openxmlformats.org/officeDocument/2006/relationships/image" Target="media/image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3f96a464-0464-4c15-9ac4-7c4f58a8b9f3</errorID>
      <errorWord>[2014]68号</errorWord>
      <group>L1_Knowledge</group>
      <groupName>知识性问题</groupName>
      <ability>L2_Knowledge</ability>
      <abilityName>其他知识</abilityName>
      <candidateList>
        <item>〔2014〕68号</item>
      </candidateList>
      <explain>发文字号格式错误。</explain>
      <paraID>76F1B48F</paraID>
      <start>116</start>
      <end>125</end>
      <status>unmodified</status>
      <modifiedWord/>
      <trackRevisions>false</trackRevisions>
    </reviewItem>
    <reviewItem>
      <errorID>d820f9de-1887-412a-996e-ff7b90456de1</errorID>
      <errorWord>上午00:00</errorWord>
      <group>L1_Knowledge</group>
      <groupName>知识性问题</groupName>
      <ability>L2_Time</ability>
      <abilityName>日期时间</abilityName>
      <candidateList/>
      <explain>时间与前缀不匹配，可能的时间前缀有“下午、晚上、凌晨、午夜”。</explain>
      <paraID>2A914FCE</paraID>
      <start>29</start>
      <end>36</end>
      <status>unmodified</status>
      <modifiedWord/>
      <trackRevisions>false</trackRevisions>
    </reviewItem>
    <reviewItem>
      <errorID>5c5624c3-3176-452a-aa36-5fcb871655b7</errorID>
      <errorWord>-</errorWord>
      <group>L1_Format</group>
      <groupName>格式问题</groupName>
      <ability>L2_HalfPunc</ability>
      <abilityName>全半角检查</abilityName>
      <candidateList>
        <item>－</item>
      </candidateList>
      <explain>文本全半角错误。</explain>
      <paraID>77A42385</paraID>
      <start>82</start>
      <end>83</end>
      <status>unmodified</status>
      <modifiedWord/>
      <trackRevisions>false</trackRevisions>
    </reviewItem>
    <reviewItem>
      <errorID>79ca057e-49c5-436f-be8e-c457057c9e57</errorID>
      <errorWord>-</errorWord>
      <group>L1_Format</group>
      <groupName>格式问题</groupName>
      <ability>L2_HalfPunc</ability>
      <abilityName>全半角检查</abilityName>
      <candidateList>
        <item>－</item>
      </candidateList>
      <explain>文本全半角错误。</explain>
      <paraID>442AB9E2</paraID>
      <start>228</start>
      <end>229</end>
      <status>unmodified</status>
      <modifiedWord/>
      <trackRevisions>false</trackRevisions>
    </reviewItem>
    <reviewItem>
      <errorID>5e39235c-ff98-46fe-9859-5d4d9a5d306b</errorID>
      <errorWord>-</errorWord>
      <group>L1_Format</group>
      <groupName>格式问题</groupName>
      <ability>L2_HalfPunc</ability>
      <abilityName>全半角检查</abilityName>
      <candidateList>
        <item>－</item>
      </candidateList>
      <explain>文本全半角错误。</explain>
      <paraID>442AB9E2</paraID>
      <start>233</start>
      <end>234</end>
      <status>unmodified</status>
      <modifiedWord/>
      <trackRevisions>false</trackRevisions>
    </reviewItem>
    <reviewItem>
      <errorID>3aa21ffa-5f22-4d30-a869-87f6304851cb</errorID>
      <errorWord>-</errorWord>
      <group>L1_Format</group>
      <groupName>格式问题</groupName>
      <ability>L2_HalfPunc</ability>
      <abilityName>全半角检查</abilityName>
      <candidateList>
        <item>－</item>
      </candidateList>
      <explain>文本全半角错误。</explain>
      <paraID>442AB9E2</paraID>
      <start>238</start>
      <end>239</end>
      <status>unmodified</status>
      <modifiedWord/>
      <trackRevisions>false</trackRevisions>
    </reviewItem>
    <reviewItem>
      <errorID>6302a955-8c07-4d13-8f9b-d4de55f0de20</errorID>
      <errorWord>-</errorWord>
      <group>L1_Format</group>
      <groupName>格式问题</groupName>
      <ability>L2_HalfPunc</ability>
      <abilityName>全半角检查</abilityName>
      <candidateList>
        <item>－</item>
      </candidateList>
      <explain>文本全半角错误。</explain>
      <paraID>442AB9E2</paraID>
      <start>244</start>
      <end>245</end>
      <status>unmodified</status>
      <modifiedWord/>
      <trackRevisions>false</trackRevisions>
    </reviewItem>
    <reviewItem>
      <errorID>a9327c7f-e972-4a9f-bb25-63cf843a0c08</errorID>
      <errorWord>-</errorWord>
      <group>L1_Format</group>
      <groupName>格式问题</groupName>
      <ability>L2_HalfPunc</ability>
      <abilityName>全半角检查</abilityName>
      <candidateList>
        <item>－</item>
      </candidateList>
      <explain>文本全半角错误。</explain>
      <paraID>442AB9E2</paraID>
      <start>261</start>
      <end>262</end>
      <status>unmodified</status>
      <modifiedWord/>
      <trackRevisions>false</trackRevisions>
    </reviewItem>
    <reviewItem>
      <errorID>b9a74e29-6f37-4563-b6fd-b7c2f6417b03</errorID>
      <errorWord>-</errorWord>
      <group>L1_Format</group>
      <groupName>格式问题</groupName>
      <ability>L2_HalfPunc</ability>
      <abilityName>全半角检查</abilityName>
      <candidateList>
        <item>－</item>
      </candidateList>
      <explain>文本全半角错误。</explain>
      <paraID>687C5DD4</paraID>
      <start>112</start>
      <end>113</end>
      <status>unmodified</status>
      <modifiedWord/>
      <trackRevisions>false</trackRevisions>
    </reviewItem>
    <reviewItem>
      <errorID>6732324c-476c-46df-8cfb-41b08c194466</errorID>
      <errorWord>-</errorWord>
      <group>L1_Format</group>
      <groupName>格式问题</groupName>
      <ability>L2_HalfPunc</ability>
      <abilityName>全半角检查</abilityName>
      <candidateList>
        <item>－</item>
      </candidateList>
      <explain>文本全半角错误。</explain>
      <paraID>687C5DD4</paraID>
      <start>141</start>
      <end>142</end>
      <status>unmodified</status>
      <modifiedWord/>
      <trackRevisions>false</trackRevisions>
    </reviewItem>
    <reviewItem>
      <errorID>59b43d28-919d-4053-86db-4caa8776bea5</errorID>
      <errorWord>操作合</errorWord>
      <group>L1_Word</group>
      <groupName>字词问题</groupName>
      <ability>L2_Typo</ability>
      <abilityName>字词错误</abilityName>
      <candidateList>
        <item>操作台</item>
      </candidateList>
      <explain/>
      <paraID>491D9D0F</paraID>
      <start>9</start>
      <end>12</end>
      <status>unmodified</status>
      <modifiedWord/>
      <trackRevisions>false</trackRevisions>
    </reviewItem>
    <reviewItem>
      <errorID>63b673b4-b757-427a-abae-82b1179b3a4a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21DF84D5</paraID>
      <start>44</start>
      <end>46</end>
      <status>unmodified</status>
      <modifiedWord/>
      <trackRevisions>false</trackRevisions>
    </reviewItem>
    <reviewItem>
      <errorID>eaaa3823-9cb3-4f2f-8410-1c4d07400874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754370DF</paraID>
      <start>42</start>
      <end>44</end>
      <status>unmodified</status>
      <modifiedWord/>
      <trackRevisions>false</trackRevisions>
    </reviewItem>
    <reviewItem>
      <errorID>86cc74e3-1dd5-4b1f-919b-25ca2db04245</errorID>
      <errorWord>：/</errorWord>
      <group>L1_Punc</group>
      <groupName>标点问题</groupName>
      <ability>L2_Punc</ability>
      <abilityName>标点符号检查</abilityName>
      <candidateList>
        <item>：</item>
      </candidateList>
      <explain/>
      <paraID>44C901B2</paraID>
      <start>4</start>
      <end>6</end>
      <status>unmodified</status>
      <modifiedWord/>
      <trackRevisions>false</trackRevisions>
    </reviewItem>
    <reviewItem>
      <errorID>b710aa0e-8b0a-48aa-a708-895c22444ce1</errorID>
      <errorWord>：/</errorWord>
      <group>L1_Punc</group>
      <groupName>标点问题</groupName>
      <ability>L2_Punc</ability>
      <abilityName>标点符号检查</abilityName>
      <candidateList>
        <item>：</item>
      </candidateList>
      <explain/>
      <paraID> D125E1E</paraID>
      <start>4</start>
      <end>6</end>
      <status>unmodified</status>
      <modifiedWord/>
      <trackRevisions>false</trackRevisions>
    </reviewItem>
    <reviewItem>
      <errorID>271b11d1-dff1-4cc1-b696-d6855386f3a9</errorID>
      <errorWord>：/</errorWord>
      <group>L1_Punc</group>
      <groupName>标点问题</groupName>
      <ability>L2_Punc</ability>
      <abilityName>标点符号检查</abilityName>
      <candidateList>
        <item>：</item>
      </candidateList>
      <explain/>
      <paraID>7F10BA53</paraID>
      <start>2</start>
      <end>4</end>
      <status>unmodified</status>
      <modifiedWord/>
      <trackRevisions>false</trackRevisions>
    </reviewItem>
    <reviewItem>
      <errorID>7cc66d1d-856f-459a-adc6-c97908e36a01</errorID>
      <errorWord>，</errorWord>
      <group>L1_Word</group>
      <groupName>字词问题</groupName>
      <ability>L2_Typo</ability>
      <abilityName>字词错误</abilityName>
      <candidateList>
        <item>，使</item>
      </candidateList>
      <explain/>
      <paraID>14B6EEC1</paraID>
      <start>32</start>
      <end>33</end>
      <status>unmodified</status>
      <modifiedWord/>
      <trackRevisions>false</trackRevisions>
    </reviewItem>
    <reviewItem>
      <errorID>66a59fce-a48b-42c2-b167-9eef165bea81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25A808B6</paraID>
      <start>15</start>
      <end>18</end>
      <status>unmodified</status>
      <modifiedWord/>
      <trackRevisions>false</trackRevisions>
    </reviewItem>
    <reviewItem>
      <errorID>5b53cbcc-ef37-44bb-9469-1e6eb34f7302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75F41465</paraID>
      <start>158</start>
      <end>163</end>
      <status>unmodified</status>
      <modifiedWord/>
      <trackRevisions>false</trackRevisions>
    </reviewItem>
    <reviewItem>
      <errorID>94787fe0-763b-4475-b00d-f2e5bc627c46</errorID>
      <errorWord>理</errorWord>
      <group>L1_Word</group>
      <groupName>字词问题</groupName>
      <ability>L2_Typo</ability>
      <abilityName>字词错误</abilityName>
      <candidateList>
        <item>理人</item>
      </candidateList>
      <explain/>
      <paraID> 993CF50</paraID>
      <start>20</start>
      <end>21</end>
      <status>unmodified</status>
      <modifiedWord/>
      <trackRevisions>false</trackRevisions>
    </reviewItem>
    <reviewItem>
      <errorID>735d8173-119f-433b-8b4d-d1eadc52239c</errorID>
      <errorWord>标价</errorWord>
      <group>L1_Word</group>
      <groupName>字词问题</groupName>
      <ability>L2_Typo</ability>
      <abilityName>字词错误</abilityName>
      <candidateList>
        <item>报价</item>
      </candidateList>
      <explain/>
      <paraID> E1A99A5</paraID>
      <start>45</start>
      <end>47</end>
      <status>unmodified</status>
      <modifiedWord/>
      <trackRevisions>false</trackRevisions>
    </reviewItem>
    <reviewItem>
      <errorID>458a2ee6-7626-4060-ba9f-cc9e4fbb108f</errorID>
      <errorWord>操作合</errorWord>
      <group>L1_Word</group>
      <groupName>字词问题</groupName>
      <ability>L2_Typo</ability>
      <abilityName>字词错误</abilityName>
      <candidateList>
        <item>操作台</item>
      </candidateList>
      <explain/>
      <paraID>2BD247D8</paraID>
      <start>9</start>
      <end>12</end>
      <status>unmodified</status>
      <modifiedWord/>
      <trackRevisions>false</trackRevisions>
    </reviewItem>
    <reviewItem>
      <errorID>e3d90797-3722-443b-9f3d-0fc7974da18c</errorID>
      <errorWord>接受</errorWord>
      <group>L1_Word</group>
      <groupName>字词问题</groupName>
      <ability>L2_Typo</ability>
      <abilityName>字词错误</abilityName>
      <candidateList>
        <item>接收</item>
      </candidateList>
      <explain>存在发音相同字词的误用。</explain>
      <paraID>69D04794</paraID>
      <start>35</start>
      <end>37</end>
      <status>unmodified</status>
      <modifiedWord/>
      <trackRevisions>false</trackRevisions>
    </reviewItem>
    <reviewItem>
      <errorID>2eebe6d0-e1e4-4144-afdf-85f5c0cb5740</errorID>
      <errorWord>【2013】17号</errorWord>
      <group>L1_Knowledge</group>
      <groupName>知识性问题</groupName>
      <ability>L2_Knowledge</ability>
      <abilityName>其他知识</abilityName>
      <candidateList>
        <item>〔2013〕17号</item>
      </candidateList>
      <explain>发文字号格式错误。</explain>
      <paraID>38BB9AA1</paraID>
      <start>157</start>
      <end>166</end>
      <status>unmodified</status>
      <modifiedWord/>
      <trackRevisions>false</trackRevisions>
    </reviewItem>
    <reviewItem>
      <errorID>c3a42002-dedd-4bb1-bfca-59242bf37442</errorID>
      <errorWord>【2016】70号</errorWord>
      <group>L1_Knowledge</group>
      <groupName>知识性问题</groupName>
      <ability>L2_Knowledge</ability>
      <abilityName>其他知识</abilityName>
      <candidateList>
        <item>〔2016〕70号</item>
      </candidateList>
      <explain>发文字号格式错误。</explain>
      <paraID>38BB9AA1</paraID>
      <start>171</start>
      <end>180</end>
      <status>unmodified</status>
      <modifiedWord/>
      <trackRevisions>false</trackRevisions>
    </reviewItem>
    <reviewItem>
      <errorID>6abafcdf-27b9-40c1-a6f7-220bc49b5b03</errorID>
      <errorWord>签证</errorWord>
      <group>L1_Word</group>
      <groupName>字词问题</groupName>
      <ability>L2_Typo</ability>
      <abilityName>字词错误</abilityName>
      <candidateList>
        <item>签章</item>
      </candidateList>
      <explain/>
      <paraID>4D64E3D6</paraID>
      <start>65</start>
      <end>67</end>
      <status>unmodified</status>
      <modifiedWord/>
      <trackRevisions>false</trackRevisions>
    </reviewItem>
    <reviewItem>
      <errorID>6e2ce0ff-c9e5-46d4-ba68-55e6a9604522</errorID>
      <errorWord>，</errorWord>
      <group>L1_Word</group>
      <groupName>字词问题</groupName>
      <ability>L2_Typo</ability>
      <abilityName>字词错误</abilityName>
      <candidateList>
        <item>，在</item>
      </candidateList>
      <explain/>
      <paraID>4D64E3D6</paraID>
      <start>92</start>
      <end>93</end>
      <status>unmodified</status>
      <modifiedWord/>
      <trackRevisions>false</trackRevisions>
    </reviewItem>
    <reviewItem>
      <errorID>dfa516bb-08d8-4797-85e9-43babfa978ba</errorID>
      <errorWord>-</errorWord>
      <group>L1_Format</group>
      <groupName>格式问题</groupName>
      <ability>L2_HalfPunc</ability>
      <abilityName>全半角检查</abilityName>
      <candidateList>
        <item>－</item>
      </candidateList>
      <explain>文本全半角错误。</explain>
      <paraID>358120A6</paraID>
      <start>20</start>
      <end>21</end>
      <status>unmodified</status>
      <modifiedWord/>
      <trackRevisions>false</trackRevisions>
    </reviewItem>
    <reviewItem>
      <errorID>578e87d0-1722-4952-b63e-01e982754663</errorID>
      <errorWord>法律、法规</errorWord>
      <group>L1_Word</group>
      <groupName>字词问题</groupName>
      <ability>L2_Typo</ability>
      <abilityName>字词错误</abilityName>
      <candidateList>
        <item>法律法规</item>
      </candidateList>
      <explain/>
      <paraID>13ED21A7</paraID>
      <start>3</start>
      <end>8</end>
      <status>unmodified</status>
      <modifiedWord/>
      <trackRevisions>false</trackRevisions>
    </reviewItem>
    <reviewItem>
      <errorID>a9a3ed1b-42e0-4b4f-8e27-4dc0276d276b</errorID>
      <errorWord>标价工程量</errorWord>
      <group>L1_Word</group>
      <groupName>字词问题</groupName>
      <ability>L2_Typo</ability>
      <abilityName>字词错误</abilityName>
      <candidateList>
        <item>标记工程量</item>
      </candidateList>
      <explain/>
      <paraID>4D915E5A</paraID>
      <start>6</start>
      <end>11</end>
      <status>unmodified</status>
      <modifiedWord/>
      <trackRevisions>false</trackRevisions>
    </reviewItem>
    <reviewItem>
      <errorID>824b2f76-7b9c-4803-8413-5432b0fadc18</errorID>
      <errorWord>项目为</errorWord>
      <group>L1_Word</group>
      <groupName>字词问题</groupName>
      <ability>L2_Typo</ability>
      <abilityName>字词错误</abilityName>
      <candidateList>
        <item>项目</item>
      </candidateList>
      <explain>〈名〉事物分成的门类：服务～｜体育～｜建设～。</explain>
      <paraID>14F2F877</paraID>
      <start>41</start>
      <end>44</end>
      <status>unmodified</status>
      <modifiedWord/>
      <trackRevisions>false</trackRevisions>
    </reviewItem>
    <reviewItem>
      <errorID>d3ec8430-f449-4145-8b10-dc515c09cf45</errorID>
      <errorWord>，</errorWord>
      <group>L1_Word</group>
      <groupName>字词问题</groupName>
      <ability>L2_Typo</ability>
      <abilityName>字词错误</abilityName>
      <candidateList>
        <item>，具</item>
      </candidateList>
      <explain/>
      <paraID>2AC44CF9</paraID>
      <start>24</start>
      <end>25</end>
      <status>unmodified</status>
      <modifiedWord/>
      <trackRevisions>false</trackRevisions>
    </reviewItem>
    <reviewItem>
      <errorID>19470442-9196-4dda-b807-9952168cf18f</errorID>
      <errorWord>其它</errorWord>
      <group>L1_Word</group>
      <groupName>字词问题</groupName>
      <ability>L2_Alias</ability>
      <abilityName>也作/曾用词</abilityName>
      <candidateList>
        <item>其他</item>
      </candidateList>
      <explain>词汇[其它]为不规范表述或旧称，其规范书面表述为[其他]。</explain>
      <paraID> F5C20B5</paraID>
      <start>3</start>
      <end>5</end>
      <status>modified</status>
      <modifiedWord>其他</modifiedWord>
      <trackRevisions>false</trackRevisions>
    </reviewItem>
    <reviewItem>
      <errorID>36fda752-60e3-41e0-bcf5-babff229ef3e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37A08DD</paraID>
      <start>15</start>
      <end>18</end>
      <status>unmodified</status>
      <modifiedWord/>
      <trackRevisions>false</trackRevisions>
    </reviewItem>
    <reviewItem>
      <errorID>5959a709-3a68-4d21-a92d-f9b7af725040</errorID>
      <errorWord>房</errorWord>
      <group>L1_Word</group>
      <groupName>字词问题</groupName>
      <ability>L2_Typo</ability>
      <abilityName>字词错误</abilityName>
      <candidateList>
        <item>房和</item>
      </candidateList>
      <explain/>
      <paraID>6851A7D1</paraID>
      <start>7</start>
      <end>8</end>
      <status>unmodified</status>
      <modifiedWord/>
      <trackRevisions>false</trackRevisions>
    </reviewItem>
    <reviewItem>
      <errorID>aace40e7-30e7-44ab-93fc-54646b331ca0</errorID>
      <errorWord>(</errorWord>
      <group>L1_Format</group>
      <groupName>格式问题</groupName>
      <ability>L2_HalfPunc</ability>
      <abilityName>全半角检查</abilityName>
      <candidateList>
        <item>（</item>
      </candidateList>
      <explain>文本全半角错误。</explain>
      <paraID>6851A7D1</paraID>
      <start>155</start>
      <end>156</end>
      <status>modified</status>
      <modifiedWord>（</modifiedWord>
      <trackRevisions>false</trackRevisions>
    </reviewItem>
    <reviewItem>
      <errorID>abe8433e-8393-4974-b191-4a05618a3f96</errorID>
      <errorWord>)</errorWord>
      <group>L1_Format</group>
      <groupName>格式问题</groupName>
      <ability>L2_HalfPunc</ability>
      <abilityName>全半角检查</abilityName>
      <candidateList>
        <item>）</item>
      </candidateList>
      <explain>文本全半角错误。</explain>
      <paraID>6851A7D1</paraID>
      <start>159</start>
      <end>160</end>
      <status>modified</status>
      <modifiedWord>）</modifiedWord>
      <trackRevisions>false</trackRevisions>
    </reviewItem>
    <reviewItem>
      <errorID>7dc46948-3526-4c22-840c-a3d055da2e37</errorID>
      <errorWord>房</errorWord>
      <group>L1_Word</group>
      <groupName>字词问题</groupName>
      <ability>L2_Typo</ability>
      <abilityName>字词错误</abilityName>
      <candidateList>
        <item>房和</item>
      </candidateList>
      <explain/>
      <paraID>5555E349</paraID>
      <start>31</start>
      <end>32</end>
      <status>unmodified</status>
      <modifiedWord/>
      <trackRevisions>false</trackRevisions>
    </reviewItem>
    <reviewItem>
      <errorID>e9321577-9ee0-4155-9133-d4ed94c80e5a</errorID>
      <errorWord>其它</errorWord>
      <group>L1_Word</group>
      <groupName>字词问题</groupName>
      <ability>L2_Alias</ability>
      <abilityName>也作/曾用词</abilityName>
      <candidateList>
        <item>其他</item>
      </candidateList>
      <explain>词汇[其它]为不规范表述或旧称，其规范书面表述为[其他]。</explain>
      <paraID> 2354919</paraID>
      <start>3</start>
      <end>5</end>
      <status>unmodified</status>
      <modifiedWord/>
      <trackRevisions>false</trackRevisions>
    </reviewItem>
    <reviewItem>
      <errorID>68fe65be-d2a8-4e2a-ae2c-509260636edd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395F1874</paraID>
      <start>27</start>
      <end>30</end>
      <status>unmodified</status>
      <modifiedWord/>
      <trackRevisions>false</trackRevisions>
    </reviewItem>
    <reviewItem>
      <errorID>53b29163-7780-49e6-ab67-a8a7cd4a28fb</errorID>
      <errorWord>股东大会</errorWord>
      <group>L1_Word</group>
      <groupName>字词问题</groupName>
      <ability>L2_Typo</ability>
      <abilityName>字词错误</abilityName>
      <candidateList>
        <item>股东会</item>
      </candidateList>
      <explain/>
      <paraID>1403D9BC</paraID>
      <start>113</start>
      <end>117</end>
      <status>unmodified</status>
      <modifiedWord/>
      <trackRevisions>false</trackRevisions>
    </reviewItem>
    <reviewItem>
      <errorID>1929376f-5136-4230-9981-9cb3fb45b845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1870D7AB</paraID>
      <start>47</start>
      <end>49</end>
      <status>unmodified</status>
      <modifiedWord/>
      <trackRevisions>false</trackRevisions>
    </reviewItem>
    <reviewItem>
      <errorID>dc24e9c9-fe86-484c-8544-9f1b992248cb</errorID>
      <errorWord>税</errorWord>
      <group>L1_Word</group>
      <groupName>字词问题</groupName>
      <ability>L2_Typo</ability>
      <abilityName>字词错误</abilityName>
      <candidateList>
        <item>税方</item>
      </candidateList>
      <explain/>
      <paraID>49658E5A</paraID>
      <start>6</start>
      <end>7</end>
      <status>unmodified</status>
      <modifiedWord/>
      <trackRevisions>false</trackRevisions>
    </reviewItem>
    <reviewItem>
      <errorID>907aa4e0-1177-4280-87ec-73b1664dfed0</errorID>
      <errorWord>&lt;</errorWord>
      <group>L1_Format</group>
      <groupName>格式问题</groupName>
      <ability>L2_HalfPunc</ability>
      <abilityName>全半角检查</abilityName>
      <candidateList>
        <item>〈</item>
      </candidateList>
      <explain>文本全半角错误。</explain>
      <paraID>49658E5A</paraID>
      <start>107</start>
      <end>108</end>
      <status>unmodified</status>
      <modifiedWord/>
      <trackRevisions>false</trackRevisions>
    </reviewItem>
    <reviewItem>
      <errorID>82b84489-55ff-4208-a501-0915daaa30e8</errorID>
      <errorWord>&gt;</errorWord>
      <group>L1_Format</group>
      <groupName>格式问题</groupName>
      <ability>L2_HalfPunc</ability>
      <abilityName>全半角检查</abilityName>
      <candidateList>
        <item>〉</item>
      </candidateList>
      <explain>文本全半角错误。</explain>
      <paraID>49658E5A</paraID>
      <start>121</start>
      <end>122</end>
      <status>unmodified</status>
      <modifiedWord/>
      <trackRevisions>false</trackRevisions>
    </reviewItem>
    <reviewItem>
      <errorID>6caab497-6bbd-4c3c-93d1-4239fb1e7097</errorID>
      <errorWord>理</errorWord>
      <group>L1_Word</group>
      <groupName>字词问题</groupName>
      <ability>L2_Typo</ability>
      <abilityName>字词错误</abilityName>
      <candidateList>
        <item>理人</item>
      </candidateList>
      <explain/>
      <paraID>69B8D058</paraID>
      <start>18</start>
      <end>19</end>
      <status>unmodified</status>
      <modifiedWord/>
      <trackRevisions>false</trackRevisions>
    </reviewItem>
    <reviewItem>
      <errorID>bb0ca37f-7df3-4a51-913a-374f7aa1f0b0</errorID>
      <errorWord>......</errorWord>
      <group>L1_Punc</group>
      <groupName>标点问题</groupName>
      <ability>L2_Punc</ability>
      <abilityName>标点符号检查</abilityName>
      <candidateList>
        <item>……</item>
      </candidateList>
      <explain/>
      <paraID>31754FE2</paraID>
      <start>0</start>
      <end>6</end>
      <status>unmodified</status>
      <modifiedWord/>
      <trackRevisions>false</trackRevisions>
    </reviewItem>
    <reviewItem>
      <errorID>608e8e48-b5d7-4887-a15e-34a86abe35ba</errorID>
      <errorWord>交纳</errorWord>
      <group>L1_Word</group>
      <groupName>字词问题</groupName>
      <ability>L2_Typo</ability>
      <abilityName>字词错误</abilityName>
      <candidateList>
        <item>缴纳</item>
      </candidateList>
      <explain>存在发音相同字词的误用。</explain>
      <paraID>551967B9</paraID>
      <start>263</start>
      <end>265</end>
      <status>unmodified</status>
      <modifiedWord/>
      <trackRevisions>false</trackRevisions>
    </reviewItem>
    <reviewItem>
      <errorID>f579dcd8-a252-46b9-950c-cc78ad33e02b</errorID>
      <errorWord>【2013】17号</errorWord>
      <group>L1_Knowledge</group>
      <groupName>知识性问题</groupName>
      <ability>L2_Knowledge</ability>
      <abilityName>其他知识</abilityName>
      <candidateList>
        <item>〔2013〕17号</item>
      </candidateList>
      <explain>发文字号格式错误。</explain>
      <paraID>51DB7B59</paraID>
      <start>151</start>
      <end>160</end>
      <status>unmodified</status>
      <modifiedWord/>
      <trackRevisions>false</trackRevisions>
    </reviewItem>
    <reviewItem>
      <errorID>3235f519-75a3-4d68-8738-de5ac6eb7fdb</errorID>
      <errorWord>【2016】70号</errorWord>
      <group>L1_Knowledge</group>
      <groupName>知识性问题</groupName>
      <ability>L2_Knowledge</ability>
      <abilityName>其他知识</abilityName>
      <candidateList>
        <item>〔2016〕70号</item>
      </candidateList>
      <explain>发文字号格式错误。</explain>
      <paraID>51DB7B59</paraID>
      <start>165</start>
      <end>174</end>
      <status>unmodified</status>
      <modifiedWord/>
      <trackRevisions>false</trackRevisions>
    </reviewItem>
    <reviewItem>
      <errorID>f5ce16bb-9053-4e72-8f5b-adffc87d55d5</errorID>
      <errorWord>应</errorWord>
      <group>L1_Word</group>
      <groupName>字词问题</groupName>
      <ability>L2_Typo</ability>
      <abilityName>字词错误</abilityName>
      <candidateList>
        <item>应按</item>
      </candidateList>
      <explain/>
      <paraID>378040C7</paraID>
      <start>9</start>
      <end>10</end>
      <status>unmodified</status>
      <modifiedWord/>
      <trackRevisions>false</trackRevisions>
    </reviewItem>
    <reviewItem>
      <errorID>15bdbab8-c350-41c8-b485-9864dcc11a34</errorID>
      <errorWord>提出质疑</errorWord>
      <group>L1_Word</group>
      <groupName>字词问题</groupName>
      <ability>L2_Typo</ability>
      <abilityName>字词错误</abilityName>
      <candidateList>
        <item>质疑</item>
      </candidateList>
      <explain>〈动〉提出疑问：～问难。</explain>
      <paraID>2FB55A11</paraID>
      <start>53</start>
      <end>57</end>
      <status>unmodified</status>
      <modifiedWord/>
      <trackRevisions>false</trackRevisions>
    </reviewItem>
    <reviewItem>
      <errorID>ae422b7e-1b68-49eb-826c-487791b34e05</errorID>
      <errorWord>)</errorWord>
      <group>L1_Format</group>
      <groupName>格式问题</groupName>
      <ability>L2_HalfPunc</ability>
      <abilityName>全半角检查</abilityName>
      <candidateList>
        <item>）</item>
      </candidateList>
      <explain>文本全半角错误。</explain>
      <paraID>3FD728A8</paraID>
      <start>35</start>
      <end>36</end>
      <status>modified</status>
      <modifiedWord>）</modifiedWord>
      <trackRevisions>false</trackRevisions>
    </reviewItem>
    <reviewItem>
      <errorID>0f6d97d0-dbfe-458d-b30e-fa8192648d5e</errorID>
      <errorWord>)</errorWord>
      <group>L1_Format</group>
      <groupName>格式问题</groupName>
      <ability>L2_HalfPunc</ability>
      <abilityName>全半角检查</abilityName>
      <candidateList>
        <item>）</item>
      </candidateList>
      <explain>文本全半角错误。</explain>
      <paraID> EB2B5D8</paraID>
      <start>37</start>
      <end>38</end>
      <status>modified</status>
      <modifiedWord>）</modifiedWord>
      <trackRevisions>false</trackRevisions>
    </reviewItem>
    <reviewItem>
      <errorID>03a0f3d6-f276-4f4f-afed-492518eff758</errorID>
      <errorWord>)</errorWord>
      <group>L1_Format</group>
      <groupName>格式问题</groupName>
      <ability>L2_HalfPunc</ability>
      <abilityName>全半角检查</abilityName>
      <candidateList>
        <item>）</item>
      </candidateList>
      <explain>文本全半角错误。</explain>
      <paraID>2EBB65C4</paraID>
      <start>37</start>
      <end>38</end>
      <status>modified</status>
      <modifiedWord>）</modifiedWord>
      <trackRevisions>false</trackRevisions>
    </reviewItem>
    <reviewItem>
      <errorID>9baecde2-661f-4db3-9580-4b226a9577fe</errorID>
      <errorWord>)</errorWord>
      <group>L1_Format</group>
      <groupName>格式问题</groupName>
      <ability>L2_HalfPunc</ability>
      <abilityName>全半角检查</abilityName>
      <candidateList>
        <item>）</item>
      </candidateList>
      <explain>文本全半角错误。</explain>
      <paraID>59B59228</paraID>
      <start>37</start>
      <end>38</end>
      <status>modified</status>
      <modifiedWord>）</modifiedWord>
      <trackRevisions>false</trackRevisions>
    </reviewItem>
    <reviewItem>
      <errorID>a439554b-8649-4dc4-85c1-8727b5a488ed</errorID>
      <errorWord>)</errorWord>
      <group>L1_Format</group>
      <groupName>格式问题</groupName>
      <ability>L2_HalfPunc</ability>
      <abilityName>全半角检查</abilityName>
      <candidateList>
        <item>）</item>
      </candidateList>
      <explain>文本全半角错误。</explain>
      <paraID>1674EA61</paraID>
      <start>37</start>
      <end>38</end>
      <status>modified</status>
      <modifiedWord>）</modifiedWord>
      <trackRevisions>false</trackRevisions>
    </reviewItem>
    <reviewItem>
      <errorID>eee76423-5d17-447a-83bd-e33e301e8540</errorID>
      <errorWord>)</errorWord>
      <group>L1_Format</group>
      <groupName>格式问题</groupName>
      <ability>L2_HalfPunc</ability>
      <abilityName>全半角检查</abilityName>
      <candidateList>
        <item>）</item>
      </candidateList>
      <explain>文本全半角错误。</explain>
      <paraID>1F4109F1</paraID>
      <start>37</start>
      <end>38</end>
      <status>modified</status>
      <modifiedWord>）</modifiedWord>
      <trackRevisions>false</trackRevisions>
    </reviewItem>
    <reviewItem>
      <errorID>63ccaa41-35de-4caa-90b2-036445f46cf3</errorID>
      <errorWord>:</errorWord>
      <group>L1_Format</group>
      <groupName>格式问题</groupName>
      <ability>L2_HalfPunc</ability>
      <abilityName>全半角检查</abilityName>
      <candidateList>
        <item>：</item>
      </candidateList>
      <explain>文本全半角错误。</explain>
      <paraID>7D4E0575</paraID>
      <start>10</start>
      <end>11</end>
      <status>unmodified</status>
      <modifiedWord/>
      <trackRevisions>false</trackRevisions>
    </reviewItem>
    <reviewItem>
      <errorID>384b91bb-4e53-473b-82d3-bf3f1896c59d</errorID>
      <errorWord>一类</errorWord>
      <group>L1_Knowledge</group>
      <groupName>知识性问题</groupName>
      <ability>L2_Knowledge</ability>
      <abilityName>其他知识</abilityName>
      <candidateList>
        <item>一项</item>
      </candidateList>
      <explain/>
      <paraID>19E364CD</paraID>
      <start>35</start>
      <end>37</end>
      <status>unmodified</status>
      <modifiedWord/>
      <trackRevisions>false</trackRevisions>
    </reviewItem>
    <reviewItem>
      <errorID>ecf65623-b838-4c00-b743-1a0e0449ca90</errorID>
      <errorWord>(</errorWord>
      <group>L1_Format</group>
      <groupName>格式问题</groupName>
      <ability>L2_HalfPunc</ability>
      <abilityName>全半角检查</abilityName>
      <candidateList>
        <item>（</item>
      </candidateList>
      <explain>文本全半角错误。</explain>
      <paraID>1D450338</paraID>
      <start>6</start>
      <end>7</end>
      <status>modified</status>
      <modifiedWord>（</modifiedWord>
      <trackRevisions>false</trackRevisions>
    </reviewItem>
    <reviewItem>
      <errorID>830c451f-9ae3-4e12-b8be-a6e49558e631</errorID>
      <errorWord>)</errorWord>
      <group>L1_Format</group>
      <groupName>格式问题</groupName>
      <ability>L2_HalfPunc</ability>
      <abilityName>全半角检查</abilityName>
      <candidateList>
        <item>）</item>
      </candidateList>
      <explain>文本全半角错误。</explain>
      <paraID>1D450338</paraID>
      <start>9</start>
      <end>10</end>
      <status>modified</status>
      <modifiedWord>）</modifiedWord>
      <trackRevisions>false</trackRevisions>
    </reviewItem>
    <reviewItem>
      <errorID>54654c70-41f8-4796-9705-a48c8fd7e641</errorID>
      <errorWord>(</errorWord>
      <group>L1_Format</group>
      <groupName>格式问题</groupName>
      <ability>L2_HalfPunc</ability>
      <abilityName>全半角检查</abilityName>
      <candidateList>
        <item>（</item>
      </candidateList>
      <explain>文本全半角错误。</explain>
      <paraID>1D450338</paraID>
      <start>38</start>
      <end>39</end>
      <status>modified</status>
      <modifiedWord>（</modifiedWord>
      <trackRevisions>false</trackRevisions>
    </reviewItem>
    <reviewItem>
      <errorID>d065b436-4db7-4bb1-9fa7-393010386a18</errorID>
      <errorWord>)</errorWord>
      <group>L1_Format</group>
      <groupName>格式问题</groupName>
      <ability>L2_HalfPunc</ability>
      <abilityName>全半角检查</abilityName>
      <candidateList>
        <item>）</item>
      </candidateList>
      <explain>文本全半角错误。</explain>
      <paraID>1D450338</paraID>
      <start>41</start>
      <end>42</end>
      <status>modified</status>
      <modifiedWord>）</modifiedWord>
      <trackRevisions>false</trackRevisions>
    </reviewItem>
    <reviewItem>
      <errorID>14cbcb7d-f737-4f60-ac46-da9d240b4b3d</errorID>
      <errorWord>所作的</errorWord>
      <group>L1_Word</group>
      <groupName>字词问题</groupName>
      <ability>L2_Typo</ability>
      <abilityName>字词错误</abilityName>
      <candidateList>
        <item>所做的</item>
      </candidateList>
      <explain/>
      <paraID>40DDC4B4</paraID>
      <start>43</start>
      <end>46</end>
      <status>unmodified</status>
      <modifiedWord/>
      <trackRevisions>false</trackRevisions>
    </reviewItem>
    <reviewItem>
      <errorID>e341a9f5-ec93-4960-8b09-bf3e0e679d82</errorID>
      <errorWord>暂列金额</errorWord>
      <group>L1_Knowledge</group>
      <groupName>知识性问题</groupName>
      <ability>L2_Term</ability>
      <abilityName>专业术语</abilityName>
      <candidateList>
        <item>暂定金额</item>
      </candidateList>
      <explain/>
      <paraID>74C4981A</paraID>
      <start>51</start>
      <end>55</end>
      <status>unmodified</status>
      <modifiedWord/>
      <trackRevisions>false</trackRevisions>
    </reviewItem>
    <reviewItem>
      <errorID>83da1461-b24a-4efc-a0a3-e35c0471a78e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4FAC8B52</paraID>
      <start>127</start>
      <end>129</end>
      <status>unmodified</status>
      <modifiedWord/>
      <trackRevisions>false</trackRevisions>
    </reviewItem>
    <reviewItem>
      <errorID>3500cd55-9c23-4a6d-a2d8-46331fdd04ba</errorID>
      <errorWord>一类</errorWord>
      <group>L1_Knowledge</group>
      <groupName>知识性问题</groupName>
      <ability>L2_Knowledge</ability>
      <abilityName>其他知识</abilityName>
      <candidateList>
        <item>一项</item>
      </candidateList>
      <explain/>
      <paraID>114C7EC6</paraID>
      <start>35</start>
      <end>37</end>
      <status>unmodified</status>
      <modifiedWord/>
      <trackRevisions>false</trackRevisions>
    </reviewItem>
    <reviewItem>
      <errorID>61233eec-541d-4f68-94ed-f064de58049c</errorID>
      <errorWord>附具</errorWord>
      <group>L1_Word</group>
      <groupName>字词问题</groupName>
      <ability>L2_Typo</ability>
      <abilityName>字词错误</abilityName>
      <candidateList>
        <item>出具</item>
      </candidateList>
      <explain>〈动〉开出；写出（证明、证件等）：～介绍信｜～健康证明。</explain>
      <paraID>4B589669</paraID>
      <start>52</start>
      <end>54</end>
      <status>unmodified</status>
      <modifiedWord/>
      <trackRevisions>false</trackRevisions>
    </reviewItem>
    <reviewItem>
      <errorID>2f7b0c3d-077e-4513-85bf-b42989df9fd9</errorID>
      <errorWord>送达至</errorWord>
      <group>L1_Word</group>
      <groupName>字词问题</groupName>
      <ability>L2_Typo</ability>
      <abilityName>字词错误</abilityName>
      <candidateList>
        <item>送达</item>
      </candidateList>
      <explain/>
      <paraID>4701303B</paraID>
      <start>22</start>
      <end>25</end>
      <status>unmodified</status>
      <modifiedWord/>
      <trackRevisions>false</trackRevisions>
    </reviewItem>
    <reviewItem>
      <errorID>2fe18084-0383-4a76-999f-0eda8f13c387</errorID>
      <errorWord>涵义</errorWord>
      <group>L1_Word</group>
      <groupName>字词问题</groupName>
      <ability>L2_Alias</ability>
      <abilityName>也作/曾用词</abilityName>
      <candidateList>
        <item>含义</item>
      </candidateList>
      <explain>词汇[涵义]为不规范表述或旧称，其规范书面表述为[含义]。</explain>
      <paraID>566007F7</paraID>
      <start>31</start>
      <end>33</end>
      <status>unmodified</status>
      <modifiedWord/>
      <trackRevisions>false</trackRevisions>
    </reviewItem>
    <reviewItem>
      <errorID>e65228b4-c2c4-45e3-93f2-7d8b1846270b</errorID>
      <errorWord>涵义</errorWord>
      <group>L1_Word</group>
      <groupName>字词问题</groupName>
      <ability>L2_Alias</ability>
      <abilityName>也作/曾用词</abilityName>
      <candidateList>
        <item>含义</item>
      </candidateList>
      <explain>词汇[涵义]为不规范表述或旧称，其规范书面表述为[含义]。</explain>
      <paraID>566007F7</paraID>
      <start>77</start>
      <end>79</end>
      <status>unmodified</status>
      <modifiedWord/>
      <trackRevisions>false</trackRevisions>
    </reviewItem>
    <reviewItem>
      <errorID>ae250dc4-e8f9-4c24-b45b-4d6da13efc9b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32C0221C</paraID>
      <start>54</start>
      <end>55</end>
      <status>unmodified</status>
      <modifiedWord/>
      <trackRevisions>false</trackRevisions>
    </reviewItem>
    <reviewItem>
      <errorID>382b42a8-f056-423c-9b63-23b5c9dd771a</errorID>
      <errorWord>发出了</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1E47FE16</paraID>
      <start>53</start>
      <end>56</end>
      <status>unmodified</status>
      <modifiedWord/>
      <trackRevisions>false</trackRevisions>
    </reviewItem>
    <reviewItem>
      <errorID>d71b6cab-49a3-4c76-8360-49c722db5243</errorID>
      <errorWord>应将</errorWord>
      <group>L1_Word</group>
      <groupName>字词问题</groupName>
      <ability>L2_Typo</ability>
      <abilityName>字词错误</abilityName>
      <candidateList>
        <item>应</item>
      </candidateList>
      <explain/>
      <paraID>24F59D08</paraID>
      <start>6</start>
      <end>8</end>
      <status>unmodified</status>
      <modifiedWord/>
      <trackRevisions>false</trackRevisions>
    </reviewItem>
    <reviewItem>
      <errorID>7c10ca95-d23a-4778-8dca-da1e39a66939</errorID>
      <errorWord>作</errorWord>
      <group>L1_Word</group>
      <groupName>字词问题</groupName>
      <ability>L2_Typo</ability>
      <abilityName>字词错误</abilityName>
      <candidateList>
        <item>做</item>
      </candidateList>
      <explain>存在发音相同字词的误用。</explain>
      <paraID>46811A55</paraID>
      <start>56</start>
      <end>57</end>
      <status>unmodified</status>
      <modifiedWord/>
      <trackRevisions>false</trackRevisions>
    </reviewItem>
    <reviewItem>
      <errorID>e4c25593-dc94-4128-b469-998a8eaf63b4</errorID>
      <errorWord>察看</errorWord>
      <group>L1_Word</group>
      <groupName>字词问题</groupName>
      <ability>L2_Typo</ability>
      <abilityName>字词错误</abilityName>
      <candidateList>
        <item>查看</item>
      </candidateList>
      <explain>〈动〉检查、观察（事物的情况）：～灾情｜亲自到现场～。</explain>
      <paraID>4008A393</paraID>
      <start>96</start>
      <end>98</end>
      <status>unmodified</status>
      <modifiedWord/>
      <trackRevisions>false</trackRevisions>
    </reviewItem>
    <reviewItem>
      <errorID>b35ff7d5-c592-44db-a54a-91b399e53149</errorID>
      <errorWord>，</errorWord>
      <group>L1_Word</group>
      <groupName>字词问题</groupName>
      <ability>L2_Typo</ability>
      <abilityName>字词错误</abilityName>
      <candidateList>
        <item>，在</item>
      </candidateList>
      <explain/>
      <paraID> 85B1B77</paraID>
      <start>28</start>
      <end>29</end>
      <status>unmodified</status>
      <modifiedWord/>
      <trackRevisions>false</trackRevisions>
    </reviewItem>
    <reviewItem>
      <errorID>346daf9b-bfca-4adc-abd1-63871ae0cd52</errorID>
      <errorWord>督促其</errorWord>
      <group>L1_Word</group>
      <groupName>字词问题</groupName>
      <ability>L2_Typo</ability>
      <abilityName>字词错误</abilityName>
      <candidateList>
        <item>督促</item>
      </candidateList>
      <explain/>
      <paraID>24C7331D</paraID>
      <start>90</start>
      <end>93</end>
      <status>unmodified</status>
      <modifiedWord/>
      <trackRevisions>false</trackRevisions>
    </reviewItem>
    <reviewItem>
      <errorID>1e4a0c94-c957-4c70-8a45-a8aed3665d92</errorID>
      <errorWord>,</errorWord>
      <group>L1_Format</group>
      <groupName>格式问题</groupName>
      <ability>L2_HalfPunc</ability>
      <abilityName>全半角检查</abilityName>
      <candidateList>
        <item>，</item>
      </candidateList>
      <explain>文本全半角错误。</explain>
      <paraID>18AEF2C2</paraID>
      <start>31</start>
      <end>32</end>
      <status>unmodified</status>
      <modifiedWord/>
      <trackRevisions>false</trackRevisions>
    </reviewItem>
    <reviewItem>
      <errorID>54558111-4cac-4eec-b610-75fe405ca804</errorID>
      <errorWord>按</errorWord>
      <group>L1_Word</group>
      <groupName>字词问题</groupName>
      <ability>L2_Typo</ability>
      <abilityName>字词错误</abilityName>
      <candidateList>
        <item>按照</item>
      </candidateList>
      <explain>〈介〉根据；依照：～法规办理｜～预定的计划执行。</explain>
      <paraID>18AEF2C2</paraID>
      <start>34</start>
      <end>35</end>
      <status>unmodified</status>
      <modifiedWord/>
      <trackRevisions>false</trackRevisions>
    </reviewItem>
    <reviewItem>
      <errorID>bb656206-065b-4c3f-97bd-cff3332a4d8b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18AEF2C2</paraID>
      <start>51</start>
      <end>52</end>
      <status>unmodified</status>
      <modifiedWord/>
      <trackRevisions>false</trackRevisions>
    </reviewItem>
    <reviewItem>
      <errorID>659a1b48-010c-4d9f-9158-3efb21c854b0</errorID>
      <errorWord>,</errorWord>
      <group>L1_Format</group>
      <groupName>格式问题</groupName>
      <ability>L2_HalfPunc</ability>
      <abilityName>全半角检查</abilityName>
      <candidateList>
        <item>，</item>
      </candidateList>
      <explain>文本全半角错误。</explain>
      <paraID>6EBD0BF1</paraID>
      <start>92</start>
      <end>93</end>
      <status>unmodified</status>
      <modifiedWord/>
      <trackRevisions>false</trackRevisions>
    </reviewItem>
    <reviewItem>
      <errorID>2c87416a-e6de-4dbf-aca3-5d68cafa87f8</errorID>
      <errorWord>噪音</errorWord>
      <group>L1_Word</group>
      <groupName>字词问题</groupName>
      <ability>L2_Alias</ability>
      <abilityName>也作/曾用词</abilityName>
      <candidateList>
        <item>噪声</item>
      </candidateList>
      <explain>词汇[噪音]为不规范表述或旧称，其规范书面表述为[噪声]。</explain>
      <paraID>6E579D69</paraID>
      <start>69</start>
      <end>71</end>
      <status>unmodified</status>
      <modifiedWord/>
      <trackRevisions>false</trackRevisions>
    </reviewItem>
    <reviewItem>
      <errorID>ef3c93be-288c-4769-91f0-55120704be13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4282B3BD</paraID>
      <start>31</start>
      <end>32</end>
      <status>unmodified</status>
      <modifiedWord/>
      <trackRevisions>false</trackRevisions>
    </reviewItem>
    <reviewItem>
      <errorID>f4e2e27c-5170-480f-a306-310cd34aa931</errorID>
      <errorWord>天</errorWord>
      <group>L1_Word</group>
      <groupName>字词问题</groupName>
      <ability>L2_Typo</ability>
      <abilityName>字词错误</abilityName>
      <candidateList>
        <item>天内</item>
      </candidateList>
      <explain/>
      <paraID>10E6DBB1</paraID>
      <start>81</start>
      <end>82</end>
      <status>unmodified</status>
      <modifiedWord/>
      <trackRevisions>false</trackRevisions>
    </reviewItem>
    <reviewItem>
      <errorID>f5788a0e-db32-44ed-976b-e10c1a8c918b</errorID>
      <errorWord>任何的</errorWord>
      <group>L1_Word</group>
      <groupName>字词问题</groupName>
      <ability>L2_Typo</ability>
      <abilityName>字词错误</abilityName>
      <candidateList>
        <item>任何</item>
      </candidateList>
      <explain>〈代〉指示代词。不论什么：～人都要遵纪守法｜我们能够战胜～困难。</explain>
      <paraID>7424868B</paraID>
      <start>65</start>
      <end>68</end>
      <status>unmodified</status>
      <modifiedWord/>
      <trackRevisions>false</trackRevisions>
    </reviewItem>
    <reviewItem>
      <errorID>fefa2b6f-08f8-439a-bff2-746c9b81ab70</errorID>
      <errorWord>;</errorWord>
      <group>L1_Format</group>
      <groupName>格式问题</groupName>
      <ability>L2_HalfPunc</ability>
      <abilityName>全半角检查</abilityName>
      <candidateList>
        <item>；</item>
      </candidateList>
      <explain>文本全半角错误。</explain>
      <paraID>2FC1A55C</paraID>
      <start>63</start>
      <end>64</end>
      <status>unmodified</status>
      <modifiedWord/>
      <trackRevisions>false</trackRevisions>
    </reviewItem>
    <reviewItem>
      <errorID>8a729001-4bd4-46bf-8ab3-ee2bfe1361bb</errorID>
      <errorWord>款</errorWord>
      <group>L1_Word</group>
      <groupName>字词问题</groupName>
      <ability>L2_Typo</ability>
      <abilityName>字词错误</abilityName>
      <candidateList>
        <item>款中</item>
      </candidateList>
      <explain/>
      <paraID>580A37B1</paraID>
      <start>62</start>
      <end>63</end>
      <status>unmodified</status>
      <modifiedWord/>
      <trackRevisions>false</trackRevisions>
    </reviewItem>
    <reviewItem>
      <errorID>cae3d9d9-71d2-4bd0-ba9f-c226fc234dbd</errorID>
      <errorWord>:</errorWord>
      <group>L1_Format</group>
      <groupName>格式问题</groupName>
      <ability>L2_HalfPunc</ability>
      <abilityName>全半角检查</abilityName>
      <candidateList>
        <item>：</item>
      </candidateList>
      <explain>文本全半角错误。</explain>
      <paraID>47064E0D</paraID>
      <start>43</start>
      <end>44</end>
      <status>unmodified</status>
      <modifiedWord/>
      <trackRevisions>false</trackRevisions>
    </reviewItem>
    <reviewItem>
      <errorID>2be3f9b2-e9f9-44b4-858f-df2812eb8494</errorID>
      <errorWord>其它</errorWord>
      <group>L1_Word</group>
      <groupName>字词问题</groupName>
      <ability>L2_Alias</ability>
      <abilityName>也作/曾用词</abilityName>
      <candidateList>
        <item>其他</item>
      </candidateList>
      <explain>词汇[其它]为不规范表述或旧称，其规范书面表述为[其他]。</explain>
      <paraID>6342C4A6</paraID>
      <start>2</start>
      <end>4</end>
      <status>unmodified</status>
      <modifiedWord/>
      <trackRevisions>false</trackRevisions>
    </reviewItem>
    <reviewItem>
      <errorID>7d6ce82c-98cc-4790-a8a0-d3dd215bf37b</errorID>
      <errorWord>）</errorWord>
      <group>L1_Word</group>
      <groupName>字词问题</groupName>
      <ability>L2_Typo</ability>
      <abilityName>字词错误</abilityName>
      <candidateList>
        <item>）项</item>
      </candidateList>
      <explain/>
      <paraID>6B95EBE4</paraID>
      <start>44</start>
      <end>45</end>
      <status>unmodified</status>
      <modifiedWord/>
      <trackRevisions>false</trackRevisions>
    </reviewItem>
    <reviewItem>
      <errorID>11728b3d-f7e1-4c92-ae78-1f65056e517b</errorID>
      <errorWord>估算金额</errorWord>
      <group>L1_Knowledge</group>
      <groupName>知识性问题</groupName>
      <ability>L2_Term</ability>
      <abilityName>专业术语</abilityName>
      <candidateList>
        <item>结算金额</item>
      </candidateList>
      <explain/>
      <paraID>6B95EBE4</paraID>
      <start>47</start>
      <end>51</end>
      <status>unmodified</status>
      <modifiedWord/>
      <trackRevisions>false</trackRevisions>
    </reviewItem>
    <reviewItem>
      <errorID>5d1ad77a-f659-460f-b70f-e56dc9c827fc</errorID>
      <errorWord>完</errorWord>
      <group>L1_Word</group>
      <groupName>字词问题</groupName>
      <ability>L2_Typo</ability>
      <abilityName>字词错误</abilityName>
      <candidateList>
        <item>完成</item>
      </candidateList>
      <explain>〈动〉按照预期的目的结束；做成：～任务｜～作业｜计划完得成。</explain>
      <paraID> C1EF0DA</paraID>
      <start>9</start>
      <end>10</end>
      <status>unmodified</status>
      <modifiedWord/>
      <trackRevisions>false</trackRevisions>
    </reviewItem>
    <reviewItem>
      <errorID>5f7150fe-b02e-45d0-93e9-bcc1350ccce0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5F9B1FFB</paraID>
      <start>67</start>
      <end>69</end>
      <status>unmodified</status>
      <modifiedWord/>
      <trackRevisions>false</trackRevisions>
    </reviewItem>
    <reviewItem>
      <errorID>70e7e0b7-15f9-4a98-9998-3ed914ad4178</errorID>
      <errorWord>，</errorWord>
      <group>L1_Word</group>
      <groupName>字词问题</groupName>
      <ability>L2_Typo</ability>
      <abilityName>字词错误</abilityName>
      <candidateList>
        <item>，并</item>
      </candidateList>
      <explain/>
      <paraID>143E522F</paraID>
      <start>42</start>
      <end>43</end>
      <status>unmodified</status>
      <modifiedWord/>
      <trackRevisions>false</trackRevisions>
    </reviewItem>
    <reviewItem>
      <errorID>418df7dc-dea6-49c4-aca1-4f913f6195ab</errorID>
      <errorWord>，</errorWord>
      <group>L1_Word</group>
      <groupName>字词问题</groupName>
      <ability>L2_Typo</ability>
      <abilityName>字词错误</abilityName>
      <candidateList>
        <item>，并</item>
      </candidateList>
      <explain/>
      <paraID>4B043DCB</paraID>
      <start>42</start>
      <end>43</end>
      <status>unmodified</status>
      <modifiedWord/>
      <trackRevisions>false</trackRevisions>
    </reviewItem>
    <reviewItem>
      <errorID>3e6be2ec-486d-41b2-be93-3eaa670a89a2</errorID>
      <errorWord>款</errorWord>
      <group>L1_Word</group>
      <groupName>字词问题</groupName>
      <ability>L2_Typo</ability>
      <abilityName>字词错误</abilityName>
      <candidateList>
        <item>款中</item>
      </candidateList>
      <explain/>
      <paraID>3AA2A486</paraID>
      <start>72</start>
      <end>73</end>
      <status>unmodified</status>
      <modifiedWord/>
      <trackRevisions>false</trackRevisions>
    </reviewItem>
    <reviewItem>
      <errorID>69489735-44b8-4ed6-9d90-3256b94f4fd1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875BD29</paraID>
      <start>34</start>
      <end>35</end>
      <status>unmodified</status>
      <modifiedWord/>
      <trackRevisions>false</trackRevisions>
    </reviewItem>
    <reviewItem>
      <errorID>3c51bb4f-419a-4572-803e-0b9689903f57</errorID>
      <errorWord>、以及</errorWord>
      <group>L1_Punc</group>
      <groupName>标点问题</groupName>
      <ability>L2_Punc</ability>
      <abilityName>标点符号检查</abilityName>
      <candidateList>
        <item>，以及</item>
      </candidateList>
      <explain>连接词前后不宜使用顿号，建议使用逗号。</explain>
      <paraID>69BFD424</paraID>
      <start>93</start>
      <end>96</end>
      <status>unmodified</status>
      <modifiedWord/>
      <trackRevisions>false</trackRevisions>
    </reviewItem>
    <reviewItem>
      <errorID>3802ee94-1599-4509-9df0-fb554c48f96d</errorID>
      <errorWord>：</errorWord>
      <group>L1_Word</group>
      <groupName>字词问题</groupName>
      <ability>L2_Typo</ability>
      <abilityName>字词错误</abilityName>
      <candidateList>
        <item>：以</item>
      </candidateList>
      <explain/>
      <paraID>428FD8F2</paraID>
      <start>17</start>
      <end>18</end>
      <status>unmodified</status>
      <modifiedWord/>
      <trackRevisions>false</trackRevisions>
    </reviewItem>
    <reviewItem>
      <errorID>752fd6c5-6766-4b1c-9e12-a99a4f9b7c2c</errorID>
      <errorWord>&lt;</errorWord>
      <group>L1_Format</group>
      <groupName>格式问题</groupName>
      <ability>L2_HalfPunc</ability>
      <abilityName>全半角检查</abilityName>
      <candidateList>
        <item>〈</item>
      </candidateList>
      <explain>文本全半角错误。</explain>
      <paraID>40148413</paraID>
      <start>25</start>
      <end>26</end>
      <status>unmodified</status>
      <modifiedWord/>
      <trackRevisions>false</trackRevisions>
    </reviewItem>
    <reviewItem>
      <errorID>7107d059-7565-467f-a725-3767b142046c</errorID>
      <errorWord>&gt;</errorWord>
      <group>L1_Format</group>
      <groupName>格式问题</groupName>
      <ability>L2_HalfPunc</ability>
      <abilityName>全半角检查</abilityName>
      <candidateList>
        <item>〉</item>
      </candidateList>
      <explain>文本全半角错误。</explain>
      <paraID>40148413</paraID>
      <start>39</start>
      <end>40</end>
      <status>unmodified</status>
      <modifiedWord/>
      <trackRevisions>false</trackRevisions>
    </reviewItem>
    <reviewItem>
      <errorID>8866c76d-5bf2-4955-a720-0e326ae304af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3C63D457</paraID>
      <start>0</start>
      <end>2</end>
      <status>unmodified</status>
      <modifiedWord/>
      <trackRevisions>false</trackRevisions>
    </reviewItem>
    <reviewItem>
      <errorID>15295333-802e-4cf2-ab70-6883012a6c52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51A65E00</paraID>
      <start>0</start>
      <end>2</end>
      <status>unmodified</status>
      <modifiedWord/>
      <trackRevisions>false</trackRevisions>
    </reviewItem>
    <reviewItem>
      <errorID>e83cce21-c716-4243-b824-86c828569940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5FFD071A</paraID>
      <start>0</start>
      <end>2</end>
      <status>unmodified</status>
      <modifiedWord/>
      <trackRevisions>false</trackRevisions>
    </reviewItem>
    <reviewItem>
      <errorID>583a7636-2fe8-4738-bfbe-ba55b36db961</errorID>
      <errorWord>建立健全的</errorWord>
      <group>L1_Word</group>
      <groupName>字词问题</groupName>
      <ability>L2_Typo</ability>
      <abilityName>字词错误</abilityName>
      <candidateList>
        <item>建立健全</item>
      </candidateList>
      <explain/>
      <paraID>56E1386E</paraID>
      <start>320</start>
      <end>325</end>
      <status>unmodified</status>
      <modifiedWord/>
      <trackRevisions>false</trackRevisions>
    </reviewItem>
    <reviewItem>
      <errorID>0f5b839f-818b-49b0-9e0d-095f12e49285</errorID>
      <errorWord>【2013】17号</errorWord>
      <group>L1_Knowledge</group>
      <groupName>知识性问题</groupName>
      <ability>L2_Knowledge</ability>
      <abilityName>其他知识</abilityName>
      <candidateList>
        <item>〔2013〕17号</item>
      </candidateList>
      <explain>发文字号格式错误。</explain>
      <paraID>307C1B07</paraID>
      <start>107</start>
      <end>116</end>
      <status>unmodified</status>
      <modifiedWord/>
      <trackRevisions>false</trackRevisions>
    </reviewItem>
    <reviewItem>
      <errorID>d4c567c0-5d84-46e1-9ef1-6400e2c5e922</errorID>
      <errorWord>【2016】70号</errorWord>
      <group>L1_Knowledge</group>
      <groupName>知识性问题</groupName>
      <ability>L2_Knowledge</ability>
      <abilityName>其他知识</abilityName>
      <candidateList>
        <item>〔2016〕70号</item>
      </candidateList>
      <explain>发文字号格式错误。</explain>
      <paraID>307C1B07</paraID>
      <start>121</start>
      <end>130</end>
      <status>unmodified</status>
      <modifiedWord/>
      <trackRevisions>false</trackRevisions>
    </reviewItem>
    <reviewItem>
      <errorID>3d8cce12-8cb6-4082-8d73-21360835e187</errorID>
      <errorWord>交纳</errorWord>
      <group>L1_Word</group>
      <groupName>字词问题</groupName>
      <ability>L2_Typo</ability>
      <abilityName>字词错误</abilityName>
      <candidateList>
        <item>缴纳</item>
      </candidateList>
      <explain>〈动〉交纳：～税款。</explain>
      <paraID>583597E4</paraID>
      <start>69</start>
      <end>71</end>
      <status>unmodified</status>
      <modifiedWord/>
      <trackRevisions>false</trackRevisions>
    </reviewItem>
    <reviewItem>
      <errorID>e725606c-81b2-4265-b082-d0b1d550581a</errorID>
      <errorWord>交纳</errorWord>
      <group>L1_Word</group>
      <groupName>字词问题</groupName>
      <ability>L2_Typo</ability>
      <abilityName>字词错误</abilityName>
      <candidateList>
        <item>缴纳</item>
      </candidateList>
      <explain>〈动〉交纳：～税款。</explain>
      <paraID>571FBEC6</paraID>
      <start>88</start>
      <end>90</end>
      <status>unmodified</status>
      <modifiedWord/>
      <trackRevisions>false</trackRevisions>
    </reviewItem>
    <reviewItem>
      <errorID>209b7c74-7053-472a-b486-58124b5edbce</errorID>
      <errorWord>其它</errorWord>
      <group>L1_Word</group>
      <groupName>字词问题</groupName>
      <ability>L2_Alias</ability>
      <abilityName>也作/曾用词</abilityName>
      <candidateList>
        <item>其他</item>
      </candidateList>
      <explain>词汇[其它]为不规范表述或旧称，其规范书面表述为[其他]。</explain>
      <paraID>777B6695</paraID>
      <start>45</start>
      <end>47</end>
      <status>unmodified</status>
      <modifiedWord/>
      <trackRevisions>false</trackRevisions>
    </reviewItem>
    <reviewItem>
      <errorID>c32232a6-4fa4-43af-bf1a-5674f8f28ed0</errorID>
      <errorWord>其它</errorWord>
      <group>L1_Word</group>
      <groupName>字词问题</groupName>
      <ability>L2_Alias</ability>
      <abilityName>也作/曾用词</abilityName>
      <candidateList>
        <item>其他</item>
      </candidateList>
      <explain>词汇[其它]为不规范表述或旧称，其规范书面表述为[其他]。</explain>
      <paraID>777B6695</paraID>
      <start>131</start>
      <end>133</end>
      <status>unmodified</status>
      <modifiedWord/>
      <trackRevisions>false</trackRevisions>
    </reviewItem>
    <reviewItem>
      <errorID>5e268a3e-05b3-4d9f-9568-c40efa5ce240</errorID>
      <errorWord>其它</errorWord>
      <group>L1_Word</group>
      <groupName>字词问题</groupName>
      <ability>L2_Alias</ability>
      <abilityName>也作/曾用词</abilityName>
      <candidateList>
        <item>其他</item>
      </candidateList>
      <explain>词汇[其它]为不规范表述或旧称，其规范书面表述为[其他]。</explain>
      <paraID> 97A7C0B</paraID>
      <start>129</start>
      <end>131</end>
      <status>unmodified</status>
      <modifiedWord/>
      <trackRevisions>false</trackRevisions>
    </reviewItem>
    <reviewItem>
      <errorID>aff91307-f7b4-4f76-bf67-14670afdbf3d</errorID>
      <errorWord>，</errorWord>
      <group>L1_Word</group>
      <groupName>字词问题</groupName>
      <ability>L2_Typo</ability>
      <abilityName>字词错误</abilityName>
      <candidateList>
        <item>，在</item>
      </candidateList>
      <explain/>
      <paraID>778E02C3</paraID>
      <start>120</start>
      <end>121</end>
      <status>unmodified</status>
      <modifiedWord/>
      <trackRevisions>false</trackRevisions>
    </reviewItem>
    <reviewItem>
      <errorID>db365b12-b230-42da-978e-5cbb7cee427a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3F54E79B</paraID>
      <start>29</start>
      <end>31</end>
      <status>unmodified</status>
      <modifiedWord/>
      <trackRevisions>false</trackRevisions>
    </reviewItem>
    <reviewItem>
      <errorID>6eb7b16b-2656-47be-908f-96ecc50c0220</errorID>
      <errorWord>办理的</errorWord>
      <group>L1_Word</group>
      <groupName>字词问题</groupName>
      <ability>L2_Typo</ability>
      <abilityName>字词错误</abilityName>
      <candidateList>
        <item>办理</item>
      </candidateList>
      <explain/>
      <paraID>3D459F53</paraID>
      <start>43</start>
      <end>46</end>
      <status>unmodified</status>
      <modifiedWord/>
      <trackRevisions>false</trackRevisions>
    </reviewItem>
    <reviewItem>
      <errorID>75d067c5-6442-4b81-91e9-ea016c8b30b5</errorID>
      <errorWord>&lt;</errorWord>
      <group>L1_Format</group>
      <groupName>格式问题</groupName>
      <ability>L2_HalfPunc</ability>
      <abilityName>全半角检查</abilityName>
      <candidateList>
        <item>〈</item>
      </candidateList>
      <explain>文本全半角错误。</explain>
      <paraID>6CA384D5</paraID>
      <start>62</start>
      <end>63</end>
      <status>unmodified</status>
      <modifiedWord/>
      <trackRevisions>false</trackRevisions>
    </reviewItem>
    <reviewItem>
      <errorID>13825712-fb5c-4c27-a4ea-f4748d5ecc55</errorID>
      <errorWord>&gt;的通知》</errorWord>
      <group>L1_Punc</group>
      <groupName>标点问题</groupName>
      <ability>L2_Punc</ability>
      <abilityName>标点符号检查</abilityName>
      <candidateList>
        <item>〉的通知》</item>
      </candidateList>
      <explain/>
      <paraID>6CA384D5</paraID>
      <start>87</start>
      <end>92</end>
      <status>unmodified</status>
      <modifiedWord/>
      <trackRevisions>false</trackRevisions>
    </reviewItem>
    <reviewItem>
      <errorID>20d622ae-7559-4810-9e95-556bb3dc537d</errorID>
      <errorWord>的的</errorWord>
      <group>L1_Word</group>
      <groupName>字词问题</groupName>
      <ability>L2_Typo</ability>
      <abilityName>字词错误</abilityName>
      <candidateList>
        <item>的</item>
      </candidateList>
      <explain>置于形容词、名词后，用于修饰事物的形态。</explain>
      <paraID>69974237</paraID>
      <start>115</start>
      <end>117</end>
      <status>unmodified</status>
      <modifiedWord/>
      <trackRevisions>false</trackRevisions>
    </reviewItem>
    <reviewItem>
      <errorID>a48cbb36-2803-49a6-a285-16a6a9ec7cee</errorID>
      <errorWord>运入</errorWord>
      <group>L1_Word</group>
      <groupName>字词问题</groupName>
      <ability>L2_Typo</ability>
      <abilityName>字词错误</abilityName>
      <candidateList>
        <item>进入</item>
      </candidateList>
      <explain>〈动〉支进到某个范围或某个时期里：～学校｜～新阶段◇～角色。</explain>
      <paraID> 20708E9</paraID>
      <start>25</start>
      <end>27</end>
      <status>unmodified</status>
      <modifiedWord/>
      <trackRevisions>false</trackRevisions>
    </reviewItem>
    <reviewItem>
      <errorID>253c1bcc-7cab-49b0-bbad-82d86ce1fdca</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 F794BD8</paraID>
      <start>34</start>
      <end>53</end>
      <status>unmodified</status>
      <modifiedWord/>
      <trackRevisions>false</trackRevisions>
    </reviewItem>
    <reviewItem>
      <errorID>4d5163de-e9cb-426b-a460-8f88257bbb9d</errorID>
      <errorWord>共同协商</errorWord>
      <group>L1_Word</group>
      <groupName>字词问题</groupName>
      <ability>L2_Typo</ability>
      <abilityName>字词错误</abilityName>
      <candidateList>
        <item>协商</item>
      </candidateList>
      <explain/>
      <paraID> AC204A4</paraID>
      <start>353</start>
      <end>357</end>
      <status>unmodified</status>
      <modifiedWord/>
      <trackRevisions>false</trackRevisions>
    </reviewItem>
    <reviewItem>
      <errorID>7b066c16-b2a0-40b7-8626-f69dfae6ab2a</errorID>
      <errorWord>计</errorWord>
      <group>L1_Word</group>
      <groupName>字词问题</groupName>
      <ability>L2_Typo</ability>
      <abilityName>字词错误</abilityName>
      <candidateList>
        <item>计算</item>
      </candidateList>
      <explain/>
      <paraID> AC204A4</paraID>
      <start>413</start>
      <end>414</end>
      <status>unmodified</status>
      <modifiedWord/>
      <trackRevisions>false</trackRevisions>
    </reviewItem>
    <reviewItem>
      <errorID>78eadb50-32a8-44f8-a210-c3182fb07b2f</errorID>
      <errorWord>种</errorWord>
      <group>L1_Word</group>
      <groupName>字词问题</groupName>
      <ability>L2_Typo</ability>
      <abilityName>字词错误</abilityName>
      <candidateList>
        <item/>
      </candidateList>
      <explain/>
      <paraID>626244DD</paraID>
      <start>29</start>
      <end>30</end>
      <status>unmodified</status>
      <modifiedWord/>
      <trackRevisions>false</trackRevisions>
    </reviewItem>
    <reviewItem>
      <errorID>91723808-8f24-4ef2-b6a9-022554cbe9ee</errorID>
      <errorWord>款</errorWord>
      <group>L1_Word</group>
      <groupName>字词问题</groupName>
      <ability>L2_Typo</ability>
      <abilityName>字词错误</abilityName>
      <candidateList>
        <item>款中</item>
      </candidateList>
      <explain/>
      <paraID>44420A4F</paraID>
      <start>77</start>
      <end>78</end>
      <status>unmodified</status>
      <modifiedWord/>
      <trackRevisions>false</trackRevisions>
    </reviewItem>
    <reviewItem>
      <errorID>73609d87-a97f-4860-af40-1cb0027b31d4</errorID>
      <errorWord>其它</errorWord>
      <group>L1_Word</group>
      <groupName>字词问题</groupName>
      <ability>L2_Alias</ability>
      <abilityName>也作/曾用词</abilityName>
      <candidateList>
        <item>其他</item>
      </candidateList>
      <explain>词汇[其它]为不规范表述或旧称，其规范书面表述为[其他]。</explain>
      <paraID>3D89CEF5</paraID>
      <start>1</start>
      <end>3</end>
      <status>unmodified</status>
      <modifiedWord/>
      <trackRevisions>false</trackRevisions>
    </reviewItem>
    <reviewItem>
      <errorID>891c4b41-8a0b-44d1-83cc-019bb6322327</errorID>
      <errorWord>。。</errorWord>
      <group>L1_Punc</group>
      <groupName>标点问题</groupName>
      <ability>L2_Punc</ability>
      <abilityName>标点符号检查</abilityName>
      <candidateList>
        <item>。</item>
      </candidateList>
      <explain/>
      <paraID>1D773D20</paraID>
      <start>38</start>
      <end>40</end>
      <status>unmodified</status>
      <modifiedWord/>
      <trackRevisions>false</trackRevisions>
    </reviewItem>
    <reviewItem>
      <errorID>961d08ab-54cd-4ad9-a4b8-aca5f2d7ca32</errorID>
      <errorWord>和及其</errorWord>
      <group>L1_Word</group>
      <groupName>字词问题</groupName>
      <ability>L2_Typo</ability>
      <abilityName>字词错误</abilityName>
      <candidateList>
        <item>及其</item>
      </candidateList>
      <explain/>
      <paraID>2CFAC936</paraID>
      <start>44</start>
      <end>47</end>
      <status>unmodified</status>
      <modifiedWord/>
      <trackRevisions>false</trackRevisions>
    </reviewItem>
    <reviewItem>
      <errorID>f31d3bfb-22a8-4099-99e8-99cd0b1461f1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14B12524</paraID>
      <start>0</start>
      <end>2</end>
      <status>unmodified</status>
      <modifiedWord/>
      <trackRevisions>false</trackRevisions>
    </reviewItem>
    <reviewItem>
      <errorID>d1cae2b8-ac89-460e-9b6c-3d609604de45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1221085F</paraID>
      <start>0</start>
      <end>2</end>
      <status>unmodified</status>
      <modifiedWord/>
      <trackRevisions>false</trackRevisions>
    </reviewItem>
    <reviewItem>
      <errorID>9391b213-e40a-40da-b8bb-9512191b2b64</errorID>
      <errorWord>(</errorWord>
      <group>L1_Format</group>
      <groupName>格式问题</groupName>
      <ability>L2_HalfPunc</ability>
      <abilityName>全半角检查</abilityName>
      <candidateList>
        <item>（</item>
      </candidateList>
      <explain>文本全半角错误。</explain>
      <paraID>6D3B2941</paraID>
      <start>38</start>
      <end>39</end>
      <status>modified</status>
      <modifiedWord>（</modifiedWord>
      <trackRevisions>false</trackRevisions>
    </reviewItem>
    <reviewItem>
      <errorID>bf038c92-fa42-4067-8286-d92fa2c93ed9</errorID>
      <errorWord>)</errorWord>
      <group>L1_Format</group>
      <groupName>格式问题</groupName>
      <ability>L2_HalfPunc</ability>
      <abilityName>全半角检查</abilityName>
      <candidateList>
        <item>）</item>
      </candidateList>
      <explain>文本全半角错误。</explain>
      <paraID>6D3B2941</paraID>
      <start>40</start>
      <end>41</end>
      <status>modified</status>
      <modifiedWord>）</modifiedWord>
      <trackRevisions>false</trackRevisions>
    </reviewItem>
    <reviewItem>
      <errorID>ae4f1836-9c1b-4ec5-9227-18a76f5084e0</errorID>
      <errorWord>款</errorWord>
      <group>L1_Word</group>
      <groupName>字词问题</groupName>
      <ability>L2_Typo</ability>
      <abilityName>字词错误</abilityName>
      <candidateList>
        <item>款规</item>
      </candidateList>
      <explain/>
      <paraID>7543C151</paraID>
      <start>23</start>
      <end>24</end>
      <status>unmodified</status>
      <modifiedWord/>
      <trackRevisions>false</trackRevisions>
    </reviewItem>
    <reviewItem>
      <errorID>cd57879d-6444-4051-b3e9-02a4cbd5a508</errorID>
      <errorWord>除为</errorWord>
      <group>L1_Word</group>
      <groupName>字词问题</groupName>
      <ability>L2_Typo</ability>
      <abilityName>字词错误</abilityName>
      <candidateList>
        <item>除</item>
      </candidateList>
      <explain/>
      <paraID>33725FE1</paraID>
      <start>58</start>
      <end>60</end>
      <status>unmodified</status>
      <modifiedWord/>
      <trackRevisions>false</trackRevisions>
    </reviewItem>
    <reviewItem>
      <errorID>1921ff23-2c0b-49dd-ab67-e4c340e8a503</errorID>
      <errorWord>其它物资</errorWord>
      <group>L1_Word</group>
      <groupName>字词问题</groupName>
      <ability>L2_Alias</ability>
      <abilityName>也作/曾用词</abilityName>
      <candidateList>
        <item>其他物资</item>
      </candidateList>
      <explain>词汇[其它物资]为不规范表述或旧称，其规范书面表述为[其他物资]。</explain>
      <paraID>33725FE1</paraID>
      <start>69</start>
      <end>73</end>
      <status>unmodified</status>
      <modifiedWord/>
      <trackRevisions>false</trackRevisions>
    </reviewItem>
    <reviewItem>
      <errorID>74791d4b-865b-49b7-b21a-d00622edc703</errorID>
      <errorWord>:</errorWord>
      <group>L1_Format</group>
      <groupName>格式问题</groupName>
      <ability>L2_HalfPunc</ability>
      <abilityName>全半角检查</abilityName>
      <candidateList>
        <item>：</item>
      </candidateList>
      <explain>文本全半角错误。</explain>
      <paraID>3A6C97C0</paraID>
      <start>7</start>
      <end>8</end>
      <status>unmodified</status>
      <modifiedWord/>
      <trackRevisions>false</trackRevisions>
    </reviewItem>
    <reviewItem>
      <errorID>f6c3670e-0819-4f48-9a94-f32324a4fef7</errorID>
      <errorWord>:</errorWord>
      <group>L1_Format</group>
      <groupName>格式问题</groupName>
      <ability>L2_HalfPunc</ability>
      <abilityName>全半角检查</abilityName>
      <candidateList>
        <item>：</item>
      </candidateList>
      <explain>文本全半角错误。</explain>
      <paraID>2E3FD22D</paraID>
      <start>9</start>
      <end>10</end>
      <status>unmodified</status>
      <modifiedWord/>
      <trackRevisions>false</trackRevisions>
    </reviewItem>
    <reviewItem>
      <errorID>a35a76af-662d-4544-950e-c6de7e9b4859</errorID>
      <errorWord>，</errorWord>
      <group>L1_Word</group>
      <groupName>字词问题</groupName>
      <ability>L2_Typo</ability>
      <abilityName>字词错误</abilityName>
      <candidateList>
        <item>，由</item>
      </candidateList>
      <explain/>
      <paraID>5C688E84</paraID>
      <start>213</start>
      <end>214</end>
      <status>unmodified</status>
      <modifiedWord/>
      <trackRevisions>false</trackRevisions>
    </reviewItem>
    <reviewItem>
      <errorID>cbf0e17b-efd2-439e-8dad-110b6dbb608d</errorID>
      <errorWord>【2009】3号</errorWord>
      <group>L1_Knowledge</group>
      <groupName>知识性问题</groupName>
      <ability>L2_Knowledge</ability>
      <abilityName>其他知识</abilityName>
      <candidateList>
        <item>〔2009〕3号</item>
      </candidateList>
      <explain>发文字号格式错误。</explain>
      <paraID>5F7C429A</paraID>
      <start>18</start>
      <end>26</end>
      <status>unmodified</status>
      <modifiedWord/>
      <trackRevisions>false</trackRevisions>
    </reviewItem>
    <reviewItem>
      <errorID>d602de85-dbbd-4d29-ad58-5ed04276fa0a</errorID>
      <errorWord>属</errorWord>
      <group>L1_Word</group>
      <groupName>字词问题</groupName>
      <ability>L2_Typo</ability>
      <abilityName>字词错误</abilityName>
      <candidateList>
        <item>属于</item>
      </candidateList>
      <explain/>
      <paraID>1F9EF405</paraID>
      <start>26</start>
      <end>27</end>
      <status>unmodified</status>
      <modifiedWord/>
      <trackRevisions>false</trackRevisions>
    </reviewItem>
    <reviewItem>
      <errorID>487bac14-831d-4ec4-9ecb-5351068f23ca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15751B47</paraID>
      <start>0</start>
      <end>2</end>
      <status>unmodified</status>
      <modifiedWord/>
      <trackRevisions>false</trackRevisions>
    </reviewItem>
    <reviewItem>
      <errorID>58699c80-6809-47f4-b96a-d5cc7d775df0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20B868C5</paraID>
      <start>0</start>
      <end>2</end>
      <status>unmodified</status>
      <modifiedWord/>
      <trackRevisions>false</trackRevisions>
    </reviewItem>
    <reviewItem>
      <errorID>1ba04bd4-602c-4149-9644-07a2fcb34a31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3063EE49</paraID>
      <start>0</start>
      <end>2</end>
      <status>unmodified</status>
      <modifiedWord/>
      <trackRevisions>false</trackRevisions>
    </reviewItem>
    <reviewItem>
      <errorID>02d785aa-5bf1-4b78-87d6-f5b31a9029a6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6950D8BE</paraID>
      <start>0</start>
      <end>2</end>
      <status>unmodified</status>
      <modifiedWord/>
      <trackRevisions>false</trackRevisions>
    </reviewItem>
    <reviewItem>
      <errorID>6411a61a-6536-40a5-80c4-10ca01638e3d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DFD31CE</paraID>
      <start>0</start>
      <end>2</end>
      <status>unmodified</status>
      <modifiedWord/>
      <trackRevisions>false</trackRevisions>
    </reviewItem>
    <reviewItem>
      <errorID>b7ad929c-5da7-4b1a-8889-736e1e986208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3C2BD46A</paraID>
      <start>0</start>
      <end>2</end>
      <status>unmodified</status>
      <modifiedWord/>
      <trackRevisions>false</trackRevisions>
    </reviewItem>
    <reviewItem>
      <errorID>16c0783e-e380-46c6-bc71-1c28995fa0c1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5413D31F</paraID>
      <start>0</start>
      <end>2</end>
      <status>unmodified</status>
      <modifiedWord/>
      <trackRevisions>false</trackRevisions>
    </reviewItem>
    <reviewItem>
      <errorID>25927225-8c8a-4ee6-be3a-09f4894bddce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52211FB4</paraID>
      <start>0</start>
      <end>2</end>
      <status>unmodified</status>
      <modifiedWord/>
      <trackRevisions>false</trackRevisions>
    </reviewItem>
    <reviewItem>
      <errorID>ab11b5c3-db6e-49c8-8e83-a357b01ad703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4561E100</paraID>
      <start>0</start>
      <end>2</end>
      <status>unmodified</status>
      <modifiedWord/>
      <trackRevisions>false</trackRevisions>
    </reviewItem>
    <reviewItem>
      <errorID>a3638b52-b14e-4e38-9f3c-433eca03b43b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1339BAF8</paraID>
      <start>0</start>
      <end>2</end>
      <status>unmodified</status>
      <modifiedWord/>
      <trackRevisions>false</trackRevisions>
    </reviewItem>
    <reviewItem>
      <errorID>60114f6f-4d9f-42bb-849e-0e8048a10d8d</errorID>
      <errorWord>，</errorWord>
      <group>L1_Word</group>
      <groupName>字词问题</groupName>
      <ability>L2_Typo</ability>
      <abilityName>字词错误</abilityName>
      <candidateList>
        <item>，由</item>
      </candidateList>
      <explain/>
      <paraID>1339BAF8</paraID>
      <start>92</start>
      <end>93</end>
      <status>unmodified</status>
      <modifiedWord/>
      <trackRevisions>false</trackRevisions>
    </reviewItem>
    <reviewItem>
      <errorID>a18ebcb4-bf29-43b6-ba61-00ee8613d2fa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30481EF1</paraID>
      <start>0</start>
      <end>2</end>
      <status>unmodified</status>
      <modifiedWord/>
      <trackRevisions>false</trackRevisions>
    </reviewItem>
    <reviewItem>
      <errorID>269d948b-7cab-4f0c-ab55-feec57da0881</errorID>
      <errorWord>KW</errorWord>
      <group>L1_Word</group>
      <groupName>字词问题</groupName>
      <ability>L2_Typo</ability>
      <abilityName>字词错误</abilityName>
      <candidateList>
        <item>kW</item>
      </candidateList>
      <explain/>
      <paraID>4F4095CC</paraID>
      <start>5</start>
      <end>7</end>
      <status>unmodified</status>
      <modifiedWord/>
      <trackRevisions>false</trackRevisions>
    </reviewItem>
    <reviewItem>
      <errorID>516a8d95-46ff-44b7-b9cd-a82d39d6ed16</errorID>
      <errorWord>其它</errorWord>
      <group>L1_Word</group>
      <groupName>字词问题</groupName>
      <ability>L2_Alias</ability>
      <abilityName>也作/曾用词</abilityName>
      <candidateList>
        <item>其他</item>
      </candidateList>
      <explain>词汇[其它]为不规范表述或旧称，其规范书面表述为[其他]。</explain>
      <paraID>6A953F9E</paraID>
      <start>6</start>
      <end>8</end>
      <status>unmodified</status>
      <modifiedWord/>
      <trackRevisions>false</trackRevisions>
    </reviewItem>
    <reviewItem>
      <errorID>bee06395-a6e7-46f1-987e-64e8f4c58dc7</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1FD50AAF</paraID>
      <start>7</start>
      <end>12</end>
      <status>unmodified</status>
      <modifiedWord/>
      <trackRevisions>false</trackRevisions>
    </reviewItem>
    <reviewItem>
      <errorID>b2b5ec9f-0db2-4c36-a205-97780671e43c</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 4E714E6</paraID>
      <start>9</start>
      <end>14</end>
      <status>unmodified</status>
      <modifiedWord/>
      <trackRevisions>false</trackRevisions>
    </reviewItem>
    <reviewItem>
      <errorID>d64bb19c-e530-462b-8794-5bbac2b056cb</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 4E714E6</paraID>
      <start>28</start>
      <end>33</end>
      <status>unmodified</status>
      <modifiedWord/>
      <trackRevisions>false</trackRevisions>
    </reviewItem>
    <reviewItem>
      <errorID>6158a584-7983-4a4e-9a11-642f7c5db50b</errorID>
      <errorWord>[2015]16号</errorWord>
      <group>L1_Knowledge</group>
      <groupName>知识性问题</groupName>
      <ability>L2_Knowledge</ability>
      <abilityName>其他知识</abilityName>
      <candidateList>
        <item>〔2015〕16号</item>
      </candidateList>
      <explain>发文字号格式错误。</explain>
      <paraID>5AFD9A9E</paraID>
      <start>51</start>
      <end>60</end>
      <status>unmodified</status>
      <modifiedWord/>
      <trackRevisions>false</trackRevisions>
    </reviewItem>
    <reviewItem>
      <errorID>68a29326-16f2-4cd4-b068-3580c11958ee</errorID>
      <errorWord>，</errorWord>
      <group>L1_Word</group>
      <groupName>字词问题</groupName>
      <ability>L2_Typo</ability>
      <abilityName>字词错误</abilityName>
      <candidateList>
        <item>，并</item>
      </candidateList>
      <explain/>
      <paraID>526F322B</paraID>
      <start>145</start>
      <end>146</end>
      <status>unmodified</status>
      <modifiedWord/>
      <trackRevisions>false</trackRevisions>
    </reviewItem>
    <reviewItem>
      <errorID>36a04ccd-eb7b-46aa-9650-8de7754fbcc1</errorID>
      <errorWord>承担的</errorWord>
      <group>L1_Word</group>
      <groupName>字词问题</groupName>
      <ability>L2_Typo</ability>
      <abilityName>字词错误</abilityName>
      <candidateList>
        <item>承担</item>
      </candidateList>
      <explain>〈动〉担负；担当：～义务｜～责任。</explain>
      <paraID>154F23FE</paraID>
      <start>33</start>
      <end>36</end>
      <status>unmodified</status>
      <modifiedWord/>
      <trackRevisions>false</trackRevisions>
    </reviewItem>
    <reviewItem>
      <errorID>7cd0b6ea-d76c-40c7-a9b5-48c5d17894cb</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71F6C635</paraID>
      <start>29</start>
      <end>31</end>
      <status>unmodified</status>
      <modifiedWord/>
      <trackRevisions>false</trackRevisions>
    </reviewItem>
    <reviewItem>
      <errorID>27ba2f20-331a-4e1d-92d6-7660ff9e45ac</errorID>
      <errorWord>７</errorWord>
      <group>L1_Format</group>
      <groupName>格式问题</groupName>
      <ability>L2_HalfPunc</ability>
      <abilityName>全半角检查</abilityName>
      <candidateList>
        <item>7</item>
      </candidateList>
      <explain>文本全半角错误。</explain>
      <paraID>7EB824F3</paraID>
      <start>50</start>
      <end>51</end>
      <status>unmodified</status>
      <modifiedWord/>
      <trackRevisions>false</trackRevisions>
    </reviewItem>
    <reviewItem>
      <errorID>8761d3d5-72cf-42a4-a700-5959dd5b82ae</errorID>
      <errorWord>承担的</errorWord>
      <group>L1_Word</group>
      <groupName>字词问题</groupName>
      <ability>L2_Typo</ability>
      <abilityName>字词错误</abilityName>
      <candidateList>
        <item>承担</item>
      </candidateList>
      <explain>〈动〉担负；担当：～义务｜～责任。</explain>
      <paraID>56FE62CB</paraID>
      <start>42</start>
      <end>45</end>
      <status>unmodified</status>
      <modifiedWord/>
      <trackRevisions>false</trackRevisions>
    </reviewItem>
    <reviewItem>
      <errorID>de6d57b8-0be0-4b5b-afee-27a745f7c3e7</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179AD957</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D3317-BA5B-4753-A880-A425E1D3E23F}">
  <ds:schemaRefs/>
</ds:datastoreItem>
</file>

<file path=customXml/itemProps3.xml><?xml version="1.0" encoding="utf-8"?>
<ds:datastoreItem xmlns:ds="http://schemas.openxmlformats.org/officeDocument/2006/customXml" ds:itemID="{9E24C74B-6A54-4CE3-B815-CDF0BB4C07DC}">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169</Pages>
  <Words>18736</Words>
  <Characters>19833</Characters>
  <Lines>864</Lines>
  <Paragraphs>243</Paragraphs>
  <TotalTime>23</TotalTime>
  <ScaleCrop>false</ScaleCrop>
  <LinksUpToDate>false</LinksUpToDate>
  <CharactersWithSpaces>20090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2025-11-27T23:57:00Z</dcterms:created>
  <dc:creator>唐冰</dc:creator>
  <cp:lastModifiedBy>用户</cp:lastModifiedBy>
  <cp:lastPrinted>2025-11-28T10:19:00Z</cp:lastPrinted>
  <dcterms:modified xsi:type="dcterms:W3CDTF">2025-12-10T05:39:52Z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D5C7B0C46F34414992201E98755E0253_13</vt:lpwstr>
  </property>
  <property fmtid="{D5CDD505-2E9C-101B-9397-08002B2CF9AE}" pid="4" name="KSOTemplateDocerSaveRecord">
    <vt:lpwstr>eyJoZGlkIjoiNjYxNGMxOWE1NmJmNjE2NWUxMWZiOTdlYWFjMjI2YjIiLCJ1c2VySWQiOiIyNDA5MzM3NzAifQ==</vt:lpwstr>
  </property>
</Properties>
</file>